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rPr>
          <w:rFonts w:hint="eastAsia" w:ascii="仿宋" w:hAnsi="仿宋" w:eastAsia="仿宋" w:cs="仿宋"/>
          <w:color w:val="auto"/>
          <w:highlight w:val="none"/>
        </w:rPr>
      </w:pPr>
    </w:p>
    <w:p>
      <w:pPr>
        <w:pStyle w:val="800"/>
        <w:spacing w:line="360" w:lineRule="auto"/>
        <w:jc w:val="center"/>
        <w:rPr>
          <w:rFonts w:hint="eastAsia" w:ascii="仿宋" w:hAnsi="仿宋" w:eastAsia="仿宋" w:cs="仿宋"/>
          <w:b/>
          <w:bCs/>
          <w:color w:val="auto"/>
          <w:w w:val="90"/>
          <w:sz w:val="48"/>
          <w:szCs w:val="48"/>
          <w:highlight w:val="none"/>
          <w:lang w:eastAsia="zh-CN"/>
        </w:rPr>
      </w:pPr>
    </w:p>
    <w:p>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eastAsia="zh-CN"/>
        </w:rPr>
        <w:t>江东水厂第二路原水管（南阳互通-江东水厂）基坑监测、沉降观测服务项目（二次）</w:t>
      </w:r>
    </w:p>
    <w:p>
      <w:pPr>
        <w:adjustRightInd/>
        <w:spacing w:line="360" w:lineRule="auto"/>
        <w:jc w:val="center"/>
        <w:rPr>
          <w:rFonts w:hint="eastAsia" w:ascii="仿宋" w:hAnsi="仿宋" w:eastAsia="仿宋" w:cs="仿宋"/>
          <w:b/>
          <w:bCs/>
          <w:color w:val="auto"/>
          <w:sz w:val="52"/>
          <w:szCs w:val="52"/>
          <w:highlight w:val="none"/>
          <w:lang w:eastAsia="zh-CN"/>
        </w:rPr>
      </w:pPr>
    </w:p>
    <w:p>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lang w:eastAsia="zh-CN"/>
        </w:rPr>
        <w:t>交易</w:t>
      </w:r>
      <w:r>
        <w:rPr>
          <w:rFonts w:hint="eastAsia" w:ascii="仿宋" w:hAnsi="仿宋" w:eastAsia="仿宋" w:cs="仿宋"/>
          <w:b/>
          <w:bCs/>
          <w:color w:val="auto"/>
          <w:sz w:val="72"/>
          <w:szCs w:val="72"/>
          <w:highlight w:val="none"/>
        </w:rPr>
        <w:t>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bCs w:val="0"/>
          <w:color w:val="auto"/>
          <w:sz w:val="44"/>
          <w:szCs w:val="44"/>
          <w:highlight w:val="none"/>
        </w:rPr>
        <w:t>（电子招投标）</w:t>
      </w:r>
    </w:p>
    <w:p>
      <w:pPr>
        <w:spacing w:line="360" w:lineRule="auto"/>
        <w:jc w:val="center"/>
        <w:rPr>
          <w:rFonts w:hint="eastAsia" w:ascii="仿宋" w:hAnsi="仿宋" w:eastAsia="仿宋" w:cs="仿宋"/>
          <w:b/>
          <w:color w:val="auto"/>
          <w:sz w:val="32"/>
          <w:szCs w:val="16"/>
          <w:highlight w:val="none"/>
          <w:lang w:val="en-US" w:eastAsia="zh-CN"/>
        </w:rPr>
      </w:pPr>
    </w:p>
    <w:p>
      <w:pPr>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b/>
          <w:color w:val="auto"/>
          <w:sz w:val="32"/>
          <w:szCs w:val="16"/>
          <w:highlight w:val="none"/>
          <w:lang w:val="en-US" w:eastAsia="zh-CN"/>
        </w:rPr>
        <w:t>编号：HXXS2024-GK-XCY097-1</w:t>
      </w: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杭州萧山供水有限公司</w:t>
      </w:r>
    </w:p>
    <w:p>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浙江华夏工程管理有限公司</w:t>
      </w:r>
    </w:p>
    <w:p>
      <w:pPr>
        <w:spacing w:line="360" w:lineRule="auto"/>
        <w:jc w:val="center"/>
        <w:rPr>
          <w:rFonts w:hint="eastAsia"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九</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eastAsia="zh-CN"/>
        </w:rPr>
        <w:t>十八</w:t>
      </w:r>
      <w:r>
        <w:rPr>
          <w:rFonts w:hint="eastAsia" w:ascii="仿宋" w:hAnsi="仿宋" w:eastAsia="仿宋" w:cs="仿宋"/>
          <w:bCs/>
          <w:color w:val="auto"/>
          <w:sz w:val="32"/>
          <w:szCs w:val="32"/>
          <w:highlight w:val="none"/>
        </w:rPr>
        <w:t>日</w:t>
      </w:r>
    </w:p>
    <w:p>
      <w:pPr>
        <w:pStyle w:val="85"/>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8"/>
          <w:szCs w:val="48"/>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响应人</w:t>
      </w:r>
      <w:r>
        <w:rPr>
          <w:rFonts w:hint="eastAsia" w:ascii="仿宋" w:hAnsi="仿宋" w:eastAsia="仿宋" w:cs="仿宋"/>
          <w:color w:val="auto"/>
          <w:sz w:val="32"/>
          <w:szCs w:val="32"/>
          <w:highlight w:val="none"/>
        </w:rPr>
        <w:t>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eastAsia="zh-CN"/>
        </w:rPr>
        <w:t>评审办法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lang w:eastAsia="zh-CN"/>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江东水厂第二路原水管（南阳互通-江东水厂）基坑监测、沉降观测服务项目（二次）</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应在乐采云平台（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获取（下载）</w:t>
      </w:r>
      <w:r>
        <w:rPr>
          <w:rStyle w:val="78"/>
          <w:rFonts w:hint="eastAsia" w:ascii="仿宋" w:hAnsi="仿宋" w:eastAsia="仿宋" w:cs="仿宋"/>
          <w:snapToGrid/>
          <w:color w:val="auto"/>
          <w:kern w:val="2"/>
          <w:sz w:val="24"/>
          <w:szCs w:val="24"/>
          <w:highlight w:val="none"/>
          <w:lang w:eastAsia="zh-CN"/>
        </w:rPr>
        <w:t>交易文件</w:t>
      </w:r>
      <w:r>
        <w:rPr>
          <w:rStyle w:val="78"/>
          <w:rFonts w:hint="eastAsia" w:ascii="仿宋" w:hAnsi="仿宋" w:eastAsia="仿宋" w:cs="仿宋"/>
          <w:snapToGrid/>
          <w:color w:val="auto"/>
          <w:kern w:val="2"/>
          <w:sz w:val="24"/>
          <w:szCs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09月26日14点30分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一、项目基本情况</w:t>
      </w:r>
    </w:p>
    <w:p>
      <w:pPr>
        <w:spacing w:line="360" w:lineRule="auto"/>
        <w:ind w:firstLine="482"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b/>
          <w:color w:val="auto"/>
          <w:sz w:val="24"/>
          <w:szCs w:val="24"/>
          <w:highlight w:val="none"/>
          <w:u w:val="none"/>
        </w:rPr>
        <w:t>项目编号</w:t>
      </w:r>
      <w:r>
        <w:rPr>
          <w:rFonts w:hint="eastAsia" w:ascii="仿宋" w:hAnsi="仿宋" w:eastAsia="仿宋" w:cs="仿宋"/>
          <w:b/>
          <w:color w:val="auto"/>
          <w:sz w:val="24"/>
          <w:szCs w:val="24"/>
          <w:highlight w:val="none"/>
          <w:u w:val="none"/>
          <w:lang w:eastAsia="zh-CN"/>
        </w:rPr>
        <w:t>：HXXS2024-GK-XCY097-1</w:t>
      </w:r>
    </w:p>
    <w:p>
      <w:pPr>
        <w:spacing w:line="360" w:lineRule="auto"/>
        <w:ind w:firstLine="482" w:firstLineChars="200"/>
        <w:rPr>
          <w:rFonts w:hint="eastAsia" w:ascii="仿宋" w:hAnsi="仿宋" w:eastAsia="仿宋" w:cs="仿宋"/>
          <w:b w:val="0"/>
          <w:bCs/>
          <w:color w:val="auto"/>
          <w:sz w:val="24"/>
          <w:szCs w:val="24"/>
          <w:highlight w:val="none"/>
          <w:u w:val="none"/>
        </w:rPr>
      </w:pPr>
      <w:r>
        <w:rPr>
          <w:rFonts w:hint="eastAsia" w:ascii="仿宋" w:hAnsi="仿宋" w:eastAsia="仿宋" w:cs="仿宋"/>
          <w:b/>
          <w:color w:val="auto"/>
          <w:sz w:val="24"/>
          <w:szCs w:val="24"/>
          <w:highlight w:val="none"/>
          <w:u w:val="none"/>
        </w:rPr>
        <w:t>项目名称：</w:t>
      </w:r>
      <w:r>
        <w:rPr>
          <w:rFonts w:hint="eastAsia" w:ascii="仿宋" w:hAnsi="仿宋" w:eastAsia="仿宋" w:cs="仿宋"/>
          <w:color w:val="auto"/>
          <w:sz w:val="24"/>
          <w:highlight w:val="none"/>
          <w:u w:val="none"/>
          <w:lang w:eastAsia="zh-CN"/>
        </w:rPr>
        <w:t>江东水厂第二路原水管（南阳互通-江东水厂）基坑监测、沉降观测服务项目（二次）</w:t>
      </w:r>
    </w:p>
    <w:p>
      <w:pPr>
        <w:spacing w:line="360" w:lineRule="auto"/>
        <w:ind w:firstLine="48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val="0"/>
          <w:bCs/>
          <w:color w:val="auto"/>
          <w:sz w:val="24"/>
          <w:szCs w:val="24"/>
          <w:highlight w:val="none"/>
          <w:lang w:val="en-US" w:eastAsia="zh-CN"/>
        </w:rPr>
        <w:t>2000000.00</w:t>
      </w:r>
    </w:p>
    <w:p>
      <w:pPr>
        <w:spacing w:line="360" w:lineRule="auto"/>
        <w:ind w:firstLine="48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rPr>
        <w:t>最高限价（元）：</w:t>
      </w:r>
      <w:r>
        <w:rPr>
          <w:rFonts w:hint="eastAsia" w:ascii="仿宋" w:hAnsi="仿宋" w:eastAsia="仿宋" w:cs="仿宋"/>
          <w:b w:val="0"/>
          <w:bCs/>
          <w:color w:val="auto"/>
          <w:sz w:val="24"/>
          <w:szCs w:val="24"/>
          <w:highlight w:val="none"/>
          <w:lang w:val="en-US" w:eastAsia="zh-CN"/>
        </w:rPr>
        <w:t>2000000.00</w:t>
      </w:r>
    </w:p>
    <w:p>
      <w:pPr>
        <w:spacing w:line="360" w:lineRule="auto"/>
        <w:ind w:firstLine="480"/>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lang w:eastAsia="zh-CN"/>
        </w:rPr>
        <w:t>江东水厂第二路原水管（南阳互通-江东水厂）基坑监测、沉降观测服务项目</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lang w:val="en-US" w:eastAsia="zh-CN"/>
        </w:rPr>
        <w:t>详见第三部分采购需求。</w:t>
      </w:r>
    </w:p>
    <w:p>
      <w:pPr>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bCs w:val="0"/>
          <w:snapToGrid/>
          <w:color w:val="auto"/>
          <w:kern w:val="2"/>
          <w:sz w:val="24"/>
          <w:szCs w:val="24"/>
          <w:highlight w:val="none"/>
        </w:rPr>
        <w:t>主要内容：</w:t>
      </w:r>
      <w:r>
        <w:rPr>
          <w:rFonts w:hint="eastAsia" w:ascii="仿宋" w:hAnsi="仿宋" w:eastAsia="仿宋" w:cs="仿宋"/>
          <w:b w:val="0"/>
          <w:bCs/>
          <w:color w:val="auto"/>
          <w:sz w:val="24"/>
          <w:szCs w:val="24"/>
          <w:highlight w:val="none"/>
          <w:lang w:eastAsia="zh-CN"/>
        </w:rPr>
        <w:t>江东水厂第二路原水管（南阳互通-江东水厂）基坑监测</w:t>
      </w:r>
      <w:r>
        <w:rPr>
          <w:rFonts w:hint="eastAsia" w:ascii="仿宋" w:hAnsi="仿宋" w:eastAsia="仿宋" w:cs="仿宋"/>
          <w:color w:val="auto"/>
          <w:sz w:val="24"/>
          <w:highlight w:val="none"/>
          <w:u w:val="none"/>
          <w:lang w:eastAsia="zh-CN"/>
        </w:rPr>
        <w:t>、沉降观测</w:t>
      </w:r>
      <w:r>
        <w:rPr>
          <w:rFonts w:hint="eastAsia" w:ascii="仿宋" w:hAnsi="仿宋" w:eastAsia="仿宋" w:cs="仿宋"/>
          <w:b w:val="0"/>
          <w:bCs/>
          <w:color w:val="auto"/>
          <w:sz w:val="24"/>
          <w:szCs w:val="24"/>
          <w:highlight w:val="none"/>
          <w:u w:val="none"/>
          <w:lang w:eastAsia="zh-CN"/>
        </w:rPr>
        <w:t>服</w:t>
      </w:r>
      <w:r>
        <w:rPr>
          <w:rFonts w:hint="eastAsia" w:ascii="仿宋" w:hAnsi="仿宋" w:eastAsia="仿宋" w:cs="仿宋"/>
          <w:b w:val="0"/>
          <w:bCs/>
          <w:color w:val="auto"/>
          <w:sz w:val="24"/>
          <w:szCs w:val="24"/>
          <w:highlight w:val="none"/>
          <w:lang w:eastAsia="zh-CN"/>
        </w:rPr>
        <w:t>务</w:t>
      </w:r>
      <w:r>
        <w:rPr>
          <w:rFonts w:hint="eastAsia" w:ascii="仿宋" w:hAnsi="仿宋" w:eastAsia="仿宋" w:cs="仿宋"/>
          <w:color w:val="auto"/>
          <w:sz w:val="24"/>
          <w:highlight w:val="none"/>
          <w:u w:val="none"/>
          <w:lang w:eastAsia="zh-CN"/>
        </w:rPr>
        <w:t>，</w:t>
      </w:r>
      <w:r>
        <w:rPr>
          <w:rFonts w:hint="eastAsia" w:ascii="仿宋" w:hAnsi="仿宋" w:eastAsia="仿宋" w:cs="仿宋"/>
          <w:bCs/>
          <w:snapToGrid/>
          <w:color w:val="auto"/>
          <w:kern w:val="2"/>
          <w:sz w:val="24"/>
          <w:szCs w:val="24"/>
          <w:highlight w:val="none"/>
        </w:rPr>
        <w:t>详见第三部分采购需求。</w:t>
      </w:r>
    </w:p>
    <w:p>
      <w:pPr>
        <w:spacing w:line="360" w:lineRule="auto"/>
        <w:ind w:firstLine="48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highlight w:val="none"/>
          <w:u w:val="none"/>
          <w:lang w:val="en-US" w:eastAsia="zh-CN"/>
        </w:rPr>
        <w:t>详见第三部分采购需求</w:t>
      </w:r>
    </w:p>
    <w:p>
      <w:pPr>
        <w:spacing w:line="360" w:lineRule="auto"/>
        <w:ind w:firstLine="48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本项目接受联合体：（√）否</w:t>
      </w:r>
      <w:r>
        <w:rPr>
          <w:rFonts w:hint="eastAsia" w:ascii="仿宋" w:hAnsi="仿宋" w:eastAsia="仿宋" w:cs="仿宋"/>
          <w:b/>
          <w:bCs w:val="0"/>
          <w:color w:val="auto"/>
          <w:sz w:val="24"/>
          <w:szCs w:val="24"/>
          <w:highlight w:val="none"/>
          <w:lang w:eastAsia="zh-CN"/>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napToGrid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1、具有独立承担民事责任的能力；</w:t>
      </w:r>
    </w:p>
    <w:p>
      <w:pPr>
        <w:snapToGrid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2、具有良好的商业信誉和健全的财务会计制度；</w:t>
      </w:r>
    </w:p>
    <w:p>
      <w:pPr>
        <w:snapToGrid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3、具有履行合同所必需的设备和专业技术能力；</w:t>
      </w:r>
    </w:p>
    <w:p>
      <w:pPr>
        <w:snapToGrid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4、有依法缴纳税收和社会保障资金的良好记录；</w:t>
      </w:r>
    </w:p>
    <w:p>
      <w:pPr>
        <w:snapToGrid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5、参加交易活动前三年内，在经营活动中没有重大违法记录；</w:t>
      </w:r>
    </w:p>
    <w:p>
      <w:pPr>
        <w:snapToGrid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6、法律、行政法规规定的其他条件；</w:t>
      </w:r>
    </w:p>
    <w:p>
      <w:pPr>
        <w:snapToGrid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7、未被“信用中国”（www.creditchina.gov.cn）、中国政府采购网（www.ccgp.gov.cn）列入失信被执行人、重大税收违法案件当事人名单、政府采购严重违法失信行为记录名单。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8、本项目的特定资格要求：供应商必须同时具备①+②：①具备工程勘察综合类甲级或同时具备工程勘察岩土工程甲级、工程测量甲级资质或同时具备工程勘察专业类岩土工程（物探、测试、检测、监测）甲级、工程测量甲级资质；②具有行政主管部门颁发的有效期内的计量认证证书或资质认定证书（计量认证证书或资质认定证书附表内容需包含基坑监测资格或类似试验检测，具体与本项目服务内容相应）的独立法人企业；项目负责人要求：具有注册土木工程师（岩土）。</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09月26日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乐采云平台（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供应商登录乐采云平台（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）在线申请获取采购文件（进入“项目采购”应用，在获取采购文件菜单中选择项目，申请获取采购文件）。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09月26日14点30分</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乐采云平台（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09月26日14点30分</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乐采云平台（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公告期限届满之日（公告期限届满后获取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的，以公告期限届满之日为准）起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个工作日内，以书面形式向</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和采购代理机构提出质疑。质疑供应商对</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、采购代理机构的答复不满意或者</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2.其他事项：（1）需要落实的政府采购政策：包括节约资源、保护环境、支持创新等。详见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的第二部分总则。（2）电子招投标的说明：①电子招投标：本项目以数据电文形式，依托“政府采购云平台（www.zcygov.cn）”进行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的获取：使用账号登录或者使用CA登录政采云平台；进入“项目采购”应用，在获取采购文件菜单中选择项目，获取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的制作：在“政采云电子交易客户端”中完成“填写基本信息”、“导入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将依托政采云平台完成本项目的电子交易活动，平台不接受未按上述方式获取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的供应商进行投标活动；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在投标截止时间前将加密的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上传至政府采购云平台，还可以在投标截止时间前直接提交或者以邮政快递方式递交备份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无法按时解密，投标供应商递交了备份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提出询问、质疑、投诉，请按以下方式联系</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color w:val="auto"/>
          <w:sz w:val="24"/>
          <w:szCs w:val="28"/>
          <w:highlight w:val="none"/>
          <w:lang w:eastAsia="zh-CN"/>
        </w:rPr>
        <w:t>业主</w:t>
      </w:r>
      <w:r>
        <w:rPr>
          <w:rFonts w:hint="eastAsia" w:ascii="仿宋" w:hAnsi="仿宋" w:eastAsia="仿宋" w:cs="仿宋"/>
          <w:color w:val="auto"/>
          <w:sz w:val="24"/>
          <w:szCs w:val="28"/>
          <w:highlight w:val="none"/>
        </w:rPr>
        <w:t>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highlight w:val="none"/>
          <w:lang w:eastAsia="zh-CN"/>
        </w:rPr>
        <w:t>杭州萧山供水有限公司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szCs w:val="28"/>
          <w:highlight w:val="none"/>
          <w:lang w:val="en-US" w:eastAsia="zh-CN"/>
        </w:rPr>
        <w:t>萧山区潘水路428号</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lang w:eastAsia="zh-CN"/>
        </w:rPr>
        <w:t>项目联系人（询问）：韩华炯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bookmarkStart w:id="10" w:name="_Toc28359086"/>
      <w:bookmarkStart w:id="11" w:name="_Toc28359009"/>
      <w:r>
        <w:rPr>
          <w:rFonts w:hint="eastAsia" w:ascii="仿宋" w:hAnsi="仿宋" w:eastAsia="仿宋" w:cs="仿宋"/>
          <w:color w:val="auto"/>
          <w:sz w:val="24"/>
          <w:szCs w:val="28"/>
          <w:highlight w:val="none"/>
          <w:lang w:val="en-US" w:eastAsia="zh-CN"/>
        </w:rPr>
        <w:t>17767100236</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2.代理机构信息</w:t>
      </w:r>
      <w:bookmarkEnd w:id="10"/>
      <w:bookmarkEnd w:id="11"/>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浙江华夏工程管理有限公司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地址：杭州市萧山区北干街道金城路540号心意广场</w:t>
      </w:r>
      <w:r>
        <w:rPr>
          <w:rFonts w:hint="eastAsia" w:ascii="仿宋" w:hAnsi="仿宋" w:eastAsia="仿宋" w:cs="仿宋"/>
          <w:color w:val="auto"/>
          <w:sz w:val="24"/>
          <w:szCs w:val="28"/>
          <w:highlight w:val="none"/>
          <w:lang w:val="en-US" w:eastAsia="zh-CN"/>
        </w:rPr>
        <w:t>3</w:t>
      </w:r>
      <w:r>
        <w:rPr>
          <w:rFonts w:hint="eastAsia" w:ascii="仿宋" w:hAnsi="仿宋" w:eastAsia="仿宋" w:cs="仿宋"/>
          <w:color w:val="auto"/>
          <w:sz w:val="24"/>
          <w:szCs w:val="28"/>
          <w:highlight w:val="none"/>
        </w:rPr>
        <w:t>幢</w:t>
      </w:r>
      <w:r>
        <w:rPr>
          <w:rFonts w:hint="eastAsia" w:ascii="仿宋" w:hAnsi="仿宋" w:eastAsia="仿宋" w:cs="仿宋"/>
          <w:color w:val="auto"/>
          <w:sz w:val="24"/>
          <w:szCs w:val="28"/>
          <w:highlight w:val="none"/>
          <w:lang w:val="en-US" w:eastAsia="zh-CN"/>
        </w:rPr>
        <w:t>1802</w:t>
      </w:r>
      <w:r>
        <w:rPr>
          <w:rFonts w:hint="eastAsia" w:ascii="仿宋" w:hAnsi="仿宋" w:eastAsia="仿宋" w:cs="仿宋"/>
          <w:color w:val="auto"/>
          <w:sz w:val="24"/>
          <w:szCs w:val="28"/>
          <w:highlight w:val="none"/>
        </w:rPr>
        <w:t>室</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尚赛</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snapToGrid w:val="0"/>
          <w:color w:val="auto"/>
          <w:kern w:val="28"/>
          <w:sz w:val="24"/>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eastAsia="zh-CN"/>
        </w:rPr>
        <w:t>：</w:t>
      </w:r>
      <w:r>
        <w:rPr>
          <w:rFonts w:hint="eastAsia" w:ascii="仿宋" w:hAnsi="仿宋" w:eastAsia="仿宋" w:cs="仿宋"/>
          <w:bCs/>
          <w:snapToGrid w:val="0"/>
          <w:color w:val="auto"/>
          <w:kern w:val="28"/>
          <w:sz w:val="24"/>
          <w:highlight w:val="none"/>
          <w:lang w:val="en-US" w:eastAsia="zh-CN"/>
        </w:rPr>
        <w:t>15957154344  1322274936@qq.com</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李桂飞</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w:t>
      </w:r>
      <w:r>
        <w:rPr>
          <w:rFonts w:hint="eastAsia" w:ascii="仿宋" w:hAnsi="仿宋" w:eastAsia="仿宋" w:cs="仿宋"/>
          <w:bCs/>
          <w:snapToGrid w:val="0"/>
          <w:color w:val="auto"/>
          <w:kern w:val="28"/>
          <w:sz w:val="24"/>
          <w:highlight w:val="none"/>
          <w:lang w:val="en-US" w:eastAsia="zh-CN"/>
        </w:rPr>
        <w:t>0571-57572683</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3"/>
        <w:spacing w:line="360" w:lineRule="auto"/>
        <w:jc w:val="center"/>
        <w:rPr>
          <w:rFonts w:hint="eastAsia" w:ascii="仿宋" w:hAnsi="仿宋" w:eastAsia="仿宋" w:cs="仿宋"/>
          <w:b/>
          <w:color w:val="auto"/>
          <w:sz w:val="36"/>
          <w:szCs w:val="20"/>
          <w:highlight w:val="none"/>
        </w:rPr>
      </w:pP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pStyle w:val="33"/>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eastAsia="zh-CN"/>
        </w:rPr>
        <w:t>响应人</w:t>
      </w:r>
      <w:r>
        <w:rPr>
          <w:rFonts w:hint="eastAsia" w:ascii="仿宋" w:hAnsi="仿宋" w:eastAsia="仿宋" w:cs="仿宋"/>
          <w:b/>
          <w:color w:val="auto"/>
          <w:sz w:val="36"/>
          <w:szCs w:val="20"/>
          <w:highlight w:val="none"/>
        </w:rPr>
        <w:t>须知</w:t>
      </w:r>
      <w:bookmarkEnd w:id="8"/>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45"/>
        <w:gridCol w:w="1558"/>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58"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997"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545"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58" w:type="dxa"/>
            <w:vAlign w:val="center"/>
          </w:tcPr>
          <w:p>
            <w:pPr>
              <w:spacing w:after="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997" w:type="dxa"/>
            <w:vAlign w:val="center"/>
          </w:tcPr>
          <w:p>
            <w:pPr>
              <w:spacing w:line="360" w:lineRule="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pacing w:val="0"/>
                <w:w w:val="100"/>
                <w:sz w:val="24"/>
                <w:highlight w:val="none"/>
              </w:rPr>
              <w:t>（√）</w:t>
            </w:r>
            <w:r>
              <w:rPr>
                <w:rFonts w:hint="eastAsia" w:ascii="仿宋" w:hAnsi="仿宋" w:eastAsia="仿宋" w:cs="仿宋"/>
                <w:b w:val="0"/>
                <w:bCs/>
                <w:color w:val="auto"/>
                <w:spacing w:val="0"/>
                <w:w w:val="100"/>
                <w:kern w:val="0"/>
                <w:sz w:val="24"/>
                <w:highlight w:val="none"/>
              </w:rPr>
              <w:t>A</w:t>
            </w:r>
            <w:r>
              <w:rPr>
                <w:rFonts w:hint="eastAsia" w:ascii="仿宋" w:hAnsi="仿宋" w:eastAsia="仿宋" w:cs="仿宋"/>
                <w:b w:val="0"/>
                <w:bCs/>
                <w:color w:val="auto"/>
                <w:spacing w:val="0"/>
                <w:w w:val="100"/>
                <w:sz w:val="24"/>
                <w:highlight w:val="none"/>
                <w:lang w:val="en-US" w:eastAsia="zh-CN"/>
              </w:rPr>
              <w:t>服务</w:t>
            </w:r>
            <w:r>
              <w:rPr>
                <w:rFonts w:hint="eastAsia" w:ascii="仿宋" w:hAnsi="仿宋" w:eastAsia="仿宋" w:cs="仿宋"/>
                <w:b w:val="0"/>
                <w:bCs/>
                <w:color w:val="auto"/>
                <w:spacing w:val="0"/>
                <w:w w:val="100"/>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jc w:val="center"/>
        </w:trPr>
        <w:tc>
          <w:tcPr>
            <w:tcW w:w="545" w:type="dxa"/>
            <w:vAlign w:val="center"/>
          </w:tcPr>
          <w:p>
            <w:pPr>
              <w:spacing w:after="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p>
        </w:tc>
        <w:tc>
          <w:tcPr>
            <w:tcW w:w="1558" w:type="dxa"/>
            <w:vAlign w:val="center"/>
          </w:tcPr>
          <w:p>
            <w:pPr>
              <w:spacing w:after="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997" w:type="dxa"/>
            <w:vAlign w:val="center"/>
          </w:tcPr>
          <w:p>
            <w:pPr>
              <w:spacing w:after="0"/>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lang w:eastAsia="zh-CN"/>
              </w:rPr>
              <w:t>江东水厂第二路原水管（南阳互通-江东水厂）基坑监测、沉降观测服务项目（二次）</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其他未列明行业</w:t>
            </w:r>
            <w:r>
              <w:rPr>
                <w:rFonts w:hint="eastAsia" w:ascii="仿宋" w:hAnsi="仿宋" w:eastAsia="仿宋" w:cs="仿宋"/>
                <w:color w:val="auto"/>
                <w:sz w:val="24"/>
                <w:highlight w:val="none"/>
              </w:rPr>
              <w:t>；</w:t>
            </w:r>
          </w:p>
          <w:p>
            <w:pPr>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行业划分标准：</w:t>
            </w:r>
          </w:p>
          <w:p>
            <w:pPr>
              <w:spacing w:after="0"/>
              <w:rPr>
                <w:rFonts w:hint="eastAsia" w:ascii="仿宋" w:hAnsi="仿宋" w:eastAsia="仿宋" w:cs="仿宋"/>
                <w:b w:val="0"/>
                <w:bCs/>
                <w:color w:val="auto"/>
                <w:kern w:val="0"/>
                <w:sz w:val="24"/>
                <w:highlight w:val="none"/>
                <w:lang w:val="en-US" w:eastAsia="zh-CN"/>
              </w:rPr>
            </w:pPr>
            <w:r>
              <w:rPr>
                <w:rFonts w:hint="eastAsia" w:ascii="仿宋" w:hAnsi="仿宋" w:eastAsia="仿宋" w:cs="仿宋"/>
                <w:color w:val="auto"/>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jc w:val="center"/>
        </w:trPr>
        <w:tc>
          <w:tcPr>
            <w:tcW w:w="545"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558" w:type="dxa"/>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是否允许采购进口产品</w:t>
            </w:r>
          </w:p>
        </w:tc>
        <w:tc>
          <w:tcPr>
            <w:tcW w:w="6997" w:type="dxa"/>
            <w:vAlign w:val="center"/>
          </w:tcPr>
          <w:p>
            <w:pPr>
              <w:spacing w:line="360" w:lineRule="auto"/>
              <w:rPr>
                <w:rFonts w:hint="eastAsia" w:ascii="仿宋" w:hAnsi="仿宋" w:eastAsia="仿宋" w:cs="仿宋"/>
                <w:b w:val="0"/>
                <w:bCs/>
                <w:color w:val="auto"/>
                <w:sz w:val="24"/>
                <w:szCs w:val="32"/>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szCs w:val="32"/>
                <w:highlight w:val="none"/>
              </w:rPr>
              <w:t>本项目允许采购进口产品。</w:t>
            </w:r>
          </w:p>
          <w:p>
            <w:pPr>
              <w:pStyle w:val="2"/>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进口产品是指通过中国海关保关验放进入中国境内且产自境</w:t>
            </w:r>
          </w:p>
          <w:p>
            <w:pPr>
              <w:pStyle w:val="2"/>
              <w:ind w:left="432" w:leftChars="0" w:hanging="432" w:firstLineChars="0"/>
              <w:rPr>
                <w:rFonts w:hint="eastAsia" w:ascii="仿宋" w:hAnsi="仿宋" w:eastAsia="仿宋" w:cs="仿宋"/>
                <w:b w:val="0"/>
                <w:bCs/>
                <w:color w:val="auto"/>
                <w:kern w:val="2"/>
                <w:sz w:val="32"/>
                <w:szCs w:val="32"/>
                <w:highlight w:val="none"/>
                <w:lang w:val="en-US" w:eastAsia="zh-CN" w:bidi="ar-SA"/>
              </w:rPr>
            </w:pPr>
            <w:r>
              <w:rPr>
                <w:rFonts w:hint="eastAsia" w:ascii="仿宋" w:hAnsi="仿宋" w:eastAsia="仿宋" w:cs="仿宋"/>
                <w:b w:val="0"/>
                <w:bCs/>
                <w:color w:val="auto"/>
                <w:kern w:val="0"/>
                <w:sz w:val="24"/>
                <w:highlight w:val="none"/>
                <w:lang w:val="en-US" w:eastAsia="zh-CN"/>
              </w:rPr>
              <w:t>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558" w:type="dxa"/>
            <w:vAlign w:val="center"/>
          </w:tcPr>
          <w:p>
            <w:pPr>
              <w:snapToGrid w:val="0"/>
              <w:spacing w:line="360" w:lineRule="auto"/>
              <w:ind w:firstLine="482" w:firstLineChars="2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分包</w:t>
            </w:r>
          </w:p>
        </w:tc>
        <w:tc>
          <w:tcPr>
            <w:tcW w:w="6997" w:type="dxa"/>
            <w:vAlign w:val="center"/>
          </w:tcPr>
          <w:p>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B</w:t>
            </w:r>
            <w:r>
              <w:rPr>
                <w:rFonts w:hint="eastAsia" w:ascii="仿宋" w:hAnsi="仿宋" w:eastAsia="仿宋" w:cs="仿宋"/>
                <w:b w:val="0"/>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1" w:hRule="atLeast"/>
          <w:jc w:val="center"/>
        </w:trPr>
        <w:tc>
          <w:tcPr>
            <w:tcW w:w="545"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558" w:type="dxa"/>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前答疑会或现场考察</w:t>
            </w:r>
          </w:p>
        </w:tc>
        <w:tc>
          <w:tcPr>
            <w:tcW w:w="6997" w:type="dxa"/>
            <w:vAlign w:val="center"/>
          </w:tcPr>
          <w:p>
            <w:pPr>
              <w:spacing w:line="360" w:lineRule="auto"/>
              <w:rPr>
                <w:rFonts w:hint="eastAsia" w:ascii="仿宋" w:hAnsi="仿宋" w:eastAsia="仿宋" w:cs="仿宋"/>
                <w:b w:val="0"/>
                <w:bCs/>
                <w:color w:val="auto"/>
                <w:kern w:val="2"/>
                <w:sz w:val="24"/>
                <w:szCs w:val="20"/>
                <w:highlight w:val="none"/>
                <w:lang w:val="en-US" w:eastAsia="zh-CN" w:bidi="ar-SA"/>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545"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558" w:type="dxa"/>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样品提供</w:t>
            </w:r>
          </w:p>
        </w:tc>
        <w:tc>
          <w:tcPr>
            <w:tcW w:w="6997" w:type="dxa"/>
            <w:vAlign w:val="center"/>
          </w:tcPr>
          <w:p>
            <w:pPr>
              <w:spacing w:after="0"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45"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558" w:type="dxa"/>
            <w:vAlign w:val="center"/>
          </w:tcPr>
          <w:p>
            <w:pPr>
              <w:snapToGrid w:val="0"/>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sz w:val="24"/>
                <w:highlight w:val="none"/>
              </w:rPr>
              <w:t>方案讲解演示</w:t>
            </w:r>
          </w:p>
        </w:tc>
        <w:tc>
          <w:tcPr>
            <w:tcW w:w="6997" w:type="dxa"/>
            <w:vAlign w:val="center"/>
          </w:tcPr>
          <w:p>
            <w:pPr>
              <w:snapToGrid w:val="0"/>
              <w:spacing w:line="360" w:lineRule="auto"/>
              <w:rPr>
                <w:rFonts w:hint="eastAsia" w:ascii="仿宋" w:hAnsi="仿宋" w:eastAsia="仿宋" w:cs="仿宋"/>
                <w:b w:val="0"/>
                <w:bCs/>
                <w:color w:val="auto"/>
                <w:kern w:val="0"/>
                <w:sz w:val="24"/>
                <w:szCs w:val="24"/>
                <w:highlight w:val="none"/>
                <w:lang w:val="zh-CN" w:eastAsia="zh-CN" w:bidi="ar-SA"/>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不演示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jc w:val="center"/>
        </w:trPr>
        <w:tc>
          <w:tcPr>
            <w:tcW w:w="545" w:type="dxa"/>
            <w:vMerge w:val="restart"/>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558" w:type="dxa"/>
            <w:vMerge w:val="restart"/>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应当提供的资格、资信证明文件</w:t>
            </w:r>
          </w:p>
        </w:tc>
        <w:tc>
          <w:tcPr>
            <w:tcW w:w="6997" w:type="dxa"/>
            <w:vAlign w:val="center"/>
          </w:tcPr>
          <w:p>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（1）资格证明文件：见</w:t>
            </w:r>
            <w:r>
              <w:rPr>
                <w:rFonts w:hint="eastAsia" w:ascii="仿宋" w:hAnsi="仿宋" w:eastAsia="仿宋" w:cs="仿宋"/>
                <w:b w:val="0"/>
                <w:bCs/>
                <w:color w:val="auto"/>
                <w:sz w:val="24"/>
                <w:highlight w:val="none"/>
                <w:lang w:eastAsia="zh-CN"/>
              </w:rPr>
              <w:t>交易文件</w:t>
            </w:r>
            <w:r>
              <w:rPr>
                <w:rFonts w:hint="eastAsia" w:ascii="仿宋" w:hAnsi="仿宋" w:eastAsia="仿宋" w:cs="仿宋"/>
                <w:b w:val="0"/>
                <w:bCs/>
                <w:color w:val="auto"/>
                <w:sz w:val="24"/>
                <w:highlight w:val="none"/>
              </w:rPr>
              <w:t>第二部分11.1。</w:t>
            </w:r>
          </w:p>
          <w:p>
            <w:pPr>
              <w:spacing w:line="360" w:lineRule="auto"/>
              <w:rPr>
                <w:rFonts w:hint="eastAsia" w:ascii="仿宋" w:hAnsi="仿宋" w:eastAsia="仿宋" w:cs="仿宋"/>
                <w:b w:val="0"/>
                <w:bCs/>
                <w:snapToGrid w:val="0"/>
                <w:color w:val="auto"/>
                <w:kern w:val="0"/>
                <w:sz w:val="21"/>
                <w:szCs w:val="21"/>
                <w:highlight w:val="none"/>
                <w:lang w:val="zh-CN" w:eastAsia="zh-CN" w:bidi="ar-SA"/>
              </w:rPr>
            </w:pPr>
            <w:r>
              <w:rPr>
                <w:rFonts w:hint="eastAsia" w:ascii="仿宋" w:hAnsi="仿宋" w:eastAsia="仿宋" w:cs="仿宋"/>
                <w:b w:val="0"/>
                <w:bCs/>
                <w:color w:val="auto"/>
                <w:kern w:val="0"/>
                <w:sz w:val="24"/>
                <w:highlight w:val="none"/>
                <w:lang w:val="zh-CN"/>
              </w:rPr>
              <w:t>响应人未提供有效的资格证明文件的，视为响应人不具备交易文件中规定的资格要求，投标无效。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jc w:val="center"/>
        </w:trPr>
        <w:tc>
          <w:tcPr>
            <w:tcW w:w="545" w:type="dxa"/>
            <w:vMerge w:val="continue"/>
            <w:vAlign w:val="center"/>
          </w:tcPr>
          <w:p>
            <w:pPr>
              <w:snapToGrid w:val="0"/>
              <w:spacing w:line="360" w:lineRule="auto"/>
              <w:jc w:val="center"/>
              <w:rPr>
                <w:rFonts w:hint="eastAsia" w:ascii="仿宋" w:hAnsi="仿宋" w:eastAsia="仿宋" w:cs="仿宋"/>
                <w:color w:val="auto"/>
                <w:sz w:val="24"/>
                <w:highlight w:val="none"/>
              </w:rPr>
            </w:pPr>
          </w:p>
        </w:tc>
        <w:tc>
          <w:tcPr>
            <w:tcW w:w="1558" w:type="dxa"/>
            <w:vMerge w:val="continue"/>
            <w:vAlign w:val="center"/>
          </w:tcPr>
          <w:p>
            <w:pPr>
              <w:snapToGrid w:val="0"/>
              <w:spacing w:line="360" w:lineRule="auto"/>
              <w:jc w:val="center"/>
              <w:rPr>
                <w:rFonts w:hint="eastAsia" w:ascii="仿宋" w:hAnsi="仿宋" w:eastAsia="仿宋" w:cs="仿宋"/>
                <w:bCs/>
                <w:color w:val="auto"/>
                <w:sz w:val="24"/>
                <w:highlight w:val="none"/>
              </w:rPr>
            </w:pPr>
          </w:p>
        </w:tc>
        <w:tc>
          <w:tcPr>
            <w:tcW w:w="6997" w:type="dxa"/>
            <w:vAlign w:val="center"/>
          </w:tcPr>
          <w:p>
            <w:pPr>
              <w:spacing w:line="360"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highlight w:val="none"/>
              </w:rPr>
              <w:t>（2）资信证明文件：根据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1558" w:type="dxa"/>
            <w:vAlign w:val="center"/>
          </w:tcPr>
          <w:p>
            <w:pPr>
              <w:snapToGrid w:val="0"/>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val="0"/>
                <w:color w:val="auto"/>
                <w:sz w:val="24"/>
                <w:highlight w:val="none"/>
              </w:rPr>
              <w:t>报价要求</w:t>
            </w:r>
          </w:p>
        </w:tc>
        <w:tc>
          <w:tcPr>
            <w:tcW w:w="6997" w:type="dxa"/>
            <w:vAlign w:val="center"/>
          </w:tcPr>
          <w:p>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有关本项目实施所需的所有费用（含税费）均计入报价。</w:t>
            </w:r>
            <w:r>
              <w:rPr>
                <w:rFonts w:hint="eastAsia" w:ascii="仿宋" w:hAnsi="仿宋" w:eastAsia="仿宋" w:cs="仿宋"/>
                <w:b w:val="0"/>
                <w:bCs/>
                <w:color w:val="auto"/>
                <w:kern w:val="0"/>
                <w:sz w:val="24"/>
                <w:highlight w:val="none"/>
              </w:rPr>
              <w:t>开标一览表（报价表）是报价的唯一载体</w:t>
            </w:r>
            <w:r>
              <w:rPr>
                <w:rFonts w:hint="eastAsia" w:ascii="仿宋" w:hAnsi="仿宋" w:eastAsia="仿宋" w:cs="仿宋"/>
                <w:b w:val="0"/>
                <w:bCs/>
                <w:color w:val="auto"/>
                <w:kern w:val="0"/>
                <w:sz w:val="24"/>
                <w:highlight w:val="none"/>
                <w:lang w:val="zh-CN"/>
              </w:rPr>
              <w:t>。交易文件未列明，而响应人认为必需的费用也需列入报价。提醒：验收时检测费用由业主承担，不包含在投标总价中。</w:t>
            </w:r>
          </w:p>
          <w:p>
            <w:pPr>
              <w:spacing w:line="360" w:lineRule="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投标报价出现下列情形的，投标无效：</w:t>
            </w:r>
          </w:p>
          <w:p>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响应文件出现不是唯一的、有选择性投标报价的；</w:t>
            </w:r>
          </w:p>
          <w:p>
            <w:pPr>
              <w:spacing w:line="360" w:lineRule="auto"/>
              <w:ind w:firstLine="480" w:firstLineChars="200"/>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zh-CN"/>
              </w:rPr>
              <w:t>投标报价超过交易文件中规定的预算金额或者最高限价的;</w:t>
            </w:r>
            <w:r>
              <w:rPr>
                <w:rFonts w:hint="eastAsia" w:ascii="仿宋" w:hAnsi="仿宋" w:eastAsia="仿宋" w:cs="仿宋"/>
                <w:b w:val="0"/>
                <w:bCs/>
                <w:color w:val="auto"/>
                <w:kern w:val="0"/>
                <w:sz w:val="24"/>
                <w:highlight w:val="none"/>
                <w:lang w:val="en-US" w:eastAsia="zh-CN"/>
              </w:rPr>
              <w:t xml:space="preserve"> </w:t>
            </w:r>
          </w:p>
          <w:p>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报价明显低于其他通过符合性审查</w:t>
            </w:r>
            <w:r>
              <w:rPr>
                <w:rFonts w:hint="eastAsia" w:ascii="仿宋" w:hAnsi="仿宋" w:eastAsia="仿宋" w:cs="仿宋"/>
                <w:b w:val="0"/>
                <w:bCs/>
                <w:color w:val="auto"/>
                <w:kern w:val="0"/>
                <w:sz w:val="24"/>
                <w:highlight w:val="none"/>
                <w:lang w:eastAsia="zh-CN"/>
              </w:rPr>
              <w:t>响应人</w:t>
            </w:r>
            <w:r>
              <w:rPr>
                <w:rFonts w:hint="eastAsia" w:ascii="仿宋" w:hAnsi="仿宋" w:eastAsia="仿宋" w:cs="仿宋"/>
                <w:b w:val="0"/>
                <w:bCs/>
                <w:color w:val="auto"/>
                <w:kern w:val="0"/>
                <w:sz w:val="24"/>
                <w:highlight w:val="none"/>
              </w:rPr>
              <w:t>的报价，有可能影响产品质量或者不能诚信履约的，未能按要求提供书面说明或者提交相关证明材料证明其报价合理性的;</w:t>
            </w:r>
          </w:p>
          <w:p>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响应人</w:t>
            </w:r>
            <w:r>
              <w:rPr>
                <w:rFonts w:hint="eastAsia" w:ascii="仿宋" w:hAnsi="仿宋" w:eastAsia="仿宋" w:cs="仿宋"/>
                <w:b w:val="0"/>
                <w:bCs/>
                <w:color w:val="auto"/>
                <w:kern w:val="0"/>
                <w:sz w:val="24"/>
                <w:highlight w:val="none"/>
              </w:rPr>
              <w:t>对根据修正原则修正后的报价不确认的。</w:t>
            </w:r>
          </w:p>
          <w:p>
            <w:pPr>
              <w:spacing w:line="360" w:lineRule="auto"/>
              <w:ind w:firstLine="480" w:firstLineChars="200"/>
              <w:rPr>
                <w:rFonts w:hint="eastAsia" w:ascii="仿宋" w:hAnsi="仿宋" w:eastAsia="仿宋" w:cs="仿宋"/>
                <w:b w:val="0"/>
                <w:bCs/>
                <w:color w:val="auto"/>
                <w:kern w:val="2"/>
                <w:sz w:val="21"/>
                <w:szCs w:val="24"/>
                <w:highlight w:val="none"/>
                <w:lang w:val="en-US" w:eastAsia="zh-CN" w:bidi="ar-SA"/>
              </w:rPr>
            </w:pPr>
            <w:r>
              <w:rPr>
                <w:rFonts w:hint="eastAsia" w:ascii="仿宋" w:hAnsi="仿宋" w:eastAsia="仿宋" w:cs="仿宋"/>
                <w:b w:val="0"/>
                <w:bCs/>
                <w:color w:val="auto"/>
                <w:kern w:val="0"/>
                <w:sz w:val="24"/>
                <w:highlight w:val="none"/>
              </w:rPr>
              <w:t>资格文件、商务技术文件与报价文件未分开制作</w:t>
            </w:r>
            <w:r>
              <w:rPr>
                <w:rFonts w:hint="eastAsia" w:ascii="仿宋" w:hAnsi="仿宋" w:eastAsia="仿宋" w:cs="仿宋"/>
                <w:b w:val="0"/>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558" w:type="dxa"/>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备份</w:t>
            </w:r>
            <w:r>
              <w:rPr>
                <w:rFonts w:hint="eastAsia" w:ascii="仿宋" w:hAnsi="仿宋" w:eastAsia="仿宋" w:cs="仿宋"/>
                <w:b/>
                <w:color w:val="auto"/>
                <w:sz w:val="24"/>
                <w:highlight w:val="none"/>
                <w:lang w:eastAsia="zh-CN"/>
              </w:rPr>
              <w:t>响应文件</w:t>
            </w:r>
          </w:p>
        </w:tc>
        <w:tc>
          <w:tcPr>
            <w:tcW w:w="6997" w:type="dxa"/>
            <w:vAlign w:val="center"/>
          </w:tcPr>
          <w:p>
            <w:pPr>
              <w:pStyle w:val="33"/>
              <w:spacing w:line="360" w:lineRule="auto"/>
              <w:rPr>
                <w:rFonts w:hint="eastAsia" w:ascii="仿宋" w:hAnsi="仿宋" w:eastAsia="仿宋" w:cs="仿宋"/>
                <w:snapToGrid w:val="0"/>
                <w:color w:val="auto"/>
                <w:kern w:val="28"/>
                <w:sz w:val="24"/>
                <w:szCs w:val="21"/>
                <w:highlight w:val="none"/>
                <w:lang w:val="en-US" w:eastAsia="zh-CN" w:bidi="ar-SA"/>
              </w:rPr>
            </w:pPr>
            <w:r>
              <w:rPr>
                <w:rFonts w:hint="eastAsia" w:ascii="仿宋" w:hAnsi="仿宋" w:eastAsia="仿宋" w:cs="仿宋"/>
                <w:color w:val="auto"/>
                <w:kern w:val="28"/>
                <w:sz w:val="24"/>
                <w:szCs w:val="24"/>
                <w:highlight w:val="none"/>
                <w:lang w:val="en-US" w:eastAsia="zh-CN"/>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545"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558"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代理机构</w:t>
            </w:r>
            <w:r>
              <w:rPr>
                <w:rFonts w:hint="eastAsia" w:ascii="仿宋" w:hAnsi="仿宋" w:eastAsia="仿宋" w:cs="仿宋"/>
                <w:b/>
                <w:color w:val="auto"/>
                <w:sz w:val="24"/>
                <w:highlight w:val="none"/>
              </w:rPr>
              <w:t>代理费用</w:t>
            </w:r>
          </w:p>
        </w:tc>
        <w:tc>
          <w:tcPr>
            <w:tcW w:w="6997" w:type="dxa"/>
            <w:vAlign w:val="center"/>
          </w:tcPr>
          <w:p>
            <w:pPr>
              <w:pStyle w:val="33"/>
              <w:spacing w:line="360" w:lineRule="auto"/>
              <w:ind w:left="0" w:leftChars="0" w:hanging="4" w:firstLineChars="0"/>
              <w:rPr>
                <w:rFonts w:hint="eastAsia" w:ascii="仿宋" w:hAnsi="仿宋" w:eastAsia="仿宋" w:cs="仿宋"/>
                <w:b/>
                <w:color w:val="auto"/>
                <w:sz w:val="24"/>
                <w:szCs w:val="24"/>
                <w:highlight w:val="none"/>
              </w:rPr>
            </w:pPr>
            <w:r>
              <w:rPr>
                <w:rFonts w:hint="eastAsia" w:ascii="仿宋" w:hAnsi="仿宋" w:eastAsia="仿宋" w:cs="仿宋"/>
                <w:color w:val="auto"/>
                <w:spacing w:val="0"/>
                <w:w w:val="100"/>
                <w:sz w:val="24"/>
                <w:highlight w:val="none"/>
                <w:lang w:val="en-US" w:eastAsia="zh-CN"/>
              </w:rPr>
              <w:t>由采购人支付</w:t>
            </w:r>
            <w:r>
              <w:rPr>
                <w:rFonts w:hint="eastAsia" w:ascii="仿宋" w:hAnsi="仿宋" w:eastAsia="仿宋" w:cs="仿宋"/>
                <w:color w:val="auto"/>
                <w:spacing w:val="0"/>
                <w:w w:val="10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545" w:type="dxa"/>
            <w:vMerge w:val="restart"/>
            <w:vAlign w:val="center"/>
          </w:tcPr>
          <w:p>
            <w:pPr>
              <w:snapToGrid w:val="0"/>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lang w:val="en-US" w:eastAsia="zh-CN"/>
              </w:rPr>
              <w:t>12</w:t>
            </w:r>
          </w:p>
        </w:tc>
        <w:tc>
          <w:tcPr>
            <w:tcW w:w="1558" w:type="dxa"/>
            <w:vAlign w:val="center"/>
          </w:tcPr>
          <w:p>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履约保证金</w:t>
            </w:r>
          </w:p>
        </w:tc>
        <w:tc>
          <w:tcPr>
            <w:tcW w:w="6997" w:type="dxa"/>
            <w:vAlign w:val="center"/>
          </w:tcPr>
          <w:p>
            <w:pPr>
              <w:spacing w:line="360" w:lineRule="auto"/>
              <w:ind w:firstLine="480" w:firstLineChars="200"/>
              <w:jc w:val="left"/>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合同价的2%。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545" w:type="dxa"/>
            <w:vMerge w:val="continue"/>
            <w:tcBorders/>
            <w:vAlign w:val="center"/>
          </w:tcPr>
          <w:p>
            <w:pPr>
              <w:snapToGrid w:val="0"/>
              <w:spacing w:line="360" w:lineRule="auto"/>
              <w:jc w:val="center"/>
              <w:rPr>
                <w:rFonts w:hint="eastAsia" w:ascii="仿宋" w:hAnsi="仿宋" w:eastAsia="仿宋" w:cs="仿宋"/>
                <w:b w:val="0"/>
                <w:bCs/>
                <w:color w:val="auto"/>
                <w:sz w:val="24"/>
                <w:highlight w:val="none"/>
                <w:lang w:val="en-US" w:eastAsia="zh-CN"/>
              </w:rPr>
            </w:pPr>
          </w:p>
        </w:tc>
        <w:tc>
          <w:tcPr>
            <w:tcW w:w="1558" w:type="dxa"/>
            <w:vAlign w:val="center"/>
          </w:tcPr>
          <w:p>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投标保证金</w:t>
            </w:r>
          </w:p>
        </w:tc>
        <w:tc>
          <w:tcPr>
            <w:tcW w:w="6997" w:type="dxa"/>
            <w:vAlign w:val="center"/>
          </w:tcPr>
          <w:p>
            <w:pPr>
              <w:spacing w:line="360" w:lineRule="auto"/>
              <w:ind w:firstLine="480" w:firstLineChars="200"/>
              <w:jc w:val="left"/>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2000元，投标人需在开标前电汇至以下业主账号，并将网银回单附至资格文件中，未支付投标保证金做投标无效。</w:t>
            </w:r>
          </w:p>
          <w:p>
            <w:pPr>
              <w:spacing w:line="360" w:lineRule="auto"/>
              <w:ind w:firstLine="480" w:firstLineChars="200"/>
              <w:jc w:val="left"/>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单位名称：杭州萧山供水有限公司</w:t>
            </w:r>
          </w:p>
          <w:p>
            <w:pPr>
              <w:spacing w:line="360" w:lineRule="auto"/>
              <w:ind w:firstLine="480" w:firstLineChars="200"/>
              <w:jc w:val="left"/>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税号：91330109662335555C</w:t>
            </w:r>
          </w:p>
          <w:p>
            <w:pPr>
              <w:spacing w:line="360" w:lineRule="auto"/>
              <w:ind w:firstLine="480" w:firstLineChars="200"/>
              <w:jc w:val="left"/>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开户银行：工商银行萧山分行</w:t>
            </w:r>
          </w:p>
          <w:p>
            <w:pPr>
              <w:spacing w:line="360" w:lineRule="auto"/>
              <w:ind w:firstLine="480" w:firstLineChars="200"/>
              <w:jc w:val="left"/>
              <w:rPr>
                <w:rFonts w:hint="default"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账号：1202090109900300089</w:t>
            </w:r>
            <w:bookmarkStart w:id="384" w:name="_GoBack"/>
            <w:bookmarkEnd w:id="3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545" w:type="dxa"/>
            <w:vAlign w:val="center"/>
          </w:tcPr>
          <w:p>
            <w:pPr>
              <w:snapToGrid w:val="0"/>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lang w:val="en-US" w:eastAsia="zh-CN"/>
              </w:rPr>
              <w:t>13</w:t>
            </w:r>
          </w:p>
        </w:tc>
        <w:tc>
          <w:tcPr>
            <w:tcW w:w="1558" w:type="dxa"/>
            <w:vAlign w:val="center"/>
          </w:tcPr>
          <w:p>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资格审查和信用信息审查</w:t>
            </w:r>
          </w:p>
        </w:tc>
        <w:tc>
          <w:tcPr>
            <w:tcW w:w="6997" w:type="dxa"/>
            <w:vAlign w:val="center"/>
          </w:tcPr>
          <w:p>
            <w:pPr>
              <w:pStyle w:val="33"/>
              <w:spacing w:line="360" w:lineRule="auto"/>
              <w:ind w:left="0" w:leftChars="0" w:hanging="4"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本项目由</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0" w:hRule="atLeast"/>
          <w:jc w:val="center"/>
        </w:trPr>
        <w:tc>
          <w:tcPr>
            <w:tcW w:w="54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1558" w:type="dxa"/>
            <w:vAlign w:val="center"/>
          </w:tcPr>
          <w:p>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质疑接收人及答复</w:t>
            </w:r>
          </w:p>
        </w:tc>
        <w:tc>
          <w:tcPr>
            <w:tcW w:w="6997" w:type="dxa"/>
            <w:vAlign w:val="center"/>
          </w:tcPr>
          <w:p>
            <w:pPr>
              <w:snapToGrid w:val="0"/>
              <w:spacing w:line="360" w:lineRule="auto"/>
              <w:rPr>
                <w:rFonts w:hint="eastAsia" w:ascii="仿宋" w:hAnsi="仿宋" w:eastAsia="仿宋" w:cs="仿宋"/>
                <w:color w:val="auto"/>
                <w:spacing w:val="0"/>
                <w:w w:val="100"/>
                <w:sz w:val="24"/>
                <w:highlight w:val="none"/>
              </w:rPr>
            </w:pPr>
            <w:r>
              <w:rPr>
                <w:rFonts w:hint="eastAsia" w:ascii="仿宋" w:hAnsi="仿宋" w:eastAsia="仿宋" w:cs="仿宋"/>
                <w:color w:val="auto"/>
                <w:spacing w:val="0"/>
                <w:w w:val="100"/>
                <w:sz w:val="24"/>
                <w:highlight w:val="none"/>
                <w:lang w:eastAsia="zh-CN"/>
              </w:rPr>
              <w:t>交易发起人</w:t>
            </w:r>
            <w:r>
              <w:rPr>
                <w:rFonts w:hint="eastAsia" w:ascii="仿宋" w:hAnsi="仿宋" w:eastAsia="仿宋" w:cs="仿宋"/>
                <w:color w:val="auto"/>
                <w:spacing w:val="0"/>
                <w:w w:val="100"/>
                <w:sz w:val="24"/>
                <w:highlight w:val="none"/>
              </w:rPr>
              <w:t>、</w:t>
            </w:r>
            <w:r>
              <w:rPr>
                <w:rFonts w:hint="eastAsia" w:ascii="仿宋" w:hAnsi="仿宋" w:eastAsia="仿宋" w:cs="仿宋"/>
                <w:color w:val="auto"/>
                <w:spacing w:val="0"/>
                <w:w w:val="100"/>
                <w:sz w:val="24"/>
                <w:highlight w:val="none"/>
                <w:lang w:eastAsia="zh-CN"/>
              </w:rPr>
              <w:t>代理机构</w:t>
            </w:r>
            <w:r>
              <w:rPr>
                <w:rFonts w:hint="eastAsia" w:ascii="仿宋" w:hAnsi="仿宋" w:eastAsia="仿宋" w:cs="仿宋"/>
                <w:color w:val="auto"/>
                <w:spacing w:val="0"/>
                <w:w w:val="100"/>
                <w:sz w:val="24"/>
                <w:highlight w:val="none"/>
              </w:rPr>
              <w:t>质疑接收人、联系方式：详见公告</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要求的质疑文件（参考附件2），盖章扫描后发送，质疑的受理按答复主体划分以</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或</w:t>
            </w:r>
            <w:r>
              <w:rPr>
                <w:rFonts w:hint="eastAsia" w:ascii="仿宋" w:hAnsi="仿宋" w:eastAsia="仿宋" w:cs="仿宋"/>
                <w:b/>
                <w:color w:val="auto"/>
                <w:sz w:val="24"/>
                <w:highlight w:val="none"/>
                <w:lang w:eastAsia="zh-CN"/>
              </w:rPr>
              <w:t>代理机构</w:t>
            </w:r>
            <w:r>
              <w:rPr>
                <w:rFonts w:hint="eastAsia" w:ascii="仿宋" w:hAnsi="仿宋" w:eastAsia="仿宋" w:cs="仿宋"/>
                <w:b/>
                <w:color w:val="auto"/>
                <w:sz w:val="24"/>
                <w:highlight w:val="none"/>
              </w:rPr>
              <w:t>邮箱回复确认受理为准。</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进行答复。</w:t>
            </w:r>
          </w:p>
          <w:p>
            <w:pPr>
              <w:pStyle w:val="33"/>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涉及流程组织等相关事项，由</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558"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997" w:type="dxa"/>
            <w:vAlign w:val="center"/>
          </w:tcPr>
          <w:p>
            <w:pPr>
              <w:spacing w:line="360" w:lineRule="auto"/>
              <w:ind w:firstLine="482" w:firstLineChars="200"/>
              <w:rPr>
                <w:rFonts w:hint="eastAsia" w:ascii="仿宋" w:hAnsi="仿宋" w:eastAsia="仿宋" w:cs="仿宋"/>
                <w:snapToGrid w:val="0"/>
                <w:color w:val="auto"/>
                <w:kern w:val="28"/>
                <w:sz w:val="24"/>
                <w:highlight w:val="none"/>
                <w:lang w:eastAsia="zh-CN"/>
              </w:rPr>
            </w:pPr>
            <w:r>
              <w:rPr>
                <w:rFonts w:hint="eastAsia" w:ascii="仿宋" w:hAnsi="仿宋" w:eastAsia="仿宋" w:cs="仿宋"/>
                <w:b/>
                <w:color w:val="auto"/>
                <w:sz w:val="24"/>
                <w:highlight w:val="none"/>
              </w:rPr>
              <w:t>本项目通用总则条款与前附表等专用特别规定有冲突之处，以专用条款（特别规定）为准</w:t>
            </w:r>
            <w:r>
              <w:rPr>
                <w:rFonts w:hint="eastAsia" w:ascii="仿宋" w:hAnsi="仿宋" w:eastAsia="仿宋" w:cs="仿宋"/>
                <w:b/>
                <w:color w:val="auto"/>
                <w:sz w:val="24"/>
                <w:highlight w:val="none"/>
                <w:lang w:eastAsia="zh-CN"/>
              </w:rPr>
              <w:t>。</w:t>
            </w:r>
          </w:p>
        </w:tc>
      </w:tr>
      <w:bookmarkEnd w:id="9"/>
    </w:tbl>
    <w:p>
      <w:pPr>
        <w:rPr>
          <w:rFonts w:hint="eastAsia" w:ascii="仿宋" w:hAnsi="仿宋" w:eastAsia="仿宋" w:cs="仿宋"/>
          <w:b/>
          <w:color w:val="auto"/>
          <w:sz w:val="32"/>
          <w:szCs w:val="20"/>
          <w:highlight w:val="none"/>
        </w:rPr>
      </w:pPr>
      <w:bookmarkStart w:id="12" w:name="第三部分"/>
      <w:bookmarkStart w:id="13" w:name="_Toc164416483"/>
      <w:r>
        <w:rPr>
          <w:rFonts w:hint="eastAsia" w:ascii="仿宋" w:hAnsi="仿宋" w:eastAsia="仿宋" w:cs="仿宋"/>
          <w:b/>
          <w:color w:val="auto"/>
          <w:sz w:val="32"/>
          <w:szCs w:val="20"/>
          <w:highlight w:val="none"/>
        </w:rPr>
        <w:br w:type="page"/>
      </w: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keepNext w:val="0"/>
        <w:keepLines w:val="0"/>
        <w:pageBreakBefore w:val="0"/>
        <w:kinsoku/>
        <w:wordWrap/>
        <w:overflowPunct/>
        <w:topLinePunct w:val="0"/>
        <w:bidi w:val="0"/>
        <w:snapToGrid w:val="0"/>
        <w:spacing w:line="360" w:lineRule="auto"/>
        <w:ind w:firstLine="482" w:firstLineChars="20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适用于该项目的</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交易会</w:t>
      </w:r>
      <w:r>
        <w:rPr>
          <w:rFonts w:hint="eastAsia" w:ascii="仿宋" w:hAnsi="仿宋" w:eastAsia="仿宋" w:cs="仿宋"/>
          <w:color w:val="auto"/>
          <w:sz w:val="24"/>
          <w:highlight w:val="none"/>
        </w:rPr>
        <w:t>、资格审查及信用信息查询、</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、定标、合同、验收等行为（法律、法规另有规定的，从其规定）。</w:t>
      </w:r>
    </w:p>
    <w:p>
      <w:pPr>
        <w:keepNext w:val="0"/>
        <w:keepLines w:val="0"/>
        <w:pageBreakBefore w:val="0"/>
        <w:kinsoku/>
        <w:wordWrap/>
        <w:overflowPunct/>
        <w:topLinePunct w:val="0"/>
        <w:bidi w:val="0"/>
        <w:adjustRightIn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”系指是指响应招标、参加投标竞争的法人、其他组织或者自然人。</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响应人电子签名指响应人电子公章</w:t>
      </w:r>
      <w:r>
        <w:rPr>
          <w:rFonts w:hint="eastAsia" w:ascii="仿宋" w:hAnsi="仿宋" w:eastAsia="仿宋" w:cs="仿宋"/>
          <w:color w:val="auto"/>
          <w:sz w:val="24"/>
          <w:highlight w:val="none"/>
        </w:rPr>
        <w:t>；“公章”系指单位法定名称章。因特殊原因需要使用冠以法定名称的业务专用章的，投标时须提供《业务专用章使用说明函》。</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val="0"/>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3.2.1</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拟采购的产品属于品目清单范围的，</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须按</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要求提供相关产品认证证书。▲</w:t>
      </w:r>
      <w:r>
        <w:rPr>
          <w:rFonts w:hint="eastAsia" w:ascii="仿宋" w:hAnsi="仿宋" w:eastAsia="仿宋" w:cs="仿宋"/>
          <w:b/>
          <w:color w:val="auto"/>
          <w:sz w:val="24"/>
          <w:highlight w:val="none"/>
          <w:lang w:eastAsia="zh-CN"/>
        </w:rPr>
        <w:t>业主</w:t>
      </w:r>
      <w:r>
        <w:rPr>
          <w:rFonts w:hint="eastAsia" w:ascii="仿宋" w:hAnsi="仿宋" w:eastAsia="仿宋" w:cs="仿宋"/>
          <w:b/>
          <w:color w:val="auto"/>
          <w:sz w:val="24"/>
          <w:highlight w:val="none"/>
        </w:rPr>
        <w:t>拟采购的产品属于政府强制采购的节能产品品目清单范围的，</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未按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要求提供国家确定的认证机构出具的、处于有效期之内的节能产品认证证书的，投标无效。</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应将绿色建筑和绿色建材性能、指标等作为实质性条件纳入</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和合同。</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bCs/>
          <w:color w:val="auto"/>
          <w:sz w:val="24"/>
          <w:highlight w:val="none"/>
        </w:rPr>
        <w:t>支持创新发展</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优先采购被认定为首台套产品和“制造精品”的自主创新产品。</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color w:val="auto"/>
          <w:sz w:val="24"/>
          <w:highlight w:val="none"/>
        </w:rPr>
        <w:cr/>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4.询问、质疑、投诉</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业主或者采购代理机构应当在3个工作日内对供应商依法提出的询问作出答复，但答复的内容不得涉及商业秘密。供应商提出的询问超出业主对采购代理机构委托授权范围的，采购代理机构应当告知供应商向业主提出。</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的，可以对该文件提出质疑。</w:t>
      </w:r>
    </w:p>
    <w:p>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、采购过程和中标结果使自己的权益受到损害的，可以在知道或者应知其权益受到损害之日起七个工作日内，以书面形式向</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提出质疑，否则，</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不予受理：</w:t>
      </w:r>
    </w:p>
    <w:p>
      <w:pPr>
        <w:pStyle w:val="1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提出质疑的，质疑期限为供应商获得</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之日或者</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公告期限届满之日起计算。</w:t>
      </w:r>
    </w:p>
    <w:p>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4.2.3供应商提出质疑应当提交质疑函和必要的证明材料。质疑函应当包括下列内容：</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4.2.4业主或者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业主或者代理机构在质疑回复后5个工作日内，在浙江政府采购网的“其他公告”栏目公开质疑答复，答复内容应当完整。质疑函作为附件上传。</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4.2.5询问或者质疑事项可能影响采购结果的，业主应当暂停签订合同，已经签订合同的，应当中止履行合同。</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4.3供应商投诉</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4.3.1质疑供应商对业主、代理机构的答复不满意或者业主、代理机构未在规定的时间内作出答复的，可以在答复期满后十五个工作日内向同级政府采购监督管理部门提出投诉。</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4.3.2供应商投诉的事项不得超出已质疑事项的范围，基于质疑答复内容提出的投诉事项除外。</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4.3.3供应商投诉应当有明确的请求和必要的证明材料。</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4.3.5 以联合体形式参加政府采购活动的，其投诉应当由组成联合体的所有供应商共同提出。</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pPr>
        <w:pStyle w:val="136"/>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w:t>
      </w:r>
      <w:r>
        <w:rPr>
          <w:rFonts w:hint="eastAsia" w:ascii="仿宋" w:hAnsi="仿宋" w:eastAsia="仿宋" w:cs="仿宋"/>
          <w:b/>
          <w:color w:val="auto"/>
          <w:sz w:val="32"/>
          <w:szCs w:val="20"/>
          <w:highlight w:val="none"/>
          <w:lang w:eastAsia="zh-CN"/>
        </w:rPr>
        <w:t>交易文件</w:t>
      </w:r>
      <w:r>
        <w:rPr>
          <w:rFonts w:hint="eastAsia" w:ascii="仿宋" w:hAnsi="仿宋" w:eastAsia="仿宋" w:cs="仿宋"/>
          <w:b/>
          <w:color w:val="auto"/>
          <w:sz w:val="32"/>
          <w:szCs w:val="20"/>
          <w:highlight w:val="none"/>
        </w:rPr>
        <w:t>的构成、澄清、修改</w:t>
      </w:r>
    </w:p>
    <w:p>
      <w:pPr>
        <w:pStyle w:val="33"/>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的构成</w:t>
      </w:r>
    </w:p>
    <w:p>
      <w:pPr>
        <w:pStyle w:val="33"/>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包括下列文件及附件：</w:t>
      </w:r>
    </w:p>
    <w:p>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w:t>
      </w:r>
    </w:p>
    <w:p>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须知；</w:t>
      </w:r>
    </w:p>
    <w:p>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w:t>
      </w:r>
      <w:r>
        <w:rPr>
          <w:rFonts w:hint="eastAsia" w:ascii="仿宋" w:hAnsi="仿宋" w:eastAsia="仿宋" w:cs="仿宋"/>
          <w:color w:val="auto"/>
          <w:sz w:val="24"/>
          <w:szCs w:val="24"/>
          <w:highlight w:val="none"/>
          <w:lang w:eastAsia="zh-CN"/>
        </w:rPr>
        <w:t>评审办法</w:t>
      </w:r>
      <w:r>
        <w:rPr>
          <w:rFonts w:hint="eastAsia" w:ascii="仿宋" w:hAnsi="仿宋" w:eastAsia="仿宋" w:cs="仿宋"/>
          <w:color w:val="auto"/>
          <w:sz w:val="24"/>
          <w:szCs w:val="24"/>
          <w:highlight w:val="none"/>
        </w:rPr>
        <w:t>；</w:t>
      </w:r>
    </w:p>
    <w:p>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交易文件</w:t>
      </w:r>
      <w:r>
        <w:rPr>
          <w:rFonts w:hint="eastAsia" w:ascii="仿宋" w:hAnsi="仿宋" w:eastAsia="仿宋" w:cs="仿宋"/>
          <w:bCs/>
          <w:color w:val="auto"/>
          <w:sz w:val="24"/>
          <w:highlight w:val="none"/>
        </w:rPr>
        <w:t>的组成部分</w:t>
      </w:r>
      <w:r>
        <w:rPr>
          <w:rFonts w:hint="eastAsia" w:ascii="仿宋" w:hAnsi="仿宋" w:eastAsia="仿宋" w:cs="仿宋"/>
          <w:color w:val="auto"/>
          <w:sz w:val="24"/>
          <w:highlight w:val="none"/>
        </w:rPr>
        <w:t>。</w:t>
      </w:r>
    </w:p>
    <w:p>
      <w:pPr>
        <w:pStyle w:val="33"/>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的澄清、修改</w:t>
      </w:r>
    </w:p>
    <w:p>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，若有问题需要澄清，应于投标截止时间前，以书面形式向</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提出。</w:t>
      </w:r>
    </w:p>
    <w:p>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。依法应当公告的，将按规定公告，同时视情况延长投标截止时间和开标时间。该澄清或者修改的内容为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p>
    <w:p>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的获取</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交易公告</w:t>
      </w:r>
      <w:r>
        <w:rPr>
          <w:rFonts w:hint="eastAsia" w:ascii="仿宋" w:hAnsi="仿宋" w:eastAsia="仿宋" w:cs="仿宋"/>
          <w:snapToGrid w:val="0"/>
          <w:color w:val="auto"/>
          <w:kern w:val="28"/>
          <w:sz w:val="24"/>
          <w:highlight w:val="none"/>
        </w:rPr>
        <w:t>中获取</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的时间期限、地点、方式及</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售价。</w:t>
      </w:r>
    </w:p>
    <w:p>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业主</w:t>
      </w:r>
      <w:r>
        <w:rPr>
          <w:rFonts w:hint="eastAsia" w:ascii="仿宋" w:hAnsi="仿宋" w:eastAsia="仿宋" w:cs="仿宋"/>
          <w:color w:val="auto"/>
          <w:sz w:val="24"/>
          <w:szCs w:val="24"/>
          <w:highlight w:val="none"/>
        </w:rPr>
        <w:t>组织潜在</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现场考察或者召开开标前答疑会的，潜在</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须知前附表的规定参加现场考察或者开标前答疑会。</w:t>
      </w:r>
    </w:p>
    <w:p>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需</w:t>
      </w:r>
      <w:r>
        <w:rPr>
          <w:rFonts w:hint="eastAsia" w:ascii="仿宋" w:hAnsi="仿宋" w:eastAsia="仿宋" w:cs="仿宋"/>
          <w:color w:val="auto"/>
          <w:sz w:val="24"/>
          <w:highlight w:val="none"/>
        </w:rPr>
        <w:t>缴纳投标保证金</w:t>
      </w:r>
      <w:r>
        <w:rPr>
          <w:rFonts w:hint="eastAsia" w:ascii="仿宋" w:hAnsi="仿宋" w:eastAsia="仿宋" w:cs="仿宋"/>
          <w:color w:val="auto"/>
          <w:sz w:val="24"/>
          <w:highlight w:val="none"/>
          <w:lang w:val="en-US" w:eastAsia="zh-CN"/>
        </w:rPr>
        <w:t>2万元，即项目预算价的1%</w:t>
      </w:r>
      <w:r>
        <w:rPr>
          <w:rFonts w:hint="eastAsia" w:ascii="仿宋" w:hAnsi="仿宋" w:eastAsia="仿宋" w:cs="仿宋"/>
          <w:color w:val="auto"/>
          <w:sz w:val="24"/>
          <w:highlight w:val="none"/>
        </w:rPr>
        <w:t>。</w:t>
      </w:r>
    </w:p>
    <w:p>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的语言</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与采购有关的来往通知、函件和文件均应使用中文。</w:t>
      </w:r>
    </w:p>
    <w:p>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的组成</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11.1.2本项目的特定资格要求；</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11.1.3</w:t>
      </w:r>
      <w:r>
        <w:rPr>
          <w:rFonts w:hint="eastAsia" w:ascii="仿宋" w:hAnsi="仿宋" w:eastAsia="仿宋" w:cs="仿宋"/>
          <w:color w:val="auto"/>
          <w:sz w:val="24"/>
          <w:highlight w:val="none"/>
          <w:lang w:val="en-US" w:eastAsia="zh-CN"/>
        </w:rPr>
        <w:t>营业执照及</w:t>
      </w:r>
      <w:r>
        <w:rPr>
          <w:rFonts w:hint="eastAsia" w:ascii="仿宋" w:hAnsi="仿宋" w:eastAsia="仿宋" w:cs="仿宋"/>
          <w:snapToGrid w:val="0"/>
          <w:color w:val="auto"/>
          <w:kern w:val="28"/>
          <w:sz w:val="24"/>
          <w:szCs w:val="28"/>
          <w:highlight w:val="none"/>
          <w:lang w:val="en-US" w:eastAsia="zh-CN" w:bidi="ar-SA"/>
        </w:rPr>
        <w:t>增值税一般纳税人证明文件</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11.1.4投标</w:t>
      </w:r>
      <w:r>
        <w:rPr>
          <w:rFonts w:hint="eastAsia" w:ascii="仿宋" w:hAnsi="仿宋" w:eastAsia="仿宋" w:cs="仿宋"/>
          <w:b w:val="0"/>
          <w:bCs w:val="0"/>
          <w:color w:val="auto"/>
          <w:kern w:val="2"/>
          <w:sz w:val="24"/>
          <w:szCs w:val="24"/>
          <w:highlight w:val="none"/>
          <w:lang w:val="en-US" w:eastAsia="zh-CN" w:bidi="ar-SA"/>
        </w:rPr>
        <w:t>保证金缴纳证明（电汇网银回单）</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r>
        <w:rPr>
          <w:rFonts w:hint="eastAsia" w:ascii="仿宋" w:hAnsi="仿宋" w:eastAsia="仿宋" w:cs="仿宋"/>
          <w:color w:val="auto"/>
          <w:sz w:val="24"/>
          <w:highlight w:val="none"/>
          <w:lang w:val="zh-CN"/>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投标标的清单；</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w:t>
      </w:r>
      <w:r>
        <w:rPr>
          <w:rFonts w:hint="eastAsia" w:ascii="仿宋" w:hAnsi="仿宋" w:eastAsia="仿宋" w:cs="仿宋"/>
          <w:b/>
          <w:color w:val="auto"/>
          <w:sz w:val="24"/>
          <w:highlight w:val="none"/>
          <w:lang w:eastAsia="zh-CN"/>
        </w:rPr>
        <w:t>业主</w:t>
      </w:r>
      <w:r>
        <w:rPr>
          <w:rFonts w:hint="eastAsia" w:ascii="仿宋" w:hAnsi="仿宋" w:eastAsia="仿宋" w:cs="仿宋"/>
          <w:b/>
          <w:color w:val="auto"/>
          <w:sz w:val="24"/>
          <w:highlight w:val="none"/>
        </w:rPr>
        <w:t>不能接受的附加条件的，投标无效；</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提供虚假材料投标的，投标无效。</w:t>
      </w:r>
    </w:p>
    <w:p>
      <w:pPr>
        <w:pStyle w:val="136"/>
        <w:keepNext w:val="0"/>
        <w:keepLines w:val="0"/>
        <w:pageBreakBefore w:val="0"/>
        <w:kinsoku/>
        <w:wordWrap/>
        <w:overflowPunct/>
        <w:topLinePunct w:val="0"/>
        <w:bidi w:val="0"/>
        <w:adjustRightInd w:val="0"/>
        <w:snapToGrid w:val="0"/>
        <w:spacing w:before="0"/>
        <w:ind w:firstLine="482" w:firstLineChars="20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的编制</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响应人在编制响应文件时请按照交易文件第六部分规定的格式进行，混乱的编排导致响应文件被误读或评标委员会查找不到有效文件是响应人的风险。</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12.2响应人进行电子投标应安装客户端软件—“政采云电子交易客户端”，并按照交易文件和电子交易平台的要求编制并加密响应文件。响应人未按规定加密的响应文件，电子交易平台将拒收并提示。</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的签署、盖章</w:t>
      </w:r>
    </w:p>
    <w:p>
      <w:pPr>
        <w:pStyle w:val="136"/>
        <w:keepNext w:val="0"/>
        <w:keepLines w:val="0"/>
        <w:pageBreakBefore w:val="0"/>
        <w:kinsoku/>
        <w:wordWrap/>
        <w:overflowPunct/>
        <w:topLinePunct w:val="0"/>
        <w:bidi w:val="0"/>
        <w:adjustRightInd w:val="0"/>
        <w:snapToGrid w:val="0"/>
        <w:spacing w:before="0"/>
        <w:ind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w:t>
      </w:r>
      <w:r>
        <w:rPr>
          <w:rFonts w:hint="eastAsia" w:ascii="仿宋" w:hAnsi="仿宋" w:eastAsia="仿宋" w:cs="仿宋"/>
          <w:color w:val="auto"/>
          <w:szCs w:val="24"/>
          <w:highlight w:val="none"/>
          <w:lang w:eastAsia="zh-CN"/>
        </w:rPr>
        <w:t>交易文件</w:t>
      </w:r>
      <w:r>
        <w:rPr>
          <w:rFonts w:hint="eastAsia" w:ascii="仿宋" w:hAnsi="仿宋" w:eastAsia="仿宋" w:cs="仿宋"/>
          <w:color w:val="auto"/>
          <w:szCs w:val="24"/>
          <w:highlight w:val="none"/>
        </w:rPr>
        <w:t>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响应人</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要求签署、盖章的，其投标无效</w:t>
      </w:r>
      <w:r>
        <w:rPr>
          <w:rFonts w:hint="eastAsia" w:ascii="仿宋" w:hAnsi="仿宋" w:eastAsia="仿宋" w:cs="仿宋"/>
          <w:color w:val="auto"/>
          <w:szCs w:val="24"/>
          <w:highlight w:val="none"/>
        </w:rPr>
        <w:t>。</w:t>
      </w:r>
    </w:p>
    <w:p>
      <w:pPr>
        <w:pStyle w:val="136"/>
        <w:keepNext w:val="0"/>
        <w:keepLines w:val="0"/>
        <w:pageBreakBefore w:val="0"/>
        <w:kinsoku/>
        <w:wordWrap/>
        <w:overflowPunct/>
        <w:topLinePunct w:val="0"/>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应当在投标截止时间前完成在“政府采购云平台”的身份认证，确保在电子投标过程中能够对相关数据电文进行加密和使用电子签名。</w:t>
      </w:r>
    </w:p>
    <w:p>
      <w:pPr>
        <w:pStyle w:val="136"/>
        <w:keepNext w:val="0"/>
        <w:keepLines w:val="0"/>
        <w:pageBreakBefore w:val="0"/>
        <w:kinsoku/>
        <w:wordWrap/>
        <w:overflowPunct/>
        <w:topLinePunct w:val="0"/>
        <w:bidi w:val="0"/>
        <w:adjustRightInd w:val="0"/>
        <w:snapToGrid w:val="0"/>
        <w:spacing w:before="0"/>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pPr>
        <w:pStyle w:val="136"/>
        <w:keepNext w:val="0"/>
        <w:keepLines w:val="0"/>
        <w:pageBreakBefore w:val="0"/>
        <w:kinsoku/>
        <w:wordWrap/>
        <w:overflowPunct/>
        <w:topLinePunct w:val="0"/>
        <w:bidi w:val="0"/>
        <w:adjustRightInd w:val="0"/>
        <w:spacing w:before="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pPr>
        <w:pStyle w:val="136"/>
        <w:keepNext w:val="0"/>
        <w:keepLines w:val="0"/>
        <w:pageBreakBefore w:val="0"/>
        <w:kinsoku/>
        <w:wordWrap/>
        <w:overflowPunct/>
        <w:topLinePunct w:val="0"/>
        <w:bidi w:val="0"/>
        <w:adjustRightInd w:val="0"/>
        <w:spacing w:before="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的传输递交，并可以补充、修改或者撤回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。补充或者修改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的，应当先行撤回原文件，补充、修改后重新传输递交。投标截止时间前未完成传输的，视为撤回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。投标截止时间后递交的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，电子交易平台将拒收。</w:t>
      </w:r>
    </w:p>
    <w:p>
      <w:pPr>
        <w:pStyle w:val="136"/>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，将妥善保存并即时向供应商发出确认回执通知。在投标截止时间前，除供应商补充、修改或者撤回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外，任何单位和个人不得解密或提取</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pPr>
        <w:pStyle w:val="136"/>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w:t>
      </w:r>
      <w:r>
        <w:rPr>
          <w:rFonts w:hint="eastAsia" w:ascii="仿宋" w:hAnsi="仿宋" w:eastAsia="仿宋" w:cs="仿宋"/>
          <w:color w:val="auto"/>
          <w:szCs w:val="24"/>
          <w:highlight w:val="none"/>
          <w:lang w:eastAsia="zh-CN"/>
        </w:rPr>
        <w:t>业主</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代理机构</w:t>
      </w:r>
      <w:r>
        <w:rPr>
          <w:rFonts w:hint="eastAsia" w:ascii="仿宋" w:hAnsi="仿宋" w:eastAsia="仿宋" w:cs="仿宋"/>
          <w:color w:val="auto"/>
          <w:szCs w:val="24"/>
          <w:highlight w:val="none"/>
        </w:rPr>
        <w:t>可以视情况延长</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提交的截止时间。在上述情况下，</w:t>
      </w:r>
      <w:r>
        <w:rPr>
          <w:rFonts w:hint="eastAsia" w:ascii="仿宋" w:hAnsi="仿宋" w:eastAsia="仿宋" w:cs="仿宋"/>
          <w:color w:val="auto"/>
          <w:szCs w:val="24"/>
          <w:highlight w:val="none"/>
          <w:lang w:eastAsia="zh-CN"/>
        </w:rPr>
        <w:t>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以前在投标截止期方面的全部权利、责任和义务，将适用于延长至新的投标截止期。</w:t>
      </w:r>
    </w:p>
    <w:p>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15.备份</w:t>
      </w:r>
      <w:r>
        <w:rPr>
          <w:rFonts w:hint="eastAsia" w:ascii="仿宋" w:hAnsi="仿宋" w:eastAsia="仿宋" w:cs="仿宋"/>
          <w:b/>
          <w:color w:val="auto"/>
          <w:sz w:val="24"/>
          <w:szCs w:val="24"/>
          <w:highlight w:val="none"/>
          <w:lang w:eastAsia="zh-CN"/>
        </w:rPr>
        <w:t>响应文件</w:t>
      </w:r>
    </w:p>
    <w:p>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在电子交易平台传输递交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后，还可以在投标截止时间前直接提交或者以邮政快递方式递交备份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1份，</w:t>
      </w:r>
      <w:r>
        <w:rPr>
          <w:rFonts w:hint="eastAsia" w:ascii="仿宋" w:hAnsi="仿宋" w:eastAsia="仿宋" w:cs="仿宋"/>
          <w:b/>
          <w:color w:val="auto"/>
          <w:sz w:val="24"/>
          <w:szCs w:val="24"/>
          <w:highlight w:val="none"/>
        </w:rPr>
        <w:t>但</w:t>
      </w:r>
      <w:r>
        <w:rPr>
          <w:rFonts w:hint="eastAsia" w:ascii="仿宋" w:hAnsi="仿宋" w:eastAsia="仿宋" w:cs="仿宋"/>
          <w:b/>
          <w:color w:val="auto"/>
          <w:sz w:val="24"/>
          <w:szCs w:val="24"/>
          <w:highlight w:val="none"/>
          <w:lang w:eastAsia="zh-CN"/>
        </w:rPr>
        <w:t>业主</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代理机构</w:t>
      </w:r>
      <w:r>
        <w:rPr>
          <w:rFonts w:hint="eastAsia" w:ascii="仿宋" w:hAnsi="仿宋" w:eastAsia="仿宋" w:cs="仿宋"/>
          <w:b/>
          <w:color w:val="auto"/>
          <w:sz w:val="24"/>
          <w:szCs w:val="24"/>
          <w:highlight w:val="none"/>
        </w:rPr>
        <w:t>不强制或变相强制</w:t>
      </w:r>
      <w:r>
        <w:rPr>
          <w:rFonts w:hint="eastAsia" w:ascii="仿宋" w:hAnsi="仿宋" w:eastAsia="仿宋" w:cs="仿宋"/>
          <w:b/>
          <w:color w:val="auto"/>
          <w:sz w:val="24"/>
          <w:szCs w:val="24"/>
          <w:highlight w:val="none"/>
          <w:lang w:eastAsia="zh-CN"/>
        </w:rPr>
        <w:t>响应人</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w:t>
      </w:r>
    </w:p>
    <w:p>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应当密封包装并在包装上加盖公章并注明投标项目名称，</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将被视为无效或者被拒绝接收。</w:t>
      </w:r>
    </w:p>
    <w:p>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应于投标截止时间前在</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中载明的开标地点将备份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提交给</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p>
    <w:p>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应先将备份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按要求密封和标记，再进行邮政快递包装后邮寄。备份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须在投标截止时间之前送达</w:t>
      </w:r>
      <w:r>
        <w:rPr>
          <w:rFonts w:hint="eastAsia" w:ascii="仿宋" w:hAnsi="仿宋" w:eastAsia="仿宋" w:cs="仿宋"/>
          <w:snapToGrid/>
          <w:color w:val="auto"/>
          <w:sz w:val="24"/>
          <w:szCs w:val="24"/>
          <w:highlight w:val="none"/>
          <w:lang w:eastAsia="zh-CN"/>
        </w:rPr>
        <w:t>交易文件</w:t>
      </w:r>
      <w:r>
        <w:rPr>
          <w:rFonts w:hint="eastAsia" w:ascii="仿宋" w:hAnsi="仿宋" w:eastAsia="仿宋" w:cs="仿宋"/>
          <w:snapToGrid/>
          <w:color w:val="auto"/>
          <w:sz w:val="24"/>
          <w:szCs w:val="24"/>
          <w:highlight w:val="none"/>
        </w:rPr>
        <w:t>第二部分</w:t>
      </w:r>
      <w:r>
        <w:rPr>
          <w:rFonts w:hint="eastAsia" w:ascii="仿宋" w:hAnsi="仿宋" w:eastAsia="仿宋" w:cs="仿宋"/>
          <w:snapToGrid/>
          <w:color w:val="auto"/>
          <w:sz w:val="24"/>
          <w:szCs w:val="24"/>
          <w:highlight w:val="none"/>
          <w:lang w:eastAsia="zh-CN"/>
        </w:rPr>
        <w:t>响应人</w:t>
      </w:r>
      <w:r>
        <w:rPr>
          <w:rFonts w:hint="eastAsia" w:ascii="仿宋" w:hAnsi="仿宋" w:eastAsia="仿宋" w:cs="仿宋"/>
          <w:snapToGrid/>
          <w:color w:val="auto"/>
          <w:sz w:val="24"/>
          <w:szCs w:val="24"/>
          <w:highlight w:val="none"/>
        </w:rPr>
        <w:t>须知前附表规定的备份</w:t>
      </w:r>
      <w:r>
        <w:rPr>
          <w:rFonts w:hint="eastAsia" w:ascii="仿宋" w:hAnsi="仿宋" w:eastAsia="仿宋" w:cs="仿宋"/>
          <w:snapToGrid/>
          <w:color w:val="auto"/>
          <w:sz w:val="24"/>
          <w:szCs w:val="24"/>
          <w:highlight w:val="none"/>
          <w:lang w:eastAsia="zh-CN"/>
        </w:rPr>
        <w:t>响应文件</w:t>
      </w:r>
      <w:r>
        <w:rPr>
          <w:rFonts w:hint="eastAsia" w:ascii="仿宋" w:hAnsi="仿宋" w:eastAsia="仿宋" w:cs="仿宋"/>
          <w:snapToGrid/>
          <w:color w:val="auto"/>
          <w:sz w:val="24"/>
          <w:szCs w:val="24"/>
          <w:highlight w:val="none"/>
        </w:rPr>
        <w:t>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。邮寄过程中，电子备份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发生泄露、遗失、损坏或延期送达等情况的，由</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自行负责。</w:t>
      </w:r>
    </w:p>
    <w:p>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w:t>
      </w:r>
      <w:r>
        <w:rPr>
          <w:rFonts w:hint="eastAsia" w:ascii="仿宋" w:hAnsi="仿宋" w:eastAsia="仿宋" w:cs="仿宋"/>
          <w:b/>
          <w:color w:val="auto"/>
          <w:sz w:val="24"/>
          <w:szCs w:val="24"/>
          <w:highlight w:val="none"/>
          <w:lang w:eastAsia="zh-CN"/>
        </w:rPr>
        <w:t>响应人</w:t>
      </w:r>
      <w:r>
        <w:rPr>
          <w:rFonts w:hint="eastAsia" w:ascii="仿宋" w:hAnsi="仿宋" w:eastAsia="仿宋" w:cs="仿宋"/>
          <w:b/>
          <w:color w:val="auto"/>
          <w:sz w:val="24"/>
          <w:szCs w:val="24"/>
          <w:highlight w:val="none"/>
        </w:rPr>
        <w:t>仅提交备份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，未在电子交易平台传输递交</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的，投标无效。</w:t>
      </w:r>
    </w:p>
    <w:p>
      <w:pPr>
        <w:pStyle w:val="136"/>
        <w:keepNext w:val="0"/>
        <w:keepLines w:val="0"/>
        <w:pageBreakBefore w:val="0"/>
        <w:kinsoku/>
        <w:wordWrap/>
        <w:overflowPunct/>
        <w:topLinePunct w:val="0"/>
        <w:bidi w:val="0"/>
        <w:adjustRightInd w:val="0"/>
        <w:spacing w:before="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pPr>
        <w:pStyle w:val="16"/>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交易文件</w:t>
      </w:r>
      <w:r>
        <w:rPr>
          <w:rFonts w:hint="eastAsia" w:ascii="仿宋" w:hAnsi="仿宋" w:eastAsia="仿宋" w:cs="仿宋"/>
          <w:color w:val="auto"/>
          <w:szCs w:val="21"/>
          <w:highlight w:val="none"/>
        </w:rPr>
        <w:t>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pPr>
        <w:pStyle w:val="136"/>
        <w:keepNext w:val="0"/>
        <w:keepLines w:val="0"/>
        <w:pageBreakBefore w:val="0"/>
        <w:kinsoku/>
        <w:wordWrap/>
        <w:overflowPunct/>
        <w:topLinePunct w:val="0"/>
        <w:bidi w:val="0"/>
        <w:adjustRightInd w:val="0"/>
        <w:spacing w:before="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响应人</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诺的投标有效期少于</w:t>
      </w:r>
      <w:r>
        <w:rPr>
          <w:rFonts w:hint="eastAsia" w:ascii="仿宋" w:hAnsi="仿宋" w:eastAsia="仿宋" w:cs="仿宋"/>
          <w:b/>
          <w:color w:val="auto"/>
          <w:sz w:val="24"/>
          <w:szCs w:val="21"/>
          <w:highlight w:val="none"/>
          <w:lang w:eastAsia="zh-CN"/>
        </w:rPr>
        <w:t>交易文件</w:t>
      </w:r>
      <w:r>
        <w:rPr>
          <w:rFonts w:hint="eastAsia" w:ascii="仿宋" w:hAnsi="仿宋" w:eastAsia="仿宋" w:cs="仿宋"/>
          <w:b/>
          <w:color w:val="auto"/>
          <w:sz w:val="24"/>
          <w:szCs w:val="21"/>
          <w:highlight w:val="none"/>
        </w:rPr>
        <w:t>中载明的投标有效期的，投标无效。</w:t>
      </w:r>
    </w:p>
    <w:p>
      <w:pPr>
        <w:pStyle w:val="136"/>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合格投递后，自投标截止日期起，在投标有效期内有效。</w:t>
      </w:r>
    </w:p>
    <w:p>
      <w:pPr>
        <w:pStyle w:val="136"/>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延长投标有效期。</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拒绝延长的，其投标无效。</w:t>
      </w:r>
    </w:p>
    <w:p>
      <w:pPr>
        <w:pStyle w:val="136"/>
        <w:spacing w:before="0"/>
        <w:ind w:firstLine="643"/>
        <w:rPr>
          <w:rFonts w:hint="eastAsia" w:ascii="仿宋" w:hAnsi="仿宋" w:eastAsia="仿宋" w:cs="仿宋"/>
          <w:b/>
          <w:color w:val="auto"/>
          <w:sz w:val="32"/>
          <w:highlight w:val="none"/>
        </w:rPr>
      </w:pPr>
    </w:p>
    <w:p>
      <w:pPr>
        <w:pStyle w:val="136"/>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8"/>
        <w:keepNext w:val="0"/>
        <w:keepLines w:val="0"/>
        <w:pageBreakBefore w:val="0"/>
        <w:kinsoku/>
        <w:wordWrap/>
        <w:overflowPunct/>
        <w:topLinePunct w:val="0"/>
        <w:bidi w:val="0"/>
        <w:adjustRightInd w:val="0"/>
        <w:spacing w:before="0" w:beforeAutospacing="0" w:line="360" w:lineRule="auto"/>
        <w:ind w:left="0" w:firstLine="482"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8"/>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规定的时间通过电子交易平台组织开标，所有</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不足3家的，不得开标。</w:t>
      </w:r>
    </w:p>
    <w:p>
      <w:pPr>
        <w:pStyle w:val="558"/>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8.2开标时，电子交易平台按开标时间自动提取所有</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w:t>
      </w:r>
    </w:p>
    <w:p>
      <w:pPr>
        <w:pStyle w:val="558"/>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未按时解密，</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的，以备份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作为依据，否则视为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撤回。</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已按时解密的，备份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自动失效。</w:t>
      </w:r>
    </w:p>
    <w:p>
      <w:pPr>
        <w:keepNext w:val="0"/>
        <w:keepLines w:val="0"/>
        <w:pageBreakBefore w:val="0"/>
        <w:widowControl/>
        <w:kinsoku/>
        <w:wordWrap/>
        <w:overflowPunct/>
        <w:topLinePunct w:val="0"/>
        <w:bidi w:val="0"/>
        <w:adjustRightInd w:val="0"/>
        <w:spacing w:beforeAutospacing="0" w:line="360" w:lineRule="auto"/>
        <w:ind w:firstLine="482" w:firstLineChars="200"/>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w:t>
      </w:r>
      <w:r>
        <w:rPr>
          <w:rFonts w:hint="eastAsia" w:ascii="仿宋" w:hAnsi="仿宋" w:eastAsia="仿宋" w:cs="仿宋"/>
          <w:b/>
          <w:color w:val="auto"/>
          <w:sz w:val="24"/>
          <w:szCs w:val="20"/>
          <w:highlight w:val="none"/>
          <w:lang w:val="en-US" w:eastAsia="zh-CN"/>
        </w:rPr>
        <w:t>.</w:t>
      </w:r>
      <w:r>
        <w:rPr>
          <w:rFonts w:hint="eastAsia" w:ascii="仿宋" w:hAnsi="仿宋" w:eastAsia="仿宋" w:cs="仿宋"/>
          <w:b/>
          <w:color w:val="auto"/>
          <w:sz w:val="24"/>
          <w:szCs w:val="20"/>
          <w:highlight w:val="none"/>
        </w:rPr>
        <w:t>资格审查</w:t>
      </w:r>
    </w:p>
    <w:p>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w:t>
      </w:r>
      <w:r>
        <w:rPr>
          <w:rFonts w:hint="eastAsia" w:ascii="仿宋" w:hAnsi="仿宋" w:eastAsia="仿宋" w:cs="仿宋"/>
          <w:color w:val="auto"/>
          <w:kern w:val="0"/>
          <w:szCs w:val="24"/>
          <w:highlight w:val="none"/>
          <w:lang w:eastAsia="zh-CN"/>
        </w:rPr>
        <w:t>业主</w:t>
      </w:r>
      <w:r>
        <w:rPr>
          <w:rFonts w:hint="eastAsia" w:ascii="仿宋" w:hAnsi="仿宋" w:eastAsia="仿宋" w:cs="仿宋"/>
          <w:color w:val="auto"/>
          <w:kern w:val="0"/>
          <w:szCs w:val="24"/>
          <w:highlight w:val="none"/>
        </w:rPr>
        <w:t>或</w:t>
      </w:r>
      <w:r>
        <w:rPr>
          <w:rFonts w:hint="eastAsia" w:ascii="仿宋" w:hAnsi="仿宋" w:eastAsia="仿宋" w:cs="仿宋"/>
          <w:color w:val="auto"/>
          <w:kern w:val="0"/>
          <w:szCs w:val="24"/>
          <w:highlight w:val="none"/>
          <w:lang w:eastAsia="zh-CN"/>
        </w:rPr>
        <w:t>代理机构</w:t>
      </w:r>
      <w:r>
        <w:rPr>
          <w:rFonts w:hint="eastAsia" w:ascii="仿宋" w:hAnsi="仿宋" w:eastAsia="仿宋" w:cs="仿宋"/>
          <w:color w:val="auto"/>
          <w:kern w:val="0"/>
          <w:szCs w:val="24"/>
          <w:highlight w:val="none"/>
        </w:rPr>
        <w:t>将依法对</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的资格进行审查。</w:t>
      </w:r>
    </w:p>
    <w:p>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依据法律法规和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的规定，对</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的基本资格条件、特定资格条件进行审查。</w:t>
      </w:r>
    </w:p>
    <w:p>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19.3</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未按照</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中规定的资格要求，其投标无效。</w:t>
      </w:r>
    </w:p>
    <w:p>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业主</w:t>
      </w:r>
      <w:r>
        <w:rPr>
          <w:rFonts w:hint="eastAsia" w:ascii="仿宋" w:hAnsi="仿宋" w:eastAsia="仿宋" w:cs="仿宋"/>
          <w:color w:val="auto"/>
          <w:highlight w:val="none"/>
        </w:rPr>
        <w:t>或</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告知其未通过的原因。</w:t>
      </w:r>
    </w:p>
    <w:p>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不足3家的，不再评标。</w:t>
      </w:r>
    </w:p>
    <w:p>
      <w:pPr>
        <w:pStyle w:val="136"/>
        <w:keepNext w:val="0"/>
        <w:keepLines w:val="0"/>
        <w:pageBreakBefore w:val="0"/>
        <w:kinsoku/>
        <w:wordWrap/>
        <w:overflowPunct/>
        <w:topLinePunct w:val="0"/>
        <w:bidi w:val="0"/>
        <w:adjustRightInd w:val="0"/>
        <w:spacing w:before="0" w:beforeAutospacing="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szCs w:val="24"/>
          <w:highlight w:val="none"/>
          <w:lang w:val="en-US" w:eastAsia="zh-CN"/>
        </w:rPr>
        <w:t>.</w:t>
      </w:r>
      <w:r>
        <w:rPr>
          <w:rFonts w:hint="eastAsia" w:ascii="仿宋" w:hAnsi="仿宋" w:eastAsia="仿宋" w:cs="仿宋"/>
          <w:b/>
          <w:color w:val="auto"/>
          <w:szCs w:val="24"/>
          <w:highlight w:val="none"/>
        </w:rPr>
        <w:t>信用信息查询</w:t>
      </w:r>
    </w:p>
    <w:p>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代理机构</w:t>
      </w:r>
      <w:r>
        <w:rPr>
          <w:rFonts w:hint="eastAsia" w:ascii="仿宋" w:hAnsi="仿宋" w:eastAsia="仿宋" w:cs="仿宋"/>
          <w:color w:val="auto"/>
          <w:kern w:val="0"/>
          <w:szCs w:val="24"/>
          <w:highlight w:val="none"/>
        </w:rPr>
        <w:t>将通过“信用中国”网站(www.creditchina.gov.cn)、中国政府采购网(www.ccgp.gov.cn)渠道查询</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投标截止时间当天的信用记录。</w:t>
      </w:r>
    </w:p>
    <w:p>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的信用记录、查询结果经确认后将与采购文件一起存档。</w:t>
      </w:r>
    </w:p>
    <w:p>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将被拒绝参与政府采购活动。</w:t>
      </w:r>
    </w:p>
    <w:p>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6"/>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和有关规定，履行评标工作职责，并按照评标方法及评分标准，全面衡量各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的响应情况。对实质上响应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，按照评审因素的量化指标排出推荐中标的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w:t>
      </w:r>
      <w:r>
        <w:rPr>
          <w:rFonts w:hint="eastAsia" w:ascii="仿宋" w:hAnsi="仿宋" w:eastAsia="仿宋" w:cs="仿宋"/>
          <w:b/>
          <w:color w:val="auto"/>
          <w:sz w:val="24"/>
          <w:highlight w:val="none"/>
          <w:lang w:eastAsia="zh-CN"/>
        </w:rPr>
        <w:t>评审办法</w:t>
      </w:r>
      <w:r>
        <w:rPr>
          <w:rFonts w:hint="eastAsia" w:ascii="仿宋" w:hAnsi="仿宋" w:eastAsia="仿宋" w:cs="仿宋"/>
          <w:b/>
          <w:color w:val="auto"/>
          <w:sz w:val="24"/>
          <w:highlight w:val="none"/>
        </w:rPr>
        <w:t>。</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16"/>
        <w:keepNext w:val="0"/>
        <w:keepLines w:val="0"/>
        <w:pageBreakBefore w:val="0"/>
        <w:kinsoku/>
        <w:wordWrap/>
        <w:overflowPunct/>
        <w:topLinePunct w:val="0"/>
        <w:autoSpaceDE/>
        <w:autoSpaceDN/>
        <w:bidi w:val="0"/>
        <w:adjustRightInd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pPr>
        <w:pStyle w:val="136"/>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lang w:eastAsia="zh-CN"/>
        </w:rPr>
        <w:t>业主</w:t>
      </w:r>
      <w:r>
        <w:rPr>
          <w:rFonts w:hint="eastAsia" w:ascii="仿宋" w:hAnsi="仿宋" w:eastAsia="仿宋" w:cs="仿宋"/>
          <w:color w:val="auto"/>
          <w:szCs w:val="24"/>
          <w:highlight w:val="none"/>
        </w:rPr>
        <w:t>将自收到评审报告之日起5个工作日内通过电子交易平台在评审报告推荐的中标候选人中按顺序确定中标供应商。</w:t>
      </w:r>
    </w:p>
    <w:p>
      <w:pPr>
        <w:pStyle w:val="136"/>
        <w:keepNext w:val="0"/>
        <w:keepLines w:val="0"/>
        <w:pageBreakBefore w:val="0"/>
        <w:kinsoku/>
        <w:wordWrap/>
        <w:overflowPunct/>
        <w:topLinePunct w:val="0"/>
        <w:autoSpaceDE/>
        <w:autoSpaceDN/>
        <w:bidi w:val="0"/>
        <w:adjustRightInd w:val="0"/>
        <w:snapToGrid w:val="0"/>
        <w:spacing w:before="0"/>
        <w:ind w:left="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23.1自</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确定之日起2个工作日内，</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通过电子交易平台向</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发出</w:t>
      </w:r>
      <w:r>
        <w:rPr>
          <w:rFonts w:hint="eastAsia" w:ascii="仿宋" w:hAnsi="仿宋" w:eastAsia="仿宋" w:cs="仿宋"/>
          <w:color w:val="auto"/>
          <w:sz w:val="24"/>
          <w:highlight w:val="none"/>
          <w:lang w:eastAsia="zh-CN"/>
        </w:rPr>
        <w:t>成交通知书</w:t>
      </w:r>
      <w:r>
        <w:rPr>
          <w:rFonts w:hint="eastAsia" w:ascii="仿宋" w:hAnsi="仿宋" w:eastAsia="仿宋" w:cs="仿宋"/>
          <w:color w:val="auto"/>
          <w:sz w:val="24"/>
          <w:highlight w:val="none"/>
        </w:rPr>
        <w:t>，同时编制发布采购结果公告。</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也可以以纸质形式进行中标通知。</w:t>
      </w:r>
    </w:p>
    <w:p>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及其委托的</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的名称、地址、联系方式，项目名称和项目编号，</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名称、地址和中标金额，主要中标标的的名称、规格型号、数量、单价、服务要求，开标记录、未中标情况说明、中标公告期限以及评审专家名单、评分汇总及明细。</w:t>
      </w:r>
    </w:p>
    <w:p>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16"/>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pPr>
        <w:pStyle w:val="16"/>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pPr>
        <w:pageBreakBefore w:val="0"/>
        <w:widowControl/>
        <w:shd w:val="clear" w:color="auto" w:fill="FFFFFF"/>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业主</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lang w:eastAsia="zh-CN"/>
        </w:rPr>
        <w:t>成交人</w:t>
      </w:r>
      <w:r>
        <w:rPr>
          <w:rFonts w:hint="eastAsia" w:ascii="仿宋" w:hAnsi="仿宋" w:eastAsia="仿宋" w:cs="仿宋"/>
          <w:color w:val="auto"/>
          <w:kern w:val="0"/>
          <w:sz w:val="24"/>
          <w:highlight w:val="none"/>
        </w:rPr>
        <w:t>应当通过电子交易平台在</w:t>
      </w:r>
      <w:r>
        <w:rPr>
          <w:rFonts w:hint="eastAsia" w:ascii="仿宋" w:hAnsi="仿宋" w:eastAsia="仿宋" w:cs="仿宋"/>
          <w:color w:val="auto"/>
          <w:kern w:val="0"/>
          <w:sz w:val="24"/>
          <w:highlight w:val="none"/>
          <w:lang w:eastAsia="zh-CN"/>
        </w:rPr>
        <w:t>成交通知书</w:t>
      </w:r>
      <w:r>
        <w:rPr>
          <w:rFonts w:hint="eastAsia" w:ascii="仿宋" w:hAnsi="仿宋" w:eastAsia="仿宋" w:cs="仿宋"/>
          <w:color w:val="auto"/>
          <w:kern w:val="0"/>
          <w:sz w:val="24"/>
          <w:highlight w:val="none"/>
        </w:rPr>
        <w:t>发出之日起三十日内，按照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确定的事项签订政府采购合同，并在合同签订之日起2个工作日内依法发布合同公告。</w:t>
      </w:r>
    </w:p>
    <w:p>
      <w:pPr>
        <w:pStyle w:val="136"/>
        <w:pageBreakBefore w:val="0"/>
        <w:kinsoku/>
        <w:wordWrap/>
        <w:overflowPunct/>
        <w:topLinePunct w:val="0"/>
        <w:autoSpaceDE/>
        <w:autoSpaceDN/>
        <w:bidi w:val="0"/>
        <w:snapToGrid w:val="0"/>
        <w:spacing w:before="0"/>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25.2成交人按规定的日期、时间、地点，由法定代表人或其授权代表与业主代表签订合同。如成交人为联合体的，由联合体成员各方法定代表人或其授权代表与业主代表签订合同。</w:t>
      </w:r>
    </w:p>
    <w:p>
      <w:pPr>
        <w:pStyle w:val="136"/>
        <w:pageBreakBefore w:val="0"/>
        <w:kinsoku/>
        <w:wordWrap/>
        <w:overflowPunct/>
        <w:topLinePunct w:val="0"/>
        <w:autoSpaceDE/>
        <w:autoSpaceDN/>
        <w:bidi w:val="0"/>
        <w:snapToGrid w:val="0"/>
        <w:spacing w:before="0"/>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6"/>
        <w:pageBreakBefore w:val="0"/>
        <w:kinsoku/>
        <w:wordWrap/>
        <w:overflowPunct/>
        <w:topLinePunct w:val="0"/>
        <w:autoSpaceDE/>
        <w:autoSpaceDN/>
        <w:bidi w:val="0"/>
        <w:snapToGrid w:val="0"/>
        <w:spacing w:before="0"/>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25.4中标供应商拒绝与</w:t>
      </w:r>
      <w:r>
        <w:rPr>
          <w:rFonts w:hint="eastAsia" w:ascii="仿宋" w:hAnsi="仿宋" w:eastAsia="仿宋" w:cs="仿宋"/>
          <w:color w:val="auto"/>
          <w:highlight w:val="none"/>
          <w:lang w:eastAsia="zh-CN"/>
        </w:rPr>
        <w:t>业主</w:t>
      </w:r>
      <w:r>
        <w:rPr>
          <w:rFonts w:hint="eastAsia" w:ascii="仿宋" w:hAnsi="仿宋" w:eastAsia="仿宋" w:cs="仿宋"/>
          <w:color w:val="auto"/>
          <w:highlight w:val="none"/>
        </w:rPr>
        <w:t>签订合同的，</w:t>
      </w:r>
      <w:r>
        <w:rPr>
          <w:rFonts w:hint="eastAsia" w:ascii="仿宋" w:hAnsi="仿宋" w:eastAsia="仿宋" w:cs="仿宋"/>
          <w:color w:val="auto"/>
          <w:highlight w:val="none"/>
          <w:lang w:eastAsia="zh-CN"/>
        </w:rPr>
        <w:t>业主</w:t>
      </w:r>
      <w:r>
        <w:rPr>
          <w:rFonts w:hint="eastAsia" w:ascii="仿宋" w:hAnsi="仿宋" w:eastAsia="仿宋" w:cs="仿宋"/>
          <w:color w:val="auto"/>
          <w:highlight w:val="none"/>
        </w:rPr>
        <w:t>可以按照评审报告推荐的中标或者成交候选人名单排序，确定下一候选人为中标供应商，也可以重新开展政府采购活动。</w:t>
      </w:r>
    </w:p>
    <w:p>
      <w:pPr>
        <w:pStyle w:val="136"/>
        <w:pageBreakBefore w:val="0"/>
        <w:kinsoku/>
        <w:wordWrap/>
        <w:overflowPunct/>
        <w:topLinePunct w:val="0"/>
        <w:autoSpaceDE/>
        <w:autoSpaceDN/>
        <w:bidi w:val="0"/>
        <w:snapToGrid w:val="0"/>
        <w:spacing w:before="0"/>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25.5采购合同由</w:t>
      </w:r>
      <w:r>
        <w:rPr>
          <w:rFonts w:hint="eastAsia" w:ascii="仿宋" w:hAnsi="仿宋" w:eastAsia="仿宋" w:cs="仿宋"/>
          <w:color w:val="auto"/>
          <w:highlight w:val="none"/>
          <w:lang w:eastAsia="zh-CN"/>
        </w:rPr>
        <w:t>业主</w:t>
      </w:r>
      <w:r>
        <w:rPr>
          <w:rFonts w:hint="eastAsia" w:ascii="仿宋" w:hAnsi="仿宋" w:eastAsia="仿宋" w:cs="仿宋"/>
          <w:color w:val="auto"/>
          <w:highlight w:val="none"/>
        </w:rPr>
        <w:t>与中标供应商根据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等内容通过政府采购电子交易平台在线签订，自动备案。</w:t>
      </w:r>
    </w:p>
    <w:p>
      <w:pPr>
        <w:pStyle w:val="16"/>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。履约保证金的数额不得超过采购合同金额的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采购人不得拒收履约保函，项目验收结束后应及时退还。</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6"/>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可中止电子交易活动：</w:t>
      </w:r>
    </w:p>
    <w:p>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36"/>
        <w:keepNext w:val="0"/>
        <w:keepLines w:val="0"/>
        <w:pageBreakBefore w:val="0"/>
        <w:widowControl w:val="0"/>
        <w:kinsoku/>
        <w:wordWrap/>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b/>
          <w:color w:val="auto"/>
          <w:sz w:val="32"/>
          <w:highlight w:val="none"/>
        </w:rPr>
      </w:pP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16"/>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w:t>
      </w:r>
      <w:r>
        <w:rPr>
          <w:rFonts w:hint="eastAsia" w:ascii="仿宋" w:hAnsi="仿宋" w:eastAsia="仿宋" w:cs="仿宋"/>
          <w:color w:val="auto"/>
          <w:kern w:val="0"/>
          <w:sz w:val="24"/>
          <w:highlight w:val="none"/>
          <w:lang w:eastAsia="zh-CN"/>
        </w:rPr>
        <w:t>业主</w:t>
      </w:r>
      <w:r>
        <w:rPr>
          <w:rFonts w:hint="eastAsia" w:ascii="仿宋" w:hAnsi="仿宋" w:eastAsia="仿宋" w:cs="仿宋"/>
          <w:color w:val="auto"/>
          <w:kern w:val="0"/>
          <w:sz w:val="24"/>
          <w:highlight w:val="none"/>
        </w:rPr>
        <w:t>应当组织对供应商履约的验收。验收采用</w:t>
      </w:r>
      <w:r>
        <w:rPr>
          <w:rFonts w:hint="eastAsia" w:ascii="仿宋" w:hAnsi="仿宋" w:eastAsia="仿宋" w:cs="仿宋"/>
          <w:color w:val="auto"/>
          <w:kern w:val="0"/>
          <w:sz w:val="24"/>
          <w:highlight w:val="none"/>
          <w:lang w:eastAsia="zh-CN"/>
        </w:rPr>
        <w:t>业主</w:t>
      </w:r>
      <w:r>
        <w:rPr>
          <w:rFonts w:hint="eastAsia" w:ascii="仿宋" w:hAnsi="仿宋" w:eastAsia="仿宋" w:cs="仿宋"/>
          <w:color w:val="auto"/>
          <w:kern w:val="0"/>
          <w:sz w:val="24"/>
          <w:highlight w:val="none"/>
        </w:rPr>
        <w:t>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联系电话: 0571-83587785/0571-82816012  联系地址: 萧山区通惠北路2-1号302室</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29.2</w:t>
      </w:r>
      <w:r>
        <w:rPr>
          <w:rFonts w:hint="eastAsia" w:ascii="仿宋" w:hAnsi="仿宋" w:eastAsia="仿宋" w:cs="仿宋"/>
          <w:color w:val="auto"/>
          <w:kern w:val="0"/>
          <w:sz w:val="24"/>
          <w:highlight w:val="none"/>
          <w:lang w:eastAsia="zh-CN"/>
        </w:rPr>
        <w:t>业主</w:t>
      </w:r>
      <w:r>
        <w:rPr>
          <w:rFonts w:hint="eastAsia" w:ascii="仿宋" w:hAnsi="仿宋" w:eastAsia="仿宋" w:cs="仿宋"/>
          <w:color w:val="auto"/>
          <w:kern w:val="0"/>
          <w:sz w:val="24"/>
          <w:highlight w:val="none"/>
        </w:rPr>
        <w:t>组织对供应商履约的验收。</w:t>
      </w:r>
      <w:r>
        <w:rPr>
          <w:rFonts w:hint="eastAsia" w:ascii="仿宋" w:hAnsi="仿宋" w:eastAsia="仿宋" w:cs="仿宋"/>
          <w:color w:val="auto"/>
          <w:kern w:val="0"/>
          <w:sz w:val="24"/>
          <w:highlight w:val="none"/>
          <w:lang w:val="en-US" w:eastAsia="zh-CN"/>
        </w:rPr>
        <w:t>除29.1情形外，</w:t>
      </w:r>
      <w:r>
        <w:rPr>
          <w:rFonts w:hint="eastAsia" w:ascii="仿宋" w:hAnsi="仿宋" w:eastAsia="仿宋" w:cs="仿宋"/>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2"/>
    <w:bookmarkEnd w:id="13"/>
    <w:bookmarkEnd w:id="14"/>
    <w:p>
      <w:pPr>
        <w:spacing w:line="240" w:lineRule="auto"/>
        <w:jc w:val="center"/>
        <w:outlineLvl w:val="9"/>
        <w:rPr>
          <w:rFonts w:hint="eastAsia" w:ascii="仿宋" w:hAnsi="仿宋" w:eastAsia="仿宋" w:cs="仿宋"/>
          <w:b/>
          <w:color w:val="auto"/>
          <w:sz w:val="36"/>
          <w:szCs w:val="36"/>
          <w:highlight w:val="none"/>
        </w:rPr>
      </w:pPr>
      <w:bookmarkStart w:id="15" w:name="第四部分"/>
      <w:r>
        <w:rPr>
          <w:rFonts w:hint="eastAsia" w:ascii="仿宋" w:hAnsi="仿宋" w:eastAsia="仿宋" w:cs="仿宋"/>
          <w:b/>
          <w:color w:val="auto"/>
          <w:sz w:val="36"/>
          <w:szCs w:val="36"/>
          <w:highlight w:val="none"/>
        </w:rPr>
        <w:t>第三部分   采购需求</w:t>
      </w: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pPr>
        <w:adjustRightInd w:val="0"/>
        <w:snapToGrid w:val="0"/>
        <w:spacing w:line="360" w:lineRule="auto"/>
        <w:ind w:firstLine="241" w:firstLineChars="1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交易</w:t>
      </w:r>
      <w:r>
        <w:rPr>
          <w:rFonts w:hint="eastAsia" w:ascii="仿宋" w:hAnsi="仿宋" w:eastAsia="仿宋" w:cs="仿宋"/>
          <w:b/>
          <w:bCs/>
          <w:color w:val="auto"/>
          <w:sz w:val="24"/>
          <w:szCs w:val="24"/>
          <w:highlight w:val="none"/>
        </w:rPr>
        <w:t>一览表</w:t>
      </w:r>
    </w:p>
    <w:p>
      <w:pPr>
        <w:spacing w:after="12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标项：1</w:t>
      </w:r>
    </w:p>
    <w:tbl>
      <w:tblPr>
        <w:tblStyle w:val="64"/>
        <w:tblpPr w:leftFromText="180" w:rightFromText="180" w:vertAnchor="text" w:tblpXSpec="center" w:tblpY="121"/>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828"/>
        <w:gridCol w:w="2122"/>
        <w:gridCol w:w="946"/>
        <w:gridCol w:w="91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7" w:type="dxa"/>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序号</w:t>
            </w:r>
          </w:p>
        </w:tc>
        <w:tc>
          <w:tcPr>
            <w:tcW w:w="2828" w:type="dxa"/>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名称</w:t>
            </w:r>
          </w:p>
        </w:tc>
        <w:tc>
          <w:tcPr>
            <w:tcW w:w="2122" w:type="dxa"/>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具体服务及技术要求</w:t>
            </w:r>
          </w:p>
        </w:tc>
        <w:tc>
          <w:tcPr>
            <w:tcW w:w="946" w:type="dxa"/>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数量</w:t>
            </w:r>
          </w:p>
        </w:tc>
        <w:tc>
          <w:tcPr>
            <w:tcW w:w="914" w:type="dxa"/>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w:t>
            </w:r>
          </w:p>
        </w:tc>
        <w:tc>
          <w:tcPr>
            <w:tcW w:w="1440" w:type="dxa"/>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67" w:type="dxa"/>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828" w:type="dxa"/>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江东水厂第二路原水管（南阳互通-江东水厂）基坑监测、沉降观测服务项目（二次）</w:t>
            </w:r>
          </w:p>
        </w:tc>
        <w:tc>
          <w:tcPr>
            <w:tcW w:w="2122" w:type="dxa"/>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详见招标</w:t>
            </w:r>
            <w:r>
              <w:rPr>
                <w:rFonts w:hint="eastAsia" w:ascii="仿宋" w:hAnsi="仿宋" w:eastAsia="仿宋" w:cs="仿宋"/>
                <w:color w:val="auto"/>
                <w:kern w:val="0"/>
                <w:sz w:val="24"/>
                <w:szCs w:val="24"/>
                <w:highlight w:val="none"/>
                <w:lang w:val="en-US" w:eastAsia="zh-CN"/>
              </w:rPr>
              <w:t>需求</w:t>
            </w:r>
          </w:p>
        </w:tc>
        <w:tc>
          <w:tcPr>
            <w:tcW w:w="946" w:type="dxa"/>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914" w:type="dxa"/>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w:t>
            </w:r>
          </w:p>
        </w:tc>
        <w:tc>
          <w:tcPr>
            <w:tcW w:w="1440" w:type="dxa"/>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2000000.00元</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b/>
          <w:color w:val="auto"/>
          <w:sz w:val="24"/>
          <w:szCs w:val="24"/>
          <w:highlight w:val="none"/>
        </w:rPr>
      </w:pPr>
    </w:p>
    <w:p>
      <w:pPr>
        <w:spacing w:line="360" w:lineRule="auto"/>
        <w:ind w:firstLine="241" w:firstLineChars="1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交易</w:t>
      </w:r>
      <w:r>
        <w:rPr>
          <w:rFonts w:hint="eastAsia" w:ascii="仿宋" w:hAnsi="仿宋" w:eastAsia="仿宋" w:cs="仿宋"/>
          <w:b/>
          <w:color w:val="auto"/>
          <w:sz w:val="24"/>
          <w:szCs w:val="24"/>
          <w:highlight w:val="none"/>
        </w:rPr>
        <w:t>需求</w:t>
      </w:r>
    </w:p>
    <w:p>
      <w:pPr>
        <w:adjustRightIn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技术要求</w:t>
      </w:r>
    </w:p>
    <w:p>
      <w:pPr>
        <w:pStyle w:val="45"/>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1、项目概况</w:t>
      </w:r>
    </w:p>
    <w:p>
      <w:pPr>
        <w:pStyle w:val="45"/>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江东水厂第二路原水管（南阳互通-江东水厂）EPC工程总承包项目起点位于杭绍甬南阳枢纽东侧，终点至江东水厂，新建DN2400原水管道，全长约4560.1米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现需第三方监测单位对项目基坑施工进行基坑监测和周边构筑沉降观测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巡视</w:t>
      </w:r>
      <w:r>
        <w:rPr>
          <w:rFonts w:hint="eastAsia" w:ascii="仿宋" w:hAnsi="仿宋" w:eastAsia="仿宋" w:cs="仿宋"/>
          <w:color w:val="auto"/>
          <w:sz w:val="24"/>
          <w:highlight w:val="none"/>
          <w:lang w:eastAsia="zh-CN"/>
        </w:rPr>
        <w:t>）。</w:t>
      </w:r>
    </w:p>
    <w:p>
      <w:pPr>
        <w:pStyle w:val="45"/>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2、工作内容</w:t>
      </w:r>
    </w:p>
    <w:tbl>
      <w:tblPr>
        <w:tblStyle w:val="64"/>
        <w:tblW w:w="965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99"/>
        <w:gridCol w:w="3861"/>
        <w:gridCol w:w="4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trPr>
        <w:tc>
          <w:tcPr>
            <w:tcW w:w="159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序号</w:t>
            </w:r>
          </w:p>
        </w:tc>
        <w:tc>
          <w:tcPr>
            <w:tcW w:w="386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监测项目名称</w:t>
            </w:r>
          </w:p>
        </w:tc>
        <w:tc>
          <w:tcPr>
            <w:tcW w:w="419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trPr>
        <w:tc>
          <w:tcPr>
            <w:tcW w:w="0" w:type="auto"/>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明挖段基坑监测项目</w:t>
            </w:r>
          </w:p>
        </w:tc>
        <w:tc>
          <w:tcPr>
            <w:tcW w:w="0" w:type="auto"/>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合计总长：3360.6m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trPr>
        <w:tc>
          <w:tcPr>
            <w:tcW w:w="0" w:type="auto"/>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0" w:type="auto"/>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顶管施工监测项目</w:t>
            </w:r>
          </w:p>
        </w:tc>
        <w:tc>
          <w:tcPr>
            <w:tcW w:w="4198"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顶管施工合计总长：983.8m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0" w:type="auto"/>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0" w:type="auto"/>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高速桥墩沉降监测项目</w:t>
            </w:r>
          </w:p>
        </w:tc>
        <w:tc>
          <w:tcPr>
            <w:tcW w:w="4198"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临近本工程线路两侧15m范围内每个桥墩一个测点。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0" w:type="auto"/>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0" w:type="auto"/>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高速隧道监测项目</w:t>
            </w:r>
          </w:p>
        </w:tc>
        <w:tc>
          <w:tcPr>
            <w:tcW w:w="4198"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考虑每断面考虑120～150米（5个点+1基准点），共计16个断面，即96个点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0" w:type="auto"/>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0" w:type="auto"/>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高速桥墩水平位移监测项目</w:t>
            </w:r>
          </w:p>
        </w:tc>
        <w:tc>
          <w:tcPr>
            <w:tcW w:w="4198"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临近本工程线路两侧15m范围内每个桥墩一个测点。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0" w:type="auto"/>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0" w:type="auto"/>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高速路基挡墙段沉降监测项目</w:t>
            </w:r>
          </w:p>
        </w:tc>
        <w:tc>
          <w:tcPr>
            <w:tcW w:w="4198"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临近本工程线路两侧20m范围内每20m一个测点。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658" w:type="dxa"/>
            <w:gridSpan w:val="3"/>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备注：各响应人需在报价明细表中明确以上六项服务中的各小项单价报价明细。</w:t>
            </w:r>
          </w:p>
        </w:tc>
      </w:tr>
    </w:tbl>
    <w:p>
      <w:pPr>
        <w:pStyle w:val="45"/>
        <w:spacing w:line="360" w:lineRule="auto"/>
        <w:ind w:firstLine="482" w:firstLineChars="200"/>
        <w:rPr>
          <w:rFonts w:hint="eastAsia" w:ascii="仿宋" w:hAnsi="仿宋" w:eastAsia="仿宋" w:cs="仿宋"/>
          <w:b/>
          <w:bCs/>
          <w:color w:val="auto"/>
          <w:sz w:val="24"/>
          <w:highlight w:val="none"/>
        </w:rPr>
      </w:pPr>
    </w:p>
    <w:p>
      <w:pPr>
        <w:pStyle w:val="45"/>
        <w:keepNext w:val="0"/>
        <w:keepLines w:val="0"/>
        <w:pageBreakBefore w:val="0"/>
        <w:widowControl w:val="0"/>
        <w:kinsoku/>
        <w:wordWrap/>
        <w:overflowPunct/>
        <w:topLinePunct w:val="0"/>
        <w:autoSpaceDE/>
        <w:autoSpaceDN/>
        <w:bidi w:val="0"/>
        <w:adjustRightInd w:val="0"/>
        <w:snapToGrid/>
        <w:spacing w:before="157" w:beforeLines="50" w:line="360" w:lineRule="auto"/>
        <w:ind w:firstLine="493"/>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2.1</w:t>
      </w:r>
      <w:r>
        <w:rPr>
          <w:rFonts w:hint="eastAsia" w:ascii="仿宋" w:hAnsi="仿宋" w:eastAsia="仿宋" w:cs="仿宋"/>
          <w:b/>
          <w:bCs/>
          <w:color w:val="auto"/>
          <w:sz w:val="24"/>
          <w:highlight w:val="none"/>
        </w:rPr>
        <w:t>明挖段基坑监测项目</w:t>
      </w:r>
    </w:p>
    <w:tbl>
      <w:tblPr>
        <w:tblStyle w:val="64"/>
        <w:tblW w:w="919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8"/>
        <w:gridCol w:w="2880"/>
        <w:gridCol w:w="1586"/>
        <w:gridCol w:w="246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97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序号</w:t>
            </w:r>
          </w:p>
        </w:tc>
        <w:tc>
          <w:tcPr>
            <w:tcW w:w="288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监测项目</w:t>
            </w:r>
          </w:p>
        </w:tc>
        <w:tc>
          <w:tcPr>
            <w:tcW w:w="158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数量</w:t>
            </w:r>
          </w:p>
        </w:tc>
        <w:tc>
          <w:tcPr>
            <w:tcW w:w="246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备注</w:t>
            </w:r>
          </w:p>
        </w:tc>
        <w:tc>
          <w:tcPr>
            <w:tcW w:w="128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合计总长：3360.6m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1</w:t>
            </w:r>
          </w:p>
        </w:tc>
        <w:tc>
          <w:tcPr>
            <w:tcW w:w="288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地下水位</w:t>
            </w:r>
          </w:p>
        </w:tc>
        <w:tc>
          <w:tcPr>
            <w:tcW w:w="158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163</w:t>
            </w:r>
          </w:p>
        </w:tc>
        <w:tc>
          <w:tcPr>
            <w:tcW w:w="2464"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间距30-40m</w:t>
            </w:r>
          </w:p>
        </w:tc>
        <w:tc>
          <w:tcPr>
            <w:tcW w:w="1283"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2</w:t>
            </w:r>
          </w:p>
        </w:tc>
        <w:tc>
          <w:tcPr>
            <w:tcW w:w="288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深层土体水平位移</w:t>
            </w:r>
          </w:p>
        </w:tc>
        <w:tc>
          <w:tcPr>
            <w:tcW w:w="158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163</w:t>
            </w:r>
          </w:p>
        </w:tc>
        <w:tc>
          <w:tcPr>
            <w:tcW w:w="2464"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p>
        </w:tc>
        <w:tc>
          <w:tcPr>
            <w:tcW w:w="1283"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3</w:t>
            </w:r>
          </w:p>
        </w:tc>
        <w:tc>
          <w:tcPr>
            <w:tcW w:w="288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围护墙顶部水平位移</w:t>
            </w:r>
          </w:p>
        </w:tc>
        <w:tc>
          <w:tcPr>
            <w:tcW w:w="158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163</w:t>
            </w:r>
          </w:p>
        </w:tc>
        <w:tc>
          <w:tcPr>
            <w:tcW w:w="2464"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p>
        </w:tc>
        <w:tc>
          <w:tcPr>
            <w:tcW w:w="1283"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4</w:t>
            </w:r>
          </w:p>
        </w:tc>
        <w:tc>
          <w:tcPr>
            <w:tcW w:w="288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围护墙顶部竖向位移</w:t>
            </w:r>
          </w:p>
        </w:tc>
        <w:tc>
          <w:tcPr>
            <w:tcW w:w="158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163</w:t>
            </w:r>
          </w:p>
        </w:tc>
        <w:tc>
          <w:tcPr>
            <w:tcW w:w="2464"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p>
        </w:tc>
        <w:tc>
          <w:tcPr>
            <w:tcW w:w="1283"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5</w:t>
            </w:r>
          </w:p>
        </w:tc>
        <w:tc>
          <w:tcPr>
            <w:tcW w:w="288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地表竖向位移</w:t>
            </w:r>
          </w:p>
        </w:tc>
        <w:tc>
          <w:tcPr>
            <w:tcW w:w="158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652</w:t>
            </w:r>
          </w:p>
        </w:tc>
        <w:tc>
          <w:tcPr>
            <w:tcW w:w="246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每个断面4个</w:t>
            </w:r>
          </w:p>
        </w:tc>
        <w:tc>
          <w:tcPr>
            <w:tcW w:w="1283"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6</w:t>
            </w:r>
          </w:p>
        </w:tc>
        <w:tc>
          <w:tcPr>
            <w:tcW w:w="288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支撑轴力</w:t>
            </w:r>
          </w:p>
        </w:tc>
        <w:tc>
          <w:tcPr>
            <w:tcW w:w="158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163</w:t>
            </w:r>
          </w:p>
        </w:tc>
        <w:tc>
          <w:tcPr>
            <w:tcW w:w="246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与测斜同一断面</w:t>
            </w:r>
          </w:p>
        </w:tc>
        <w:tc>
          <w:tcPr>
            <w:tcW w:w="1283"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7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7</w:t>
            </w:r>
          </w:p>
        </w:tc>
        <w:tc>
          <w:tcPr>
            <w:tcW w:w="288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建（构）筑物</w:t>
            </w:r>
          </w:p>
        </w:tc>
        <w:tc>
          <w:tcPr>
            <w:tcW w:w="158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40</w:t>
            </w:r>
          </w:p>
        </w:tc>
        <w:tc>
          <w:tcPr>
            <w:tcW w:w="24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建筑物四个角布点</w:t>
            </w:r>
          </w:p>
        </w:tc>
        <w:tc>
          <w:tcPr>
            <w:tcW w:w="12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测点数量预估,单价不超过600元/点</w:t>
            </w:r>
          </w:p>
        </w:tc>
      </w:tr>
    </w:tbl>
    <w:p>
      <w:pPr>
        <w:rPr>
          <w:rFonts w:hint="eastAsia" w:ascii="仿宋" w:hAnsi="仿宋" w:eastAsia="仿宋" w:cs="仿宋"/>
          <w:b/>
          <w:bCs/>
          <w:color w:val="auto"/>
          <w:sz w:val="24"/>
          <w:highlight w:val="none"/>
        </w:rPr>
      </w:pPr>
    </w:p>
    <w:p>
      <w:pPr>
        <w:pStyle w:val="45"/>
        <w:spacing w:before="240" w:beforeLines="100" w:line="360" w:lineRule="auto"/>
        <w:ind w:firstLine="482" w:firstLineChars="200"/>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2.2顶管施工监测项目</w:t>
      </w:r>
    </w:p>
    <w:tbl>
      <w:tblPr>
        <w:tblStyle w:val="64"/>
        <w:tblW w:w="9118"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1433"/>
        <w:gridCol w:w="3417"/>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270"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内容</w:t>
            </w:r>
          </w:p>
        </w:tc>
        <w:tc>
          <w:tcPr>
            <w:tcW w:w="1433"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3417"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c>
          <w:tcPr>
            <w:tcW w:w="1998" w:type="dxa"/>
            <w:noWrap/>
            <w:vAlign w:val="center"/>
          </w:tcPr>
          <w:p>
            <w:pPr>
              <w:widowControl/>
              <w:adjustRightInd/>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27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地表竖向位移</w:t>
            </w:r>
          </w:p>
        </w:tc>
        <w:tc>
          <w:tcPr>
            <w:tcW w:w="1433"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788</w:t>
            </w:r>
          </w:p>
        </w:tc>
        <w:tc>
          <w:tcPr>
            <w:tcW w:w="3417"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顶管路面沉降监测点设置要求为纵向间距10m,横向间距5m，每组断面布设7个监测点。</w:t>
            </w:r>
          </w:p>
        </w:tc>
        <w:tc>
          <w:tcPr>
            <w:tcW w:w="199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顶管施工合计总长：983.8m</w:t>
            </w:r>
          </w:p>
        </w:tc>
      </w:tr>
    </w:tbl>
    <w:p>
      <w:pPr>
        <w:pStyle w:val="45"/>
        <w:spacing w:before="240" w:beforeLines="100" w:line="360" w:lineRule="auto"/>
        <w:ind w:firstLine="482" w:firstLineChars="200"/>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2.3高速桥墩沉降监测项目</w:t>
      </w:r>
    </w:p>
    <w:tbl>
      <w:tblPr>
        <w:tblStyle w:val="64"/>
        <w:tblW w:w="9118"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194"/>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194"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内容</w:t>
            </w:r>
          </w:p>
        </w:tc>
        <w:tc>
          <w:tcPr>
            <w:tcW w:w="2194"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2365"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c>
          <w:tcPr>
            <w:tcW w:w="2365" w:type="dxa"/>
            <w:noWrap/>
            <w:vAlign w:val="center"/>
          </w:tcPr>
          <w:p>
            <w:pPr>
              <w:widowControl/>
              <w:adjustRightInd/>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94"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高速桥墩沉降</w:t>
            </w:r>
          </w:p>
        </w:tc>
        <w:tc>
          <w:tcPr>
            <w:tcW w:w="2194" w:type="dxa"/>
            <w:noWrap/>
            <w:vAlign w:val="center"/>
          </w:tcPr>
          <w:p>
            <w:pPr>
              <w:widowControl/>
              <w:adjustRightInd/>
              <w:jc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112</w:t>
            </w:r>
          </w:p>
        </w:tc>
        <w:tc>
          <w:tcPr>
            <w:tcW w:w="2365"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临近本工程线路两侧15m范围内每个桥墩一个测点。</w:t>
            </w:r>
          </w:p>
        </w:tc>
        <w:tc>
          <w:tcPr>
            <w:tcW w:w="2365" w:type="dxa"/>
            <w:noWrap/>
            <w:vAlign w:val="center"/>
          </w:tcPr>
          <w:p>
            <w:pPr>
              <w:widowControl/>
              <w:adjustRightInd/>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000000"/>
                <w:kern w:val="0"/>
                <w:sz w:val="22"/>
                <w:szCs w:val="22"/>
                <w:highlight w:val="none"/>
                <w:u w:val="none"/>
                <w:shd w:val="clear" w:color="auto" w:fill="auto"/>
                <w:lang w:val="en-US" w:eastAsia="zh-CN" w:bidi="ar"/>
              </w:rPr>
              <w:t>测点数量预估,单价不超过600元/点</w:t>
            </w:r>
          </w:p>
        </w:tc>
      </w:tr>
    </w:tbl>
    <w:p>
      <w:pPr>
        <w:pStyle w:val="45"/>
        <w:spacing w:before="240" w:beforeLines="100" w:line="360" w:lineRule="auto"/>
        <w:ind w:firstLine="482" w:firstLineChars="200"/>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2.4高速隧道监测项目(新增)</w:t>
      </w:r>
    </w:p>
    <w:tbl>
      <w:tblPr>
        <w:tblStyle w:val="64"/>
        <w:tblW w:w="8838"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126"/>
        <w:gridCol w:w="2293"/>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126"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内容</w:t>
            </w:r>
          </w:p>
        </w:tc>
        <w:tc>
          <w:tcPr>
            <w:tcW w:w="2126"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2293"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c>
          <w:tcPr>
            <w:tcW w:w="2293" w:type="dxa"/>
            <w:noWrap/>
            <w:vAlign w:val="center"/>
          </w:tcPr>
          <w:p>
            <w:pPr>
              <w:widowControl/>
              <w:adjustRightInd/>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2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高速隧道沉降</w:t>
            </w:r>
          </w:p>
        </w:tc>
        <w:tc>
          <w:tcPr>
            <w:tcW w:w="212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96</w:t>
            </w:r>
          </w:p>
        </w:tc>
        <w:tc>
          <w:tcPr>
            <w:tcW w:w="2293"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临近本工程线路两侧10m范围内高速隧道。</w:t>
            </w:r>
          </w:p>
        </w:tc>
        <w:tc>
          <w:tcPr>
            <w:tcW w:w="2293"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shd w:val="clear" w:color="auto" w:fill="auto"/>
                <w:lang w:val="en-US" w:eastAsia="zh-CN" w:bidi="ar"/>
              </w:rPr>
            </w:pPr>
            <w:r>
              <w:rPr>
                <w:rFonts w:hint="eastAsia" w:ascii="仿宋" w:hAnsi="仿宋" w:eastAsia="仿宋" w:cs="仿宋"/>
                <w:i w:val="0"/>
                <w:iCs w:val="0"/>
                <w:color w:val="000000"/>
                <w:kern w:val="0"/>
                <w:sz w:val="22"/>
                <w:szCs w:val="22"/>
                <w:highlight w:val="none"/>
                <w:u w:val="none"/>
                <w:shd w:val="clear" w:color="auto" w:fill="auto"/>
                <w:lang w:val="en-US" w:eastAsia="zh-CN" w:bidi="ar"/>
              </w:rPr>
              <w:t>因高速已通车，进入隧道测量需要的相关审批、通行、监护等一切高速配合费用，由投标单位自行负责，高速配合费用暂估10万元。</w:t>
            </w:r>
          </w:p>
        </w:tc>
      </w:tr>
    </w:tbl>
    <w:p>
      <w:pPr>
        <w:pStyle w:val="45"/>
        <w:spacing w:before="240" w:beforeLines="100" w:line="360" w:lineRule="auto"/>
        <w:ind w:firstLine="482" w:firstLineChars="200"/>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2.5高速桥墩水平位移监测项目(新增)</w:t>
      </w:r>
    </w:p>
    <w:tbl>
      <w:tblPr>
        <w:tblStyle w:val="64"/>
        <w:tblW w:w="8958"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155"/>
        <w:gridCol w:w="2324"/>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155"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内容</w:t>
            </w:r>
          </w:p>
        </w:tc>
        <w:tc>
          <w:tcPr>
            <w:tcW w:w="2155"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2324"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c>
          <w:tcPr>
            <w:tcW w:w="2324" w:type="dxa"/>
            <w:noWrap/>
            <w:vAlign w:val="center"/>
          </w:tcPr>
          <w:p>
            <w:pPr>
              <w:widowControl/>
              <w:adjustRightInd/>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55"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高速桥墩水平位移</w:t>
            </w:r>
          </w:p>
        </w:tc>
        <w:tc>
          <w:tcPr>
            <w:tcW w:w="2155" w:type="dxa"/>
            <w:noWrap/>
            <w:vAlign w:val="center"/>
          </w:tcPr>
          <w:p>
            <w:pPr>
              <w:widowControl/>
              <w:adjustRightInd/>
              <w:jc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112</w:t>
            </w:r>
          </w:p>
        </w:tc>
        <w:tc>
          <w:tcPr>
            <w:tcW w:w="2324"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临近本工程线路两侧15m范围内每个桥墩一个测点。</w:t>
            </w:r>
          </w:p>
        </w:tc>
        <w:tc>
          <w:tcPr>
            <w:tcW w:w="2324" w:type="dxa"/>
            <w:noWrap/>
            <w:vAlign w:val="center"/>
          </w:tcPr>
          <w:p>
            <w:pPr>
              <w:widowControl/>
              <w:adjustRightInd/>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000000"/>
                <w:kern w:val="0"/>
                <w:sz w:val="22"/>
                <w:szCs w:val="22"/>
                <w:highlight w:val="none"/>
                <w:u w:val="none"/>
                <w:shd w:val="clear" w:color="auto" w:fill="auto"/>
                <w:lang w:val="en-US" w:eastAsia="zh-CN" w:bidi="ar"/>
              </w:rPr>
              <w:t>测点数量预估,单价不超过600元/点</w:t>
            </w:r>
          </w:p>
        </w:tc>
      </w:tr>
    </w:tbl>
    <w:p>
      <w:pPr>
        <w:pStyle w:val="45"/>
        <w:spacing w:before="240" w:beforeLines="100" w:line="360" w:lineRule="auto"/>
        <w:ind w:firstLine="482" w:firstLineChars="200"/>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2.6高速路基挡墙段沉降监测项目(新增)</w:t>
      </w:r>
    </w:p>
    <w:tbl>
      <w:tblPr>
        <w:tblStyle w:val="64"/>
        <w:tblW w:w="8978"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gridCol w:w="2329"/>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160"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内容</w:t>
            </w:r>
          </w:p>
        </w:tc>
        <w:tc>
          <w:tcPr>
            <w:tcW w:w="2160"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2329"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c>
          <w:tcPr>
            <w:tcW w:w="2329" w:type="dxa"/>
            <w:noWrap/>
            <w:vAlign w:val="center"/>
          </w:tcPr>
          <w:p>
            <w:pPr>
              <w:widowControl/>
              <w:adjustRightInd/>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0" w:type="dxa"/>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高速路基挡墙段沉降</w:t>
            </w:r>
          </w:p>
        </w:tc>
        <w:tc>
          <w:tcPr>
            <w:tcW w:w="2160" w:type="dxa"/>
            <w:noWrap/>
            <w:vAlign w:val="center"/>
          </w:tcPr>
          <w:p>
            <w:pPr>
              <w:widowControl/>
              <w:adjustRightInd/>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2329" w:type="dxa"/>
            <w:noWrap/>
            <w:vAlign w:val="center"/>
          </w:tcPr>
          <w:p>
            <w:pPr>
              <w:widowControl/>
              <w:adjustRightInd/>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临近本工程线路两侧20m范围内每20m一个测点。</w:t>
            </w:r>
          </w:p>
        </w:tc>
        <w:tc>
          <w:tcPr>
            <w:tcW w:w="2329" w:type="dxa"/>
            <w:noWrap/>
            <w:vAlign w:val="center"/>
          </w:tcPr>
          <w:p>
            <w:pPr>
              <w:widowControl/>
              <w:adjustRightInd/>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000000"/>
                <w:kern w:val="0"/>
                <w:sz w:val="22"/>
                <w:szCs w:val="22"/>
                <w:highlight w:val="none"/>
                <w:u w:val="none"/>
                <w:shd w:val="clear" w:color="auto" w:fill="auto"/>
                <w:lang w:val="en-US" w:eastAsia="zh-CN" w:bidi="ar"/>
              </w:rPr>
              <w:t>测点数量预估,单价不超过600元/点</w:t>
            </w:r>
          </w:p>
        </w:tc>
      </w:tr>
    </w:tbl>
    <w:p>
      <w:pPr>
        <w:pStyle w:val="45"/>
        <w:keepNext w:val="0"/>
        <w:keepLines w:val="0"/>
        <w:pageBreakBefore w:val="0"/>
        <w:widowControl w:val="0"/>
        <w:kinsoku/>
        <w:wordWrap/>
        <w:overflowPunct/>
        <w:topLinePunct w:val="0"/>
        <w:autoSpaceDE/>
        <w:autoSpaceDN/>
        <w:bidi w:val="0"/>
        <w:adjustRightInd w:val="0"/>
        <w:snapToGrid/>
        <w:spacing w:before="157" w:beforeLines="50" w:line="360" w:lineRule="auto"/>
        <w:ind w:firstLine="493"/>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以上数据仅对现有图纸进行预测，具体点位根据最终图纸及专项论证方案将有微调，</w:t>
      </w:r>
      <w:r>
        <w:rPr>
          <w:rFonts w:hint="eastAsia" w:ascii="仿宋" w:hAnsi="仿宋" w:eastAsia="仿宋" w:cs="仿宋"/>
          <w:b/>
          <w:bCs/>
          <w:color w:val="auto"/>
          <w:sz w:val="24"/>
          <w:highlight w:val="none"/>
          <w:lang w:eastAsia="zh-CN"/>
        </w:rPr>
        <w:t>如需要增减点位，</w:t>
      </w:r>
      <w:r>
        <w:rPr>
          <w:rFonts w:hint="eastAsia" w:ascii="仿宋" w:hAnsi="仿宋" w:eastAsia="仿宋" w:cs="仿宋"/>
          <w:b/>
          <w:bCs/>
          <w:color w:val="auto"/>
          <w:sz w:val="24"/>
          <w:highlight w:val="none"/>
        </w:rPr>
        <w:t>最终费用按现场实际数据</w:t>
      </w:r>
      <w:r>
        <w:rPr>
          <w:rFonts w:hint="eastAsia" w:ascii="仿宋" w:hAnsi="仿宋" w:eastAsia="仿宋" w:cs="仿宋"/>
          <w:b/>
          <w:bCs/>
          <w:color w:val="auto"/>
          <w:sz w:val="24"/>
          <w:highlight w:val="none"/>
          <w:lang w:eastAsia="zh-CN"/>
        </w:rPr>
        <w:t>结合各项单价确定。</w:t>
      </w:r>
    </w:p>
    <w:p>
      <w:pPr>
        <w:pStyle w:val="45"/>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3、服务内容：</w:t>
      </w:r>
    </w:p>
    <w:p>
      <w:pPr>
        <w:pStyle w:val="45"/>
        <w:spacing w:line="360" w:lineRule="auto"/>
        <w:ind w:firstLine="48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t>供应商必须根据工程进展，</w:t>
      </w:r>
      <w:r>
        <w:rPr>
          <w:rFonts w:hint="eastAsia" w:ascii="仿宋" w:hAnsi="仿宋" w:eastAsia="仿宋" w:cs="仿宋"/>
          <w:color w:val="auto"/>
          <w:sz w:val="24"/>
          <w:highlight w:val="none"/>
          <w:lang w:val="en-US" w:eastAsia="zh-CN"/>
        </w:rPr>
        <w:t>根据相关规范</w:t>
      </w:r>
      <w:r>
        <w:rPr>
          <w:rFonts w:hint="eastAsia" w:ascii="仿宋" w:hAnsi="仿宋" w:eastAsia="仿宋" w:cs="仿宋"/>
          <w:color w:val="auto"/>
          <w:sz w:val="24"/>
          <w:highlight w:val="none"/>
        </w:rPr>
        <w:t>及时对于相关要求进行详细检测并形成书面成果文件按规定时限提交采购人。</w:t>
      </w:r>
      <w:r>
        <w:rPr>
          <w:rFonts w:hint="eastAsia" w:ascii="仿宋" w:hAnsi="仿宋" w:eastAsia="仿宋" w:cs="仿宋"/>
          <w:color w:val="auto"/>
          <w:sz w:val="24"/>
          <w:highlight w:val="none"/>
        </w:rPr>
        <w:br w:type="textWrapping"/>
      </w:r>
      <w:r>
        <w:rPr>
          <w:rFonts w:hint="eastAsia" w:ascii="仿宋" w:hAnsi="仿宋" w:eastAsia="仿宋" w:cs="仿宋"/>
          <w:b/>
          <w:color w:val="auto"/>
          <w:sz w:val="28"/>
          <w:szCs w:val="28"/>
          <w:highlight w:val="none"/>
        </w:rPr>
        <w:t>二、商务需求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1、服务期：按采购人要求，完成基坑监测</w:t>
      </w:r>
      <w:r>
        <w:rPr>
          <w:rFonts w:hint="eastAsia" w:ascii="仿宋" w:hAnsi="仿宋" w:eastAsia="仿宋" w:cs="仿宋"/>
          <w:b/>
          <w:bCs/>
          <w:color w:val="auto"/>
          <w:sz w:val="24"/>
          <w:highlight w:val="none"/>
          <w:lang w:eastAsia="zh-CN"/>
        </w:rPr>
        <w:t>及</w:t>
      </w:r>
      <w:r>
        <w:rPr>
          <w:rFonts w:hint="eastAsia" w:ascii="仿宋" w:hAnsi="仿宋" w:eastAsia="仿宋" w:cs="仿宋"/>
          <w:b/>
          <w:bCs/>
          <w:color w:val="auto"/>
          <w:sz w:val="24"/>
          <w:highlight w:val="none"/>
        </w:rPr>
        <w:t>沉降观测，请各供应商合理安排人员。</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2、质量要求：达到现行国家有关工程施工验收规范和标准的合格要求及采购人要求。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3、本项目在实施期间如遇国家政策性调价，市场材料价格发生变化等，本项目成交单价均不予调整。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充分考虑监测期间各类价格的风险、物价上涨因素、国家政策性调整风险和自然条件，成交单价一次性包干，今后不作任何调整。如建安工程工期延长导致监测周期延长等费用已包含在成交单价内。成交单价已包含完成本项目基坑监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沉降观测工作并形成书面成果报告可能发生的所有费用，包括但不限于：设备的租赁（或购置）费、设备的进退场费及使用费、材料费、人工费、机械费、检测费、交通费、利润、管理费、税金、检测所需的措施费、检测服务所需制作安装费、现场水电费、保险费、社保税金、风险费、成果资料费、专家会审费、场地恢复费及与各单位协调产生的费用等。如需土建单位配合的，相应配合费一次性包干，包含在报价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5、本项目由成交单位实行总承包，不得转包，一旦发现转包者，采购人有权终止承包合同，并向成交单位索赔成交造价 10%的违约金。</w:t>
      </w:r>
      <w:r>
        <w:rPr>
          <w:rFonts w:hint="eastAsia" w:ascii="仿宋" w:hAnsi="仿宋" w:eastAsia="仿宋" w:cs="仿宋"/>
          <w:color w:val="auto"/>
          <w:sz w:val="24"/>
          <w:highlight w:val="none"/>
        </w:rPr>
        <w:br w:type="textWrapping"/>
      </w:r>
      <w:r>
        <w:rPr>
          <w:rFonts w:hint="eastAsia" w:ascii="仿宋" w:hAnsi="仿宋" w:eastAsia="仿宋" w:cs="仿宋"/>
          <w:b/>
          <w:bCs/>
          <w:color w:val="auto"/>
          <w:sz w:val="24"/>
          <w:highlight w:val="none"/>
        </w:rPr>
        <w:t xml:space="preserve">    6、付款方式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（1）合同签订前，成交人向采购人提交成交价的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%作为履约保证金；</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项目预付款为合同价的20%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全部完成并提交符合要求的报告后，支付至</w:t>
      </w:r>
      <w:r>
        <w:rPr>
          <w:rFonts w:hint="eastAsia" w:ascii="仿宋" w:hAnsi="仿宋" w:eastAsia="仿宋" w:cs="仿宋"/>
          <w:color w:val="auto"/>
          <w:sz w:val="24"/>
          <w:highlight w:val="none"/>
          <w:lang w:val="en-US" w:eastAsia="zh-CN"/>
        </w:rPr>
        <w:t>合同价的7</w:t>
      </w:r>
      <w:r>
        <w:rPr>
          <w:rFonts w:hint="eastAsia" w:ascii="仿宋" w:hAnsi="仿宋" w:eastAsia="仿宋" w:cs="仿宋"/>
          <w:color w:val="auto"/>
          <w:sz w:val="24"/>
          <w:highlight w:val="none"/>
        </w:rPr>
        <w:t>0%，剩余</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0%待项目竣工验收合格后支付；所有费用支付完成，退还履约保证金，履约保证金不计息</w:t>
      </w:r>
      <w:r>
        <w:rPr>
          <w:rFonts w:hint="eastAsia" w:ascii="仿宋" w:hAnsi="仿宋" w:eastAsia="仿宋" w:cs="仿宋"/>
          <w:color w:val="auto"/>
          <w:sz w:val="24"/>
          <w:highlight w:val="none"/>
          <w:lang w:val="en-US" w:eastAsia="zh-CN"/>
        </w:rPr>
        <w:t>。检测过程、报告等不符合高速运营单位等相关单位要求的，或检测结果不客观、不真实的，采购人有权扣除相应检测费用。</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7、结算方式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最终按实际完成工程量*成交单价进行结算。</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注：最终结算价不得超过最高限价，即</w:t>
      </w:r>
      <w:r>
        <w:rPr>
          <w:rFonts w:hint="eastAsia" w:ascii="仿宋" w:hAnsi="仿宋" w:eastAsia="仿宋" w:cs="仿宋"/>
          <w:b/>
          <w:bCs/>
          <w:sz w:val="24"/>
          <w:szCs w:val="24"/>
          <w:highlight w:val="none"/>
          <w:lang w:val="en-US" w:eastAsia="zh-CN"/>
        </w:rPr>
        <w:t>2000000元</w:t>
      </w:r>
      <w:r>
        <w:rPr>
          <w:rFonts w:hint="eastAsia" w:ascii="仿宋" w:hAnsi="仿宋" w:eastAsia="仿宋" w:cs="仿宋"/>
          <w:b/>
          <w:bCs/>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注：</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1、如有附图，仅作参考。</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2、打▲内容为实质性要求，不允许有负偏离，否则将以涉及无效投标条款作无效投标。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sz w:val="24"/>
          <w:highlight w:val="none"/>
        </w:rPr>
        <w:t>3、中标人所提供的货物、服务须与投标承诺一致，不得以次充好、偷工减料，若在项目验收中发现有上述情况，将向有关部门举报，根据相关规定进行处理。</w:t>
      </w:r>
      <w:r>
        <w:rPr>
          <w:rFonts w:hint="eastAsia" w:ascii="仿宋" w:hAnsi="仿宋" w:eastAsia="仿宋" w:cs="仿宋"/>
          <w:b/>
          <w:color w:val="auto"/>
          <w:sz w:val="28"/>
          <w:szCs w:val="28"/>
          <w:highlight w:val="none"/>
          <w:lang w:val="en-US" w:eastAsia="zh-CN"/>
        </w:rPr>
        <w:br w:type="page"/>
      </w: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第</w:t>
      </w:r>
      <w:r>
        <w:rPr>
          <w:rFonts w:hint="eastAsia" w:ascii="仿宋" w:hAnsi="仿宋" w:eastAsia="仿宋" w:cs="仿宋"/>
          <w:b/>
          <w:color w:val="auto"/>
          <w:sz w:val="36"/>
          <w:szCs w:val="36"/>
          <w:highlight w:val="none"/>
        </w:rPr>
        <w:t xml:space="preserve">四部分   </w:t>
      </w:r>
      <w:bookmarkStart w:id="16" w:name="_Toc184314415"/>
      <w:bookmarkEnd w:id="16"/>
      <w:bookmarkStart w:id="17" w:name="_Toc184314470"/>
      <w:bookmarkEnd w:id="17"/>
      <w:bookmarkStart w:id="18" w:name="_Toc184310303"/>
      <w:bookmarkEnd w:id="18"/>
      <w:bookmarkStart w:id="19" w:name="_Toc184313281"/>
      <w:bookmarkEnd w:id="19"/>
      <w:bookmarkStart w:id="20" w:name="_Toc184314480"/>
      <w:bookmarkEnd w:id="20"/>
      <w:bookmarkStart w:id="21" w:name="_Toc184314454"/>
      <w:bookmarkEnd w:id="21"/>
      <w:bookmarkStart w:id="22" w:name="_Toc184308064"/>
      <w:bookmarkEnd w:id="22"/>
      <w:bookmarkStart w:id="23" w:name="_Toc184310320"/>
      <w:bookmarkEnd w:id="23"/>
      <w:bookmarkStart w:id="24" w:name="_Toc184308096"/>
      <w:bookmarkEnd w:id="24"/>
      <w:bookmarkStart w:id="25" w:name="_Toc184314433"/>
      <w:bookmarkEnd w:id="25"/>
      <w:bookmarkStart w:id="26" w:name="_Toc184312075"/>
      <w:bookmarkEnd w:id="26"/>
      <w:bookmarkStart w:id="27" w:name="_Toc184310282"/>
      <w:bookmarkEnd w:id="27"/>
      <w:bookmarkStart w:id="28" w:name="_Toc184308054"/>
      <w:bookmarkEnd w:id="28"/>
      <w:bookmarkStart w:id="29" w:name="_Toc184310294"/>
      <w:bookmarkEnd w:id="29"/>
      <w:bookmarkStart w:id="30" w:name="_Toc184312111"/>
      <w:bookmarkEnd w:id="30"/>
      <w:bookmarkStart w:id="31" w:name="_Toc184308039"/>
      <w:bookmarkEnd w:id="31"/>
      <w:bookmarkStart w:id="32" w:name="_Toc184312129"/>
      <w:bookmarkEnd w:id="32"/>
      <w:bookmarkStart w:id="33" w:name="_Toc184308070"/>
      <w:bookmarkEnd w:id="33"/>
      <w:bookmarkStart w:id="34" w:name="_Toc184313270"/>
      <w:bookmarkEnd w:id="34"/>
      <w:bookmarkStart w:id="35" w:name="_Toc184312134"/>
      <w:bookmarkEnd w:id="35"/>
      <w:bookmarkStart w:id="36" w:name="_Toc184312130"/>
      <w:bookmarkEnd w:id="36"/>
      <w:bookmarkStart w:id="37" w:name="_Toc184313274"/>
      <w:bookmarkEnd w:id="37"/>
      <w:bookmarkStart w:id="38" w:name="_Toc184310283"/>
      <w:bookmarkEnd w:id="38"/>
      <w:bookmarkStart w:id="39" w:name="_Toc184312069"/>
      <w:bookmarkEnd w:id="39"/>
      <w:bookmarkStart w:id="40" w:name="_Toc184312087"/>
      <w:bookmarkEnd w:id="40"/>
      <w:bookmarkStart w:id="41" w:name="_Toc184312081"/>
      <w:bookmarkEnd w:id="41"/>
      <w:bookmarkStart w:id="42" w:name="_Toc184310331"/>
      <w:bookmarkEnd w:id="42"/>
      <w:bookmarkStart w:id="43" w:name="_Toc184313297"/>
      <w:bookmarkEnd w:id="43"/>
      <w:bookmarkStart w:id="44" w:name="_Toc184308087"/>
      <w:bookmarkEnd w:id="44"/>
      <w:bookmarkStart w:id="45" w:name="_Toc184310310"/>
      <w:bookmarkEnd w:id="45"/>
      <w:bookmarkStart w:id="46" w:name="_Toc184313240"/>
      <w:bookmarkEnd w:id="46"/>
      <w:bookmarkStart w:id="47" w:name="_Toc184308038"/>
      <w:bookmarkEnd w:id="47"/>
      <w:bookmarkStart w:id="48" w:name="_Toc184313303"/>
      <w:bookmarkEnd w:id="48"/>
      <w:bookmarkStart w:id="49" w:name="_Toc184310295"/>
      <w:bookmarkEnd w:id="49"/>
      <w:bookmarkStart w:id="50" w:name="_Toc184312091"/>
      <w:bookmarkEnd w:id="50"/>
      <w:bookmarkStart w:id="51" w:name="_Toc184313293"/>
      <w:bookmarkEnd w:id="51"/>
      <w:bookmarkStart w:id="52" w:name="_Toc184313249"/>
      <w:bookmarkEnd w:id="52"/>
      <w:bookmarkStart w:id="53" w:name="_Toc184313295"/>
      <w:bookmarkEnd w:id="53"/>
      <w:bookmarkStart w:id="54" w:name="_Toc184312088"/>
      <w:bookmarkEnd w:id="54"/>
      <w:bookmarkStart w:id="55" w:name="_Toc184313241"/>
      <w:bookmarkEnd w:id="55"/>
      <w:bookmarkStart w:id="56" w:name="_Toc184310299"/>
      <w:bookmarkEnd w:id="56"/>
      <w:bookmarkStart w:id="57" w:name="_Toc184308051"/>
      <w:bookmarkEnd w:id="57"/>
      <w:bookmarkStart w:id="58" w:name="_Toc184310329"/>
      <w:bookmarkEnd w:id="58"/>
      <w:bookmarkStart w:id="59" w:name="_Toc184314455"/>
      <w:bookmarkEnd w:id="59"/>
      <w:bookmarkStart w:id="60" w:name="_Toc184312125"/>
      <w:bookmarkEnd w:id="60"/>
      <w:bookmarkStart w:id="61" w:name="_Toc184312094"/>
      <w:bookmarkEnd w:id="61"/>
      <w:bookmarkStart w:id="62" w:name="_Toc184314438"/>
      <w:bookmarkEnd w:id="62"/>
      <w:bookmarkStart w:id="63" w:name="_Toc184313306"/>
      <w:bookmarkEnd w:id="63"/>
      <w:bookmarkStart w:id="64" w:name="_Toc184310323"/>
      <w:bookmarkEnd w:id="64"/>
      <w:bookmarkStart w:id="65" w:name="_Toc184313261"/>
      <w:bookmarkEnd w:id="65"/>
      <w:bookmarkStart w:id="66" w:name="_Toc184314459"/>
      <w:bookmarkEnd w:id="66"/>
      <w:bookmarkStart w:id="67" w:name="_Toc184310334"/>
      <w:bookmarkEnd w:id="67"/>
      <w:bookmarkStart w:id="68" w:name="_Toc184310324"/>
      <w:bookmarkEnd w:id="68"/>
      <w:bookmarkStart w:id="69" w:name="_Toc184313280"/>
      <w:bookmarkEnd w:id="69"/>
      <w:bookmarkStart w:id="70" w:name="_Toc184313266"/>
      <w:bookmarkEnd w:id="70"/>
      <w:bookmarkStart w:id="71" w:name="_Toc184308036"/>
      <w:bookmarkEnd w:id="71"/>
      <w:bookmarkStart w:id="72" w:name="_Toc184308063"/>
      <w:bookmarkEnd w:id="72"/>
      <w:bookmarkStart w:id="73" w:name="_Toc184308091"/>
      <w:bookmarkEnd w:id="73"/>
      <w:bookmarkStart w:id="74" w:name="_Toc184313310"/>
      <w:bookmarkEnd w:id="74"/>
      <w:bookmarkStart w:id="75" w:name="_Toc184310286"/>
      <w:bookmarkEnd w:id="75"/>
      <w:bookmarkStart w:id="76" w:name="_Toc184310316"/>
      <w:bookmarkEnd w:id="76"/>
      <w:bookmarkStart w:id="77" w:name="_Toc184312121"/>
      <w:bookmarkEnd w:id="77"/>
      <w:bookmarkStart w:id="78" w:name="_Toc184313271"/>
      <w:bookmarkEnd w:id="78"/>
      <w:bookmarkStart w:id="79" w:name="_Toc184310333"/>
      <w:bookmarkEnd w:id="79"/>
      <w:bookmarkStart w:id="80" w:name="_Toc184313259"/>
      <w:bookmarkEnd w:id="80"/>
      <w:bookmarkStart w:id="81" w:name="_Toc184314464"/>
      <w:bookmarkEnd w:id="81"/>
      <w:bookmarkStart w:id="82" w:name="_Toc184314456"/>
      <w:bookmarkEnd w:id="82"/>
      <w:bookmarkStart w:id="83" w:name="_Toc184310281"/>
      <w:bookmarkEnd w:id="83"/>
      <w:bookmarkStart w:id="84" w:name="_Toc184312102"/>
      <w:bookmarkEnd w:id="84"/>
      <w:bookmarkStart w:id="85" w:name="_Toc184312082"/>
      <w:bookmarkEnd w:id="85"/>
      <w:bookmarkStart w:id="86" w:name="_Toc184310304"/>
      <w:bookmarkEnd w:id="86"/>
      <w:bookmarkStart w:id="87" w:name="_Toc184314472"/>
      <w:bookmarkEnd w:id="87"/>
      <w:bookmarkStart w:id="88" w:name="_Toc184314450"/>
      <w:bookmarkEnd w:id="88"/>
      <w:bookmarkStart w:id="89" w:name="_Toc184314430"/>
      <w:bookmarkEnd w:id="89"/>
      <w:bookmarkStart w:id="90" w:name="_Toc184310305"/>
      <w:bookmarkEnd w:id="90"/>
      <w:bookmarkStart w:id="91" w:name="_Toc184312105"/>
      <w:bookmarkEnd w:id="91"/>
      <w:bookmarkStart w:id="92" w:name="_Toc184314420"/>
      <w:bookmarkEnd w:id="92"/>
      <w:bookmarkStart w:id="93" w:name="_Toc184314411"/>
      <w:bookmarkEnd w:id="93"/>
      <w:bookmarkStart w:id="94" w:name="_Toc184310318"/>
      <w:bookmarkEnd w:id="94"/>
      <w:bookmarkStart w:id="95" w:name="_Toc184308040"/>
      <w:bookmarkEnd w:id="95"/>
      <w:bookmarkStart w:id="96" w:name="_Toc184310272"/>
      <w:bookmarkEnd w:id="96"/>
      <w:bookmarkStart w:id="97" w:name="_Toc184310301"/>
      <w:bookmarkEnd w:id="97"/>
      <w:bookmarkStart w:id="98" w:name="_Toc184312127"/>
      <w:bookmarkEnd w:id="98"/>
      <w:bookmarkStart w:id="99" w:name="_Toc184310341"/>
      <w:bookmarkEnd w:id="99"/>
      <w:bookmarkStart w:id="100" w:name="_Toc184310339"/>
      <w:bookmarkEnd w:id="100"/>
      <w:bookmarkStart w:id="101" w:name="_Toc184310288"/>
      <w:bookmarkEnd w:id="101"/>
      <w:bookmarkStart w:id="102" w:name="_Toc184314444"/>
      <w:bookmarkEnd w:id="102"/>
      <w:bookmarkStart w:id="103" w:name="_Toc184308082"/>
      <w:bookmarkEnd w:id="103"/>
      <w:bookmarkStart w:id="104" w:name="_Toc184314451"/>
      <w:bookmarkEnd w:id="104"/>
      <w:bookmarkStart w:id="105" w:name="_Toc184313253"/>
      <w:bookmarkEnd w:id="105"/>
      <w:bookmarkStart w:id="106" w:name="_Toc184308044"/>
      <w:bookmarkEnd w:id="106"/>
      <w:bookmarkStart w:id="107" w:name="_Toc184308103"/>
      <w:bookmarkEnd w:id="107"/>
      <w:bookmarkStart w:id="108" w:name="_Toc184313264"/>
      <w:bookmarkEnd w:id="108"/>
      <w:bookmarkStart w:id="109" w:name="_Toc184313283"/>
      <w:bookmarkEnd w:id="109"/>
      <w:bookmarkStart w:id="110" w:name="_Toc184314431"/>
      <w:bookmarkEnd w:id="110"/>
      <w:bookmarkStart w:id="111" w:name="_Toc184313257"/>
      <w:bookmarkEnd w:id="111"/>
      <w:bookmarkStart w:id="112" w:name="_Toc184308053"/>
      <w:bookmarkEnd w:id="112"/>
      <w:bookmarkStart w:id="113" w:name="_Toc184308065"/>
      <w:bookmarkEnd w:id="113"/>
      <w:bookmarkStart w:id="114" w:name="_Toc184313305"/>
      <w:bookmarkEnd w:id="114"/>
      <w:bookmarkStart w:id="115" w:name="_Toc184310311"/>
      <w:bookmarkEnd w:id="115"/>
      <w:bookmarkStart w:id="116" w:name="_Toc184313260"/>
      <w:bookmarkEnd w:id="116"/>
      <w:bookmarkStart w:id="117" w:name="_Toc184313284"/>
      <w:bookmarkEnd w:id="117"/>
      <w:bookmarkStart w:id="118" w:name="_Toc184314432"/>
      <w:bookmarkEnd w:id="118"/>
      <w:bookmarkStart w:id="119" w:name="_Toc184308041"/>
      <w:bookmarkEnd w:id="119"/>
      <w:bookmarkStart w:id="120" w:name="_Toc184313268"/>
      <w:bookmarkEnd w:id="120"/>
      <w:bookmarkStart w:id="121" w:name="_Toc184312108"/>
      <w:bookmarkEnd w:id="121"/>
      <w:bookmarkStart w:id="122" w:name="_Toc184313279"/>
      <w:bookmarkEnd w:id="122"/>
      <w:bookmarkStart w:id="123" w:name="_Toc184312123"/>
      <w:bookmarkEnd w:id="123"/>
      <w:bookmarkStart w:id="124" w:name="_Toc184312139"/>
      <w:bookmarkEnd w:id="124"/>
      <w:bookmarkStart w:id="125" w:name="_Toc184308097"/>
      <w:bookmarkEnd w:id="125"/>
      <w:bookmarkStart w:id="126" w:name="_Toc184310298"/>
      <w:bookmarkEnd w:id="126"/>
      <w:bookmarkStart w:id="127" w:name="_Toc184313300"/>
      <w:bookmarkEnd w:id="127"/>
      <w:bookmarkStart w:id="128" w:name="_Toc184312138"/>
      <w:bookmarkEnd w:id="128"/>
      <w:bookmarkStart w:id="129" w:name="_Toc184313265"/>
      <w:bookmarkEnd w:id="129"/>
      <w:bookmarkStart w:id="130" w:name="_Toc184313269"/>
      <w:bookmarkEnd w:id="130"/>
      <w:bookmarkStart w:id="131" w:name="_Toc184308104"/>
      <w:bookmarkEnd w:id="131"/>
      <w:bookmarkStart w:id="132" w:name="_Toc184313256"/>
      <w:bookmarkEnd w:id="132"/>
      <w:bookmarkStart w:id="133" w:name="_Toc184314441"/>
      <w:bookmarkEnd w:id="133"/>
      <w:bookmarkStart w:id="134" w:name="_Toc184312083"/>
      <w:bookmarkEnd w:id="134"/>
      <w:bookmarkStart w:id="135" w:name="_Toc184312095"/>
      <w:bookmarkEnd w:id="135"/>
      <w:bookmarkStart w:id="136" w:name="_Toc184314474"/>
      <w:bookmarkEnd w:id="136"/>
      <w:bookmarkStart w:id="137" w:name="_Toc184313302"/>
      <w:bookmarkEnd w:id="137"/>
      <w:bookmarkStart w:id="138" w:name="_Toc184308107"/>
      <w:bookmarkEnd w:id="138"/>
      <w:bookmarkStart w:id="139" w:name="_Toc184314418"/>
      <w:bookmarkEnd w:id="139"/>
      <w:bookmarkStart w:id="140" w:name="_Toc184308093"/>
      <w:bookmarkEnd w:id="140"/>
      <w:bookmarkStart w:id="141" w:name="_Toc184314461"/>
      <w:bookmarkEnd w:id="141"/>
      <w:bookmarkStart w:id="142" w:name="_Toc184314424"/>
      <w:bookmarkEnd w:id="142"/>
      <w:bookmarkStart w:id="143" w:name="_Toc184312120"/>
      <w:bookmarkEnd w:id="143"/>
      <w:bookmarkStart w:id="144" w:name="_Toc184310322"/>
      <w:bookmarkEnd w:id="144"/>
      <w:bookmarkStart w:id="145" w:name="_Toc184310327"/>
      <w:bookmarkEnd w:id="145"/>
      <w:bookmarkStart w:id="146" w:name="_Toc184312107"/>
      <w:bookmarkEnd w:id="146"/>
      <w:bookmarkStart w:id="147" w:name="_Toc184308100"/>
      <w:bookmarkEnd w:id="147"/>
      <w:bookmarkStart w:id="148" w:name="_Toc184308071"/>
      <w:bookmarkEnd w:id="148"/>
      <w:bookmarkStart w:id="149" w:name="_Toc184308079"/>
      <w:bookmarkEnd w:id="149"/>
      <w:bookmarkStart w:id="150" w:name="_Toc184312076"/>
      <w:bookmarkEnd w:id="150"/>
      <w:bookmarkStart w:id="151" w:name="_Toc184314465"/>
      <w:bookmarkEnd w:id="151"/>
      <w:bookmarkStart w:id="152" w:name="_Toc184310292"/>
      <w:bookmarkEnd w:id="152"/>
      <w:bookmarkStart w:id="153" w:name="_Toc184308102"/>
      <w:bookmarkEnd w:id="153"/>
      <w:bookmarkStart w:id="154" w:name="_Toc184310284"/>
      <w:bookmarkEnd w:id="154"/>
      <w:bookmarkStart w:id="155" w:name="_Toc184312092"/>
      <w:bookmarkEnd w:id="155"/>
      <w:bookmarkStart w:id="156" w:name="_Toc184312080"/>
      <w:bookmarkEnd w:id="156"/>
      <w:bookmarkStart w:id="157" w:name="_Toc184313276"/>
      <w:bookmarkEnd w:id="157"/>
      <w:bookmarkStart w:id="158" w:name="_Toc184312106"/>
      <w:bookmarkEnd w:id="158"/>
      <w:bookmarkStart w:id="159" w:name="_Toc184313299"/>
      <w:bookmarkEnd w:id="159"/>
      <w:bookmarkStart w:id="160" w:name="_Toc184313247"/>
      <w:bookmarkEnd w:id="160"/>
      <w:bookmarkStart w:id="161" w:name="_Toc184308049"/>
      <w:bookmarkEnd w:id="161"/>
      <w:bookmarkStart w:id="162" w:name="_Toc184310285"/>
      <w:bookmarkEnd w:id="162"/>
      <w:bookmarkStart w:id="163" w:name="_Toc184314421"/>
      <w:bookmarkEnd w:id="163"/>
      <w:bookmarkStart w:id="164" w:name="_Toc184308077"/>
      <w:bookmarkEnd w:id="164"/>
      <w:bookmarkStart w:id="165" w:name="_Toc184310278"/>
      <w:bookmarkEnd w:id="165"/>
      <w:bookmarkStart w:id="166" w:name="_Toc184312078"/>
      <w:bookmarkEnd w:id="166"/>
      <w:bookmarkStart w:id="167" w:name="_Toc184312097"/>
      <w:bookmarkEnd w:id="167"/>
      <w:bookmarkStart w:id="168" w:name="_Toc184313243"/>
      <w:bookmarkEnd w:id="168"/>
      <w:bookmarkStart w:id="169" w:name="_Toc184312124"/>
      <w:bookmarkEnd w:id="169"/>
      <w:bookmarkStart w:id="170" w:name="_Toc184313277"/>
      <w:bookmarkEnd w:id="170"/>
      <w:bookmarkStart w:id="171" w:name="_Toc184314478"/>
      <w:bookmarkEnd w:id="171"/>
      <w:bookmarkStart w:id="172" w:name="_Toc184313298"/>
      <w:bookmarkEnd w:id="172"/>
      <w:bookmarkStart w:id="173" w:name="_Toc184312085"/>
      <w:bookmarkEnd w:id="173"/>
      <w:bookmarkStart w:id="174" w:name="_Toc184313285"/>
      <w:bookmarkEnd w:id="174"/>
      <w:bookmarkStart w:id="175" w:name="_Toc184314482"/>
      <w:bookmarkEnd w:id="175"/>
      <w:bookmarkStart w:id="176" w:name="_Toc184310308"/>
      <w:bookmarkEnd w:id="176"/>
      <w:bookmarkStart w:id="177" w:name="_Toc184310277"/>
      <w:bookmarkEnd w:id="177"/>
      <w:bookmarkStart w:id="178" w:name="_Toc184314447"/>
      <w:bookmarkEnd w:id="178"/>
      <w:bookmarkStart w:id="179" w:name="_Toc184313307"/>
      <w:bookmarkEnd w:id="179"/>
      <w:bookmarkStart w:id="180" w:name="_Toc184308059"/>
      <w:bookmarkEnd w:id="180"/>
      <w:bookmarkStart w:id="181" w:name="_Toc184308043"/>
      <w:bookmarkEnd w:id="181"/>
      <w:bookmarkStart w:id="182" w:name="_Toc184312114"/>
      <w:bookmarkEnd w:id="182"/>
      <w:bookmarkStart w:id="183" w:name="_Toc184310297"/>
      <w:bookmarkEnd w:id="183"/>
      <w:bookmarkStart w:id="184" w:name="_Toc184310300"/>
      <w:bookmarkEnd w:id="184"/>
      <w:bookmarkStart w:id="185" w:name="_Toc184313244"/>
      <w:bookmarkEnd w:id="185"/>
      <w:bookmarkStart w:id="186" w:name="_Toc184308042"/>
      <w:bookmarkEnd w:id="186"/>
      <w:bookmarkStart w:id="187" w:name="_Toc184313239"/>
      <w:bookmarkEnd w:id="187"/>
      <w:bookmarkStart w:id="188" w:name="_Toc184314473"/>
      <w:bookmarkEnd w:id="188"/>
      <w:bookmarkStart w:id="189" w:name="_Toc184308047"/>
      <w:bookmarkEnd w:id="189"/>
      <w:bookmarkStart w:id="190" w:name="_Toc184312079"/>
      <w:bookmarkEnd w:id="190"/>
      <w:bookmarkStart w:id="191" w:name="_Toc184314417"/>
      <w:bookmarkEnd w:id="191"/>
      <w:bookmarkStart w:id="192" w:name="_Toc184308074"/>
      <w:bookmarkEnd w:id="192"/>
      <w:bookmarkStart w:id="193" w:name="_Toc184310326"/>
      <w:bookmarkEnd w:id="193"/>
      <w:bookmarkStart w:id="194" w:name="_Toc184313287"/>
      <w:bookmarkEnd w:id="194"/>
      <w:bookmarkStart w:id="195" w:name="_Toc184310293"/>
      <w:bookmarkEnd w:id="195"/>
      <w:bookmarkStart w:id="196" w:name="_Toc184313278"/>
      <w:bookmarkEnd w:id="196"/>
      <w:bookmarkStart w:id="197" w:name="_Toc184312132"/>
      <w:bookmarkEnd w:id="197"/>
      <w:bookmarkStart w:id="198" w:name="_Toc184308108"/>
      <w:bookmarkEnd w:id="198"/>
      <w:bookmarkStart w:id="199" w:name="_Toc184312072"/>
      <w:bookmarkEnd w:id="199"/>
      <w:bookmarkStart w:id="200" w:name="_Toc184312096"/>
      <w:bookmarkEnd w:id="200"/>
      <w:bookmarkStart w:id="201" w:name="_Toc184312099"/>
      <w:bookmarkEnd w:id="201"/>
      <w:bookmarkStart w:id="202" w:name="_Toc184308094"/>
      <w:bookmarkEnd w:id="202"/>
      <w:bookmarkStart w:id="203" w:name="_Toc184314462"/>
      <w:bookmarkEnd w:id="203"/>
      <w:bookmarkStart w:id="204" w:name="_Toc184312086"/>
      <w:bookmarkEnd w:id="204"/>
      <w:bookmarkStart w:id="205" w:name="_Toc184310302"/>
      <w:bookmarkEnd w:id="205"/>
      <w:bookmarkStart w:id="206" w:name="_Toc184310313"/>
      <w:bookmarkEnd w:id="206"/>
      <w:bookmarkStart w:id="207" w:name="_Toc184310312"/>
      <w:bookmarkEnd w:id="207"/>
      <w:bookmarkStart w:id="208" w:name="_Toc184308037"/>
      <w:bookmarkEnd w:id="208"/>
      <w:bookmarkStart w:id="209" w:name="_Toc184308062"/>
      <w:bookmarkEnd w:id="209"/>
      <w:bookmarkStart w:id="210" w:name="_Toc184314477"/>
      <w:bookmarkEnd w:id="210"/>
      <w:bookmarkStart w:id="211" w:name="_Toc184313296"/>
      <w:bookmarkEnd w:id="211"/>
      <w:bookmarkStart w:id="212" w:name="_Toc184310296"/>
      <w:bookmarkEnd w:id="212"/>
      <w:bookmarkStart w:id="213" w:name="_Toc184310290"/>
      <w:bookmarkEnd w:id="213"/>
      <w:bookmarkStart w:id="214" w:name="_Toc184310335"/>
      <w:bookmarkEnd w:id="214"/>
      <w:bookmarkStart w:id="215" w:name="_Toc184312113"/>
      <w:bookmarkEnd w:id="215"/>
      <w:bookmarkStart w:id="216" w:name="_Toc184314452"/>
      <w:bookmarkEnd w:id="216"/>
      <w:bookmarkStart w:id="217" w:name="_Toc184313273"/>
      <w:bookmarkEnd w:id="217"/>
      <w:bookmarkStart w:id="218" w:name="_Toc184312084"/>
      <w:bookmarkEnd w:id="218"/>
      <w:bookmarkStart w:id="219" w:name="_Toc184308072"/>
      <w:bookmarkEnd w:id="219"/>
      <w:bookmarkStart w:id="220" w:name="_Toc184312136"/>
      <w:bookmarkEnd w:id="220"/>
      <w:bookmarkStart w:id="221" w:name="_Toc184313288"/>
      <w:bookmarkEnd w:id="221"/>
      <w:bookmarkStart w:id="222" w:name="_Toc184310321"/>
      <w:bookmarkEnd w:id="222"/>
      <w:bookmarkStart w:id="223" w:name="_Toc184314423"/>
      <w:bookmarkEnd w:id="223"/>
      <w:bookmarkStart w:id="224" w:name="_Toc184308073"/>
      <w:bookmarkEnd w:id="224"/>
      <w:bookmarkStart w:id="225" w:name="_Toc184312074"/>
      <w:bookmarkEnd w:id="225"/>
      <w:bookmarkStart w:id="226" w:name="_Toc184313258"/>
      <w:bookmarkEnd w:id="226"/>
      <w:bookmarkStart w:id="227" w:name="_Toc184312116"/>
      <w:bookmarkEnd w:id="227"/>
      <w:bookmarkStart w:id="228" w:name="_Toc184310314"/>
      <w:bookmarkEnd w:id="228"/>
      <w:bookmarkStart w:id="229" w:name="_Toc184314445"/>
      <w:bookmarkEnd w:id="229"/>
      <w:bookmarkStart w:id="230" w:name="_Toc184313255"/>
      <w:bookmarkEnd w:id="230"/>
      <w:bookmarkStart w:id="231" w:name="_Toc184308058"/>
      <w:bookmarkEnd w:id="231"/>
      <w:bookmarkStart w:id="232" w:name="_Toc184310307"/>
      <w:bookmarkEnd w:id="232"/>
      <w:bookmarkStart w:id="233" w:name="_Toc184313250"/>
      <w:bookmarkEnd w:id="233"/>
      <w:bookmarkStart w:id="234" w:name="_Toc184308052"/>
      <w:bookmarkEnd w:id="234"/>
      <w:bookmarkStart w:id="235" w:name="_Toc184308078"/>
      <w:bookmarkEnd w:id="235"/>
      <w:bookmarkStart w:id="236" w:name="_Toc184310336"/>
      <w:bookmarkEnd w:id="236"/>
      <w:bookmarkStart w:id="237" w:name="_Toc184308068"/>
      <w:bookmarkEnd w:id="237"/>
      <w:bookmarkStart w:id="238" w:name="_Toc184310273"/>
      <w:bookmarkEnd w:id="238"/>
      <w:bookmarkStart w:id="239" w:name="_Toc184314479"/>
      <w:bookmarkEnd w:id="239"/>
      <w:bookmarkStart w:id="240" w:name="_Toc184308061"/>
      <w:bookmarkEnd w:id="240"/>
      <w:bookmarkStart w:id="241" w:name="_Toc184310276"/>
      <w:bookmarkEnd w:id="241"/>
      <w:bookmarkStart w:id="242" w:name="_Toc184314467"/>
      <w:bookmarkEnd w:id="242"/>
      <w:bookmarkStart w:id="243" w:name="_Toc184310328"/>
      <w:bookmarkEnd w:id="243"/>
      <w:bookmarkStart w:id="244" w:name="_Toc184312122"/>
      <w:bookmarkEnd w:id="244"/>
      <w:bookmarkStart w:id="245" w:name="_Toc184313308"/>
      <w:bookmarkEnd w:id="245"/>
      <w:bookmarkStart w:id="246" w:name="_Toc184314446"/>
      <w:bookmarkEnd w:id="246"/>
      <w:bookmarkStart w:id="247" w:name="_Toc184312090"/>
      <w:bookmarkEnd w:id="247"/>
      <w:bookmarkStart w:id="248" w:name="_Toc184313291"/>
      <w:bookmarkEnd w:id="248"/>
      <w:bookmarkStart w:id="249" w:name="_Toc184308057"/>
      <w:bookmarkEnd w:id="249"/>
      <w:bookmarkStart w:id="250" w:name="_Toc184313289"/>
      <w:bookmarkEnd w:id="250"/>
      <w:bookmarkStart w:id="251" w:name="_Toc184310287"/>
      <w:bookmarkEnd w:id="251"/>
      <w:bookmarkStart w:id="252" w:name="_Toc184312098"/>
      <w:bookmarkEnd w:id="252"/>
      <w:bookmarkStart w:id="253" w:name="_Toc184313238"/>
      <w:bookmarkEnd w:id="253"/>
      <w:bookmarkStart w:id="254" w:name="_Toc184313301"/>
      <w:bookmarkEnd w:id="254"/>
      <w:bookmarkStart w:id="255" w:name="_Toc184312104"/>
      <w:bookmarkEnd w:id="255"/>
      <w:bookmarkStart w:id="256" w:name="_Toc184314419"/>
      <w:bookmarkEnd w:id="256"/>
      <w:bookmarkStart w:id="257" w:name="_Toc184308095"/>
      <w:bookmarkEnd w:id="257"/>
      <w:bookmarkStart w:id="258" w:name="_Toc184314481"/>
      <w:bookmarkEnd w:id="258"/>
      <w:bookmarkStart w:id="259" w:name="_Toc184313242"/>
      <w:bookmarkEnd w:id="259"/>
      <w:bookmarkStart w:id="260" w:name="_Toc184310275"/>
      <w:bookmarkEnd w:id="260"/>
      <w:bookmarkStart w:id="261" w:name="_Toc184314422"/>
      <w:bookmarkEnd w:id="261"/>
      <w:bookmarkStart w:id="262" w:name="_Toc184308085"/>
      <w:bookmarkEnd w:id="262"/>
      <w:bookmarkStart w:id="263" w:name="_Toc184312109"/>
      <w:bookmarkEnd w:id="263"/>
      <w:bookmarkStart w:id="264" w:name="_Toc184310344"/>
      <w:bookmarkEnd w:id="264"/>
      <w:bookmarkStart w:id="265" w:name="_Toc184310315"/>
      <w:bookmarkEnd w:id="265"/>
      <w:bookmarkStart w:id="266" w:name="_Toc184310330"/>
      <w:bookmarkEnd w:id="266"/>
      <w:bookmarkStart w:id="267" w:name="_Toc184314425"/>
      <w:bookmarkEnd w:id="267"/>
      <w:bookmarkStart w:id="268" w:name="_Toc184314476"/>
      <w:bookmarkEnd w:id="268"/>
      <w:bookmarkStart w:id="269" w:name="_Toc184310280"/>
      <w:bookmarkEnd w:id="269"/>
      <w:bookmarkStart w:id="270" w:name="_Toc184314414"/>
      <w:bookmarkEnd w:id="270"/>
      <w:bookmarkStart w:id="271" w:name="_Toc184308066"/>
      <w:bookmarkEnd w:id="271"/>
      <w:bookmarkStart w:id="272" w:name="_Toc184314413"/>
      <w:bookmarkEnd w:id="272"/>
      <w:bookmarkStart w:id="273" w:name="_Toc184308092"/>
      <w:bookmarkEnd w:id="273"/>
      <w:bookmarkStart w:id="274" w:name="_Toc184314434"/>
      <w:bookmarkEnd w:id="274"/>
      <w:bookmarkStart w:id="275" w:name="_Toc184312118"/>
      <w:bookmarkEnd w:id="275"/>
      <w:bookmarkStart w:id="276" w:name="_Toc184313292"/>
      <w:bookmarkEnd w:id="276"/>
      <w:bookmarkStart w:id="277" w:name="_Toc184313267"/>
      <w:bookmarkEnd w:id="277"/>
      <w:bookmarkStart w:id="278" w:name="_Toc184313282"/>
      <w:bookmarkEnd w:id="278"/>
      <w:bookmarkStart w:id="279" w:name="_Toc184310317"/>
      <w:bookmarkEnd w:id="279"/>
      <w:bookmarkStart w:id="280" w:name="_Toc184314468"/>
      <w:bookmarkEnd w:id="280"/>
      <w:bookmarkStart w:id="281" w:name="_Toc184313275"/>
      <w:bookmarkEnd w:id="281"/>
      <w:bookmarkStart w:id="282" w:name="_Toc184314426"/>
      <w:bookmarkEnd w:id="282"/>
      <w:bookmarkStart w:id="283" w:name="_Toc184314429"/>
      <w:bookmarkEnd w:id="283"/>
      <w:bookmarkStart w:id="284" w:name="_Toc184310274"/>
      <w:bookmarkEnd w:id="284"/>
      <w:bookmarkStart w:id="285" w:name="_Toc184310325"/>
      <w:bookmarkEnd w:id="285"/>
      <w:bookmarkStart w:id="286" w:name="_Toc184312119"/>
      <w:bookmarkEnd w:id="286"/>
      <w:bookmarkStart w:id="287" w:name="_Toc184312112"/>
      <w:bookmarkEnd w:id="287"/>
      <w:bookmarkStart w:id="288" w:name="_Toc184308076"/>
      <w:bookmarkEnd w:id="288"/>
      <w:bookmarkStart w:id="289" w:name="_Toc184312110"/>
      <w:bookmarkEnd w:id="289"/>
      <w:bookmarkStart w:id="290" w:name="_Toc184313252"/>
      <w:bookmarkEnd w:id="290"/>
      <w:bookmarkStart w:id="291" w:name="_Toc184308105"/>
      <w:bookmarkEnd w:id="291"/>
      <w:bookmarkStart w:id="292" w:name="_Toc184312131"/>
      <w:bookmarkEnd w:id="292"/>
      <w:bookmarkStart w:id="293" w:name="_Toc184310337"/>
      <w:bookmarkEnd w:id="293"/>
      <w:bookmarkStart w:id="294" w:name="_Toc184308056"/>
      <w:bookmarkEnd w:id="294"/>
      <w:bookmarkStart w:id="295" w:name="_Toc184308083"/>
      <w:bookmarkEnd w:id="295"/>
      <w:bookmarkStart w:id="296" w:name="_Toc184314440"/>
      <w:bookmarkEnd w:id="296"/>
      <w:bookmarkStart w:id="297" w:name="_Toc184312073"/>
      <w:bookmarkEnd w:id="297"/>
      <w:bookmarkStart w:id="298" w:name="_Toc184312071"/>
      <w:bookmarkEnd w:id="298"/>
      <w:bookmarkStart w:id="299" w:name="_Toc184314435"/>
      <w:bookmarkEnd w:id="299"/>
      <w:bookmarkStart w:id="300" w:name="_Toc184312135"/>
      <w:bookmarkEnd w:id="300"/>
      <w:bookmarkStart w:id="301" w:name="_Toc184308090"/>
      <w:bookmarkEnd w:id="301"/>
      <w:bookmarkStart w:id="302" w:name="_Toc184308101"/>
      <w:bookmarkEnd w:id="302"/>
      <w:bookmarkStart w:id="303" w:name="_Toc184308046"/>
      <w:bookmarkEnd w:id="303"/>
      <w:bookmarkStart w:id="304" w:name="_Toc184308048"/>
      <w:bookmarkEnd w:id="304"/>
      <w:bookmarkStart w:id="305" w:name="_Toc184308098"/>
      <w:bookmarkEnd w:id="305"/>
      <w:bookmarkStart w:id="306" w:name="_Toc184314410"/>
      <w:bookmarkEnd w:id="306"/>
      <w:bookmarkStart w:id="307" w:name="_Toc184314449"/>
      <w:bookmarkEnd w:id="307"/>
      <w:bookmarkStart w:id="308" w:name="_Toc184313272"/>
      <w:bookmarkEnd w:id="308"/>
      <w:bookmarkStart w:id="309" w:name="_Toc184314466"/>
      <w:bookmarkEnd w:id="309"/>
      <w:bookmarkStart w:id="310" w:name="_Toc184313263"/>
      <w:bookmarkEnd w:id="310"/>
      <w:bookmarkStart w:id="311" w:name="_Toc184312089"/>
      <w:bookmarkEnd w:id="311"/>
      <w:bookmarkStart w:id="312" w:name="_Toc184308086"/>
      <w:bookmarkEnd w:id="312"/>
      <w:bookmarkStart w:id="313" w:name="_Toc184310279"/>
      <w:bookmarkEnd w:id="313"/>
      <w:bookmarkStart w:id="314" w:name="_Toc184310340"/>
      <w:bookmarkEnd w:id="314"/>
      <w:bookmarkStart w:id="315" w:name="_Toc184312100"/>
      <w:bookmarkEnd w:id="315"/>
      <w:bookmarkStart w:id="316" w:name="_Toc184313254"/>
      <w:bookmarkEnd w:id="316"/>
      <w:bookmarkStart w:id="317" w:name="_Toc184314427"/>
      <w:bookmarkEnd w:id="317"/>
      <w:bookmarkStart w:id="318" w:name="_Toc184308088"/>
      <w:bookmarkEnd w:id="318"/>
      <w:bookmarkStart w:id="319" w:name="_Toc184313251"/>
      <w:bookmarkEnd w:id="319"/>
      <w:bookmarkStart w:id="320" w:name="_Toc184312067"/>
      <w:bookmarkEnd w:id="320"/>
      <w:bookmarkStart w:id="321" w:name="_Toc184314457"/>
      <w:bookmarkEnd w:id="321"/>
      <w:bookmarkStart w:id="322" w:name="_Toc184312137"/>
      <w:bookmarkEnd w:id="322"/>
      <w:bookmarkStart w:id="323" w:name="_Toc184310306"/>
      <w:bookmarkEnd w:id="323"/>
      <w:bookmarkStart w:id="324" w:name="_Toc184314475"/>
      <w:bookmarkEnd w:id="324"/>
      <w:bookmarkStart w:id="325" w:name="_Toc184308050"/>
      <w:bookmarkEnd w:id="325"/>
      <w:bookmarkStart w:id="326" w:name="_Toc184308081"/>
      <w:bookmarkEnd w:id="326"/>
      <w:bookmarkStart w:id="327" w:name="_Toc184310309"/>
      <w:bookmarkEnd w:id="327"/>
      <w:bookmarkStart w:id="328" w:name="_Toc184308106"/>
      <w:bookmarkEnd w:id="328"/>
      <w:bookmarkStart w:id="329" w:name="_Toc184312126"/>
      <w:bookmarkEnd w:id="329"/>
      <w:bookmarkStart w:id="330" w:name="_Toc184313309"/>
      <w:bookmarkEnd w:id="330"/>
      <w:bookmarkStart w:id="331" w:name="_Toc184313304"/>
      <w:bookmarkEnd w:id="331"/>
      <w:bookmarkStart w:id="332" w:name="_Toc184310291"/>
      <w:bookmarkEnd w:id="332"/>
      <w:bookmarkStart w:id="333" w:name="_Toc184313246"/>
      <w:bookmarkEnd w:id="333"/>
      <w:bookmarkStart w:id="334" w:name="_Toc184308075"/>
      <w:bookmarkEnd w:id="334"/>
      <w:bookmarkStart w:id="335" w:name="_Toc184314469"/>
      <w:bookmarkEnd w:id="335"/>
      <w:bookmarkStart w:id="336" w:name="_Toc184314453"/>
      <w:bookmarkEnd w:id="336"/>
      <w:bookmarkStart w:id="337" w:name="_Toc184312133"/>
      <w:bookmarkEnd w:id="337"/>
      <w:bookmarkStart w:id="338" w:name="_Toc184310338"/>
      <w:bookmarkEnd w:id="338"/>
      <w:bookmarkStart w:id="339" w:name="_Toc184313248"/>
      <w:bookmarkEnd w:id="339"/>
      <w:bookmarkStart w:id="340" w:name="_Toc184312115"/>
      <w:bookmarkEnd w:id="340"/>
      <w:bookmarkStart w:id="341" w:name="_Toc184310343"/>
      <w:bookmarkEnd w:id="341"/>
      <w:bookmarkStart w:id="342" w:name="_Toc184314448"/>
      <w:bookmarkEnd w:id="342"/>
      <w:bookmarkStart w:id="343" w:name="_Toc184314458"/>
      <w:bookmarkEnd w:id="343"/>
      <w:bookmarkStart w:id="344" w:name="_Toc184312070"/>
      <w:bookmarkEnd w:id="344"/>
      <w:bookmarkStart w:id="345" w:name="_Toc184308089"/>
      <w:bookmarkEnd w:id="345"/>
      <w:bookmarkStart w:id="346" w:name="_Toc184314437"/>
      <w:bookmarkEnd w:id="346"/>
      <w:bookmarkStart w:id="347" w:name="_Toc184314412"/>
      <w:bookmarkEnd w:id="347"/>
      <w:bookmarkStart w:id="348" w:name="_Toc184312101"/>
      <w:bookmarkEnd w:id="348"/>
      <w:bookmarkStart w:id="349" w:name="_Toc184312077"/>
      <w:bookmarkEnd w:id="349"/>
      <w:bookmarkStart w:id="350" w:name="_Toc184312093"/>
      <w:bookmarkEnd w:id="350"/>
      <w:bookmarkStart w:id="351" w:name="_Toc184308060"/>
      <w:bookmarkEnd w:id="351"/>
      <w:bookmarkStart w:id="352" w:name="_Toc184314443"/>
      <w:bookmarkEnd w:id="352"/>
      <w:bookmarkStart w:id="353" w:name="_Toc184308084"/>
      <w:bookmarkEnd w:id="353"/>
      <w:bookmarkStart w:id="354" w:name="_Toc184308045"/>
      <w:bookmarkEnd w:id="354"/>
      <w:bookmarkStart w:id="355" w:name="_Toc184313286"/>
      <w:bookmarkEnd w:id="355"/>
      <w:bookmarkStart w:id="356" w:name="_Toc184312068"/>
      <w:bookmarkEnd w:id="356"/>
      <w:bookmarkStart w:id="357" w:name="_Toc184312128"/>
      <w:bookmarkEnd w:id="357"/>
      <w:bookmarkStart w:id="358" w:name="_Toc184313245"/>
      <w:bookmarkEnd w:id="358"/>
      <w:bookmarkStart w:id="359" w:name="_Toc184314460"/>
      <w:bookmarkEnd w:id="359"/>
      <w:bookmarkStart w:id="360" w:name="_Toc184310332"/>
      <w:bookmarkEnd w:id="360"/>
      <w:bookmarkStart w:id="361" w:name="_Toc184310289"/>
      <w:bookmarkEnd w:id="361"/>
      <w:bookmarkStart w:id="362" w:name="_Toc184313290"/>
      <w:bookmarkEnd w:id="362"/>
      <w:bookmarkStart w:id="363" w:name="_Toc184312117"/>
      <w:bookmarkEnd w:id="363"/>
      <w:bookmarkStart w:id="364" w:name="_Toc184314428"/>
      <w:bookmarkEnd w:id="364"/>
      <w:bookmarkStart w:id="365" w:name="_Toc184314439"/>
      <w:bookmarkEnd w:id="365"/>
      <w:bookmarkStart w:id="366" w:name="_Toc184308067"/>
      <w:bookmarkEnd w:id="366"/>
      <w:bookmarkStart w:id="367" w:name="_Toc184313294"/>
      <w:bookmarkEnd w:id="367"/>
      <w:bookmarkStart w:id="368" w:name="_Toc184314442"/>
      <w:bookmarkEnd w:id="368"/>
      <w:bookmarkStart w:id="369" w:name="_Toc184314436"/>
      <w:bookmarkEnd w:id="369"/>
      <w:bookmarkStart w:id="370" w:name="_Toc184314463"/>
      <w:bookmarkEnd w:id="370"/>
      <w:bookmarkStart w:id="371" w:name="_Toc184314471"/>
      <w:bookmarkEnd w:id="371"/>
      <w:bookmarkStart w:id="372" w:name="_Toc184310319"/>
      <w:bookmarkEnd w:id="372"/>
      <w:bookmarkStart w:id="373" w:name="_Toc184314416"/>
      <w:bookmarkEnd w:id="373"/>
      <w:bookmarkStart w:id="374" w:name="_Toc184312103"/>
      <w:bookmarkEnd w:id="374"/>
      <w:bookmarkStart w:id="375" w:name="_Toc184310342"/>
      <w:bookmarkEnd w:id="375"/>
      <w:bookmarkStart w:id="376" w:name="_Toc184308055"/>
      <w:bookmarkEnd w:id="376"/>
      <w:bookmarkStart w:id="377" w:name="_Toc184308069"/>
      <w:bookmarkEnd w:id="377"/>
      <w:bookmarkStart w:id="378" w:name="_Toc184308080"/>
      <w:bookmarkEnd w:id="378"/>
      <w:bookmarkStart w:id="379" w:name="_Toc184313262"/>
      <w:bookmarkEnd w:id="379"/>
      <w:bookmarkStart w:id="380" w:name="_Toc184308099"/>
      <w:bookmarkEnd w:id="380"/>
      <w:r>
        <w:rPr>
          <w:rFonts w:hint="eastAsia" w:ascii="仿宋" w:hAnsi="仿宋" w:eastAsia="仿宋" w:cs="仿宋"/>
          <w:b/>
          <w:color w:val="auto"/>
          <w:sz w:val="36"/>
          <w:szCs w:val="36"/>
          <w:highlight w:val="none"/>
        </w:rPr>
        <w:t>评标办法</w:t>
      </w:r>
    </w:p>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pPr>
        <w:adjustRightInd/>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w:t>
      </w:r>
      <w:r>
        <w:rPr>
          <w:rFonts w:hint="eastAsia" w:ascii="仿宋" w:hAnsi="仿宋" w:eastAsia="仿宋" w:cs="仿宋"/>
          <w:b/>
          <w:color w:val="auto"/>
          <w:kern w:val="0"/>
          <w:sz w:val="24"/>
          <w:szCs w:val="24"/>
          <w:highlight w:val="none"/>
          <w:lang w:eastAsia="zh-CN"/>
        </w:rPr>
        <w:t>最低价</w:t>
      </w:r>
      <w:r>
        <w:rPr>
          <w:rFonts w:hint="eastAsia" w:ascii="仿宋" w:hAnsi="仿宋" w:eastAsia="仿宋" w:cs="仿宋"/>
          <w:b/>
          <w:color w:val="auto"/>
          <w:kern w:val="0"/>
          <w:sz w:val="24"/>
          <w:szCs w:val="24"/>
          <w:highlight w:val="none"/>
        </w:rPr>
        <w:t>法。</w:t>
      </w:r>
      <w:r>
        <w:rPr>
          <w:rFonts w:hint="eastAsia" w:ascii="仿宋" w:hAnsi="仿宋" w:eastAsia="仿宋" w:cs="仿宋"/>
          <w:color w:val="auto"/>
          <w:kern w:val="0"/>
          <w:sz w:val="24"/>
          <w:szCs w:val="24"/>
          <w:highlight w:val="none"/>
        </w:rPr>
        <w:t>最低价法，是指投标文件满足招标文件全部实质性要求，依据统一的价格要素评定价格，以提出最低报价的投标人作为中标候选人的评标方法。</w:t>
      </w:r>
    </w:p>
    <w:p>
      <w:pPr>
        <w:adjustRightInd/>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pPr>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评标标准：</w:t>
      </w:r>
      <w:r>
        <w:rPr>
          <w:rFonts w:hint="eastAsia" w:ascii="仿宋" w:hAnsi="仿宋" w:eastAsia="仿宋" w:cs="仿宋"/>
          <w:color w:val="auto"/>
          <w:kern w:val="0"/>
          <w:sz w:val="24"/>
          <w:szCs w:val="24"/>
          <w:highlight w:val="none"/>
          <w:lang w:eastAsia="zh-CN"/>
        </w:rPr>
        <w:t>采用最低</w:t>
      </w:r>
      <w:r>
        <w:rPr>
          <w:rFonts w:hint="eastAsia" w:ascii="仿宋" w:hAnsi="仿宋" w:eastAsia="仿宋" w:cs="仿宋"/>
          <w:color w:val="auto"/>
          <w:kern w:val="0"/>
          <w:sz w:val="24"/>
          <w:szCs w:val="24"/>
          <w:highlight w:val="none"/>
        </w:rPr>
        <w:t>价法，按投标文件满足招标文件全部实质性要求且投标报价最低，次低、第三地的投标人为排名第一、第二、第三的中标候选人。</w:t>
      </w:r>
    </w:p>
    <w:p>
      <w:pPr>
        <w:spacing w:line="36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3.3报价评审。</w:t>
      </w:r>
    </w:p>
    <w:p>
      <w:pPr>
        <w:pStyle w:val="136"/>
        <w:spacing w:before="0"/>
        <w:ind w:firstLine="508" w:firstLineChars="21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.1投标文件报价出现前后不一致的，按照下列规定修正：</w:t>
      </w:r>
    </w:p>
    <w:p>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.1.1投标文件中开标一览表(报价表)内容与投标文件中相应内容不一致的，以开标一览表(报价表)为准;</w:t>
      </w:r>
    </w:p>
    <w:p>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.1.2大写金额和小写金额不一致的，以大写金额为准;</w:t>
      </w:r>
    </w:p>
    <w:p>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.1.3单价金额小数点或者百分比有明显错位的，以开标一览表的总价为准，并修改单价;</w:t>
      </w:r>
    </w:p>
    <w:p>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.1.4总价金额与按单价汇总金额不一致的，以单价金额计算结果为准。</w:t>
      </w:r>
    </w:p>
    <w:p>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.3投标报价超过招标文件中规定的预算金额或者最高限价的，投标无效。</w:t>
      </w:r>
    </w:p>
    <w:p>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kern w:val="0"/>
          <w:sz w:val="24"/>
          <w:szCs w:val="24"/>
          <w:highlight w:val="none"/>
        </w:rPr>
        <w:t>3.</w:t>
      </w:r>
      <w:r>
        <w:rPr>
          <w:rFonts w:hint="eastAsia" w:ascii="仿宋" w:hAnsi="仿宋" w:eastAsia="仿宋" w:cs="仿宋"/>
          <w:b/>
          <w:color w:val="auto"/>
          <w:kern w:val="0"/>
          <w:sz w:val="24"/>
          <w:szCs w:val="24"/>
          <w:highlight w:val="none"/>
          <w:lang w:val="en-US" w:eastAsia="zh-CN"/>
        </w:rPr>
        <w:t>4</w:t>
      </w:r>
      <w:r>
        <w:rPr>
          <w:rFonts w:hint="eastAsia" w:ascii="仿宋" w:hAnsi="仿宋" w:eastAsia="仿宋" w:cs="仿宋"/>
          <w:b/>
          <w:color w:val="auto"/>
          <w:kern w:val="0"/>
          <w:sz w:val="24"/>
          <w:szCs w:val="24"/>
          <w:highlight w:val="none"/>
        </w:rPr>
        <w:t>排序与推荐。</w:t>
      </w:r>
      <w:r>
        <w:rPr>
          <w:rFonts w:hint="eastAsia" w:ascii="仿宋" w:hAnsi="仿宋" w:eastAsia="仿宋" w:cs="仿宋"/>
          <w:color w:val="auto"/>
          <w:kern w:val="0"/>
          <w:sz w:val="24"/>
          <w:szCs w:val="24"/>
          <w:highlight w:val="none"/>
          <w:lang w:eastAsia="zh-CN"/>
        </w:rPr>
        <w:t>采用最低</w:t>
      </w:r>
      <w:r>
        <w:rPr>
          <w:rFonts w:hint="eastAsia" w:ascii="仿宋" w:hAnsi="仿宋" w:eastAsia="仿宋" w:cs="仿宋"/>
          <w:color w:val="auto"/>
          <w:kern w:val="0"/>
          <w:sz w:val="24"/>
          <w:szCs w:val="24"/>
          <w:highlight w:val="none"/>
        </w:rPr>
        <w:t>价法</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，评标结果按</w:t>
      </w:r>
      <w:r>
        <w:rPr>
          <w:rFonts w:hint="eastAsia" w:ascii="仿宋" w:hAnsi="仿宋" w:eastAsia="仿宋" w:cs="仿宋"/>
          <w:color w:val="auto"/>
          <w:sz w:val="24"/>
          <w:szCs w:val="24"/>
          <w:highlight w:val="none"/>
        </w:rPr>
        <w:t>投标文件满足招标文件全部实质性要求且投标报价最低为排名第一的中标人。投标报价相同的并列。当出现并列时采取随机抽取方式确定</w:t>
      </w:r>
      <w:r>
        <w:rPr>
          <w:rFonts w:hint="eastAsia" w:ascii="仿宋" w:hAnsi="仿宋" w:eastAsia="仿宋" w:cs="仿宋"/>
          <w:color w:val="auto"/>
          <w:sz w:val="24"/>
          <w:szCs w:val="24"/>
          <w:highlight w:val="none"/>
          <w:lang w:eastAsia="zh-CN"/>
        </w:rPr>
        <w:t>。</w:t>
      </w:r>
    </w:p>
    <w:p>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w:t>
      </w:r>
      <w:r>
        <w:rPr>
          <w:rFonts w:hint="eastAsia" w:ascii="仿宋" w:hAnsi="仿宋" w:eastAsia="仿宋" w:cs="仿宋"/>
          <w:b/>
          <w:color w:val="auto"/>
          <w:kern w:val="0"/>
          <w:sz w:val="24"/>
          <w:szCs w:val="24"/>
          <w:highlight w:val="none"/>
          <w:lang w:val="en-US" w:eastAsia="zh-CN"/>
        </w:rPr>
        <w:t>5</w:t>
      </w:r>
      <w:r>
        <w:rPr>
          <w:rFonts w:hint="eastAsia" w:ascii="仿宋" w:hAnsi="仿宋" w:eastAsia="仿宋" w:cs="仿宋"/>
          <w:b/>
          <w:color w:val="auto"/>
          <w:kern w:val="0"/>
          <w:sz w:val="24"/>
          <w:szCs w:val="24"/>
          <w:highlight w:val="none"/>
        </w:rPr>
        <w:t>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pPr>
        <w:pStyle w:val="136"/>
        <w:spacing w:before="0"/>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有下列情形之一的，投标无效：</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4.2.3投标文件含有采购人不能接受的附加条件的；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4.2.4投标文件中承诺的投标有效期少于招标文件中载明的投标有效期的；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4.2.5投标文件出现不是唯一的、有选择性投标报价的;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4.2.6投标报价超过招标文件中规定的预算金额或者最高限价的;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4.2.8投标人对根据修正原则修正后的报价不确认的；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4.2.9投标人提供虚假材料投标的；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4.2.11投标人仅提交备份投标文件，未在电子交易平台传输递交投标文件的，投标无效；</w:t>
      </w:r>
    </w:p>
    <w:p>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4.2.12投标文件不满足招标文件的其它实质性要求的；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rPr>
        <w:t xml:space="preserve">4.2.13 </w:t>
      </w:r>
      <w:r>
        <w:rPr>
          <w:rFonts w:hint="eastAsia" w:ascii="仿宋" w:hAnsi="仿宋" w:eastAsia="仿宋" w:cs="仿宋"/>
          <w:color w:val="auto"/>
          <w:kern w:val="0"/>
          <w:sz w:val="24"/>
          <w:szCs w:val="24"/>
          <w:highlight w:val="none"/>
        </w:rPr>
        <w:t>法律、法规、规章（适用本市的）及省级以上规范性文件（适用本市的）规定的其他无效情形。</w:t>
      </w:r>
    </w:p>
    <w:p>
      <w:pPr>
        <w:pStyle w:val="16"/>
        <w:snapToGrid w:val="0"/>
        <w:spacing w:line="360"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在采购中，出现下列情形之一的，应予废标：</w:t>
      </w:r>
    </w:p>
    <w:p>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废标后，采购机构应当将废标理由通知所有投标人。</w:t>
      </w:r>
    </w:p>
    <w:p>
      <w:pPr>
        <w:pStyle w:val="16"/>
        <w:snapToGrid w:val="0"/>
        <w:spacing w:line="360" w:lineRule="auto"/>
        <w:ind w:firstLine="590" w:firstLineChars="245"/>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7.1未确定中标或者中标人的，终止本次采购活动，重新开展采购活动。</w:t>
      </w:r>
    </w:p>
    <w:p>
      <w:pPr>
        <w:pStyle w:val="16"/>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7.2已确定中标或者中标人但尚未签订采购合同的，中标或者成交结果无效，从合格的中标或者成交候选人中另行确定中标或者中标人；没有合格的中标或者成交候选人的，重新开展采购活动。</w:t>
      </w:r>
    </w:p>
    <w:p>
      <w:pPr>
        <w:pStyle w:val="16"/>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7.3采购合同已签订但尚未履行的，撤销合同，从合格的中标或者成交候选人中另行确定中标或者中标人；没有合格的中标或者成交候选人的，重新开展采购活动。</w:t>
      </w:r>
    </w:p>
    <w:p>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7.4采购合同已经履行，给采购人、供应商造成损失的，由责任人承担赔偿责任。</w:t>
      </w:r>
    </w:p>
    <w:p>
      <w:pPr>
        <w:adjustRightInd/>
        <w:spacing w:line="360" w:lineRule="auto"/>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7.5采购当事人有其他违反法律法规规定的行为，经改正后仍然影响或者可能影响中标、成交结果或者依法被认定为中标、成交无效的，依照7.1-7.4规定处理。</w:t>
      </w:r>
    </w:p>
    <w:p>
      <w:pPr>
        <w:pStyle w:val="16"/>
        <w:snapToGrid w:val="0"/>
        <w:spacing w:line="360" w:lineRule="auto"/>
        <w:ind w:firstLine="0" w:firstLineChars="0"/>
        <w:rPr>
          <w:rFonts w:hint="eastAsia" w:ascii="仿宋" w:hAnsi="仿宋" w:eastAsia="仿宋" w:cs="仿宋"/>
          <w:color w:val="auto"/>
          <w:highlight w:val="none"/>
        </w:rPr>
      </w:pPr>
    </w:p>
    <w:bookmarkEnd w:id="15"/>
    <w:p>
      <w:pPr>
        <w:rPr>
          <w:rFonts w:hint="eastAsia" w:ascii="仿宋" w:hAnsi="仿宋" w:eastAsia="仿宋" w:cs="仿宋"/>
          <w:b/>
          <w:color w:val="auto"/>
          <w:sz w:val="36"/>
          <w:szCs w:val="36"/>
          <w:highlight w:val="none"/>
        </w:rPr>
      </w:pPr>
      <w:bookmarkStart w:id="381" w:name="第五部分"/>
      <w:bookmarkStart w:id="382" w:name="_Toc86217003"/>
      <w:r>
        <w:rPr>
          <w:rFonts w:hint="eastAsia" w:ascii="仿宋" w:hAnsi="仿宋" w:eastAsia="仿宋" w:cs="仿宋"/>
          <w:b/>
          <w:color w:val="auto"/>
          <w:sz w:val="36"/>
          <w:szCs w:val="36"/>
          <w:highlight w:val="none"/>
        </w:rPr>
        <w:br w:type="page"/>
      </w: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w:t>
      </w:r>
      <w:r>
        <w:rPr>
          <w:rFonts w:hint="eastAsia" w:ascii="仿宋" w:hAnsi="仿宋" w:eastAsia="仿宋" w:cs="仿宋"/>
          <w:b/>
          <w:color w:val="auto"/>
          <w:sz w:val="36"/>
          <w:szCs w:val="20"/>
          <w:highlight w:val="none"/>
          <w:lang w:val="en-US" w:eastAsia="zh-CN"/>
        </w:rPr>
        <w:t>五</w:t>
      </w:r>
      <w:r>
        <w:rPr>
          <w:rFonts w:hint="eastAsia" w:ascii="仿宋" w:hAnsi="仿宋" w:eastAsia="仿宋" w:cs="仿宋"/>
          <w:b/>
          <w:color w:val="auto"/>
          <w:sz w:val="36"/>
          <w:szCs w:val="20"/>
          <w:highlight w:val="none"/>
        </w:rPr>
        <w:t>部分</w:t>
      </w:r>
      <w:bookmarkEnd w:id="381"/>
      <w:r>
        <w:rPr>
          <w:rFonts w:hint="eastAsia" w:ascii="仿宋" w:hAnsi="仿宋" w:eastAsia="仿宋" w:cs="仿宋"/>
          <w:b/>
          <w:color w:val="auto"/>
          <w:sz w:val="36"/>
          <w:szCs w:val="20"/>
          <w:highlight w:val="none"/>
        </w:rPr>
        <w:t xml:space="preserve"> </w:t>
      </w:r>
      <w:bookmarkEnd w:id="382"/>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（2）本项目的特定资格要求………………………………………………（页码）</w:t>
      </w: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lang w:val="zh-CN"/>
        </w:rPr>
      </w:pPr>
    </w:p>
    <w:p>
      <w:pPr>
        <w:snapToGrid w:val="0"/>
        <w:spacing w:line="360" w:lineRule="auto"/>
        <w:ind w:firstLine="5520" w:firstLineChars="2300"/>
        <w:rPr>
          <w:rFonts w:hint="eastAsia" w:ascii="仿宋" w:hAnsi="仿宋" w:eastAsia="仿宋" w:cs="仿宋"/>
          <w:color w:val="auto"/>
          <w:kern w:val="0"/>
          <w:sz w:val="24"/>
          <w:highlight w:val="none"/>
          <w:lang w:val="zh-CN"/>
        </w:rPr>
      </w:pP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响应人名称(电子签名)：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3"/>
        <w:rPr>
          <w:rFonts w:hint="eastAsia" w:ascii="仿宋" w:hAnsi="仿宋" w:eastAsia="仿宋" w:cs="仿宋"/>
          <w:b/>
          <w:color w:val="auto"/>
          <w:kern w:val="0"/>
          <w:sz w:val="32"/>
          <w:szCs w:val="32"/>
          <w:highlight w:val="none"/>
        </w:rPr>
      </w:pPr>
    </w:p>
    <w:p>
      <w:pPr>
        <w:pStyle w:val="37"/>
        <w:rPr>
          <w:rFonts w:hint="eastAsia" w:ascii="仿宋" w:hAnsi="仿宋" w:eastAsia="仿宋" w:cs="仿宋"/>
          <w:b/>
          <w:color w:val="auto"/>
          <w:kern w:val="0"/>
          <w:sz w:val="32"/>
          <w:szCs w:val="32"/>
          <w:highlight w:val="none"/>
        </w:rPr>
      </w:pPr>
    </w:p>
    <w:p>
      <w:pPr>
        <w:pStyle w:val="38"/>
        <w:rPr>
          <w:rFonts w:hint="eastAsia" w:ascii="仿宋" w:hAnsi="仿宋" w:eastAsia="仿宋" w:cs="仿宋"/>
          <w:b/>
          <w:color w:val="auto"/>
          <w:kern w:val="0"/>
          <w:sz w:val="32"/>
          <w:szCs w:val="32"/>
          <w:highlight w:val="none"/>
        </w:rPr>
      </w:pPr>
    </w:p>
    <w:p>
      <w:pPr>
        <w:pStyle w:val="38"/>
        <w:rPr>
          <w:rFonts w:hint="eastAsia" w:ascii="仿宋" w:hAnsi="仿宋" w:eastAsia="仿宋" w:cs="仿宋"/>
          <w:b/>
          <w:color w:val="auto"/>
          <w:kern w:val="0"/>
          <w:sz w:val="32"/>
          <w:szCs w:val="32"/>
          <w:highlight w:val="none"/>
        </w:rPr>
      </w:pPr>
    </w:p>
    <w:p>
      <w:pPr>
        <w:widowControl/>
        <w:spacing w:line="360" w:lineRule="auto"/>
        <w:jc w:val="both"/>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pStyle w:val="63"/>
        <w:rPr>
          <w:rFonts w:hint="eastAsia" w:ascii="仿宋" w:hAnsi="仿宋" w:eastAsia="仿宋" w:cs="仿宋"/>
          <w:color w:val="auto"/>
          <w:highlight w:val="none"/>
        </w:rPr>
      </w:pPr>
    </w:p>
    <w:p>
      <w:pPr>
        <w:spacing w:line="240" w:lineRule="auto"/>
        <w:ind w:right="0" w:firstLine="0" w:firstLineChars="0"/>
        <w:rPr>
          <w:rFonts w:hint="eastAsia" w:ascii="仿宋" w:hAnsi="仿宋" w:eastAsia="仿宋" w:cs="仿宋"/>
          <w:b/>
          <w:color w:val="auto"/>
          <w:kern w:val="0"/>
          <w:sz w:val="36"/>
          <w:szCs w:val="36"/>
          <w:highlight w:val="none"/>
        </w:rPr>
      </w:pPr>
    </w:p>
    <w:p>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numPr>
          <w:ilvl w:val="0"/>
          <w:numId w:val="0"/>
        </w:numPr>
        <w:snapToGrid w:val="0"/>
        <w:spacing w:line="360" w:lineRule="auto"/>
        <w:ind w:left="420" w:leftChars="20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）响应函…………………………………………………………………………（页码）</w:t>
      </w:r>
    </w:p>
    <w:p>
      <w:pPr>
        <w:numPr>
          <w:ilvl w:val="0"/>
          <w:numId w:val="0"/>
        </w:numPr>
        <w:snapToGrid w:val="0"/>
        <w:spacing w:line="360" w:lineRule="auto"/>
        <w:ind w:left="420" w:leftChars="20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（2）授权委托书或法定代表人（单位负责人、自然人本人）身份证明………（页码）</w:t>
      </w:r>
    </w:p>
    <w:p>
      <w:pPr>
        <w:numPr>
          <w:ilvl w:val="0"/>
          <w:numId w:val="0"/>
        </w:numPr>
        <w:snapToGrid w:val="0"/>
        <w:spacing w:line="360" w:lineRule="auto"/>
        <w:ind w:left="420" w:leftChars="20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（3）符合性审查资料………………………………………………………………（页码）</w:t>
      </w:r>
    </w:p>
    <w:p>
      <w:pPr>
        <w:snapToGrid w:val="0"/>
        <w:spacing w:line="360" w:lineRule="auto"/>
        <w:ind w:left="0" w:leftChars="0" w:firstLine="420" w:firstLineChars="175"/>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交易标的清单…………………………………………………………………（页码）</w:t>
      </w:r>
    </w:p>
    <w:p>
      <w:pPr>
        <w:snapToGrid w:val="0"/>
        <w:spacing w:line="360" w:lineRule="auto"/>
        <w:ind w:left="0" w:leftChars="0" w:firstLine="420" w:firstLineChars="17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（5）商务技术偏离表………………………………………………………………（页码）</w:t>
      </w:r>
    </w:p>
    <w:p>
      <w:pPr>
        <w:snapToGrid w:val="0"/>
        <w:spacing w:line="360" w:lineRule="auto"/>
        <w:ind w:left="0" w:leftChars="0" w:firstLine="420" w:firstLineChars="17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采购供应商廉洁自律承诺书</w:t>
      </w:r>
      <w:r>
        <w:rPr>
          <w:rFonts w:hint="eastAsia" w:ascii="仿宋" w:hAnsi="仿宋" w:eastAsia="仿宋" w:cs="仿宋"/>
          <w:color w:val="auto"/>
          <w:sz w:val="24"/>
          <w:szCs w:val="24"/>
          <w:highlight w:val="none"/>
        </w:rPr>
        <w:t>…………………………………………………（页码）</w:t>
      </w:r>
    </w:p>
    <w:p>
      <w:pPr>
        <w:snapToGrid w:val="0"/>
        <w:spacing w:line="360" w:lineRule="auto"/>
        <w:ind w:left="0" w:leftChars="0" w:firstLine="420" w:firstLineChars="175"/>
        <w:jc w:val="both"/>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highlight w:val="none"/>
          <w:lang w:val="zh-CN"/>
        </w:rPr>
        <w:t>项目实施计划：详细的项目组织实施方案（工作时间进度表、工作程序或步骤、管理和协调方法等）</w:t>
      </w:r>
      <w:r>
        <w:rPr>
          <w:rFonts w:hint="eastAsia" w:ascii="仿宋" w:hAnsi="仿宋" w:eastAsia="仿宋" w:cs="仿宋"/>
          <w:color w:val="auto"/>
          <w:sz w:val="24"/>
          <w:szCs w:val="24"/>
          <w:highlight w:val="none"/>
        </w:rPr>
        <w:t>…………………………………………………………………（页码）</w:t>
      </w:r>
    </w:p>
    <w:p>
      <w:pPr>
        <w:snapToGrid w:val="0"/>
        <w:spacing w:line="360" w:lineRule="auto"/>
        <w:ind w:left="0" w:leftChars="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zh-CN"/>
        </w:rPr>
        <w:t>货物或设备存放、安装和调试的技术要求</w:t>
      </w:r>
      <w:r>
        <w:rPr>
          <w:rFonts w:hint="eastAsia" w:ascii="仿宋" w:hAnsi="仿宋" w:eastAsia="仿宋" w:cs="仿宋"/>
          <w:color w:val="auto"/>
          <w:sz w:val="24"/>
          <w:szCs w:val="24"/>
          <w:highlight w:val="none"/>
        </w:rPr>
        <w:t>………………………………（页码）</w:t>
      </w:r>
    </w:p>
    <w:p>
      <w:pPr>
        <w:snapToGrid w:val="0"/>
        <w:spacing w:line="360" w:lineRule="auto"/>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zh-CN"/>
        </w:rPr>
        <w:t>售后服务、技术支持承诺</w:t>
      </w:r>
      <w:r>
        <w:rPr>
          <w:rFonts w:hint="eastAsia" w:ascii="仿宋" w:hAnsi="仿宋" w:eastAsia="仿宋" w:cs="仿宋"/>
          <w:color w:val="auto"/>
          <w:sz w:val="24"/>
          <w:szCs w:val="24"/>
          <w:highlight w:val="none"/>
        </w:rPr>
        <w:t>…………………………………………………（页码）</w:t>
      </w:r>
    </w:p>
    <w:p>
      <w:pPr>
        <w:snapToGrid w:val="0"/>
        <w:spacing w:line="360" w:lineRule="auto"/>
        <w:ind w:left="0" w:leftChars="0" w:firstLine="420" w:firstLineChars="175"/>
        <w:rPr>
          <w:rFonts w:hint="eastAsia" w:ascii="仿宋" w:hAnsi="仿宋" w:eastAsia="仿宋" w:cs="仿宋"/>
          <w:color w:val="auto"/>
          <w:sz w:val="24"/>
          <w:highlight w:val="none"/>
          <w:lang w:val="zh-CN"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zh-CN" w:eastAsia="zh-CN"/>
        </w:rPr>
        <w:t>供应商需要说明的其它文件和资料</w:t>
      </w:r>
      <w:r>
        <w:rPr>
          <w:rFonts w:hint="eastAsia" w:ascii="仿宋" w:hAnsi="仿宋" w:eastAsia="仿宋" w:cs="仿宋"/>
          <w:color w:val="auto"/>
          <w:sz w:val="24"/>
          <w:szCs w:val="24"/>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24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（采购人）、（采购代理机构）：</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（项目名称）【交易编号：（采购编号）】</w:t>
      </w:r>
      <w:r>
        <w:rPr>
          <w:rFonts w:hint="eastAsia" w:ascii="仿宋" w:hAnsi="仿宋" w:eastAsia="仿宋" w:cs="仿宋"/>
          <w:color w:val="auto"/>
          <w:sz w:val="24"/>
          <w:highlight w:val="none"/>
        </w:rPr>
        <w:t>交易的有关活动，并对此项目进行交易。为此：</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1、我方承诺交易有效期从提交响应文件的截止之日起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本响应文件在交易有效期满之前均具有约束力。</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pPr>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2.1.2本项目的特定资格要求（如果有）。</w:t>
      </w:r>
    </w:p>
    <w:p>
      <w:pPr>
        <w:snapToGrid w:val="0"/>
        <w:spacing w:line="40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2.2.3符合性审查资料；</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交易标的清单；</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2.2.5商务技术偏离表；</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val="zh-CN"/>
        </w:rPr>
        <w:t>采购供应商廉洁自律承诺书；</w:t>
      </w:r>
    </w:p>
    <w:p>
      <w:pPr>
        <w:snapToGrid w:val="0"/>
        <w:spacing w:line="40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2.2.7</w:t>
      </w:r>
      <w:r>
        <w:rPr>
          <w:rFonts w:hint="eastAsia" w:ascii="仿宋" w:hAnsi="仿宋" w:eastAsia="仿宋" w:cs="仿宋"/>
          <w:color w:val="auto"/>
          <w:sz w:val="24"/>
          <w:highlight w:val="none"/>
          <w:lang w:val="zh-CN"/>
        </w:rPr>
        <w:t>项目实施计划：详细的项目组织实施方案（工作时间进度表、工作程序或步骤、管理和协调方法等）；</w:t>
      </w:r>
    </w:p>
    <w:p>
      <w:pPr>
        <w:snapToGrid w:val="0"/>
        <w:spacing w:line="40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 xml:space="preserve">货物或设备存放、安装和调试的技术要求； </w:t>
      </w:r>
    </w:p>
    <w:p>
      <w:pPr>
        <w:snapToGrid w:val="0"/>
        <w:spacing w:line="40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售后服务、技术支持承诺；</w:t>
      </w:r>
    </w:p>
    <w:p>
      <w:pPr>
        <w:snapToGrid w:val="0"/>
        <w:spacing w:line="400" w:lineRule="exact"/>
        <w:ind w:left="420" w:lef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eastAsia="zh-CN"/>
        </w:rPr>
        <w:t>供应商需要说明的其它文件和资料。</w:t>
      </w:r>
    </w:p>
    <w:p>
      <w:pPr>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2.3.1交易一览表（报价表）</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3、我方承诺除商务技术偏离表列出的偏离外，我方响应交易文件的全部要求。</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pPr>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pPr>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4.3按照交易文件要求提交履约保证金； </w:t>
      </w:r>
    </w:p>
    <w:p>
      <w:pPr>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w:t>
      </w:r>
      <w:r>
        <w:rPr>
          <w:rFonts w:hint="eastAsia" w:ascii="仿宋" w:hAnsi="仿宋" w:eastAsia="仿宋" w:cs="仿宋"/>
          <w:b/>
          <w:color w:val="auto"/>
          <w:w w:val="80"/>
          <w:kern w:val="0"/>
          <w:sz w:val="32"/>
          <w:szCs w:val="32"/>
          <w:highlight w:val="none"/>
          <w:lang w:val="zh-CN"/>
        </w:rPr>
        <w:t>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833" w:firstLineChars="1193"/>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（项目名称）【交易编号：（采购编号）】</w:t>
      </w:r>
      <w:r>
        <w:rPr>
          <w:rFonts w:hint="eastAsia" w:ascii="仿宋" w:hAnsi="仿宋" w:eastAsia="仿宋" w:cs="仿宋"/>
          <w:color w:val="auto"/>
          <w:kern w:val="0"/>
          <w:sz w:val="24"/>
          <w:highlight w:val="none"/>
          <w:lang w:val="zh-CN"/>
        </w:rPr>
        <w:t>采购交易的一切事项，其法律后果由我方承担。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pacing w:line="360" w:lineRule="auto"/>
        <w:ind w:right="420"/>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、符合性审查资料</w:t>
      </w:r>
    </w:p>
    <w:p>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65"/>
        <w:gridCol w:w="34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065"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477"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065"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响应文件按照交易文件要求签署、盖章。</w:t>
            </w:r>
          </w:p>
        </w:tc>
        <w:tc>
          <w:tcPr>
            <w:tcW w:w="3477"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065"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响应文件中承诺的交易有效期不少于交易文件中载明的交易有效期。</w:t>
            </w:r>
          </w:p>
        </w:tc>
        <w:tc>
          <w:tcPr>
            <w:tcW w:w="3477"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065"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响应文件满足交易文件的其它实质性要求。</w:t>
            </w:r>
          </w:p>
        </w:tc>
        <w:tc>
          <w:tcPr>
            <w:tcW w:w="3477"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交易文件其它实质性要求相应的材料（“▲” 系指实质性要求条款，交易文件无其它实质性要求的，无需提供）</w:t>
            </w:r>
          </w:p>
        </w:tc>
        <w:tc>
          <w:tcPr>
            <w:tcW w:w="1418" w:type="dxa"/>
            <w:vAlign w:val="center"/>
          </w:tcPr>
          <w:p>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left="0" w:leftChars="0" w:firstLine="0" w:firstLineChars="0"/>
        <w:jc w:val="center"/>
        <w:rPr>
          <w:rFonts w:hint="eastAsia" w:ascii="仿宋" w:hAnsi="仿宋" w:eastAsia="仿宋" w:cs="仿宋"/>
          <w:b/>
          <w:color w:val="auto"/>
          <w:kern w:val="0"/>
          <w:sz w:val="32"/>
          <w:szCs w:val="32"/>
          <w:highlight w:val="none"/>
          <w:lang w:val="en-US" w:eastAsia="zh-CN"/>
        </w:rPr>
      </w:pPr>
    </w:p>
    <w:p>
      <w:pPr>
        <w:ind w:left="0" w:leftChars="0" w:firstLine="0" w:firstLineChars="0"/>
        <w:jc w:val="center"/>
        <w:rPr>
          <w:rFonts w:hint="eastAsia" w:ascii="仿宋" w:hAnsi="仿宋" w:eastAsia="仿宋" w:cs="仿宋"/>
          <w:b/>
          <w:color w:val="auto"/>
          <w:kern w:val="0"/>
          <w:sz w:val="32"/>
          <w:szCs w:val="32"/>
          <w:highlight w:val="none"/>
          <w:lang w:val="en-US" w:eastAsia="zh-CN"/>
        </w:rPr>
      </w:pPr>
    </w:p>
    <w:p>
      <w:pPr>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、交易标的清单</w:t>
      </w:r>
    </w:p>
    <w:tbl>
      <w:tblPr>
        <w:tblStyle w:val="64"/>
        <w:tblW w:w="909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690"/>
        <w:gridCol w:w="1860"/>
        <w:gridCol w:w="1095"/>
        <w:gridCol w:w="2460"/>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监测项目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数量</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基坑监测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地下水位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163</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间距30-40m</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合计总长：3360.6m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深层土体水平位移</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163</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围护墙顶部水平位移</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163</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围护墙顶部竖向位移</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163</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地表竖向位移</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652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每个断面4个</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支撑轴力</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与测斜同一断面</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建（构）筑物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40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建筑物四个角布点</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测点数量预估,单价不超过600元/点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顶管施工监测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地表竖向位移</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788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顶管路面沉降监测点设置要求为纵向间距10m,横向间距5m，每组断面布设7个监测点。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高速桥墩监测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高速桥墩沉降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临近本工程线路两侧15m范围内每个桥墩一个测点。</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测点数量预估,单价不超过600元/点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高速隧道监测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高速隧道沉降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临近本工程线路两侧10m范围内高速隧道。</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shd w:val="clear" w:color="auto" w:fill="auto"/>
                <w:lang w:val="en-US" w:eastAsia="zh-CN" w:bidi="ar"/>
              </w:rPr>
              <w:t>因高速已通车，进入隧道测量需要的相关审批、通行、监护等一切高速配合费用，由投标单位自行负责，高速配合费用暂估10万元。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高速桥墩监测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高速桥墩水平位移</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临近本工程线路两侧15m范围内每个桥墩一个测点。</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测点数量预估,单价不超过600元/点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高速路基挡墙段沉降监测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高速路基挡墙段沉降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临近本工程线路两侧20m范围内每20m一个测点。</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测点数量预估,单价不超过600元/点</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59"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交易文件章节及具体内容</w:t>
            </w:r>
          </w:p>
        </w:tc>
        <w:tc>
          <w:tcPr>
            <w:tcW w:w="3546"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pPr>
              <w:spacing w:line="360" w:lineRule="auto"/>
              <w:jc w:val="center"/>
              <w:rPr>
                <w:rFonts w:hint="eastAsia" w:ascii="仿宋" w:hAnsi="仿宋" w:eastAsia="仿宋" w:cs="仿宋"/>
                <w:b/>
                <w:color w:val="auto"/>
                <w:kern w:val="0"/>
                <w:sz w:val="32"/>
                <w:szCs w:val="32"/>
                <w:highlight w:val="none"/>
              </w:rPr>
            </w:pPr>
          </w:p>
        </w:tc>
        <w:tc>
          <w:tcPr>
            <w:tcW w:w="3546" w:type="dxa"/>
            <w:vAlign w:val="center"/>
          </w:tcPr>
          <w:p>
            <w:pPr>
              <w:jc w:val="center"/>
              <w:rPr>
                <w:rFonts w:hint="eastAsia" w:ascii="仿宋" w:hAnsi="仿宋" w:eastAsia="仿宋" w:cs="仿宋"/>
                <w:b/>
                <w:color w:val="auto"/>
                <w:kern w:val="0"/>
                <w:sz w:val="32"/>
                <w:szCs w:val="32"/>
                <w:highlight w:val="none"/>
              </w:rPr>
            </w:pPr>
          </w:p>
        </w:tc>
        <w:tc>
          <w:tcPr>
            <w:tcW w:w="1276" w:type="dxa"/>
            <w:vAlign w:val="center"/>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pPr>
              <w:spacing w:line="360" w:lineRule="auto"/>
              <w:jc w:val="center"/>
              <w:rPr>
                <w:rFonts w:hint="eastAsia" w:ascii="仿宋" w:hAnsi="仿宋" w:eastAsia="仿宋" w:cs="仿宋"/>
                <w:b/>
                <w:color w:val="auto"/>
                <w:kern w:val="0"/>
                <w:sz w:val="32"/>
                <w:szCs w:val="32"/>
                <w:highlight w:val="none"/>
              </w:rPr>
            </w:pPr>
          </w:p>
        </w:tc>
        <w:tc>
          <w:tcPr>
            <w:tcW w:w="3546" w:type="dxa"/>
            <w:vAlign w:val="center"/>
          </w:tcPr>
          <w:p>
            <w:pPr>
              <w:jc w:val="center"/>
              <w:rPr>
                <w:rFonts w:hint="eastAsia" w:ascii="仿宋" w:hAnsi="仿宋" w:eastAsia="仿宋" w:cs="仿宋"/>
                <w:b/>
                <w:color w:val="auto"/>
                <w:kern w:val="0"/>
                <w:sz w:val="32"/>
                <w:szCs w:val="32"/>
                <w:highlight w:val="none"/>
              </w:rPr>
            </w:pPr>
          </w:p>
        </w:tc>
        <w:tc>
          <w:tcPr>
            <w:tcW w:w="1276" w:type="dxa"/>
            <w:vAlign w:val="center"/>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pPr>
              <w:spacing w:line="360" w:lineRule="auto"/>
              <w:jc w:val="center"/>
              <w:rPr>
                <w:rFonts w:hint="eastAsia" w:ascii="仿宋" w:hAnsi="仿宋" w:eastAsia="仿宋" w:cs="仿宋"/>
                <w:b/>
                <w:color w:val="auto"/>
                <w:kern w:val="0"/>
                <w:sz w:val="32"/>
                <w:szCs w:val="32"/>
                <w:highlight w:val="none"/>
              </w:rPr>
            </w:pPr>
          </w:p>
        </w:tc>
        <w:tc>
          <w:tcPr>
            <w:tcW w:w="3546" w:type="dxa"/>
            <w:vAlign w:val="center"/>
          </w:tcPr>
          <w:p>
            <w:pPr>
              <w:jc w:val="center"/>
              <w:rPr>
                <w:rFonts w:hint="eastAsia" w:ascii="仿宋" w:hAnsi="仿宋" w:eastAsia="仿宋" w:cs="仿宋"/>
                <w:b/>
                <w:color w:val="auto"/>
                <w:kern w:val="0"/>
                <w:sz w:val="32"/>
                <w:szCs w:val="32"/>
                <w:highlight w:val="none"/>
              </w:rPr>
            </w:pPr>
          </w:p>
        </w:tc>
        <w:tc>
          <w:tcPr>
            <w:tcW w:w="1276" w:type="dxa"/>
            <w:vAlign w:val="center"/>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供应商保证：除商务技术偏离表列出的偏离外，供应商响应交易文件的全部要求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u w:val="singl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项目交易要求参加交易。在这次交易过程中和成交后，我们将严格遵守国家法律法规要求，并郑重承诺：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有权立即取消我单位交易、成交或在建项目的建设资格，有权拒绝我单位在一定时期内进入你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pPr>
        <w:rPr>
          <w:rFonts w:hint="eastAsia" w:ascii="仿宋" w:hAnsi="仿宋" w:eastAsia="仿宋" w:cs="仿宋"/>
          <w:b/>
          <w:bCs/>
          <w:color w:val="auto"/>
          <w:sz w:val="24"/>
          <w:highlight w:val="none"/>
        </w:rPr>
      </w:pPr>
    </w:p>
    <w:p>
      <w:pPr>
        <w:rPr>
          <w:rFonts w:hint="eastAsia" w:ascii="仿宋" w:hAnsi="仿宋" w:eastAsia="仿宋" w:cs="仿宋"/>
          <w:b/>
          <w:bCs/>
          <w:color w:val="auto"/>
          <w:sz w:val="24"/>
          <w:highlight w:val="none"/>
        </w:rPr>
      </w:pPr>
    </w:p>
    <w:p>
      <w:pPr>
        <w:numPr>
          <w:ilvl w:val="0"/>
          <w:numId w:val="0"/>
        </w:numPr>
        <w:jc w:val="cente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en-US" w:eastAsia="zh-CN"/>
        </w:rPr>
        <w:t>七、</w:t>
      </w:r>
      <w:r>
        <w:rPr>
          <w:rFonts w:hint="eastAsia" w:ascii="仿宋" w:hAnsi="仿宋" w:eastAsia="仿宋" w:cs="仿宋"/>
          <w:b/>
          <w:bCs/>
          <w:color w:val="auto"/>
          <w:sz w:val="30"/>
          <w:szCs w:val="30"/>
          <w:highlight w:val="none"/>
          <w:lang w:val="zh-CN"/>
        </w:rPr>
        <w:t>项目实施计划：详细的项目组织实施方案（工作时间进度表、工作程序或步骤、管理和协调方法等）；</w:t>
      </w:r>
    </w:p>
    <w:p>
      <w:pPr>
        <w:pStyle w:val="964"/>
        <w:jc w:val="center"/>
        <w:rPr>
          <w:rFonts w:hint="eastAsia" w:ascii="仿宋" w:hAnsi="仿宋" w:eastAsia="仿宋" w:cs="仿宋"/>
          <w:b/>
          <w:bCs/>
          <w:color w:val="auto"/>
          <w:sz w:val="30"/>
          <w:szCs w:val="30"/>
          <w:highlight w:val="none"/>
          <w:lang w:val="zh-CN"/>
        </w:rPr>
      </w:pPr>
    </w:p>
    <w:p>
      <w:pPr>
        <w:pStyle w:val="964"/>
        <w:jc w:val="center"/>
        <w:rPr>
          <w:rFonts w:hint="eastAsia" w:ascii="仿宋" w:hAnsi="仿宋" w:eastAsia="仿宋" w:cs="仿宋"/>
          <w:b/>
          <w:bCs/>
          <w:color w:val="auto"/>
          <w:sz w:val="30"/>
          <w:szCs w:val="30"/>
          <w:highlight w:val="none"/>
          <w:lang w:val="zh-CN"/>
        </w:rPr>
      </w:pPr>
    </w:p>
    <w:p>
      <w:pPr>
        <w:pStyle w:val="964"/>
        <w:jc w:val="center"/>
        <w:rPr>
          <w:rFonts w:hint="eastAsia" w:ascii="仿宋" w:hAnsi="仿宋" w:eastAsia="仿宋" w:cs="仿宋"/>
          <w:b/>
          <w:bCs/>
          <w:color w:val="auto"/>
          <w:sz w:val="30"/>
          <w:szCs w:val="30"/>
          <w:highlight w:val="none"/>
          <w:lang w:val="zh-CN"/>
        </w:rPr>
      </w:pPr>
    </w:p>
    <w:p>
      <w:pPr>
        <w:pStyle w:val="964"/>
        <w:jc w:val="center"/>
        <w:rPr>
          <w:rFonts w:hint="eastAsia" w:ascii="仿宋" w:hAnsi="仿宋" w:eastAsia="仿宋" w:cs="仿宋"/>
          <w:b/>
          <w:bCs/>
          <w:color w:val="auto"/>
          <w:sz w:val="30"/>
          <w:szCs w:val="30"/>
          <w:highlight w:val="none"/>
          <w:lang w:val="zh-CN"/>
        </w:rPr>
      </w:pPr>
    </w:p>
    <w:p>
      <w:pPr>
        <w:pStyle w:val="964"/>
        <w:jc w:val="center"/>
        <w:rPr>
          <w:rFonts w:hint="eastAsia" w:ascii="仿宋" w:hAnsi="仿宋" w:eastAsia="仿宋" w:cs="仿宋"/>
          <w:b/>
          <w:bCs/>
          <w:color w:val="auto"/>
          <w:sz w:val="30"/>
          <w:szCs w:val="30"/>
          <w:highlight w:val="none"/>
          <w:lang w:val="zh-CN"/>
        </w:rPr>
      </w:pPr>
    </w:p>
    <w:p>
      <w:pPr>
        <w:pStyle w:val="964"/>
        <w:jc w:val="center"/>
        <w:rPr>
          <w:rFonts w:hint="eastAsia" w:ascii="仿宋" w:hAnsi="仿宋" w:eastAsia="仿宋" w:cs="仿宋"/>
          <w:b/>
          <w:bCs/>
          <w:color w:val="auto"/>
          <w:sz w:val="30"/>
          <w:szCs w:val="30"/>
          <w:highlight w:val="none"/>
          <w:lang w:val="zh-CN"/>
        </w:rPr>
      </w:pPr>
    </w:p>
    <w:p>
      <w:pPr>
        <w:pStyle w:val="964"/>
        <w:numPr>
          <w:ilvl w:val="0"/>
          <w:numId w:val="0"/>
        </w:numPr>
        <w:ind w:leftChars="0"/>
        <w:jc w:val="center"/>
        <w:rPr>
          <w:rFonts w:hint="eastAsia" w:ascii="仿宋" w:hAnsi="仿宋" w:eastAsia="仿宋" w:cs="仿宋"/>
          <w:b/>
          <w:bCs/>
          <w:color w:val="auto"/>
          <w:sz w:val="30"/>
          <w:szCs w:val="30"/>
          <w:highlight w:val="none"/>
          <w:lang w:val="zh-CN"/>
        </w:rPr>
      </w:pPr>
    </w:p>
    <w:p>
      <w:pPr>
        <w:numPr>
          <w:ilvl w:val="0"/>
          <w:numId w:val="0"/>
        </w:numPr>
        <w:snapToGrid w:val="0"/>
        <w:spacing w:line="400" w:lineRule="exact"/>
        <w:ind w:left="0" w:leftChars="0" w:firstLine="0" w:firstLineChars="0"/>
        <w:jc w:val="cente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en-US" w:eastAsia="zh-CN"/>
        </w:rPr>
        <w:t>八、</w:t>
      </w:r>
      <w:r>
        <w:rPr>
          <w:rFonts w:hint="eastAsia" w:ascii="仿宋" w:hAnsi="仿宋" w:eastAsia="仿宋" w:cs="仿宋"/>
          <w:b/>
          <w:bCs/>
          <w:color w:val="auto"/>
          <w:sz w:val="30"/>
          <w:szCs w:val="30"/>
          <w:highlight w:val="none"/>
          <w:lang w:val="zh-CN"/>
        </w:rPr>
        <w:t>售后服务、技术支持承诺；</w:t>
      </w:r>
    </w:p>
    <w:p>
      <w:pPr>
        <w:pStyle w:val="964"/>
        <w:ind w:left="0" w:leftChars="0" w:firstLine="0" w:firstLineChars="0"/>
        <w:jc w:val="center"/>
        <w:rPr>
          <w:rFonts w:hint="eastAsia" w:ascii="仿宋" w:hAnsi="仿宋" w:eastAsia="仿宋" w:cs="仿宋"/>
          <w:b/>
          <w:bCs/>
          <w:color w:val="auto"/>
          <w:sz w:val="30"/>
          <w:szCs w:val="30"/>
          <w:highlight w:val="none"/>
          <w:lang w:val="zh-CN"/>
        </w:rPr>
      </w:pPr>
    </w:p>
    <w:p>
      <w:pPr>
        <w:pStyle w:val="964"/>
        <w:numPr>
          <w:ilvl w:val="0"/>
          <w:numId w:val="0"/>
        </w:numPr>
        <w:ind w:left="0" w:leftChars="0" w:firstLine="0" w:firstLineChars="0"/>
        <w:jc w:val="center"/>
        <w:rPr>
          <w:rFonts w:hint="eastAsia" w:ascii="仿宋" w:hAnsi="仿宋" w:eastAsia="仿宋" w:cs="仿宋"/>
          <w:b/>
          <w:bCs/>
          <w:color w:val="auto"/>
          <w:sz w:val="30"/>
          <w:szCs w:val="30"/>
          <w:highlight w:val="none"/>
          <w:lang w:val="zh-CN"/>
        </w:rPr>
      </w:pPr>
    </w:p>
    <w:p>
      <w:pPr>
        <w:pStyle w:val="964"/>
        <w:numPr>
          <w:ilvl w:val="0"/>
          <w:numId w:val="0"/>
        </w:numPr>
        <w:ind w:left="0" w:leftChars="0" w:firstLine="0" w:firstLineChars="0"/>
        <w:jc w:val="center"/>
        <w:rPr>
          <w:rFonts w:hint="eastAsia" w:ascii="仿宋" w:hAnsi="仿宋" w:eastAsia="仿宋" w:cs="仿宋"/>
          <w:b/>
          <w:bCs/>
          <w:color w:val="auto"/>
          <w:sz w:val="30"/>
          <w:szCs w:val="30"/>
          <w:highlight w:val="none"/>
          <w:lang w:val="zh-CN"/>
        </w:rPr>
      </w:pPr>
    </w:p>
    <w:p>
      <w:pPr>
        <w:pStyle w:val="964"/>
        <w:numPr>
          <w:ilvl w:val="0"/>
          <w:numId w:val="0"/>
        </w:numPr>
        <w:ind w:left="0" w:leftChars="0" w:firstLine="0" w:firstLineChars="0"/>
        <w:jc w:val="center"/>
        <w:rPr>
          <w:rFonts w:hint="eastAsia" w:ascii="仿宋" w:hAnsi="仿宋" w:eastAsia="仿宋" w:cs="仿宋"/>
          <w:b/>
          <w:bCs/>
          <w:color w:val="auto"/>
          <w:sz w:val="30"/>
          <w:szCs w:val="30"/>
          <w:highlight w:val="none"/>
          <w:lang w:val="zh-CN"/>
        </w:rPr>
      </w:pPr>
    </w:p>
    <w:p>
      <w:pPr>
        <w:pStyle w:val="964"/>
        <w:numPr>
          <w:ilvl w:val="0"/>
          <w:numId w:val="0"/>
        </w:numPr>
        <w:ind w:left="0" w:leftChars="0" w:firstLine="0" w:firstLineChars="0"/>
        <w:jc w:val="center"/>
        <w:rPr>
          <w:rFonts w:hint="eastAsia" w:ascii="仿宋" w:hAnsi="仿宋" w:eastAsia="仿宋" w:cs="仿宋"/>
          <w:b/>
          <w:bCs/>
          <w:color w:val="auto"/>
          <w:sz w:val="30"/>
          <w:szCs w:val="30"/>
          <w:highlight w:val="none"/>
          <w:lang w:val="zh-CN"/>
        </w:rPr>
      </w:pPr>
    </w:p>
    <w:p>
      <w:pPr>
        <w:pStyle w:val="964"/>
        <w:numPr>
          <w:ilvl w:val="0"/>
          <w:numId w:val="0"/>
        </w:numPr>
        <w:ind w:left="0" w:leftChars="0" w:firstLine="0" w:firstLineChars="0"/>
        <w:jc w:val="center"/>
        <w:rPr>
          <w:rFonts w:hint="eastAsia" w:ascii="仿宋" w:hAnsi="仿宋" w:eastAsia="仿宋" w:cs="仿宋"/>
          <w:b/>
          <w:bCs/>
          <w:color w:val="auto"/>
          <w:sz w:val="30"/>
          <w:szCs w:val="30"/>
          <w:highlight w:val="none"/>
          <w:lang w:val="zh-CN"/>
        </w:rPr>
      </w:pPr>
    </w:p>
    <w:p>
      <w:pPr>
        <w:pStyle w:val="964"/>
        <w:numPr>
          <w:ilvl w:val="0"/>
          <w:numId w:val="0"/>
        </w:numPr>
        <w:ind w:left="0" w:leftChars="0" w:firstLine="0" w:firstLineChars="0"/>
        <w:jc w:val="center"/>
        <w:rPr>
          <w:rFonts w:hint="eastAsia" w:ascii="仿宋" w:hAnsi="仿宋" w:eastAsia="仿宋" w:cs="仿宋"/>
          <w:b/>
          <w:bCs/>
          <w:color w:val="auto"/>
          <w:sz w:val="30"/>
          <w:szCs w:val="30"/>
          <w:highlight w:val="none"/>
          <w:lang w:val="zh-CN"/>
        </w:rPr>
      </w:pPr>
    </w:p>
    <w:p>
      <w:pPr>
        <w:snapToGrid w:val="0"/>
        <w:spacing w:line="400" w:lineRule="exact"/>
        <w:ind w:left="0" w:leftChars="0" w:firstLine="0" w:firstLineChars="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十、</w:t>
      </w:r>
      <w:r>
        <w:rPr>
          <w:rFonts w:hint="eastAsia" w:ascii="仿宋" w:hAnsi="仿宋" w:eastAsia="仿宋" w:cs="仿宋"/>
          <w:b/>
          <w:bCs/>
          <w:color w:val="auto"/>
          <w:sz w:val="30"/>
          <w:szCs w:val="30"/>
          <w:highlight w:val="none"/>
          <w:lang w:val="zh-CN" w:eastAsia="zh-CN"/>
        </w:rPr>
        <w:t>供应商需要说明的其它文件和资料。</w:t>
      </w:r>
    </w:p>
    <w:p>
      <w:pPr>
        <w:pStyle w:val="964"/>
        <w:ind w:left="0" w:leftChars="0" w:firstLine="0" w:firstLineChars="0"/>
        <w:jc w:val="center"/>
        <w:rPr>
          <w:rFonts w:hint="eastAsia" w:ascii="仿宋" w:hAnsi="仿宋" w:eastAsia="仿宋" w:cs="仿宋"/>
          <w:b/>
          <w:bCs/>
          <w:color w:val="auto"/>
          <w:sz w:val="30"/>
          <w:szCs w:val="30"/>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start="1"/>
          <w:cols w:space="720" w:num="1"/>
          <w:titlePg/>
          <w:docGrid w:linePitch="312" w:charSpace="0"/>
        </w:sect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bCs/>
          <w:color w:val="auto"/>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2" w:type="first"/>
          <w:footerReference r:id="rId14" w:type="first"/>
          <w:headerReference r:id="rId11" w:type="default"/>
          <w:footerReference r:id="rId13" w:type="default"/>
          <w:pgSz w:w="11906" w:h="16838"/>
          <w:pgMar w:top="1440" w:right="1803" w:bottom="1440" w:left="1803"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
        <w:gridCol w:w="703"/>
        <w:gridCol w:w="2482"/>
        <w:gridCol w:w="759"/>
        <w:gridCol w:w="1281"/>
        <w:gridCol w:w="1247"/>
        <w:gridCol w:w="3854"/>
        <w:gridCol w:w="2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序号</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监测项目</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数量</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单价（元）</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小计（元）</w:t>
            </w:r>
          </w:p>
        </w:tc>
        <w:tc>
          <w:tcPr>
            <w:tcW w:w="2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基坑监测</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地下水位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间距30-40m</w:t>
            </w:r>
          </w:p>
        </w:tc>
        <w:tc>
          <w:tcPr>
            <w:tcW w:w="10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合计总长：3360.6m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深层土体水平位移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0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围护墙顶部水平位移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0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围护墙顶部竖向位移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0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地表竖向位移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每个断面4个</w:t>
            </w:r>
          </w:p>
        </w:tc>
        <w:tc>
          <w:tcPr>
            <w:tcW w:w="10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支撑轴力</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与测斜同一断面</w:t>
            </w:r>
          </w:p>
        </w:tc>
        <w:tc>
          <w:tcPr>
            <w:tcW w:w="10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建（构）筑物</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建筑物四个角布点</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测点数量预估,单价不超过600元/点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顶管施工监测</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地表竖向位移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顶管路面沉降监测点设置要求为纵向间距10m,横向间距5m，每组断面布设7个监测点。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高速桥墩监测</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高速桥墩沉降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临近本工程线路两侧15m范围内每个桥墩一个测点。</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测点数量预估,单价不超过600元/点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高速隧道监测</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高速隧道沉降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临近本工程线路两侧10m范围内高速隧道。</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高速隧道已通车，进入隧道测量需要的相关审批、通行、监护等一切相关费用，需投标单位自行考虑。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高速桥墩监测</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高速桥墩水平位移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临近本工程线路两侧15m范围内每个桥墩一个测点。</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测点数量预估,单价不超过600元/点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高速路基挡墙段沉降监测</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高速路基挡墙段沉降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临近本工程线路两侧20m范围内每20m一个测点。</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测点数量预估,单价不超过600元/点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投标报价（小写）</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p>
        </w:tc>
        <w:tc>
          <w:tcPr>
            <w:tcW w:w="32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投标报价（大写）</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p>
        </w:tc>
        <w:tc>
          <w:tcPr>
            <w:tcW w:w="32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p>
        </w:tc>
      </w:tr>
    </w:tbl>
    <w:p>
      <w:pPr>
        <w:pStyle w:val="24"/>
        <w:rPr>
          <w:rFonts w:hint="eastAsia" w:ascii="仿宋" w:hAnsi="仿宋" w:eastAsia="仿宋" w:cs="仿宋"/>
          <w:highlight w:val="none"/>
          <w:lang w:val="zh-CN"/>
        </w:rPr>
      </w:pPr>
    </w:p>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1、响应人需按本表格式填写，不得自行更改</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lang w:val="en-US" w:eastAsia="zh-CN"/>
        </w:rPr>
        <w:t>可扩展</w:t>
      </w:r>
      <w:r>
        <w:rPr>
          <w:rFonts w:hint="eastAsia" w:ascii="仿宋" w:hAnsi="仿宋" w:eastAsia="仿宋" w:cs="仿宋"/>
          <w:b/>
          <w:bCs/>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2" w:firstLineChars="200"/>
        <w:rPr>
          <w:rFonts w:hint="eastAsia" w:ascii="仿宋" w:hAnsi="仿宋" w:eastAsia="仿宋" w:cs="仿宋"/>
          <w:b/>
          <w:color w:val="auto"/>
          <w:kern w:val="0"/>
          <w:sz w:val="24"/>
          <w:highlight w:val="none"/>
          <w:lang w:val="en-US" w:eastAsia="zh-CN"/>
        </w:rPr>
      </w:pPr>
      <w:r>
        <w:rPr>
          <w:rFonts w:hint="eastAsia" w:ascii="仿宋" w:hAnsi="仿宋" w:eastAsia="仿宋" w:cs="仿宋"/>
          <w:b/>
          <w:bCs/>
          <w:color w:val="auto"/>
          <w:kern w:val="0"/>
          <w:sz w:val="24"/>
          <w:highlight w:val="none"/>
          <w:lang w:val="zh-CN"/>
        </w:rPr>
        <w:t>2、有关本项目实施所涉及的一切费用均计入报价（含其他材料</w:t>
      </w:r>
      <w:r>
        <w:rPr>
          <w:rFonts w:hint="eastAsia" w:ascii="仿宋" w:hAnsi="仿宋" w:eastAsia="仿宋" w:cs="仿宋"/>
          <w:b/>
          <w:bCs/>
          <w:color w:val="auto"/>
          <w:kern w:val="0"/>
          <w:sz w:val="24"/>
          <w:highlight w:val="none"/>
          <w:lang w:val="en-US" w:eastAsia="zh-CN"/>
        </w:rPr>
        <w:t>费、相关措施费</w:t>
      </w:r>
      <w:r>
        <w:rPr>
          <w:rFonts w:hint="eastAsia" w:ascii="仿宋" w:hAnsi="仿宋" w:eastAsia="仿宋" w:cs="仿宋"/>
          <w:b/>
          <w:bCs/>
          <w:color w:val="auto"/>
          <w:kern w:val="0"/>
          <w:sz w:val="24"/>
          <w:highlight w:val="none"/>
          <w:lang w:val="zh-CN"/>
        </w:rPr>
        <w:t>及相关开挖恢复、</w:t>
      </w:r>
      <w:r>
        <w:rPr>
          <w:rFonts w:hint="eastAsia" w:ascii="仿宋" w:hAnsi="仿宋" w:eastAsia="仿宋" w:cs="仿宋"/>
          <w:b/>
          <w:bCs/>
          <w:color w:val="auto"/>
          <w:kern w:val="0"/>
          <w:sz w:val="24"/>
          <w:highlight w:val="none"/>
          <w:lang w:val="en-US" w:eastAsia="zh-CN"/>
        </w:rPr>
        <w:t>税费等</w:t>
      </w:r>
      <w:r>
        <w:rPr>
          <w:rFonts w:hint="eastAsia" w:ascii="仿宋" w:hAnsi="仿宋" w:eastAsia="仿宋" w:cs="仿宋"/>
          <w:b/>
          <w:bCs/>
          <w:color w:val="auto"/>
          <w:kern w:val="0"/>
          <w:sz w:val="24"/>
          <w:highlight w:val="none"/>
          <w:lang w:val="zh-CN"/>
        </w:rPr>
        <w:t>）。</w:t>
      </w:r>
      <w:r>
        <w:rPr>
          <w:rFonts w:hint="eastAsia" w:ascii="仿宋" w:hAnsi="仿宋" w:eastAsia="仿宋" w:cs="仿宋"/>
          <w:b/>
          <w:color w:val="auto"/>
          <w:kern w:val="0"/>
          <w:sz w:val="24"/>
          <w:highlight w:val="none"/>
          <w:lang w:val="zh-CN"/>
        </w:rPr>
        <w:t>交易发起人将以合同形式有偿取得货物或服务，不接受响应人给予的赠品、回扣或者与采购无关的其他商品、服务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w:t>
      </w:r>
      <w:r>
        <w:rPr>
          <w:rFonts w:hint="eastAsia" w:ascii="仿宋" w:hAnsi="仿宋" w:eastAsia="仿宋" w:cs="仿宋"/>
          <w:b/>
          <w:color w:val="auto"/>
          <w:kern w:val="0"/>
          <w:sz w:val="24"/>
          <w:highlight w:val="none"/>
          <w:lang w:val="en-US" w:eastAsia="zh-CN"/>
        </w:rPr>
        <w:t>0%</w:t>
      </w:r>
      <w:r>
        <w:rPr>
          <w:rFonts w:hint="eastAsia" w:ascii="仿宋" w:hAnsi="仿宋" w:eastAsia="仿宋" w:cs="仿宋"/>
          <w:b/>
          <w:color w:val="auto"/>
          <w:kern w:val="0"/>
          <w:sz w:val="24"/>
          <w:highlight w:val="none"/>
          <w:lang w:val="zh-CN"/>
        </w:rPr>
        <w:t>”、“免费赠送”等形式的无偿报价，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不能接受的附加条件的，投标无效</w:t>
      </w:r>
      <w:r>
        <w:rPr>
          <w:rFonts w:hint="eastAsia" w:ascii="仿宋" w:hAnsi="仿宋" w:eastAsia="仿宋" w:cs="仿宋"/>
          <w:b/>
          <w:color w:val="auto"/>
          <w:kern w:val="0"/>
          <w:sz w:val="24"/>
          <w:highlight w:val="none"/>
          <w:lang w:val="zh-CN"/>
        </w:rPr>
        <w:t>；采购内容未包含在《开标一览表（报价表）》名称栏中，响应人不能作出合理解释的，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不能接受的附加条件的，投标无效</w:t>
      </w:r>
      <w:r>
        <w:rPr>
          <w:rFonts w:hint="eastAsia" w:ascii="仿宋" w:hAnsi="仿宋" w:eastAsia="仿宋" w:cs="仿宋"/>
          <w:b/>
          <w:color w:val="auto"/>
          <w:kern w:val="0"/>
          <w:sz w:val="24"/>
          <w:highlight w:val="none"/>
          <w:lang w:val="zh-CN" w:eastAsia="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、特别提示：代理机构将对项目名称和项目编号，中标供应商名称、地址和中标金额，主要中标标的的名称、规格型号、数量、单价、服务要求等予以公示。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5</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交易文件中列明的可享受中小企业扶持政策的响应人，请填写中小企业声明函。注：响应人提供的中小企业声明函内容不实的，属于提供虚假材料谋取中标、成交，依照《中华人民共和国政府采购法》等国家有关规定追究相应责任。</w:t>
      </w:r>
    </w:p>
    <w:p>
      <w:pPr>
        <w:spacing w:line="360" w:lineRule="auto"/>
        <w:ind w:left="-2" w:leftChars="-1" w:firstLine="723" w:firstLineChars="2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rPr>
          <w:rFonts w:hint="eastAsia" w:ascii="仿宋" w:hAnsi="仿宋" w:eastAsia="仿宋" w:cs="仿宋"/>
          <w:color w:val="auto"/>
          <w:highlight w:val="none"/>
        </w:rPr>
        <w:sectPr>
          <w:headerReference r:id="rId16" w:type="first"/>
          <w:footerReference r:id="rId19" w:type="first"/>
          <w:headerReference r:id="rId15" w:type="default"/>
          <w:footerReference r:id="rId17" w:type="default"/>
          <w:footerReference r:id="rId18" w:type="even"/>
          <w:pgSz w:w="16838" w:h="11906" w:orient="landscape"/>
          <w:pgMar w:top="1803" w:right="1440" w:bottom="1803" w:left="1440"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383" w:name="_Toc465665161"/>
    </w:p>
    <w:p>
      <w:pPr>
        <w:pStyle w:val="3"/>
        <w:keepNext w:val="0"/>
        <w:keepLines w:val="0"/>
        <w:pageBreakBefore/>
        <w:widowControl/>
        <w:spacing w:before="100" w:beforeAutospacing="1" w:after="100" w:afterAutospacing="1" w:line="360" w:lineRule="auto"/>
        <w:rPr>
          <w:rFonts w:hint="eastAsia" w:ascii="仿宋" w:hAnsi="仿宋" w:eastAsia="仿宋" w:cs="仿宋"/>
          <w:b/>
          <w:color w:val="auto"/>
          <w:sz w:val="24"/>
          <w:highlight w:val="none"/>
        </w:rPr>
      </w:pPr>
      <w:r>
        <w:rPr>
          <w:rFonts w:hint="eastAsia" w:ascii="仿宋" w:hAnsi="仿宋" w:eastAsia="仿宋" w:cs="仿宋"/>
          <w:color w:val="auto"/>
          <w:highlight w:val="none"/>
        </w:rPr>
        <w:t>附件</w:t>
      </w:r>
      <w:bookmarkEnd w:id="383"/>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lang w:eastAsia="zh-CN"/>
        </w:rPr>
        <w:t>业主</w:t>
      </w:r>
      <w:r>
        <w:rPr>
          <w:rFonts w:hint="eastAsia" w:ascii="仿宋" w:hAnsi="仿宋" w:eastAsia="仿宋" w:cs="仿宋"/>
          <w:color w:val="auto"/>
          <w:sz w:val="24"/>
          <w:highlight w:val="none"/>
          <w:u w:val="dotted"/>
        </w:rPr>
        <w:t>/代理机构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业主</w:t>
      </w:r>
      <w:r>
        <w:rPr>
          <w:rFonts w:hint="eastAsia" w:ascii="仿宋" w:hAnsi="仿宋" w:eastAsia="仿宋" w:cs="仿宋"/>
          <w:color w:val="auto"/>
          <w:sz w:val="24"/>
          <w:highlight w:val="none"/>
          <w:u w:val="single"/>
        </w:rPr>
        <w:t>）、（采购代理机构）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both"/>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rPr>
          <w:rFonts w:hint="eastAsia" w:ascii="仿宋" w:hAnsi="仿宋" w:eastAsia="仿宋" w:cs="仿宋"/>
          <w:color w:val="auto"/>
          <w:highlight w:val="none"/>
        </w:rPr>
      </w:pPr>
    </w:p>
    <w:sectPr>
      <w:pgSz w:w="11906" w:h="16838"/>
      <w:pgMar w:top="1440" w:right="1803" w:bottom="1440" w:left="1803"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p>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p>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jc w:val="left"/>
                    </w:pPr>
                  </w:p>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jc w:val="left"/>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 xml:space="preserve">                                                 </w:t>
    </w:r>
    <w:r>
      <w:rPr>
        <w:rFonts w:hint="eastAsia" w:ascii="仿宋" w:hAnsi="仿宋" w:eastAsia="仿宋" w:cs="仿宋"/>
      </w:rPr>
      <w:t>交易文件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p>
    <w:pPr>
      <w:pStyle w:val="43"/>
      <w:pBdr>
        <w:bottom w:val="none" w:color="auto" w:sz="0" w:space="1"/>
      </w:pBdr>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交易文件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hint="eastAsia" w:ascii="仿宋_GB2312" w:eastAsia="宋体"/>
        <w:b/>
        <w:i/>
        <w:iCs/>
        <w:u w:val="single"/>
        <w:lang w:eastAsia="zh-CN"/>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ZDRmNWNmYmVhZGQwMDlmYWU0ZTU3ZDI4NThhMTIifQ=="/>
    <w:docVar w:name="KSO_WPS_MARK_KEY" w:val="4e9b9682-1e5d-4137-aac2-4e9c6b8ea6c6"/>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671"/>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63E6"/>
    <w:rsid w:val="0117101D"/>
    <w:rsid w:val="011F6449"/>
    <w:rsid w:val="01236AFB"/>
    <w:rsid w:val="014E31AE"/>
    <w:rsid w:val="01664124"/>
    <w:rsid w:val="019F7441"/>
    <w:rsid w:val="01B37585"/>
    <w:rsid w:val="01D42C61"/>
    <w:rsid w:val="01D55165"/>
    <w:rsid w:val="01DF6BF8"/>
    <w:rsid w:val="01EC2C57"/>
    <w:rsid w:val="01F27D15"/>
    <w:rsid w:val="02385F86"/>
    <w:rsid w:val="025D4496"/>
    <w:rsid w:val="025F0711"/>
    <w:rsid w:val="026B2E25"/>
    <w:rsid w:val="02824D4D"/>
    <w:rsid w:val="02DC4B10"/>
    <w:rsid w:val="02DD76CE"/>
    <w:rsid w:val="02F36323"/>
    <w:rsid w:val="02F5619C"/>
    <w:rsid w:val="0326446A"/>
    <w:rsid w:val="032D5555"/>
    <w:rsid w:val="036634D2"/>
    <w:rsid w:val="036F5AEF"/>
    <w:rsid w:val="03DD35E4"/>
    <w:rsid w:val="04076900"/>
    <w:rsid w:val="041A5A3B"/>
    <w:rsid w:val="042311BA"/>
    <w:rsid w:val="042B157A"/>
    <w:rsid w:val="042C3555"/>
    <w:rsid w:val="048F763B"/>
    <w:rsid w:val="049F330E"/>
    <w:rsid w:val="04AA775C"/>
    <w:rsid w:val="04AF1889"/>
    <w:rsid w:val="04F66F48"/>
    <w:rsid w:val="05007AC5"/>
    <w:rsid w:val="051E28A6"/>
    <w:rsid w:val="05251E14"/>
    <w:rsid w:val="05502552"/>
    <w:rsid w:val="05507636"/>
    <w:rsid w:val="05726DA2"/>
    <w:rsid w:val="05770BD6"/>
    <w:rsid w:val="057F5253"/>
    <w:rsid w:val="0591221D"/>
    <w:rsid w:val="05A16594"/>
    <w:rsid w:val="05A7762D"/>
    <w:rsid w:val="05C04DC2"/>
    <w:rsid w:val="05E34FA7"/>
    <w:rsid w:val="060E5941"/>
    <w:rsid w:val="06110FAF"/>
    <w:rsid w:val="06493CA7"/>
    <w:rsid w:val="065A6178"/>
    <w:rsid w:val="066F1CF3"/>
    <w:rsid w:val="066F4BB3"/>
    <w:rsid w:val="06930BB8"/>
    <w:rsid w:val="07245D42"/>
    <w:rsid w:val="07264C62"/>
    <w:rsid w:val="07574B8E"/>
    <w:rsid w:val="0779354C"/>
    <w:rsid w:val="07BB67DE"/>
    <w:rsid w:val="08061376"/>
    <w:rsid w:val="0822080A"/>
    <w:rsid w:val="08337AC1"/>
    <w:rsid w:val="083C26D1"/>
    <w:rsid w:val="08452D77"/>
    <w:rsid w:val="086401F8"/>
    <w:rsid w:val="08751CAA"/>
    <w:rsid w:val="087E4C40"/>
    <w:rsid w:val="08A871D0"/>
    <w:rsid w:val="08BD20E2"/>
    <w:rsid w:val="08CF6F7A"/>
    <w:rsid w:val="08D66AD6"/>
    <w:rsid w:val="08DA33A3"/>
    <w:rsid w:val="08E80F13"/>
    <w:rsid w:val="090270E8"/>
    <w:rsid w:val="09335624"/>
    <w:rsid w:val="093D3658"/>
    <w:rsid w:val="0944690F"/>
    <w:rsid w:val="09535675"/>
    <w:rsid w:val="095F057D"/>
    <w:rsid w:val="09642282"/>
    <w:rsid w:val="09733572"/>
    <w:rsid w:val="09772C16"/>
    <w:rsid w:val="097E61BA"/>
    <w:rsid w:val="098353B5"/>
    <w:rsid w:val="09A92330"/>
    <w:rsid w:val="09B06B87"/>
    <w:rsid w:val="09C13146"/>
    <w:rsid w:val="09C258C4"/>
    <w:rsid w:val="09E04166"/>
    <w:rsid w:val="0A1C0718"/>
    <w:rsid w:val="0A36668E"/>
    <w:rsid w:val="0A3E7710"/>
    <w:rsid w:val="0A5B7E63"/>
    <w:rsid w:val="0AA374A5"/>
    <w:rsid w:val="0AA82882"/>
    <w:rsid w:val="0AAB7649"/>
    <w:rsid w:val="0ABC5606"/>
    <w:rsid w:val="0ADA0C28"/>
    <w:rsid w:val="0B30404E"/>
    <w:rsid w:val="0B4C6C14"/>
    <w:rsid w:val="0B4F0F96"/>
    <w:rsid w:val="0B631A88"/>
    <w:rsid w:val="0B683D45"/>
    <w:rsid w:val="0B7F3F11"/>
    <w:rsid w:val="0B884417"/>
    <w:rsid w:val="0B8D51C0"/>
    <w:rsid w:val="0BAE72FB"/>
    <w:rsid w:val="0BD8588F"/>
    <w:rsid w:val="0BF6188C"/>
    <w:rsid w:val="0BF73C91"/>
    <w:rsid w:val="0C0038BD"/>
    <w:rsid w:val="0C170175"/>
    <w:rsid w:val="0C2A6143"/>
    <w:rsid w:val="0C571A41"/>
    <w:rsid w:val="0C5C1171"/>
    <w:rsid w:val="0C5E1CBC"/>
    <w:rsid w:val="0C615B50"/>
    <w:rsid w:val="0C8445DA"/>
    <w:rsid w:val="0C87121B"/>
    <w:rsid w:val="0CC007F7"/>
    <w:rsid w:val="0CC617AC"/>
    <w:rsid w:val="0CD10466"/>
    <w:rsid w:val="0CFE707A"/>
    <w:rsid w:val="0D063BDA"/>
    <w:rsid w:val="0D08375F"/>
    <w:rsid w:val="0D184CFB"/>
    <w:rsid w:val="0D1F590A"/>
    <w:rsid w:val="0D4A7419"/>
    <w:rsid w:val="0D827401"/>
    <w:rsid w:val="0D84094E"/>
    <w:rsid w:val="0D8A00E9"/>
    <w:rsid w:val="0D8D589E"/>
    <w:rsid w:val="0DA01C73"/>
    <w:rsid w:val="0DD467D3"/>
    <w:rsid w:val="0DD63300"/>
    <w:rsid w:val="0DF50604"/>
    <w:rsid w:val="0DF702FE"/>
    <w:rsid w:val="0E060E51"/>
    <w:rsid w:val="0E2E4156"/>
    <w:rsid w:val="0E5604B2"/>
    <w:rsid w:val="0E6D5D79"/>
    <w:rsid w:val="0E9D0089"/>
    <w:rsid w:val="0EB803EE"/>
    <w:rsid w:val="0EEE7441"/>
    <w:rsid w:val="0EF94D4B"/>
    <w:rsid w:val="0F18017D"/>
    <w:rsid w:val="0F4958DC"/>
    <w:rsid w:val="0F515DF7"/>
    <w:rsid w:val="0F596BA8"/>
    <w:rsid w:val="0F6248D2"/>
    <w:rsid w:val="0F693536"/>
    <w:rsid w:val="0F7B0511"/>
    <w:rsid w:val="0F7B76D9"/>
    <w:rsid w:val="0F805218"/>
    <w:rsid w:val="0F816ACD"/>
    <w:rsid w:val="0F9832DB"/>
    <w:rsid w:val="0FBF3FD2"/>
    <w:rsid w:val="0FBF7FF3"/>
    <w:rsid w:val="0FD2330F"/>
    <w:rsid w:val="1005043F"/>
    <w:rsid w:val="105B0B5E"/>
    <w:rsid w:val="10646583"/>
    <w:rsid w:val="107D4B15"/>
    <w:rsid w:val="108A3C80"/>
    <w:rsid w:val="109C066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38272D"/>
    <w:rsid w:val="135F4BE2"/>
    <w:rsid w:val="139B1A0A"/>
    <w:rsid w:val="139D25C7"/>
    <w:rsid w:val="13BF3CE4"/>
    <w:rsid w:val="13FA6DC8"/>
    <w:rsid w:val="141008D8"/>
    <w:rsid w:val="14125FE6"/>
    <w:rsid w:val="14500381"/>
    <w:rsid w:val="146D271E"/>
    <w:rsid w:val="14982588"/>
    <w:rsid w:val="149A5AD9"/>
    <w:rsid w:val="14A7619D"/>
    <w:rsid w:val="150536C3"/>
    <w:rsid w:val="150C1963"/>
    <w:rsid w:val="151447A0"/>
    <w:rsid w:val="154A6454"/>
    <w:rsid w:val="15762120"/>
    <w:rsid w:val="16116211"/>
    <w:rsid w:val="16A8729C"/>
    <w:rsid w:val="16B33777"/>
    <w:rsid w:val="16BC70A7"/>
    <w:rsid w:val="16C6339E"/>
    <w:rsid w:val="16FE2244"/>
    <w:rsid w:val="172F2D79"/>
    <w:rsid w:val="17557BEF"/>
    <w:rsid w:val="17D349C1"/>
    <w:rsid w:val="18251A52"/>
    <w:rsid w:val="1830729E"/>
    <w:rsid w:val="18343635"/>
    <w:rsid w:val="1870062C"/>
    <w:rsid w:val="18817102"/>
    <w:rsid w:val="18830A15"/>
    <w:rsid w:val="18852B28"/>
    <w:rsid w:val="188B5321"/>
    <w:rsid w:val="18CB1415"/>
    <w:rsid w:val="191E1162"/>
    <w:rsid w:val="19442580"/>
    <w:rsid w:val="19662BA6"/>
    <w:rsid w:val="198C4BEE"/>
    <w:rsid w:val="19932372"/>
    <w:rsid w:val="19A20DD5"/>
    <w:rsid w:val="19AE03F1"/>
    <w:rsid w:val="19E55E1D"/>
    <w:rsid w:val="1A071A03"/>
    <w:rsid w:val="1A1F16AE"/>
    <w:rsid w:val="1A3B5C77"/>
    <w:rsid w:val="1A984BAD"/>
    <w:rsid w:val="1AB8220E"/>
    <w:rsid w:val="1ABD1C31"/>
    <w:rsid w:val="1AE4166C"/>
    <w:rsid w:val="1AF06CFB"/>
    <w:rsid w:val="1AF11B8D"/>
    <w:rsid w:val="1AFB27F7"/>
    <w:rsid w:val="1B11359C"/>
    <w:rsid w:val="1B236B66"/>
    <w:rsid w:val="1B2A271F"/>
    <w:rsid w:val="1B371E28"/>
    <w:rsid w:val="1B530544"/>
    <w:rsid w:val="1B713184"/>
    <w:rsid w:val="1B7D5B5D"/>
    <w:rsid w:val="1BA209CF"/>
    <w:rsid w:val="1BB4777D"/>
    <w:rsid w:val="1BD75AB8"/>
    <w:rsid w:val="1BE22A26"/>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793B1A"/>
    <w:rsid w:val="1E802593"/>
    <w:rsid w:val="1E8B6156"/>
    <w:rsid w:val="1EA703CC"/>
    <w:rsid w:val="1EB7330C"/>
    <w:rsid w:val="1F0A0FF3"/>
    <w:rsid w:val="1F402CC0"/>
    <w:rsid w:val="1F5771FF"/>
    <w:rsid w:val="1F8359DC"/>
    <w:rsid w:val="1FE868A9"/>
    <w:rsid w:val="20034907"/>
    <w:rsid w:val="20173E4B"/>
    <w:rsid w:val="204E48BC"/>
    <w:rsid w:val="207A5B57"/>
    <w:rsid w:val="208921B3"/>
    <w:rsid w:val="20973DEB"/>
    <w:rsid w:val="209E403D"/>
    <w:rsid w:val="20B26522"/>
    <w:rsid w:val="20B44310"/>
    <w:rsid w:val="20C965B8"/>
    <w:rsid w:val="211116EB"/>
    <w:rsid w:val="211971BF"/>
    <w:rsid w:val="216133FC"/>
    <w:rsid w:val="21D56769"/>
    <w:rsid w:val="21E52EF3"/>
    <w:rsid w:val="21FB5D7B"/>
    <w:rsid w:val="220B1C3D"/>
    <w:rsid w:val="221D1D20"/>
    <w:rsid w:val="2224392B"/>
    <w:rsid w:val="22334A87"/>
    <w:rsid w:val="22491E62"/>
    <w:rsid w:val="227D6E81"/>
    <w:rsid w:val="22BE6801"/>
    <w:rsid w:val="233500BF"/>
    <w:rsid w:val="23377FF7"/>
    <w:rsid w:val="236B425F"/>
    <w:rsid w:val="23836192"/>
    <w:rsid w:val="23901F29"/>
    <w:rsid w:val="239C0061"/>
    <w:rsid w:val="23B908A4"/>
    <w:rsid w:val="23C51BD4"/>
    <w:rsid w:val="23E95BEF"/>
    <w:rsid w:val="23FD0064"/>
    <w:rsid w:val="241440B3"/>
    <w:rsid w:val="245375B0"/>
    <w:rsid w:val="24642C0A"/>
    <w:rsid w:val="246A69BA"/>
    <w:rsid w:val="249307DC"/>
    <w:rsid w:val="24B22173"/>
    <w:rsid w:val="24B95AD9"/>
    <w:rsid w:val="24BE24DA"/>
    <w:rsid w:val="24CF5825"/>
    <w:rsid w:val="24D663E6"/>
    <w:rsid w:val="24D77F2B"/>
    <w:rsid w:val="2513430F"/>
    <w:rsid w:val="252B3039"/>
    <w:rsid w:val="256E449D"/>
    <w:rsid w:val="258B00E2"/>
    <w:rsid w:val="25A917A6"/>
    <w:rsid w:val="25B11AAD"/>
    <w:rsid w:val="25BC4FFB"/>
    <w:rsid w:val="25BE27CC"/>
    <w:rsid w:val="25F74A5C"/>
    <w:rsid w:val="2628662C"/>
    <w:rsid w:val="262D45DE"/>
    <w:rsid w:val="265865A1"/>
    <w:rsid w:val="26871DC8"/>
    <w:rsid w:val="26A53EF9"/>
    <w:rsid w:val="26A94201"/>
    <w:rsid w:val="26AC274F"/>
    <w:rsid w:val="26B804A4"/>
    <w:rsid w:val="26DC5FB6"/>
    <w:rsid w:val="27044A29"/>
    <w:rsid w:val="271D34C8"/>
    <w:rsid w:val="2731247A"/>
    <w:rsid w:val="276142BF"/>
    <w:rsid w:val="27783712"/>
    <w:rsid w:val="27907362"/>
    <w:rsid w:val="27ED566D"/>
    <w:rsid w:val="28333E1D"/>
    <w:rsid w:val="28454BD6"/>
    <w:rsid w:val="28455253"/>
    <w:rsid w:val="28551971"/>
    <w:rsid w:val="28573AFF"/>
    <w:rsid w:val="285B1C53"/>
    <w:rsid w:val="289F5BB8"/>
    <w:rsid w:val="289F7086"/>
    <w:rsid w:val="28C32028"/>
    <w:rsid w:val="28CC490F"/>
    <w:rsid w:val="28DE40AA"/>
    <w:rsid w:val="2907783F"/>
    <w:rsid w:val="29345E77"/>
    <w:rsid w:val="294C65AD"/>
    <w:rsid w:val="29806583"/>
    <w:rsid w:val="298B3C4C"/>
    <w:rsid w:val="29C8213C"/>
    <w:rsid w:val="29D846A7"/>
    <w:rsid w:val="29F26D24"/>
    <w:rsid w:val="2A15033F"/>
    <w:rsid w:val="2A1662C1"/>
    <w:rsid w:val="2A1C7367"/>
    <w:rsid w:val="2A2815FA"/>
    <w:rsid w:val="2A6D6092"/>
    <w:rsid w:val="2A700215"/>
    <w:rsid w:val="2A7D76B4"/>
    <w:rsid w:val="2A9903AD"/>
    <w:rsid w:val="2AA87407"/>
    <w:rsid w:val="2B437463"/>
    <w:rsid w:val="2B7807EE"/>
    <w:rsid w:val="2BA50BF7"/>
    <w:rsid w:val="2BBF00EC"/>
    <w:rsid w:val="2BC37CFD"/>
    <w:rsid w:val="2BD5237F"/>
    <w:rsid w:val="2BE536CE"/>
    <w:rsid w:val="2BE758D9"/>
    <w:rsid w:val="2C09049E"/>
    <w:rsid w:val="2C0A653C"/>
    <w:rsid w:val="2C191F85"/>
    <w:rsid w:val="2CBE62A5"/>
    <w:rsid w:val="2CC87E1E"/>
    <w:rsid w:val="2CDC0BF4"/>
    <w:rsid w:val="2CE82D6F"/>
    <w:rsid w:val="2D343236"/>
    <w:rsid w:val="2DD15014"/>
    <w:rsid w:val="2DF72DE4"/>
    <w:rsid w:val="2E0220AF"/>
    <w:rsid w:val="2E1432A5"/>
    <w:rsid w:val="2E4B082A"/>
    <w:rsid w:val="2E5D4E86"/>
    <w:rsid w:val="2E5D790B"/>
    <w:rsid w:val="2E9A3C18"/>
    <w:rsid w:val="2EBB0FEE"/>
    <w:rsid w:val="2EC63002"/>
    <w:rsid w:val="2ED70254"/>
    <w:rsid w:val="2F0A6B38"/>
    <w:rsid w:val="2F2760CA"/>
    <w:rsid w:val="2F946CCB"/>
    <w:rsid w:val="2FD25781"/>
    <w:rsid w:val="2FFD7934"/>
    <w:rsid w:val="30070078"/>
    <w:rsid w:val="30733ACD"/>
    <w:rsid w:val="308C3862"/>
    <w:rsid w:val="309379D8"/>
    <w:rsid w:val="30A270F7"/>
    <w:rsid w:val="30C45E24"/>
    <w:rsid w:val="30DF1478"/>
    <w:rsid w:val="30EC586F"/>
    <w:rsid w:val="30F47343"/>
    <w:rsid w:val="317875A6"/>
    <w:rsid w:val="319C6071"/>
    <w:rsid w:val="31AC537E"/>
    <w:rsid w:val="31DE7F64"/>
    <w:rsid w:val="31E3679B"/>
    <w:rsid w:val="31E732FD"/>
    <w:rsid w:val="3240643F"/>
    <w:rsid w:val="32517576"/>
    <w:rsid w:val="32A64673"/>
    <w:rsid w:val="32BE5C2C"/>
    <w:rsid w:val="32F472D3"/>
    <w:rsid w:val="32FB6478"/>
    <w:rsid w:val="33071C81"/>
    <w:rsid w:val="33263B3F"/>
    <w:rsid w:val="336963EB"/>
    <w:rsid w:val="33816EEB"/>
    <w:rsid w:val="33EB55CD"/>
    <w:rsid w:val="33EC4C02"/>
    <w:rsid w:val="340D2360"/>
    <w:rsid w:val="340F3E18"/>
    <w:rsid w:val="341037F9"/>
    <w:rsid w:val="3410665D"/>
    <w:rsid w:val="34211214"/>
    <w:rsid w:val="342E63AB"/>
    <w:rsid w:val="34950E68"/>
    <w:rsid w:val="34986E94"/>
    <w:rsid w:val="34AF62C9"/>
    <w:rsid w:val="34CB4388"/>
    <w:rsid w:val="34D13F10"/>
    <w:rsid w:val="34FA6E12"/>
    <w:rsid w:val="35162676"/>
    <w:rsid w:val="354D7158"/>
    <w:rsid w:val="358D5588"/>
    <w:rsid w:val="35B232BD"/>
    <w:rsid w:val="36320DCE"/>
    <w:rsid w:val="363A3B40"/>
    <w:rsid w:val="365302AE"/>
    <w:rsid w:val="36574F97"/>
    <w:rsid w:val="36607A0A"/>
    <w:rsid w:val="3662481E"/>
    <w:rsid w:val="366E227C"/>
    <w:rsid w:val="366F2E0D"/>
    <w:rsid w:val="367B6A5C"/>
    <w:rsid w:val="36A74ADA"/>
    <w:rsid w:val="36AD60D5"/>
    <w:rsid w:val="36B224F9"/>
    <w:rsid w:val="36EC0CC9"/>
    <w:rsid w:val="36F4212A"/>
    <w:rsid w:val="36FD2E8A"/>
    <w:rsid w:val="37043C7C"/>
    <w:rsid w:val="37133692"/>
    <w:rsid w:val="372757B8"/>
    <w:rsid w:val="373F410B"/>
    <w:rsid w:val="376314EA"/>
    <w:rsid w:val="37EE7094"/>
    <w:rsid w:val="380F3D50"/>
    <w:rsid w:val="38296C89"/>
    <w:rsid w:val="383002EB"/>
    <w:rsid w:val="38586797"/>
    <w:rsid w:val="38B36D36"/>
    <w:rsid w:val="38BC0149"/>
    <w:rsid w:val="38D87D1C"/>
    <w:rsid w:val="38DB1179"/>
    <w:rsid w:val="39636459"/>
    <w:rsid w:val="396B7F6C"/>
    <w:rsid w:val="39A220BC"/>
    <w:rsid w:val="39B417A9"/>
    <w:rsid w:val="39C210F6"/>
    <w:rsid w:val="39FC5695"/>
    <w:rsid w:val="3A006D8E"/>
    <w:rsid w:val="3A3651E5"/>
    <w:rsid w:val="3A744481"/>
    <w:rsid w:val="3A8C7BEF"/>
    <w:rsid w:val="3A906246"/>
    <w:rsid w:val="3B2349B7"/>
    <w:rsid w:val="3B616CFF"/>
    <w:rsid w:val="3B6259F6"/>
    <w:rsid w:val="3B6607A0"/>
    <w:rsid w:val="3B976654"/>
    <w:rsid w:val="3BC01EFC"/>
    <w:rsid w:val="3BCA786A"/>
    <w:rsid w:val="3BCE2DD3"/>
    <w:rsid w:val="3BD31E2F"/>
    <w:rsid w:val="3BF15831"/>
    <w:rsid w:val="3C105946"/>
    <w:rsid w:val="3C4467E8"/>
    <w:rsid w:val="3C471448"/>
    <w:rsid w:val="3C5F759A"/>
    <w:rsid w:val="3C6C525A"/>
    <w:rsid w:val="3C982A55"/>
    <w:rsid w:val="3CBD779F"/>
    <w:rsid w:val="3CCE23CB"/>
    <w:rsid w:val="3CD17D17"/>
    <w:rsid w:val="3CFA6E3D"/>
    <w:rsid w:val="3D09356D"/>
    <w:rsid w:val="3D3C7F39"/>
    <w:rsid w:val="3D440F09"/>
    <w:rsid w:val="3D4504A0"/>
    <w:rsid w:val="3D8734BB"/>
    <w:rsid w:val="3D9A11D4"/>
    <w:rsid w:val="3DA16D89"/>
    <w:rsid w:val="3DA364BE"/>
    <w:rsid w:val="3DC04F41"/>
    <w:rsid w:val="3DE041CB"/>
    <w:rsid w:val="3E0D48F6"/>
    <w:rsid w:val="3E1868B4"/>
    <w:rsid w:val="3E377251"/>
    <w:rsid w:val="3E42664B"/>
    <w:rsid w:val="3E470969"/>
    <w:rsid w:val="3E5A7334"/>
    <w:rsid w:val="3E7B5D6B"/>
    <w:rsid w:val="3E843E66"/>
    <w:rsid w:val="3E8F51FE"/>
    <w:rsid w:val="3E926F87"/>
    <w:rsid w:val="3E9A59DE"/>
    <w:rsid w:val="3EAF4836"/>
    <w:rsid w:val="3EC33DFA"/>
    <w:rsid w:val="3EDC277D"/>
    <w:rsid w:val="3EDE2D05"/>
    <w:rsid w:val="3F0423A1"/>
    <w:rsid w:val="3F060E16"/>
    <w:rsid w:val="3F1D1096"/>
    <w:rsid w:val="3F2F0234"/>
    <w:rsid w:val="3F6363FE"/>
    <w:rsid w:val="3F756B8F"/>
    <w:rsid w:val="3F95482B"/>
    <w:rsid w:val="3FDB0EAB"/>
    <w:rsid w:val="4019356B"/>
    <w:rsid w:val="40592157"/>
    <w:rsid w:val="406E1CAE"/>
    <w:rsid w:val="408A1F32"/>
    <w:rsid w:val="40A0133A"/>
    <w:rsid w:val="40C31A53"/>
    <w:rsid w:val="40DB1441"/>
    <w:rsid w:val="40FF545D"/>
    <w:rsid w:val="410067C8"/>
    <w:rsid w:val="418F0D2A"/>
    <w:rsid w:val="41D01505"/>
    <w:rsid w:val="41D04E9E"/>
    <w:rsid w:val="422A46BF"/>
    <w:rsid w:val="42474939"/>
    <w:rsid w:val="42497F67"/>
    <w:rsid w:val="424C3C57"/>
    <w:rsid w:val="42613FF3"/>
    <w:rsid w:val="42660D96"/>
    <w:rsid w:val="428667D2"/>
    <w:rsid w:val="42CD1CE0"/>
    <w:rsid w:val="42E1381E"/>
    <w:rsid w:val="42EB3628"/>
    <w:rsid w:val="42ED6459"/>
    <w:rsid w:val="42FB06F2"/>
    <w:rsid w:val="42FE58DD"/>
    <w:rsid w:val="43174B3D"/>
    <w:rsid w:val="433562C0"/>
    <w:rsid w:val="434B790E"/>
    <w:rsid w:val="4360274F"/>
    <w:rsid w:val="43977AB6"/>
    <w:rsid w:val="43A3342B"/>
    <w:rsid w:val="43A94B74"/>
    <w:rsid w:val="43C77C27"/>
    <w:rsid w:val="43CA31EC"/>
    <w:rsid w:val="43DB17C5"/>
    <w:rsid w:val="43DE09EE"/>
    <w:rsid w:val="43F32678"/>
    <w:rsid w:val="44002FAD"/>
    <w:rsid w:val="440E37AB"/>
    <w:rsid w:val="4430589B"/>
    <w:rsid w:val="449101DD"/>
    <w:rsid w:val="449D00C3"/>
    <w:rsid w:val="44BF5A4C"/>
    <w:rsid w:val="44DE1391"/>
    <w:rsid w:val="451B225C"/>
    <w:rsid w:val="452410C9"/>
    <w:rsid w:val="45242627"/>
    <w:rsid w:val="45317DFB"/>
    <w:rsid w:val="456D3CE4"/>
    <w:rsid w:val="4579042C"/>
    <w:rsid w:val="457F0571"/>
    <w:rsid w:val="45851176"/>
    <w:rsid w:val="45C63B94"/>
    <w:rsid w:val="460E7DA5"/>
    <w:rsid w:val="46422483"/>
    <w:rsid w:val="4659254A"/>
    <w:rsid w:val="465B0637"/>
    <w:rsid w:val="465E3F0D"/>
    <w:rsid w:val="466A16E6"/>
    <w:rsid w:val="46893F2B"/>
    <w:rsid w:val="469B143E"/>
    <w:rsid w:val="46C4686E"/>
    <w:rsid w:val="46CE7474"/>
    <w:rsid w:val="473E335C"/>
    <w:rsid w:val="477B778F"/>
    <w:rsid w:val="478203EC"/>
    <w:rsid w:val="479B5EA6"/>
    <w:rsid w:val="479C27B8"/>
    <w:rsid w:val="47B025FA"/>
    <w:rsid w:val="47EA49E2"/>
    <w:rsid w:val="47ED662D"/>
    <w:rsid w:val="47FF4632"/>
    <w:rsid w:val="4809698F"/>
    <w:rsid w:val="480F17B8"/>
    <w:rsid w:val="4811697D"/>
    <w:rsid w:val="487A3E25"/>
    <w:rsid w:val="488B5503"/>
    <w:rsid w:val="48937E21"/>
    <w:rsid w:val="489A0361"/>
    <w:rsid w:val="48B94FF3"/>
    <w:rsid w:val="48E37AAB"/>
    <w:rsid w:val="48FD4B4C"/>
    <w:rsid w:val="490A68E0"/>
    <w:rsid w:val="491055FE"/>
    <w:rsid w:val="491C7B76"/>
    <w:rsid w:val="494A5FB4"/>
    <w:rsid w:val="495F2F05"/>
    <w:rsid w:val="495F5B3E"/>
    <w:rsid w:val="496F77D7"/>
    <w:rsid w:val="497654FD"/>
    <w:rsid w:val="49B64211"/>
    <w:rsid w:val="49F6167F"/>
    <w:rsid w:val="4A064FA0"/>
    <w:rsid w:val="4A16615C"/>
    <w:rsid w:val="4A2A29AC"/>
    <w:rsid w:val="4A4424D7"/>
    <w:rsid w:val="4A5F7802"/>
    <w:rsid w:val="4A630BA2"/>
    <w:rsid w:val="4A9D4BD0"/>
    <w:rsid w:val="4AB82D0F"/>
    <w:rsid w:val="4AEB7664"/>
    <w:rsid w:val="4AFD7C19"/>
    <w:rsid w:val="4B0567D1"/>
    <w:rsid w:val="4B236AAE"/>
    <w:rsid w:val="4B707271"/>
    <w:rsid w:val="4B7A0DF8"/>
    <w:rsid w:val="4B931B5E"/>
    <w:rsid w:val="4B9739F7"/>
    <w:rsid w:val="4BBF49F8"/>
    <w:rsid w:val="4BEE2503"/>
    <w:rsid w:val="4C245A30"/>
    <w:rsid w:val="4C676029"/>
    <w:rsid w:val="4C742963"/>
    <w:rsid w:val="4CB6685F"/>
    <w:rsid w:val="4CC367FE"/>
    <w:rsid w:val="4D077F3C"/>
    <w:rsid w:val="4D123355"/>
    <w:rsid w:val="4D227280"/>
    <w:rsid w:val="4D2A3B31"/>
    <w:rsid w:val="4D312C52"/>
    <w:rsid w:val="4D691D5B"/>
    <w:rsid w:val="4D905305"/>
    <w:rsid w:val="4D964A72"/>
    <w:rsid w:val="4D9C1254"/>
    <w:rsid w:val="4DD37775"/>
    <w:rsid w:val="4E793892"/>
    <w:rsid w:val="4E800872"/>
    <w:rsid w:val="4EC569ED"/>
    <w:rsid w:val="4ED50EA1"/>
    <w:rsid w:val="4EEC050C"/>
    <w:rsid w:val="4EFD5EBB"/>
    <w:rsid w:val="4F104EC3"/>
    <w:rsid w:val="4F47354A"/>
    <w:rsid w:val="4F911C54"/>
    <w:rsid w:val="4FE625E0"/>
    <w:rsid w:val="4FF534DD"/>
    <w:rsid w:val="5021480F"/>
    <w:rsid w:val="50962ECB"/>
    <w:rsid w:val="509F4E0D"/>
    <w:rsid w:val="50A42E38"/>
    <w:rsid w:val="50A4577F"/>
    <w:rsid w:val="50B73D1F"/>
    <w:rsid w:val="50BD5BC9"/>
    <w:rsid w:val="50C11EEE"/>
    <w:rsid w:val="50E97CFC"/>
    <w:rsid w:val="50FA4028"/>
    <w:rsid w:val="510A1B6B"/>
    <w:rsid w:val="510D65B7"/>
    <w:rsid w:val="511157AB"/>
    <w:rsid w:val="51294DFA"/>
    <w:rsid w:val="513568F3"/>
    <w:rsid w:val="5142540C"/>
    <w:rsid w:val="516B56B8"/>
    <w:rsid w:val="518832C8"/>
    <w:rsid w:val="51A0432A"/>
    <w:rsid w:val="51A86090"/>
    <w:rsid w:val="51B7396D"/>
    <w:rsid w:val="522E4CC3"/>
    <w:rsid w:val="5244713B"/>
    <w:rsid w:val="524942CF"/>
    <w:rsid w:val="525E6849"/>
    <w:rsid w:val="52615633"/>
    <w:rsid w:val="52977FD4"/>
    <w:rsid w:val="52A25790"/>
    <w:rsid w:val="52A96B6F"/>
    <w:rsid w:val="52B45975"/>
    <w:rsid w:val="52D94AA4"/>
    <w:rsid w:val="52EA3A62"/>
    <w:rsid w:val="52F50BB8"/>
    <w:rsid w:val="53097272"/>
    <w:rsid w:val="531456AC"/>
    <w:rsid w:val="53162C9F"/>
    <w:rsid w:val="53544462"/>
    <w:rsid w:val="5397158E"/>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5E54F81"/>
    <w:rsid w:val="566B6D1E"/>
    <w:rsid w:val="569E129D"/>
    <w:rsid w:val="56D04B57"/>
    <w:rsid w:val="56D0725B"/>
    <w:rsid w:val="57032A2C"/>
    <w:rsid w:val="57092BA5"/>
    <w:rsid w:val="570F5219"/>
    <w:rsid w:val="57547F16"/>
    <w:rsid w:val="575D12B5"/>
    <w:rsid w:val="57610A87"/>
    <w:rsid w:val="577B1140"/>
    <w:rsid w:val="577B7F21"/>
    <w:rsid w:val="577F181B"/>
    <w:rsid w:val="57921984"/>
    <w:rsid w:val="579737F0"/>
    <w:rsid w:val="57AB7B30"/>
    <w:rsid w:val="57AF5251"/>
    <w:rsid w:val="57B26373"/>
    <w:rsid w:val="57B63F04"/>
    <w:rsid w:val="57CD20C2"/>
    <w:rsid w:val="57D17D4A"/>
    <w:rsid w:val="57D675AB"/>
    <w:rsid w:val="57D95FDD"/>
    <w:rsid w:val="57E87CD3"/>
    <w:rsid w:val="57EF7F5F"/>
    <w:rsid w:val="58854C10"/>
    <w:rsid w:val="58917D2F"/>
    <w:rsid w:val="5894085C"/>
    <w:rsid w:val="58AE4F0C"/>
    <w:rsid w:val="58B85899"/>
    <w:rsid w:val="58E363A9"/>
    <w:rsid w:val="595E1678"/>
    <w:rsid w:val="596D5BD4"/>
    <w:rsid w:val="597E3DD8"/>
    <w:rsid w:val="59803537"/>
    <w:rsid w:val="59AB4EC3"/>
    <w:rsid w:val="59F80043"/>
    <w:rsid w:val="5A09252F"/>
    <w:rsid w:val="5A0B2778"/>
    <w:rsid w:val="5A2A7C7B"/>
    <w:rsid w:val="5A3E2560"/>
    <w:rsid w:val="5A5D3B6E"/>
    <w:rsid w:val="5A637A76"/>
    <w:rsid w:val="5A6D33BA"/>
    <w:rsid w:val="5A792B1F"/>
    <w:rsid w:val="5A8665A0"/>
    <w:rsid w:val="5A874767"/>
    <w:rsid w:val="5AA85BE2"/>
    <w:rsid w:val="5AAD6F28"/>
    <w:rsid w:val="5AD63A24"/>
    <w:rsid w:val="5B2E1A1D"/>
    <w:rsid w:val="5B5A4B3C"/>
    <w:rsid w:val="5B843A1C"/>
    <w:rsid w:val="5B873E3F"/>
    <w:rsid w:val="5C02690E"/>
    <w:rsid w:val="5C196DA7"/>
    <w:rsid w:val="5C2A048C"/>
    <w:rsid w:val="5C6C6A0C"/>
    <w:rsid w:val="5C80234E"/>
    <w:rsid w:val="5C8A680C"/>
    <w:rsid w:val="5D0C4701"/>
    <w:rsid w:val="5D0F0395"/>
    <w:rsid w:val="5D221076"/>
    <w:rsid w:val="5D397964"/>
    <w:rsid w:val="5D472AE9"/>
    <w:rsid w:val="5D4C593F"/>
    <w:rsid w:val="5D5A391C"/>
    <w:rsid w:val="5D5F10C0"/>
    <w:rsid w:val="5D83700A"/>
    <w:rsid w:val="5D891B7B"/>
    <w:rsid w:val="5DAD38EE"/>
    <w:rsid w:val="5DD303AE"/>
    <w:rsid w:val="5E006862"/>
    <w:rsid w:val="5E0207B9"/>
    <w:rsid w:val="5E1834A1"/>
    <w:rsid w:val="5E197CFB"/>
    <w:rsid w:val="5E1D27A4"/>
    <w:rsid w:val="5E261785"/>
    <w:rsid w:val="5E34357A"/>
    <w:rsid w:val="5E4A7017"/>
    <w:rsid w:val="5E552BBA"/>
    <w:rsid w:val="5E611C10"/>
    <w:rsid w:val="5E7A0F3F"/>
    <w:rsid w:val="5EFC7377"/>
    <w:rsid w:val="5F0116AB"/>
    <w:rsid w:val="5F012A1A"/>
    <w:rsid w:val="5F06174D"/>
    <w:rsid w:val="5F3A3602"/>
    <w:rsid w:val="5F45733B"/>
    <w:rsid w:val="5F6277C6"/>
    <w:rsid w:val="5F6D0B1D"/>
    <w:rsid w:val="5F8D0B82"/>
    <w:rsid w:val="5FA228C7"/>
    <w:rsid w:val="5FCC5339"/>
    <w:rsid w:val="5FE34A5B"/>
    <w:rsid w:val="5FFE1E36"/>
    <w:rsid w:val="60232584"/>
    <w:rsid w:val="604779FB"/>
    <w:rsid w:val="6051174F"/>
    <w:rsid w:val="605864BB"/>
    <w:rsid w:val="607330CE"/>
    <w:rsid w:val="60825176"/>
    <w:rsid w:val="609F2AC4"/>
    <w:rsid w:val="60E209E2"/>
    <w:rsid w:val="60FA2EE8"/>
    <w:rsid w:val="61054A27"/>
    <w:rsid w:val="610A52BC"/>
    <w:rsid w:val="611D2366"/>
    <w:rsid w:val="61421856"/>
    <w:rsid w:val="61505981"/>
    <w:rsid w:val="615227C4"/>
    <w:rsid w:val="61654E3F"/>
    <w:rsid w:val="6182292A"/>
    <w:rsid w:val="619F7F92"/>
    <w:rsid w:val="61F94C26"/>
    <w:rsid w:val="62000E56"/>
    <w:rsid w:val="62244584"/>
    <w:rsid w:val="622C6935"/>
    <w:rsid w:val="624F3E49"/>
    <w:rsid w:val="62630468"/>
    <w:rsid w:val="62632286"/>
    <w:rsid w:val="62772DD2"/>
    <w:rsid w:val="62885958"/>
    <w:rsid w:val="62F40B65"/>
    <w:rsid w:val="62FC2CFE"/>
    <w:rsid w:val="63024505"/>
    <w:rsid w:val="635B1DB5"/>
    <w:rsid w:val="63711FED"/>
    <w:rsid w:val="63880DDC"/>
    <w:rsid w:val="638D750D"/>
    <w:rsid w:val="63AC6CC0"/>
    <w:rsid w:val="63E34801"/>
    <w:rsid w:val="64055776"/>
    <w:rsid w:val="64240056"/>
    <w:rsid w:val="643E143A"/>
    <w:rsid w:val="648B6EEF"/>
    <w:rsid w:val="64C158BF"/>
    <w:rsid w:val="64CE2EAA"/>
    <w:rsid w:val="653C3090"/>
    <w:rsid w:val="65673EBC"/>
    <w:rsid w:val="65854376"/>
    <w:rsid w:val="658767BE"/>
    <w:rsid w:val="65892531"/>
    <w:rsid w:val="66195831"/>
    <w:rsid w:val="662E75B1"/>
    <w:rsid w:val="66342C2E"/>
    <w:rsid w:val="66380591"/>
    <w:rsid w:val="663E784C"/>
    <w:rsid w:val="66551A38"/>
    <w:rsid w:val="668B6A45"/>
    <w:rsid w:val="66EC7EAB"/>
    <w:rsid w:val="672F3F24"/>
    <w:rsid w:val="673E055F"/>
    <w:rsid w:val="67551CE3"/>
    <w:rsid w:val="67947B7A"/>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308CB"/>
    <w:rsid w:val="68B96DBB"/>
    <w:rsid w:val="68CA2805"/>
    <w:rsid w:val="68E937A3"/>
    <w:rsid w:val="68FC7232"/>
    <w:rsid w:val="69360CA8"/>
    <w:rsid w:val="693E15D3"/>
    <w:rsid w:val="69475D21"/>
    <w:rsid w:val="69627681"/>
    <w:rsid w:val="6977531D"/>
    <w:rsid w:val="69CC2BFF"/>
    <w:rsid w:val="69FD55B8"/>
    <w:rsid w:val="6A0B1C62"/>
    <w:rsid w:val="6A2406C8"/>
    <w:rsid w:val="6A836436"/>
    <w:rsid w:val="6A8413AD"/>
    <w:rsid w:val="6A8F2B46"/>
    <w:rsid w:val="6AB20BBB"/>
    <w:rsid w:val="6AD41580"/>
    <w:rsid w:val="6ADE0BD1"/>
    <w:rsid w:val="6AE96859"/>
    <w:rsid w:val="6AFA38B3"/>
    <w:rsid w:val="6B147746"/>
    <w:rsid w:val="6B24787C"/>
    <w:rsid w:val="6B573233"/>
    <w:rsid w:val="6B5B6274"/>
    <w:rsid w:val="6B935D53"/>
    <w:rsid w:val="6BCF4E45"/>
    <w:rsid w:val="6C196F71"/>
    <w:rsid w:val="6C226FCB"/>
    <w:rsid w:val="6C277949"/>
    <w:rsid w:val="6C31226F"/>
    <w:rsid w:val="6C552F0B"/>
    <w:rsid w:val="6C8C67B7"/>
    <w:rsid w:val="6C9D744C"/>
    <w:rsid w:val="6CA724B7"/>
    <w:rsid w:val="6CFE67A8"/>
    <w:rsid w:val="6D167928"/>
    <w:rsid w:val="6D26299B"/>
    <w:rsid w:val="6D4772EC"/>
    <w:rsid w:val="6D9078AF"/>
    <w:rsid w:val="6DAA3FEF"/>
    <w:rsid w:val="6DC0172B"/>
    <w:rsid w:val="6DCB690C"/>
    <w:rsid w:val="6DD41A5B"/>
    <w:rsid w:val="6DEF3D2D"/>
    <w:rsid w:val="6DF43C2E"/>
    <w:rsid w:val="6DF51CA3"/>
    <w:rsid w:val="6E8335BD"/>
    <w:rsid w:val="6E8E12EF"/>
    <w:rsid w:val="6E972936"/>
    <w:rsid w:val="6E974DA9"/>
    <w:rsid w:val="6ED446C5"/>
    <w:rsid w:val="6F19012E"/>
    <w:rsid w:val="6F2A7D94"/>
    <w:rsid w:val="6F8331F1"/>
    <w:rsid w:val="6F873DA6"/>
    <w:rsid w:val="6FAE1A09"/>
    <w:rsid w:val="6FD75BF8"/>
    <w:rsid w:val="7014458C"/>
    <w:rsid w:val="701A785F"/>
    <w:rsid w:val="70327F92"/>
    <w:rsid w:val="707723D0"/>
    <w:rsid w:val="70D93C87"/>
    <w:rsid w:val="70ED7614"/>
    <w:rsid w:val="70F5661B"/>
    <w:rsid w:val="70FF1FF8"/>
    <w:rsid w:val="71140A09"/>
    <w:rsid w:val="71360107"/>
    <w:rsid w:val="713B688E"/>
    <w:rsid w:val="71D43752"/>
    <w:rsid w:val="71F1796A"/>
    <w:rsid w:val="72154626"/>
    <w:rsid w:val="72262B5D"/>
    <w:rsid w:val="72283FF7"/>
    <w:rsid w:val="722E7212"/>
    <w:rsid w:val="723A0474"/>
    <w:rsid w:val="725923E4"/>
    <w:rsid w:val="72864BF7"/>
    <w:rsid w:val="729023FC"/>
    <w:rsid w:val="729545DB"/>
    <w:rsid w:val="73C0646E"/>
    <w:rsid w:val="73D05450"/>
    <w:rsid w:val="742222F5"/>
    <w:rsid w:val="74476126"/>
    <w:rsid w:val="74582108"/>
    <w:rsid w:val="74706664"/>
    <w:rsid w:val="747F3682"/>
    <w:rsid w:val="749C4185"/>
    <w:rsid w:val="74A8288F"/>
    <w:rsid w:val="750302B2"/>
    <w:rsid w:val="75067759"/>
    <w:rsid w:val="752E6DCD"/>
    <w:rsid w:val="7551380D"/>
    <w:rsid w:val="755D20FC"/>
    <w:rsid w:val="75600BE5"/>
    <w:rsid w:val="7564475C"/>
    <w:rsid w:val="7583797F"/>
    <w:rsid w:val="75D20F1D"/>
    <w:rsid w:val="75DA2C18"/>
    <w:rsid w:val="75E97204"/>
    <w:rsid w:val="75F54412"/>
    <w:rsid w:val="76106CF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D2FAD"/>
    <w:rsid w:val="797E66A9"/>
    <w:rsid w:val="79A97383"/>
    <w:rsid w:val="79E27E8B"/>
    <w:rsid w:val="79F850CE"/>
    <w:rsid w:val="79FD443C"/>
    <w:rsid w:val="7A1D1975"/>
    <w:rsid w:val="7A3E5150"/>
    <w:rsid w:val="7A4670D6"/>
    <w:rsid w:val="7A534B63"/>
    <w:rsid w:val="7A615382"/>
    <w:rsid w:val="7A67303B"/>
    <w:rsid w:val="7AAB1D04"/>
    <w:rsid w:val="7ABA4368"/>
    <w:rsid w:val="7AD05746"/>
    <w:rsid w:val="7B0F10EF"/>
    <w:rsid w:val="7B237C3C"/>
    <w:rsid w:val="7B257FFD"/>
    <w:rsid w:val="7B2F3497"/>
    <w:rsid w:val="7B343476"/>
    <w:rsid w:val="7B5A2978"/>
    <w:rsid w:val="7B5A7E4C"/>
    <w:rsid w:val="7B667AF9"/>
    <w:rsid w:val="7B7468F8"/>
    <w:rsid w:val="7BEE0103"/>
    <w:rsid w:val="7C0A0FE4"/>
    <w:rsid w:val="7C177E74"/>
    <w:rsid w:val="7C2428D0"/>
    <w:rsid w:val="7C254906"/>
    <w:rsid w:val="7C324652"/>
    <w:rsid w:val="7C5240F6"/>
    <w:rsid w:val="7C590818"/>
    <w:rsid w:val="7C7C10F6"/>
    <w:rsid w:val="7C806050"/>
    <w:rsid w:val="7C853BEA"/>
    <w:rsid w:val="7C881368"/>
    <w:rsid w:val="7CE27788"/>
    <w:rsid w:val="7CE456E0"/>
    <w:rsid w:val="7D0357E5"/>
    <w:rsid w:val="7D0C32F1"/>
    <w:rsid w:val="7D0F408D"/>
    <w:rsid w:val="7D1E1A23"/>
    <w:rsid w:val="7D26772E"/>
    <w:rsid w:val="7D491C6C"/>
    <w:rsid w:val="7D5429C0"/>
    <w:rsid w:val="7D6E6D43"/>
    <w:rsid w:val="7D7069D2"/>
    <w:rsid w:val="7D901775"/>
    <w:rsid w:val="7DB3442A"/>
    <w:rsid w:val="7DB57A34"/>
    <w:rsid w:val="7DE60973"/>
    <w:rsid w:val="7DEF0916"/>
    <w:rsid w:val="7DFB0F0F"/>
    <w:rsid w:val="7E1E5218"/>
    <w:rsid w:val="7E9A4E1F"/>
    <w:rsid w:val="7EA7723A"/>
    <w:rsid w:val="7EE97F06"/>
    <w:rsid w:val="7EF56FBB"/>
    <w:rsid w:val="7F0768EB"/>
    <w:rsid w:val="7F143BEC"/>
    <w:rsid w:val="7F2B2E62"/>
    <w:rsid w:val="7F611005"/>
    <w:rsid w:val="7F715AF2"/>
    <w:rsid w:val="7F886E69"/>
    <w:rsid w:val="7FF24A7E"/>
    <w:rsid w:val="7FFE18E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8"/>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8"/>
    <w:qFormat/>
    <w:uiPriority w:val="0"/>
    <w:pPr>
      <w:spacing w:line="480" w:lineRule="exact"/>
      <w:ind w:firstLine="480" w:firstLineChars="200"/>
    </w:pPr>
    <w:rPr>
      <w:rFonts w:ascii="宋体" w:hAnsi="宋体"/>
      <w:sz w:val="24"/>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2"/>
    <w:basedOn w:val="1"/>
    <w:link w:val="305"/>
    <w:qFormat/>
    <w:uiPriority w:val="0"/>
    <w:pPr>
      <w:spacing w:after="120" w:line="480" w:lineRule="auto"/>
    </w:p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30"/>
    <w:qFormat/>
    <w:uiPriority w:val="0"/>
    <w:rPr>
      <w:rFonts w:ascii="宋体" w:hAnsi="Courier New" w:cs="Arial"/>
      <w:snapToGrid w:val="0"/>
      <w:szCs w:val="21"/>
    </w:rPr>
  </w:style>
  <w:style w:type="paragraph" w:styleId="34">
    <w:name w:val="Date"/>
    <w:basedOn w:val="1"/>
    <w:next w:val="1"/>
    <w:link w:val="186"/>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next w:val="38"/>
    <w:link w:val="311"/>
    <w:qFormat/>
    <w:uiPriority w:val="0"/>
    <w:pPr>
      <w:spacing w:line="360" w:lineRule="auto"/>
      <w:ind w:firstLine="601"/>
      <w:textAlignment w:val="baseline"/>
    </w:pPr>
    <w:rPr>
      <w:rFonts w:ascii="宋体"/>
      <w:kern w:val="0"/>
      <w:sz w:val="28"/>
      <w:szCs w:val="20"/>
    </w:rPr>
  </w:style>
  <w:style w:type="paragraph" w:customStyle="1" w:styleId="38">
    <w:name w:val="z正文"/>
    <w:basedOn w:val="33"/>
    <w:qFormat/>
    <w:uiPriority w:val="99"/>
    <w:pPr>
      <w:tabs>
        <w:tab w:val="left" w:pos="525"/>
      </w:tabs>
      <w:snapToGrid w:val="0"/>
      <w:spacing w:line="360" w:lineRule="auto"/>
    </w:pPr>
    <w:rPr>
      <w:rFonts w:hAnsi="宋体" w:eastAsia="宋体"/>
      <w:kern w:val="2"/>
      <w:sz w:val="24"/>
      <w:szCs w:val="20"/>
    </w:rPr>
  </w:style>
  <w:style w:type="paragraph" w:styleId="39">
    <w:name w:val="endnote text"/>
    <w:basedOn w:val="1"/>
    <w:link w:val="932"/>
    <w:qFormat/>
    <w:uiPriority w:val="0"/>
    <w:rPr>
      <w:lang w:val="zh-CN"/>
    </w:rPr>
  </w:style>
  <w:style w:type="paragraph" w:styleId="40">
    <w:name w:val="Balloon Text"/>
    <w:basedOn w:val="1"/>
    <w:link w:val="193"/>
    <w:qFormat/>
    <w:uiPriority w:val="0"/>
    <w:rPr>
      <w:sz w:val="18"/>
      <w:szCs w:val="18"/>
    </w:rPr>
  </w:style>
  <w:style w:type="paragraph" w:styleId="41">
    <w:name w:val="footer"/>
    <w:basedOn w:val="1"/>
    <w:next w:val="24"/>
    <w:link w:val="386"/>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cs="Arial"/>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1"/>
    <w:qFormat/>
    <w:uiPriority w:val="0"/>
    <w:rPr>
      <w:b/>
      <w:bCs/>
    </w:rPr>
  </w:style>
  <w:style w:type="paragraph" w:styleId="62">
    <w:name w:val="Body Text First Indent"/>
    <w:basedOn w:val="24"/>
    <w:next w:val="1"/>
    <w:link w:val="324"/>
    <w:qFormat/>
    <w:uiPriority w:val="0"/>
    <w:pPr>
      <w:ind w:firstLine="420"/>
    </w:pPr>
    <w:rPr>
      <w:rFonts w:hAnsi="Calibri" w:cs="Times New Roman"/>
      <w:snapToGrid/>
      <w:szCs w:val="20"/>
    </w:rPr>
  </w:style>
  <w:style w:type="paragraph" w:styleId="63">
    <w:name w:val="Body Text First Indent 2"/>
    <w:basedOn w:val="16"/>
    <w:next w:val="37"/>
    <w:link w:val="12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PlainText"/>
    <w:basedOn w:val="1"/>
    <w:qFormat/>
    <w:uiPriority w:val="0"/>
    <w:pPr>
      <w:jc w:val="both"/>
      <w:textAlignment w:val="baseline"/>
    </w:pPr>
    <w:rPr>
      <w:rFonts w:ascii="宋体" w:hAnsi="Courier New"/>
      <w:kern w:val="2"/>
      <w:sz w:val="21"/>
      <w:szCs w:val="20"/>
      <w:lang w:val="en-US" w:eastAsia="zh-CN" w:bidi="ar-SA"/>
    </w:rPr>
  </w:style>
  <w:style w:type="paragraph" w:customStyle="1" w:styleId="82">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样式3"/>
    <w:basedOn w:val="84"/>
    <w:qFormat/>
    <w:uiPriority w:val="0"/>
    <w:pPr>
      <w:tabs>
        <w:tab w:val="left" w:pos="2790"/>
        <w:tab w:val="left" w:pos="4230"/>
      </w:tabs>
      <w:spacing w:before="312" w:beforeLines="100"/>
      <w:jc w:val="left"/>
    </w:pPr>
  </w:style>
  <w:style w:type="paragraph" w:customStyle="1" w:styleId="8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3"/>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2"/>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4"/>
    <w:qFormat/>
    <w:uiPriority w:val="0"/>
    <w:rPr>
      <w:rFonts w:ascii="宋体"/>
      <w:kern w:val="2"/>
      <w:sz w:val="24"/>
      <w:szCs w:val="21"/>
      <w:lang w:val="zh-CN"/>
    </w:rPr>
  </w:style>
  <w:style w:type="character" w:customStyle="1" w:styleId="187">
    <w:name w:val="标题 9 Char"/>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0"/>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0"/>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2"/>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6"/>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1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2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0"/>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2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6"/>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6"/>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Normal]"/>
    <w:qFormat/>
    <w:uiPriority w:val="0"/>
    <w:rPr>
      <w:rFonts w:ascii="宋体" w:hAnsi="宋体" w:eastAsia="宋体" w:cs="Times New Roman"/>
      <w:sz w:val="24"/>
      <w:szCs w:val="22"/>
      <w:lang w:val="zh-CN" w:eastAsia="zh-CN" w:bidi="ar-SA"/>
    </w:rPr>
  </w:style>
  <w:style w:type="paragraph" w:customStyle="1" w:styleId="965">
    <w:name w:val="样式 标题 31.1.1标题 333rd levelBOD 0Bold HeadCTH3H31Heading ...1"/>
    <w:basedOn w:val="4"/>
    <w:qFormat/>
    <w:uiPriority w:val="0"/>
    <w:pPr>
      <w:spacing w:before="0" w:after="0"/>
      <w:ind w:firstLine="0" w:firstLineChars="0"/>
    </w:pPr>
    <w:rPr>
      <w:rFonts w:hAnsi="宋体" w:cs="宋体"/>
      <w:sz w:val="24"/>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Plain Text"/>
    <w:basedOn w:val="968"/>
    <w:qFormat/>
    <w:uiPriority w:val="0"/>
    <w:pPr>
      <w:widowControl/>
      <w:jc w:val="left"/>
    </w:pPr>
    <w:rPr>
      <w:rFonts w:ascii="宋体" w:hAnsi="Courier New"/>
    </w:rPr>
  </w:style>
  <w:style w:type="paragraph" w:customStyle="1" w:styleId="968">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44</Pages>
  <Words>19691</Words>
  <Characters>21107</Characters>
  <Lines>293</Lines>
  <Paragraphs>82</Paragraphs>
  <TotalTime>4</TotalTime>
  <ScaleCrop>false</ScaleCrop>
  <LinksUpToDate>false</LinksUpToDate>
  <CharactersWithSpaces>23971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尚卷卷</cp:lastModifiedBy>
  <cp:lastPrinted>2024-08-14T03:17:00Z</cp:lastPrinted>
  <dcterms:modified xsi:type="dcterms:W3CDTF">2024-09-19T03:08:57Z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CAA5FF13814A4E3BAC97807DD881AE59_13</vt:lpwstr>
  </property>
  <property fmtid="{D5CDD505-2E9C-101B-9397-08002B2CF9AE}" pid="5" name="commondata">
    <vt:lpwstr>eyJoZGlkIjoiNDk0OGU2YzAzOGE5M2FiNmVhNTU3OTE5ODEzNzM3ZDIifQ==</vt:lpwstr>
  </property>
</Properties>
</file>