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F62C45">
      <w:pPr>
        <w:spacing w:line="360" w:lineRule="auto"/>
        <w:jc w:val="center"/>
        <w:rPr>
          <w:rFonts w:ascii="宋体" w:hAnsi="宋体" w:cs="宋体"/>
          <w:b/>
          <w:sz w:val="24"/>
          <w:highlight w:val="none"/>
        </w:rPr>
      </w:pPr>
    </w:p>
    <w:p w14:paraId="4581661A">
      <w:pPr>
        <w:adjustRightInd/>
        <w:spacing w:line="360" w:lineRule="auto"/>
        <w:jc w:val="center"/>
        <w:rPr>
          <w:rFonts w:hint="eastAsia" w:ascii="宋体" w:hAnsi="宋体" w:cs="宋体"/>
          <w:sz w:val="48"/>
          <w:szCs w:val="48"/>
          <w:highlight w:val="none"/>
        </w:rPr>
      </w:pPr>
    </w:p>
    <w:p w14:paraId="35B277F2">
      <w:pPr>
        <w:adjustRightInd/>
        <w:spacing w:line="360" w:lineRule="auto"/>
        <w:jc w:val="center"/>
        <w:rPr>
          <w:rFonts w:ascii="宋体" w:hAnsi="宋体" w:cs="宋体"/>
          <w:sz w:val="48"/>
          <w:szCs w:val="48"/>
          <w:highlight w:val="none"/>
        </w:rPr>
      </w:pPr>
      <w:r>
        <w:rPr>
          <w:rFonts w:hint="eastAsia" w:ascii="宋体" w:hAnsi="宋体" w:cs="宋体"/>
          <w:sz w:val="48"/>
          <w:szCs w:val="48"/>
          <w:highlight w:val="none"/>
        </w:rPr>
        <w:t>招标文件（货物）</w:t>
      </w:r>
    </w:p>
    <w:p w14:paraId="3AC35ADC">
      <w:pPr>
        <w:adjustRightInd/>
        <w:spacing w:line="360" w:lineRule="auto"/>
        <w:jc w:val="center"/>
        <w:rPr>
          <w:rFonts w:ascii="宋体" w:hAnsi="宋体" w:cs="宋体"/>
          <w:b/>
          <w:sz w:val="44"/>
          <w:szCs w:val="44"/>
          <w:highlight w:val="none"/>
        </w:rPr>
      </w:pPr>
      <w:r>
        <w:rPr>
          <w:rFonts w:hint="eastAsia" w:ascii="宋体" w:hAnsi="宋体" w:cs="宋体"/>
          <w:b/>
          <w:sz w:val="44"/>
          <w:szCs w:val="44"/>
          <w:highlight w:val="none"/>
        </w:rPr>
        <w:t>（电子招投标）</w:t>
      </w:r>
    </w:p>
    <w:p w14:paraId="6E5EDA25">
      <w:pPr>
        <w:snapToGrid w:val="0"/>
        <w:spacing w:line="360" w:lineRule="auto"/>
        <w:jc w:val="left"/>
        <w:rPr>
          <w:rFonts w:ascii="宋体" w:hAnsi="宋体" w:cs="宋体"/>
          <w:sz w:val="30"/>
          <w:szCs w:val="30"/>
          <w:highlight w:val="none"/>
        </w:rPr>
      </w:pPr>
    </w:p>
    <w:p w14:paraId="5D2E1718">
      <w:pPr>
        <w:snapToGrid w:val="0"/>
        <w:spacing w:line="360" w:lineRule="auto"/>
        <w:jc w:val="left"/>
        <w:rPr>
          <w:rFonts w:ascii="宋体" w:hAnsi="宋体" w:cs="宋体"/>
          <w:sz w:val="30"/>
          <w:szCs w:val="30"/>
          <w:highlight w:val="none"/>
        </w:rPr>
      </w:pPr>
    </w:p>
    <w:p w14:paraId="18454613">
      <w:pPr>
        <w:snapToGrid w:val="0"/>
        <w:spacing w:line="360" w:lineRule="auto"/>
        <w:jc w:val="left"/>
        <w:rPr>
          <w:rFonts w:hint="eastAsia" w:ascii="宋体" w:hAnsi="宋体" w:cs="宋体"/>
          <w:sz w:val="30"/>
          <w:szCs w:val="30"/>
          <w:highlight w:val="none"/>
        </w:rPr>
      </w:pPr>
    </w:p>
    <w:p w14:paraId="2EE4BEA6">
      <w:pPr>
        <w:snapToGrid w:val="0"/>
        <w:spacing w:line="360" w:lineRule="auto"/>
        <w:jc w:val="left"/>
        <w:rPr>
          <w:rFonts w:hint="eastAsia" w:ascii="宋体" w:hAnsi="宋体" w:cs="宋体"/>
          <w:sz w:val="30"/>
          <w:szCs w:val="30"/>
          <w:highlight w:val="none"/>
        </w:rPr>
      </w:pPr>
    </w:p>
    <w:p w14:paraId="7C0460F8">
      <w:pPr>
        <w:snapToGrid w:val="0"/>
        <w:spacing w:line="360" w:lineRule="auto"/>
        <w:jc w:val="left"/>
        <w:rPr>
          <w:rFonts w:hint="eastAsia" w:ascii="宋体" w:hAnsi="宋体" w:eastAsia="宋体" w:cs="宋体"/>
          <w:sz w:val="30"/>
          <w:szCs w:val="30"/>
          <w:highlight w:val="none"/>
          <w:lang w:eastAsia="zh-CN"/>
        </w:rPr>
      </w:pPr>
      <w:r>
        <w:rPr>
          <w:rFonts w:hint="eastAsia" w:ascii="宋体" w:hAnsi="宋体" w:cs="宋体"/>
          <w:sz w:val="30"/>
          <w:szCs w:val="30"/>
          <w:highlight w:val="none"/>
        </w:rPr>
        <w:t>项目编号：</w:t>
      </w:r>
      <w:r>
        <w:rPr>
          <w:rFonts w:hint="eastAsia" w:ascii="宋体" w:hAnsi="宋体" w:cs="宋体"/>
          <w:sz w:val="30"/>
          <w:szCs w:val="30"/>
          <w:highlight w:val="none"/>
          <w:lang w:eastAsia="zh-CN"/>
        </w:rPr>
        <w:t>CBZJ-20256056G</w:t>
      </w:r>
    </w:p>
    <w:p w14:paraId="17CE00BA">
      <w:pPr>
        <w:snapToGrid w:val="0"/>
        <w:spacing w:line="360" w:lineRule="auto"/>
        <w:jc w:val="left"/>
        <w:rPr>
          <w:rFonts w:hint="eastAsia" w:ascii="宋体" w:hAnsi="宋体" w:eastAsia="宋体" w:cs="宋体"/>
          <w:sz w:val="30"/>
          <w:szCs w:val="30"/>
          <w:highlight w:val="none"/>
          <w:lang w:eastAsia="zh-CN"/>
        </w:rPr>
      </w:pPr>
      <w:r>
        <w:rPr>
          <w:rFonts w:hint="eastAsia" w:ascii="宋体" w:hAnsi="宋体" w:cs="宋体"/>
          <w:sz w:val="30"/>
          <w:szCs w:val="30"/>
          <w:highlight w:val="none"/>
        </w:rPr>
        <w:t>项目名称：</w:t>
      </w:r>
      <w:r>
        <w:rPr>
          <w:rFonts w:hint="eastAsia" w:ascii="宋体" w:hAnsi="宋体" w:cs="宋体"/>
          <w:sz w:val="30"/>
          <w:szCs w:val="30"/>
          <w:highlight w:val="none"/>
          <w:lang w:eastAsia="zh-CN"/>
        </w:rPr>
        <w:t>浙东二期污水处理站非电镀废水处理</w:t>
      </w:r>
      <w:r>
        <w:rPr>
          <w:rFonts w:hint="eastAsia" w:ascii="宋体" w:hAnsi="宋体" w:cs="宋体"/>
          <w:sz w:val="30"/>
          <w:szCs w:val="30"/>
          <w:highlight w:val="none"/>
          <w:lang w:val="en-US" w:eastAsia="zh-CN"/>
        </w:rPr>
        <w:t>系统</w:t>
      </w:r>
      <w:r>
        <w:rPr>
          <w:rFonts w:hint="eastAsia" w:ascii="宋体" w:hAnsi="宋体" w:cs="宋体"/>
          <w:sz w:val="30"/>
          <w:szCs w:val="30"/>
          <w:highlight w:val="none"/>
          <w:lang w:eastAsia="zh-CN"/>
        </w:rPr>
        <w:t>设备采购项目</w:t>
      </w:r>
    </w:p>
    <w:p w14:paraId="5F888A9E">
      <w:pPr>
        <w:adjustRightInd/>
        <w:spacing w:line="360" w:lineRule="auto"/>
        <w:rPr>
          <w:rFonts w:ascii="宋体" w:hAnsi="宋体" w:cs="宋体"/>
          <w:sz w:val="28"/>
          <w:szCs w:val="20"/>
          <w:highlight w:val="none"/>
        </w:rPr>
      </w:pPr>
    </w:p>
    <w:p w14:paraId="078D0D41">
      <w:pPr>
        <w:spacing w:line="360" w:lineRule="auto"/>
        <w:jc w:val="center"/>
        <w:rPr>
          <w:rFonts w:ascii="宋体" w:hAnsi="宋体" w:cs="宋体"/>
          <w:b/>
          <w:sz w:val="44"/>
          <w:szCs w:val="44"/>
          <w:highlight w:val="none"/>
        </w:rPr>
      </w:pPr>
    </w:p>
    <w:p w14:paraId="0F963697">
      <w:pPr>
        <w:spacing w:line="360" w:lineRule="auto"/>
        <w:jc w:val="center"/>
        <w:rPr>
          <w:rFonts w:ascii="宋体" w:hAnsi="宋体" w:cs="宋体"/>
          <w:b/>
          <w:sz w:val="44"/>
          <w:szCs w:val="44"/>
          <w:highlight w:val="none"/>
        </w:rPr>
      </w:pPr>
    </w:p>
    <w:p w14:paraId="573F7396">
      <w:pPr>
        <w:spacing w:line="360" w:lineRule="auto"/>
        <w:jc w:val="center"/>
        <w:rPr>
          <w:rFonts w:ascii="宋体" w:hAnsi="宋体" w:cs="宋体"/>
          <w:sz w:val="24"/>
          <w:highlight w:val="none"/>
        </w:rPr>
      </w:pPr>
    </w:p>
    <w:p w14:paraId="54A6035C">
      <w:pPr>
        <w:spacing w:line="360" w:lineRule="auto"/>
        <w:rPr>
          <w:rFonts w:ascii="宋体" w:hAnsi="宋体" w:cs="宋体"/>
          <w:sz w:val="32"/>
          <w:szCs w:val="32"/>
          <w:highlight w:val="none"/>
        </w:rPr>
      </w:pPr>
    </w:p>
    <w:p w14:paraId="0DA98573">
      <w:pPr>
        <w:spacing w:line="360" w:lineRule="auto"/>
        <w:jc w:val="center"/>
        <w:rPr>
          <w:rFonts w:hint="eastAsia" w:ascii="宋体" w:hAnsi="宋体" w:eastAsia="宋体" w:cs="宋体"/>
          <w:bCs/>
          <w:sz w:val="32"/>
          <w:szCs w:val="32"/>
          <w:highlight w:val="none"/>
          <w:lang w:eastAsia="zh-CN"/>
        </w:rPr>
      </w:pPr>
      <w:r>
        <w:rPr>
          <w:rFonts w:hint="eastAsia" w:ascii="宋体" w:hAnsi="宋体" w:cs="宋体"/>
          <w:bCs/>
          <w:sz w:val="32"/>
          <w:szCs w:val="32"/>
          <w:highlight w:val="none"/>
        </w:rPr>
        <w:t>采购人：</w:t>
      </w:r>
      <w:r>
        <w:rPr>
          <w:rFonts w:hint="eastAsia" w:ascii="宋体" w:hAnsi="宋体" w:cs="宋体"/>
          <w:bCs/>
          <w:sz w:val="32"/>
          <w:szCs w:val="32"/>
          <w:highlight w:val="none"/>
          <w:lang w:eastAsia="zh-CN"/>
        </w:rPr>
        <w:t>象山经济开发区投资有限公司</w:t>
      </w:r>
    </w:p>
    <w:p w14:paraId="32BFEAF2">
      <w:pPr>
        <w:spacing w:line="360" w:lineRule="auto"/>
        <w:jc w:val="center"/>
        <w:rPr>
          <w:rFonts w:ascii="宋体" w:hAnsi="宋体" w:cs="宋体"/>
          <w:bCs/>
          <w:sz w:val="32"/>
          <w:szCs w:val="32"/>
          <w:highlight w:val="none"/>
        </w:rPr>
      </w:pPr>
      <w:r>
        <w:rPr>
          <w:rFonts w:hint="eastAsia" w:ascii="宋体" w:hAnsi="宋体" w:cs="宋体"/>
          <w:bCs/>
          <w:sz w:val="32"/>
          <w:szCs w:val="32"/>
          <w:highlight w:val="none"/>
        </w:rPr>
        <w:t>采购代理机构：浙江中基正采管理咨询有限公司</w:t>
      </w:r>
      <w:bookmarkStart w:id="432" w:name="_GoBack"/>
      <w:bookmarkEnd w:id="432"/>
    </w:p>
    <w:p w14:paraId="6D5EEE17">
      <w:pPr>
        <w:snapToGrid w:val="0"/>
        <w:spacing w:line="360" w:lineRule="auto"/>
        <w:jc w:val="center"/>
        <w:rPr>
          <w:rFonts w:ascii="宋体" w:hAnsi="宋体" w:cs="宋体"/>
          <w:bCs/>
          <w:color w:val="FF0000"/>
          <w:sz w:val="32"/>
          <w:szCs w:val="32"/>
          <w:highlight w:val="none"/>
        </w:rPr>
      </w:pPr>
    </w:p>
    <w:p w14:paraId="1A1B1143">
      <w:pPr>
        <w:snapToGrid w:val="0"/>
        <w:spacing w:line="360" w:lineRule="auto"/>
        <w:jc w:val="center"/>
        <w:rPr>
          <w:rFonts w:ascii="宋体" w:hAnsi="宋体" w:cs="宋体"/>
          <w:bCs/>
          <w:sz w:val="32"/>
          <w:szCs w:val="32"/>
          <w:highlight w:val="none"/>
        </w:rPr>
      </w:pPr>
      <w:r>
        <w:rPr>
          <w:rFonts w:hint="eastAsia" w:ascii="宋体" w:hAnsi="宋体" w:cs="宋体"/>
          <w:bCs/>
          <w:sz w:val="32"/>
          <w:szCs w:val="32"/>
          <w:highlight w:val="none"/>
        </w:rPr>
        <w:t>二〇二</w:t>
      </w:r>
      <w:r>
        <w:rPr>
          <w:rFonts w:hint="eastAsia" w:ascii="宋体" w:hAnsi="宋体" w:cs="宋体"/>
          <w:bCs/>
          <w:sz w:val="32"/>
          <w:szCs w:val="32"/>
          <w:highlight w:val="none"/>
          <w:lang w:val="en-US" w:eastAsia="zh-CN"/>
        </w:rPr>
        <w:t>五</w:t>
      </w:r>
      <w:r>
        <w:rPr>
          <w:rFonts w:hint="eastAsia" w:ascii="宋体" w:hAnsi="宋体" w:cs="宋体"/>
          <w:bCs/>
          <w:sz w:val="32"/>
          <w:szCs w:val="32"/>
          <w:highlight w:val="none"/>
        </w:rPr>
        <w:t>年</w:t>
      </w:r>
      <w:r>
        <w:rPr>
          <w:rFonts w:hint="eastAsia" w:ascii="宋体" w:hAnsi="宋体" w:cs="宋体"/>
          <w:bCs/>
          <w:sz w:val="32"/>
          <w:szCs w:val="32"/>
          <w:highlight w:val="none"/>
          <w:lang w:val="en-US" w:eastAsia="zh-CN"/>
        </w:rPr>
        <w:t>四</w:t>
      </w:r>
      <w:r>
        <w:rPr>
          <w:rFonts w:hint="eastAsia" w:ascii="宋体" w:hAnsi="宋体" w:cs="宋体"/>
          <w:bCs/>
          <w:sz w:val="32"/>
          <w:szCs w:val="32"/>
          <w:highlight w:val="none"/>
        </w:rPr>
        <w:t>月</w:t>
      </w:r>
    </w:p>
    <w:p w14:paraId="211CCAAB">
      <w:pPr>
        <w:rPr>
          <w:rFonts w:ascii="宋体" w:hAnsi="宋体" w:cs="宋体"/>
          <w:sz w:val="24"/>
          <w:highlight w:val="none"/>
        </w:rPr>
      </w:pPr>
      <w:r>
        <w:rPr>
          <w:rFonts w:hint="eastAsia" w:ascii="宋体" w:hAnsi="宋体" w:cs="宋体"/>
          <w:sz w:val="24"/>
          <w:highlight w:val="none"/>
        </w:rPr>
        <w:br w:type="page"/>
      </w:r>
    </w:p>
    <w:p w14:paraId="24749BA4">
      <w:pPr>
        <w:rPr>
          <w:rFonts w:ascii="宋体" w:hAnsi="宋体" w:cs="宋体"/>
          <w:sz w:val="24"/>
          <w:highlight w:val="none"/>
        </w:rPr>
      </w:pPr>
      <w:bookmarkStart w:id="0" w:name="_Hlt67893495"/>
      <w:bookmarkEnd w:id="0"/>
      <w:r>
        <w:rPr>
          <w:rFonts w:ascii="宋体" w:hAnsi="宋体" w:cs="宋体"/>
          <w:sz w:val="24"/>
          <w:highlight w:val="none"/>
        </w:rPr>
        <w:br w:type="page"/>
      </w:r>
    </w:p>
    <w:p w14:paraId="5A5A50D1">
      <w:pPr>
        <w:spacing w:line="360" w:lineRule="auto"/>
        <w:jc w:val="center"/>
        <w:rPr>
          <w:rFonts w:ascii="宋体" w:hAnsi="宋体" w:cs="宋体"/>
          <w:sz w:val="24"/>
          <w:highlight w:val="none"/>
        </w:rPr>
      </w:pPr>
    </w:p>
    <w:p w14:paraId="383D5297">
      <w:pPr>
        <w:spacing w:line="360" w:lineRule="auto"/>
        <w:jc w:val="center"/>
        <w:rPr>
          <w:rFonts w:ascii="宋体" w:hAnsi="宋体" w:cs="宋体"/>
          <w:b/>
          <w:sz w:val="48"/>
          <w:szCs w:val="48"/>
          <w:highlight w:val="none"/>
        </w:rPr>
      </w:pPr>
    </w:p>
    <w:p w14:paraId="6C569778">
      <w:pPr>
        <w:spacing w:line="360" w:lineRule="auto"/>
        <w:jc w:val="center"/>
        <w:rPr>
          <w:rFonts w:ascii="宋体" w:hAnsi="宋体" w:cs="宋体"/>
          <w:b/>
          <w:sz w:val="48"/>
          <w:szCs w:val="48"/>
          <w:highlight w:val="none"/>
        </w:rPr>
      </w:pPr>
      <w:r>
        <w:rPr>
          <w:rFonts w:hint="eastAsia" w:ascii="宋体" w:hAnsi="宋体" w:cs="宋体"/>
          <w:b/>
          <w:sz w:val="48"/>
          <w:szCs w:val="48"/>
          <w:highlight w:val="none"/>
        </w:rPr>
        <w:t>目  录</w:t>
      </w:r>
    </w:p>
    <w:p w14:paraId="31B8CA2D">
      <w:pPr>
        <w:jc w:val="center"/>
        <w:rPr>
          <w:highlight w:val="none"/>
        </w:rPr>
      </w:pPr>
    </w:p>
    <w:p w14:paraId="454502D9">
      <w:pPr>
        <w:pStyle w:val="43"/>
        <w:keepNext w:val="0"/>
        <w:keepLines w:val="0"/>
        <w:pageBreakBefore w:val="0"/>
        <w:widowControl w:val="0"/>
        <w:tabs>
          <w:tab w:val="right" w:leader="dot" w:pos="8300"/>
        </w:tabs>
        <w:kinsoku/>
        <w:wordWrap/>
        <w:overflowPunct/>
        <w:topLinePunct w:val="0"/>
        <w:autoSpaceDE/>
        <w:autoSpaceDN/>
        <w:bidi w:val="0"/>
        <w:adjustRightInd w:val="0"/>
        <w:snapToGrid/>
        <w:spacing w:before="157" w:beforeLines="50" w:after="157" w:afterLines="50" w:line="360" w:lineRule="auto"/>
        <w:textAlignment w:val="auto"/>
        <w:rPr>
          <w:sz w:val="32"/>
          <w:szCs w:val="40"/>
        </w:rPr>
      </w:pPr>
      <w:r>
        <w:rPr>
          <w:rFonts w:hint="eastAsia" w:ascii="宋体" w:hAnsi="宋体" w:cs="宋体"/>
          <w:sz w:val="48"/>
          <w:szCs w:val="48"/>
          <w:highlight w:val="none"/>
        </w:rPr>
        <w:fldChar w:fldCharType="begin"/>
      </w:r>
      <w:r>
        <w:rPr>
          <w:rFonts w:hint="eastAsia" w:ascii="宋体" w:hAnsi="宋体" w:cs="宋体"/>
          <w:sz w:val="48"/>
          <w:szCs w:val="48"/>
          <w:highlight w:val="none"/>
        </w:rPr>
        <w:instrText xml:space="preserve">TOC \o "1-1" \h \u </w:instrText>
      </w:r>
      <w:r>
        <w:rPr>
          <w:rFonts w:hint="eastAsia" w:ascii="宋体" w:hAnsi="宋体" w:cs="宋体"/>
          <w:sz w:val="48"/>
          <w:szCs w:val="48"/>
          <w:highlight w:val="none"/>
        </w:rPr>
        <w:fldChar w:fldCharType="separate"/>
      </w:r>
      <w:r>
        <w:rPr>
          <w:rFonts w:hint="eastAsia" w:ascii="宋体" w:hAnsi="宋体" w:cs="宋体"/>
          <w:sz w:val="32"/>
          <w:szCs w:val="48"/>
          <w:highlight w:val="none"/>
        </w:rPr>
        <w:fldChar w:fldCharType="begin"/>
      </w:r>
      <w:r>
        <w:rPr>
          <w:rFonts w:hint="eastAsia" w:ascii="宋体" w:hAnsi="宋体" w:cs="宋体"/>
          <w:sz w:val="32"/>
          <w:szCs w:val="48"/>
          <w:highlight w:val="none"/>
        </w:rPr>
        <w:instrText xml:space="preserve"> HYPERLINK \l _Toc15173 </w:instrText>
      </w:r>
      <w:r>
        <w:rPr>
          <w:rFonts w:hint="eastAsia" w:ascii="宋体" w:hAnsi="宋体" w:cs="宋体"/>
          <w:sz w:val="32"/>
          <w:szCs w:val="48"/>
          <w:highlight w:val="none"/>
        </w:rPr>
        <w:fldChar w:fldCharType="separate"/>
      </w:r>
      <w:r>
        <w:rPr>
          <w:rFonts w:hint="eastAsia" w:ascii="宋体" w:hAnsi="宋体" w:cs="宋体"/>
          <w:sz w:val="32"/>
          <w:szCs w:val="28"/>
          <w:highlight w:val="none"/>
        </w:rPr>
        <w:t xml:space="preserve">第一部分 </w:t>
      </w:r>
      <w:r>
        <w:rPr>
          <w:rFonts w:hint="eastAsia" w:ascii="宋体" w:hAnsi="宋体" w:cs="宋体"/>
          <w:sz w:val="32"/>
          <w:szCs w:val="28"/>
          <w:highlight w:val="none"/>
          <w:lang w:val="en-US" w:eastAsia="zh-CN"/>
        </w:rPr>
        <w:t xml:space="preserve"> </w:t>
      </w:r>
      <w:r>
        <w:rPr>
          <w:rFonts w:hint="eastAsia" w:ascii="宋体" w:hAnsi="宋体" w:cs="宋体"/>
          <w:sz w:val="32"/>
          <w:szCs w:val="28"/>
          <w:highlight w:val="none"/>
        </w:rPr>
        <w:t>招标公告</w:t>
      </w:r>
      <w:r>
        <w:rPr>
          <w:sz w:val="32"/>
          <w:szCs w:val="40"/>
        </w:rPr>
        <w:tab/>
      </w:r>
      <w:r>
        <w:rPr>
          <w:sz w:val="32"/>
          <w:szCs w:val="40"/>
        </w:rPr>
        <w:fldChar w:fldCharType="begin"/>
      </w:r>
      <w:r>
        <w:rPr>
          <w:sz w:val="32"/>
          <w:szCs w:val="40"/>
        </w:rPr>
        <w:instrText xml:space="preserve"> PAGEREF _Toc15173 \h </w:instrText>
      </w:r>
      <w:r>
        <w:rPr>
          <w:sz w:val="32"/>
          <w:szCs w:val="40"/>
        </w:rPr>
        <w:fldChar w:fldCharType="separate"/>
      </w:r>
      <w:r>
        <w:rPr>
          <w:sz w:val="32"/>
          <w:szCs w:val="40"/>
        </w:rPr>
        <w:t>1</w:t>
      </w:r>
      <w:r>
        <w:rPr>
          <w:sz w:val="32"/>
          <w:szCs w:val="40"/>
        </w:rPr>
        <w:fldChar w:fldCharType="end"/>
      </w:r>
      <w:r>
        <w:rPr>
          <w:rFonts w:hint="eastAsia" w:ascii="宋体" w:hAnsi="宋体" w:cs="宋体"/>
          <w:sz w:val="32"/>
          <w:szCs w:val="48"/>
          <w:highlight w:val="none"/>
        </w:rPr>
        <w:fldChar w:fldCharType="end"/>
      </w:r>
    </w:p>
    <w:p w14:paraId="290AB5CA">
      <w:pPr>
        <w:pStyle w:val="43"/>
        <w:keepNext w:val="0"/>
        <w:keepLines w:val="0"/>
        <w:pageBreakBefore w:val="0"/>
        <w:widowControl w:val="0"/>
        <w:tabs>
          <w:tab w:val="right" w:leader="dot" w:pos="8300"/>
        </w:tabs>
        <w:kinsoku/>
        <w:wordWrap/>
        <w:overflowPunct/>
        <w:topLinePunct w:val="0"/>
        <w:autoSpaceDE/>
        <w:autoSpaceDN/>
        <w:bidi w:val="0"/>
        <w:adjustRightInd w:val="0"/>
        <w:snapToGrid/>
        <w:spacing w:before="157" w:beforeLines="50" w:after="157" w:afterLines="50" w:line="360" w:lineRule="auto"/>
        <w:textAlignment w:val="auto"/>
        <w:rPr>
          <w:sz w:val="32"/>
          <w:szCs w:val="40"/>
        </w:rPr>
      </w:pPr>
      <w:r>
        <w:rPr>
          <w:rFonts w:hint="eastAsia" w:ascii="宋体" w:hAnsi="宋体" w:cs="宋体"/>
          <w:sz w:val="32"/>
          <w:szCs w:val="48"/>
          <w:highlight w:val="none"/>
        </w:rPr>
        <w:fldChar w:fldCharType="begin"/>
      </w:r>
      <w:r>
        <w:rPr>
          <w:rFonts w:hint="eastAsia" w:ascii="宋体" w:hAnsi="宋体" w:cs="宋体"/>
          <w:sz w:val="32"/>
          <w:szCs w:val="48"/>
          <w:highlight w:val="none"/>
        </w:rPr>
        <w:instrText xml:space="preserve"> HYPERLINK \l _Toc30576 </w:instrText>
      </w:r>
      <w:r>
        <w:rPr>
          <w:rFonts w:hint="eastAsia" w:ascii="宋体" w:hAnsi="宋体" w:cs="宋体"/>
          <w:sz w:val="32"/>
          <w:szCs w:val="48"/>
          <w:highlight w:val="none"/>
        </w:rPr>
        <w:fldChar w:fldCharType="separate"/>
      </w:r>
      <w:r>
        <w:rPr>
          <w:rFonts w:hint="eastAsia" w:ascii="宋体" w:hAnsi="宋体" w:cs="宋体"/>
          <w:sz w:val="32"/>
          <w:szCs w:val="28"/>
          <w:highlight w:val="none"/>
        </w:rPr>
        <w:t xml:space="preserve">第二部分 </w:t>
      </w:r>
      <w:r>
        <w:rPr>
          <w:rFonts w:hint="eastAsia" w:ascii="宋体" w:hAnsi="宋体" w:cs="宋体"/>
          <w:sz w:val="32"/>
          <w:szCs w:val="28"/>
          <w:highlight w:val="none"/>
          <w:lang w:val="en-US" w:eastAsia="zh-CN"/>
        </w:rPr>
        <w:t xml:space="preserve"> </w:t>
      </w:r>
      <w:r>
        <w:rPr>
          <w:rFonts w:hint="eastAsia" w:ascii="宋体" w:hAnsi="宋体" w:cs="宋体"/>
          <w:sz w:val="32"/>
          <w:szCs w:val="28"/>
          <w:highlight w:val="none"/>
        </w:rPr>
        <w:t>投标人须知</w:t>
      </w:r>
      <w:r>
        <w:rPr>
          <w:sz w:val="32"/>
          <w:szCs w:val="40"/>
        </w:rPr>
        <w:tab/>
      </w:r>
      <w:r>
        <w:rPr>
          <w:sz w:val="32"/>
          <w:szCs w:val="40"/>
        </w:rPr>
        <w:fldChar w:fldCharType="begin"/>
      </w:r>
      <w:r>
        <w:rPr>
          <w:sz w:val="32"/>
          <w:szCs w:val="40"/>
        </w:rPr>
        <w:instrText xml:space="preserve"> PAGEREF _Toc30576 \h </w:instrText>
      </w:r>
      <w:r>
        <w:rPr>
          <w:sz w:val="32"/>
          <w:szCs w:val="40"/>
        </w:rPr>
        <w:fldChar w:fldCharType="separate"/>
      </w:r>
      <w:r>
        <w:rPr>
          <w:sz w:val="32"/>
          <w:szCs w:val="40"/>
        </w:rPr>
        <w:t>6</w:t>
      </w:r>
      <w:r>
        <w:rPr>
          <w:sz w:val="32"/>
          <w:szCs w:val="40"/>
        </w:rPr>
        <w:fldChar w:fldCharType="end"/>
      </w:r>
      <w:r>
        <w:rPr>
          <w:rFonts w:hint="eastAsia" w:ascii="宋体" w:hAnsi="宋体" w:cs="宋体"/>
          <w:sz w:val="32"/>
          <w:szCs w:val="48"/>
          <w:highlight w:val="none"/>
        </w:rPr>
        <w:fldChar w:fldCharType="end"/>
      </w:r>
    </w:p>
    <w:p w14:paraId="51AF1997">
      <w:pPr>
        <w:pStyle w:val="43"/>
        <w:keepNext w:val="0"/>
        <w:keepLines w:val="0"/>
        <w:pageBreakBefore w:val="0"/>
        <w:widowControl w:val="0"/>
        <w:tabs>
          <w:tab w:val="right" w:leader="dot" w:pos="8300"/>
        </w:tabs>
        <w:kinsoku/>
        <w:wordWrap/>
        <w:overflowPunct/>
        <w:topLinePunct w:val="0"/>
        <w:autoSpaceDE/>
        <w:autoSpaceDN/>
        <w:bidi w:val="0"/>
        <w:adjustRightInd w:val="0"/>
        <w:snapToGrid/>
        <w:spacing w:before="157" w:beforeLines="50" w:after="157" w:afterLines="50" w:line="360" w:lineRule="auto"/>
        <w:textAlignment w:val="auto"/>
        <w:rPr>
          <w:sz w:val="32"/>
          <w:szCs w:val="40"/>
        </w:rPr>
      </w:pPr>
      <w:r>
        <w:rPr>
          <w:rFonts w:hint="eastAsia" w:ascii="宋体" w:hAnsi="宋体" w:cs="宋体"/>
          <w:sz w:val="32"/>
          <w:szCs w:val="48"/>
          <w:highlight w:val="none"/>
        </w:rPr>
        <w:fldChar w:fldCharType="begin"/>
      </w:r>
      <w:r>
        <w:rPr>
          <w:rFonts w:hint="eastAsia" w:ascii="宋体" w:hAnsi="宋体" w:cs="宋体"/>
          <w:sz w:val="32"/>
          <w:szCs w:val="48"/>
          <w:highlight w:val="none"/>
        </w:rPr>
        <w:instrText xml:space="preserve"> HYPERLINK \l _Toc29533 </w:instrText>
      </w:r>
      <w:r>
        <w:rPr>
          <w:rFonts w:hint="eastAsia" w:ascii="宋体" w:hAnsi="宋体" w:cs="宋体"/>
          <w:sz w:val="32"/>
          <w:szCs w:val="48"/>
          <w:highlight w:val="none"/>
        </w:rPr>
        <w:fldChar w:fldCharType="separate"/>
      </w:r>
      <w:r>
        <w:rPr>
          <w:rFonts w:hint="eastAsia" w:ascii="宋体" w:hAnsi="宋体" w:cs="宋体"/>
          <w:sz w:val="32"/>
          <w:szCs w:val="52"/>
          <w:highlight w:val="none"/>
        </w:rPr>
        <w:t>第三部分  采购需求</w:t>
      </w:r>
      <w:r>
        <w:rPr>
          <w:sz w:val="32"/>
          <w:szCs w:val="40"/>
        </w:rPr>
        <w:tab/>
      </w:r>
      <w:r>
        <w:rPr>
          <w:sz w:val="32"/>
          <w:szCs w:val="40"/>
        </w:rPr>
        <w:fldChar w:fldCharType="begin"/>
      </w:r>
      <w:r>
        <w:rPr>
          <w:sz w:val="32"/>
          <w:szCs w:val="40"/>
        </w:rPr>
        <w:instrText xml:space="preserve"> PAGEREF _Toc29533 \h </w:instrText>
      </w:r>
      <w:r>
        <w:rPr>
          <w:sz w:val="32"/>
          <w:szCs w:val="40"/>
        </w:rPr>
        <w:fldChar w:fldCharType="separate"/>
      </w:r>
      <w:r>
        <w:rPr>
          <w:sz w:val="32"/>
          <w:szCs w:val="40"/>
        </w:rPr>
        <w:t>22</w:t>
      </w:r>
      <w:r>
        <w:rPr>
          <w:sz w:val="32"/>
          <w:szCs w:val="40"/>
        </w:rPr>
        <w:fldChar w:fldCharType="end"/>
      </w:r>
      <w:r>
        <w:rPr>
          <w:rFonts w:hint="eastAsia" w:ascii="宋体" w:hAnsi="宋体" w:cs="宋体"/>
          <w:sz w:val="32"/>
          <w:szCs w:val="48"/>
          <w:highlight w:val="none"/>
        </w:rPr>
        <w:fldChar w:fldCharType="end"/>
      </w:r>
    </w:p>
    <w:p w14:paraId="371C5807">
      <w:pPr>
        <w:pStyle w:val="43"/>
        <w:keepNext w:val="0"/>
        <w:keepLines w:val="0"/>
        <w:pageBreakBefore w:val="0"/>
        <w:widowControl w:val="0"/>
        <w:tabs>
          <w:tab w:val="right" w:leader="dot" w:pos="8300"/>
        </w:tabs>
        <w:kinsoku/>
        <w:wordWrap/>
        <w:overflowPunct/>
        <w:topLinePunct w:val="0"/>
        <w:autoSpaceDE/>
        <w:autoSpaceDN/>
        <w:bidi w:val="0"/>
        <w:adjustRightInd w:val="0"/>
        <w:snapToGrid/>
        <w:spacing w:before="157" w:beforeLines="50" w:after="157" w:afterLines="50" w:line="360" w:lineRule="auto"/>
        <w:textAlignment w:val="auto"/>
        <w:rPr>
          <w:sz w:val="32"/>
          <w:szCs w:val="40"/>
        </w:rPr>
      </w:pPr>
      <w:r>
        <w:rPr>
          <w:rFonts w:hint="eastAsia" w:ascii="宋体" w:hAnsi="宋体" w:cs="宋体"/>
          <w:sz w:val="32"/>
          <w:szCs w:val="48"/>
          <w:highlight w:val="none"/>
        </w:rPr>
        <w:fldChar w:fldCharType="begin"/>
      </w:r>
      <w:r>
        <w:rPr>
          <w:rFonts w:hint="eastAsia" w:ascii="宋体" w:hAnsi="宋体" w:cs="宋体"/>
          <w:sz w:val="32"/>
          <w:szCs w:val="48"/>
          <w:highlight w:val="none"/>
        </w:rPr>
        <w:instrText xml:space="preserve"> HYPERLINK \l _Toc32512 </w:instrText>
      </w:r>
      <w:r>
        <w:rPr>
          <w:rFonts w:hint="eastAsia" w:ascii="宋体" w:hAnsi="宋体" w:cs="宋体"/>
          <w:sz w:val="32"/>
          <w:szCs w:val="48"/>
          <w:highlight w:val="none"/>
        </w:rPr>
        <w:fldChar w:fldCharType="separate"/>
      </w:r>
      <w:r>
        <w:rPr>
          <w:rFonts w:hint="eastAsia" w:ascii="宋体" w:hAnsi="宋体" w:cs="宋体"/>
          <w:sz w:val="32"/>
          <w:szCs w:val="52"/>
          <w:highlight w:val="none"/>
        </w:rPr>
        <w:t>第四部分  评标办法</w:t>
      </w:r>
      <w:r>
        <w:rPr>
          <w:sz w:val="32"/>
          <w:szCs w:val="40"/>
        </w:rPr>
        <w:tab/>
      </w:r>
      <w:r>
        <w:rPr>
          <w:sz w:val="32"/>
          <w:szCs w:val="40"/>
        </w:rPr>
        <w:fldChar w:fldCharType="begin"/>
      </w:r>
      <w:r>
        <w:rPr>
          <w:sz w:val="32"/>
          <w:szCs w:val="40"/>
        </w:rPr>
        <w:instrText xml:space="preserve"> PAGEREF _Toc32512 \h </w:instrText>
      </w:r>
      <w:r>
        <w:rPr>
          <w:sz w:val="32"/>
          <w:szCs w:val="40"/>
        </w:rPr>
        <w:fldChar w:fldCharType="separate"/>
      </w:r>
      <w:r>
        <w:rPr>
          <w:sz w:val="32"/>
          <w:szCs w:val="40"/>
        </w:rPr>
        <w:t>33</w:t>
      </w:r>
      <w:r>
        <w:rPr>
          <w:sz w:val="32"/>
          <w:szCs w:val="40"/>
        </w:rPr>
        <w:fldChar w:fldCharType="end"/>
      </w:r>
      <w:r>
        <w:rPr>
          <w:rFonts w:hint="eastAsia" w:ascii="宋体" w:hAnsi="宋体" w:cs="宋体"/>
          <w:sz w:val="32"/>
          <w:szCs w:val="48"/>
          <w:highlight w:val="none"/>
        </w:rPr>
        <w:fldChar w:fldCharType="end"/>
      </w:r>
    </w:p>
    <w:p w14:paraId="43A28557">
      <w:pPr>
        <w:pStyle w:val="43"/>
        <w:keepNext w:val="0"/>
        <w:keepLines w:val="0"/>
        <w:pageBreakBefore w:val="0"/>
        <w:widowControl w:val="0"/>
        <w:tabs>
          <w:tab w:val="right" w:leader="dot" w:pos="8300"/>
        </w:tabs>
        <w:kinsoku/>
        <w:wordWrap/>
        <w:overflowPunct/>
        <w:topLinePunct w:val="0"/>
        <w:autoSpaceDE/>
        <w:autoSpaceDN/>
        <w:bidi w:val="0"/>
        <w:adjustRightInd w:val="0"/>
        <w:snapToGrid/>
        <w:spacing w:before="157" w:beforeLines="50" w:after="157" w:afterLines="50" w:line="360" w:lineRule="auto"/>
        <w:textAlignment w:val="auto"/>
        <w:rPr>
          <w:sz w:val="32"/>
          <w:szCs w:val="40"/>
        </w:rPr>
      </w:pPr>
      <w:r>
        <w:rPr>
          <w:rFonts w:hint="eastAsia" w:ascii="宋体" w:hAnsi="宋体" w:cs="宋体"/>
          <w:sz w:val="32"/>
          <w:szCs w:val="48"/>
          <w:highlight w:val="none"/>
        </w:rPr>
        <w:fldChar w:fldCharType="begin"/>
      </w:r>
      <w:r>
        <w:rPr>
          <w:rFonts w:hint="eastAsia" w:ascii="宋体" w:hAnsi="宋体" w:cs="宋体"/>
          <w:sz w:val="32"/>
          <w:szCs w:val="48"/>
          <w:highlight w:val="none"/>
        </w:rPr>
        <w:instrText xml:space="preserve"> HYPERLINK \l _Toc27589 </w:instrText>
      </w:r>
      <w:r>
        <w:rPr>
          <w:rFonts w:hint="eastAsia" w:ascii="宋体" w:hAnsi="宋体" w:cs="宋体"/>
          <w:sz w:val="32"/>
          <w:szCs w:val="48"/>
          <w:highlight w:val="none"/>
        </w:rPr>
        <w:fldChar w:fldCharType="separate"/>
      </w:r>
      <w:r>
        <w:rPr>
          <w:rFonts w:hint="eastAsia" w:ascii="宋体" w:hAnsi="宋体" w:cs="宋体"/>
          <w:sz w:val="32"/>
          <w:szCs w:val="52"/>
          <w:highlight w:val="none"/>
        </w:rPr>
        <w:t xml:space="preserve">第五部分 </w:t>
      </w:r>
      <w:r>
        <w:rPr>
          <w:rFonts w:hint="eastAsia" w:ascii="宋体" w:hAnsi="宋体" w:cs="宋体"/>
          <w:sz w:val="32"/>
          <w:szCs w:val="52"/>
          <w:highlight w:val="none"/>
          <w:lang w:val="en-US" w:eastAsia="zh-CN"/>
        </w:rPr>
        <w:t xml:space="preserve"> </w:t>
      </w:r>
      <w:r>
        <w:rPr>
          <w:rFonts w:hint="eastAsia" w:ascii="宋体" w:hAnsi="宋体" w:cs="宋体"/>
          <w:sz w:val="32"/>
          <w:szCs w:val="52"/>
          <w:highlight w:val="none"/>
        </w:rPr>
        <w:t>拟签订的合同文本</w:t>
      </w:r>
      <w:r>
        <w:rPr>
          <w:sz w:val="32"/>
          <w:szCs w:val="40"/>
        </w:rPr>
        <w:tab/>
      </w:r>
      <w:r>
        <w:rPr>
          <w:sz w:val="32"/>
          <w:szCs w:val="40"/>
        </w:rPr>
        <w:fldChar w:fldCharType="begin"/>
      </w:r>
      <w:r>
        <w:rPr>
          <w:sz w:val="32"/>
          <w:szCs w:val="40"/>
        </w:rPr>
        <w:instrText xml:space="preserve"> PAGEREF _Toc27589 \h </w:instrText>
      </w:r>
      <w:r>
        <w:rPr>
          <w:sz w:val="32"/>
          <w:szCs w:val="40"/>
        </w:rPr>
        <w:fldChar w:fldCharType="separate"/>
      </w:r>
      <w:r>
        <w:rPr>
          <w:sz w:val="32"/>
          <w:szCs w:val="40"/>
        </w:rPr>
        <w:t>40</w:t>
      </w:r>
      <w:r>
        <w:rPr>
          <w:sz w:val="32"/>
          <w:szCs w:val="40"/>
        </w:rPr>
        <w:fldChar w:fldCharType="end"/>
      </w:r>
      <w:r>
        <w:rPr>
          <w:rFonts w:hint="eastAsia" w:ascii="宋体" w:hAnsi="宋体" w:cs="宋体"/>
          <w:sz w:val="32"/>
          <w:szCs w:val="48"/>
          <w:highlight w:val="none"/>
        </w:rPr>
        <w:fldChar w:fldCharType="end"/>
      </w:r>
    </w:p>
    <w:p w14:paraId="69905487">
      <w:pPr>
        <w:pStyle w:val="43"/>
        <w:keepNext w:val="0"/>
        <w:keepLines w:val="0"/>
        <w:pageBreakBefore w:val="0"/>
        <w:widowControl w:val="0"/>
        <w:tabs>
          <w:tab w:val="right" w:leader="dot" w:pos="8300"/>
        </w:tabs>
        <w:kinsoku/>
        <w:wordWrap/>
        <w:overflowPunct/>
        <w:topLinePunct w:val="0"/>
        <w:autoSpaceDE/>
        <w:autoSpaceDN/>
        <w:bidi w:val="0"/>
        <w:adjustRightInd w:val="0"/>
        <w:snapToGrid/>
        <w:spacing w:before="157" w:beforeLines="50" w:after="157" w:afterLines="50" w:line="360" w:lineRule="auto"/>
        <w:textAlignment w:val="auto"/>
        <w:rPr>
          <w:sz w:val="32"/>
          <w:szCs w:val="40"/>
        </w:rPr>
      </w:pPr>
      <w:r>
        <w:rPr>
          <w:rFonts w:hint="eastAsia" w:ascii="宋体" w:hAnsi="宋体" w:cs="宋体"/>
          <w:sz w:val="32"/>
          <w:szCs w:val="48"/>
          <w:highlight w:val="none"/>
        </w:rPr>
        <w:fldChar w:fldCharType="begin"/>
      </w:r>
      <w:r>
        <w:rPr>
          <w:rFonts w:hint="eastAsia" w:ascii="宋体" w:hAnsi="宋体" w:cs="宋体"/>
          <w:sz w:val="32"/>
          <w:szCs w:val="48"/>
          <w:highlight w:val="none"/>
        </w:rPr>
        <w:instrText xml:space="preserve"> HYPERLINK \l _Toc3223 </w:instrText>
      </w:r>
      <w:r>
        <w:rPr>
          <w:rFonts w:hint="eastAsia" w:ascii="宋体" w:hAnsi="宋体" w:cs="宋体"/>
          <w:sz w:val="32"/>
          <w:szCs w:val="48"/>
          <w:highlight w:val="none"/>
        </w:rPr>
        <w:fldChar w:fldCharType="separate"/>
      </w:r>
      <w:r>
        <w:rPr>
          <w:rFonts w:hint="eastAsia" w:ascii="宋体" w:hAnsi="宋体" w:cs="宋体"/>
          <w:sz w:val="32"/>
          <w:szCs w:val="28"/>
          <w:highlight w:val="none"/>
        </w:rPr>
        <w:t xml:space="preserve">第六部分 </w:t>
      </w:r>
      <w:r>
        <w:rPr>
          <w:rFonts w:hint="eastAsia" w:ascii="宋体" w:hAnsi="宋体" w:cs="宋体"/>
          <w:sz w:val="32"/>
          <w:szCs w:val="28"/>
          <w:highlight w:val="none"/>
          <w:lang w:val="en-US" w:eastAsia="zh-CN"/>
        </w:rPr>
        <w:t xml:space="preserve"> </w:t>
      </w:r>
      <w:r>
        <w:rPr>
          <w:rFonts w:hint="eastAsia" w:ascii="宋体" w:hAnsi="宋体" w:cs="宋体"/>
          <w:sz w:val="32"/>
          <w:szCs w:val="28"/>
          <w:highlight w:val="none"/>
        </w:rPr>
        <w:t>应提交的有关格式范例</w:t>
      </w:r>
      <w:r>
        <w:rPr>
          <w:sz w:val="32"/>
          <w:szCs w:val="40"/>
        </w:rPr>
        <w:tab/>
      </w:r>
      <w:r>
        <w:rPr>
          <w:sz w:val="32"/>
          <w:szCs w:val="40"/>
        </w:rPr>
        <w:fldChar w:fldCharType="begin"/>
      </w:r>
      <w:r>
        <w:rPr>
          <w:sz w:val="32"/>
          <w:szCs w:val="40"/>
        </w:rPr>
        <w:instrText xml:space="preserve"> PAGEREF _Toc3223 \h </w:instrText>
      </w:r>
      <w:r>
        <w:rPr>
          <w:sz w:val="32"/>
          <w:szCs w:val="40"/>
        </w:rPr>
        <w:fldChar w:fldCharType="separate"/>
      </w:r>
      <w:r>
        <w:rPr>
          <w:sz w:val="32"/>
          <w:szCs w:val="40"/>
        </w:rPr>
        <w:t>44</w:t>
      </w:r>
      <w:r>
        <w:rPr>
          <w:sz w:val="32"/>
          <w:szCs w:val="40"/>
        </w:rPr>
        <w:fldChar w:fldCharType="end"/>
      </w:r>
      <w:r>
        <w:rPr>
          <w:rFonts w:hint="eastAsia" w:ascii="宋体" w:hAnsi="宋体" w:cs="宋体"/>
          <w:sz w:val="32"/>
          <w:szCs w:val="48"/>
          <w:highlight w:val="none"/>
        </w:rPr>
        <w:fldChar w:fldCharType="end"/>
      </w:r>
    </w:p>
    <w:p w14:paraId="54C0B95E">
      <w:pPr>
        <w:keepNext w:val="0"/>
        <w:keepLines w:val="0"/>
        <w:pageBreakBefore w:val="0"/>
        <w:widowControl w:val="0"/>
        <w:kinsoku/>
        <w:wordWrap/>
        <w:overflowPunct/>
        <w:topLinePunct w:val="0"/>
        <w:autoSpaceDE/>
        <w:autoSpaceDN/>
        <w:bidi w:val="0"/>
        <w:adjustRightInd w:val="0"/>
        <w:snapToGrid/>
        <w:spacing w:before="157" w:beforeLines="50" w:after="157" w:afterLines="50" w:line="360" w:lineRule="auto"/>
        <w:textAlignment w:val="auto"/>
        <w:rPr>
          <w:rFonts w:ascii="宋体" w:hAnsi="宋体" w:cs="宋体"/>
          <w:sz w:val="32"/>
          <w:szCs w:val="32"/>
          <w:highlight w:val="none"/>
        </w:rPr>
      </w:pPr>
      <w:r>
        <w:rPr>
          <w:rFonts w:hint="eastAsia" w:ascii="宋体" w:hAnsi="宋体" w:cs="宋体"/>
          <w:sz w:val="32"/>
          <w:szCs w:val="48"/>
          <w:highlight w:val="none"/>
        </w:rPr>
        <w:fldChar w:fldCharType="end"/>
      </w:r>
    </w:p>
    <w:p w14:paraId="6C94F538">
      <w:pPr>
        <w:spacing w:line="360" w:lineRule="auto"/>
        <w:rPr>
          <w:rFonts w:ascii="宋体" w:hAnsi="宋体" w:cs="宋体"/>
          <w:sz w:val="32"/>
          <w:szCs w:val="32"/>
          <w:highlight w:val="none"/>
        </w:rPr>
      </w:pPr>
    </w:p>
    <w:p w14:paraId="3039AA88">
      <w:pPr>
        <w:rPr>
          <w:rFonts w:ascii="宋体" w:hAnsi="宋体" w:cs="宋体"/>
          <w:sz w:val="32"/>
          <w:szCs w:val="32"/>
          <w:highlight w:val="none"/>
        </w:rPr>
      </w:pPr>
      <w:r>
        <w:rPr>
          <w:rFonts w:ascii="宋体" w:hAnsi="宋体" w:cs="宋体"/>
          <w:sz w:val="32"/>
          <w:szCs w:val="32"/>
          <w:highlight w:val="none"/>
        </w:rPr>
        <w:br w:type="page"/>
      </w:r>
    </w:p>
    <w:p w14:paraId="05AEFD48">
      <w:pPr>
        <w:spacing w:line="360" w:lineRule="auto"/>
        <w:rPr>
          <w:rFonts w:ascii="宋体" w:hAnsi="宋体" w:cs="宋体"/>
          <w:sz w:val="32"/>
          <w:szCs w:val="32"/>
          <w:highlight w:val="none"/>
        </w:rPr>
      </w:pPr>
    </w:p>
    <w:p w14:paraId="5BA426D7">
      <w:pPr>
        <w:rPr>
          <w:rFonts w:ascii="宋体" w:hAnsi="宋体" w:cs="宋体"/>
          <w:b/>
          <w:sz w:val="36"/>
          <w:szCs w:val="20"/>
          <w:highlight w:val="none"/>
        </w:rPr>
      </w:pPr>
      <w:bookmarkStart w:id="1" w:name="_Hlt74707423"/>
      <w:bookmarkEnd w:id="1"/>
      <w:bookmarkStart w:id="2" w:name="_Hlt74649545"/>
      <w:bookmarkEnd w:id="2"/>
      <w:bookmarkStart w:id="3" w:name="_Hlt74729822"/>
      <w:bookmarkEnd w:id="3"/>
      <w:bookmarkStart w:id="4" w:name="_Hlt91233176"/>
      <w:bookmarkEnd w:id="4"/>
      <w:bookmarkStart w:id="5" w:name="_Hlt74728647"/>
      <w:bookmarkEnd w:id="5"/>
      <w:bookmarkStart w:id="6" w:name="第二部分"/>
      <w:bookmarkStart w:id="7" w:name="_Toc91899870"/>
      <w:bookmarkStart w:id="8" w:name="_Toc91899871"/>
    </w:p>
    <w:p w14:paraId="69BA3E85">
      <w:pPr>
        <w:rPr>
          <w:highlight w:val="none"/>
        </w:rPr>
        <w:sectPr>
          <w:headerReference r:id="rId3" w:type="default"/>
          <w:footerReference r:id="rId4" w:type="even"/>
          <w:pgSz w:w="11906" w:h="16838"/>
          <w:pgMar w:top="1440" w:right="1803" w:bottom="1440" w:left="1803" w:header="851" w:footer="992" w:gutter="0"/>
          <w:cols w:space="0" w:num="1"/>
          <w:titlePg/>
          <w:rtlGutter w:val="0"/>
          <w:docGrid w:linePitch="312" w:charSpace="0"/>
        </w:sectPr>
      </w:pPr>
    </w:p>
    <w:p w14:paraId="63E563ED">
      <w:pPr>
        <w:adjustRightInd/>
        <w:spacing w:line="360" w:lineRule="auto"/>
        <w:jc w:val="center"/>
        <w:outlineLvl w:val="0"/>
        <w:rPr>
          <w:rFonts w:ascii="宋体" w:hAnsi="宋体" w:cs="宋体"/>
          <w:b/>
          <w:sz w:val="36"/>
          <w:szCs w:val="20"/>
          <w:highlight w:val="none"/>
        </w:rPr>
      </w:pPr>
      <w:bookmarkStart w:id="9" w:name="_Toc15173"/>
      <w:r>
        <w:rPr>
          <w:rFonts w:hint="eastAsia" w:ascii="宋体" w:hAnsi="宋体" w:cs="宋体"/>
          <w:b/>
          <w:sz w:val="36"/>
          <w:szCs w:val="20"/>
          <w:highlight w:val="none"/>
        </w:rPr>
        <w:t>第一部分 招标公告</w:t>
      </w:r>
      <w:bookmarkEnd w:id="9"/>
    </w:p>
    <w:p w14:paraId="5C4D2057">
      <w:pPr>
        <w:pBdr>
          <w:top w:val="single" w:color="auto" w:sz="4" w:space="1"/>
          <w:left w:val="single" w:color="auto" w:sz="4" w:space="4"/>
          <w:bottom w:val="single" w:color="auto" w:sz="4" w:space="2"/>
          <w:right w:val="single" w:color="auto" w:sz="4" w:space="4"/>
        </w:pBd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项目概况</w:t>
      </w:r>
    </w:p>
    <w:p w14:paraId="3641B710">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sz w:val="24"/>
          <w:highlight w:val="none"/>
          <w:u w:val="single"/>
        </w:rPr>
        <w:t>（</w:t>
      </w:r>
      <w:r>
        <w:rPr>
          <w:rFonts w:hint="eastAsia" w:cs="仿宋_GB2312" w:asciiTheme="minorEastAsia" w:hAnsiTheme="minorEastAsia" w:eastAsiaTheme="minorEastAsia"/>
          <w:sz w:val="24"/>
          <w:highlight w:val="none"/>
          <w:u w:val="single"/>
          <w:lang w:eastAsia="zh-CN"/>
        </w:rPr>
        <w:t>浙东二期污水处理站非电镀废水处理</w:t>
      </w:r>
      <w:r>
        <w:rPr>
          <w:rFonts w:hint="eastAsia" w:cs="仿宋_GB2312" w:asciiTheme="minorEastAsia" w:hAnsiTheme="minorEastAsia" w:eastAsiaTheme="minorEastAsia"/>
          <w:sz w:val="24"/>
          <w:highlight w:val="none"/>
          <w:u w:val="single"/>
          <w:lang w:val="en-US" w:eastAsia="zh-CN"/>
        </w:rPr>
        <w:t>系统</w:t>
      </w:r>
      <w:r>
        <w:rPr>
          <w:rFonts w:hint="eastAsia" w:cs="仿宋_GB2312" w:asciiTheme="minorEastAsia" w:hAnsiTheme="minorEastAsia" w:eastAsiaTheme="minorEastAsia"/>
          <w:sz w:val="24"/>
          <w:highlight w:val="none"/>
          <w:u w:val="single"/>
          <w:lang w:eastAsia="zh-CN"/>
        </w:rPr>
        <w:t xml:space="preserve">设备采购项目 </w:t>
      </w:r>
      <w:r>
        <w:rPr>
          <w:rFonts w:hint="eastAsia" w:cs="仿宋_GB2312" w:asciiTheme="minorEastAsia" w:hAnsiTheme="minorEastAsia" w:eastAsiaTheme="minorEastAsia"/>
          <w:sz w:val="24"/>
          <w:highlight w:val="none"/>
          <w:u w:val="single"/>
        </w:rPr>
        <w:t>）</w:t>
      </w:r>
      <w:r>
        <w:rPr>
          <w:rFonts w:hint="eastAsia" w:asciiTheme="minorEastAsia" w:hAnsiTheme="minorEastAsia" w:eastAsiaTheme="minorEastAsia"/>
          <w:sz w:val="24"/>
          <w:highlight w:val="none"/>
        </w:rPr>
        <w:t>招标项</w:t>
      </w:r>
      <w:r>
        <w:rPr>
          <w:rFonts w:hint="eastAsia" w:asciiTheme="minorEastAsia" w:hAnsiTheme="minorEastAsia" w:eastAsiaTheme="minorEastAsia"/>
          <w:color w:val="auto"/>
          <w:sz w:val="24"/>
          <w:highlight w:val="none"/>
        </w:rPr>
        <w:t>目的潜在投标人应在</w:t>
      </w:r>
      <w:r>
        <w:rPr>
          <w:rFonts w:hint="eastAsia" w:asciiTheme="minorEastAsia" w:hAnsiTheme="minorEastAsia" w:eastAsiaTheme="minorEastAsia"/>
          <w:color w:val="auto"/>
          <w:sz w:val="24"/>
          <w:highlight w:val="none"/>
          <w:lang w:eastAsia="zh-CN"/>
        </w:rPr>
        <w:t>乐采云</w:t>
      </w:r>
      <w:r>
        <w:rPr>
          <w:rFonts w:hint="eastAsia" w:asciiTheme="minorEastAsia" w:hAnsiTheme="minorEastAsia" w:eastAsiaTheme="minorEastAsia"/>
          <w:color w:val="auto"/>
          <w:sz w:val="24"/>
          <w:highlight w:val="none"/>
        </w:rPr>
        <w:t>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w:t>
      </w:r>
      <w:r>
        <w:rPr>
          <w:rStyle w:val="76"/>
          <w:rFonts w:hint="eastAsia" w:cs="Times New Roman" w:asciiTheme="minorEastAsia" w:hAnsiTheme="minorEastAsia" w:eastAsiaTheme="minorEastAsia"/>
          <w:snapToGrid/>
          <w:color w:val="auto"/>
          <w:kern w:val="2"/>
          <w:sz w:val="24"/>
          <w:szCs w:val="24"/>
          <w:highlight w:val="none"/>
          <w:lang w:eastAsia="zh-CN"/>
        </w:rPr>
        <w:t>lecaiyun</w:t>
      </w:r>
      <w:r>
        <w:rPr>
          <w:rStyle w:val="76"/>
          <w:rFonts w:cs="Times New Roman" w:asciiTheme="minorEastAsia" w:hAnsiTheme="minorEastAsia" w:eastAsiaTheme="minorEastAsia"/>
          <w:snapToGrid/>
          <w:color w:val="auto"/>
          <w:kern w:val="2"/>
          <w:sz w:val="24"/>
          <w:szCs w:val="24"/>
          <w:highlight w:val="none"/>
        </w:rPr>
        <w:t>.cn/）获取（下载）招标文件，并于</w:t>
      </w:r>
      <w:r>
        <w:rPr>
          <w:rStyle w:val="76"/>
          <w:rFonts w:hint="eastAsia" w:cs="Times New Roman" w:asciiTheme="minorEastAsia" w:hAnsiTheme="minorEastAsia" w:eastAsiaTheme="minorEastAsia"/>
          <w:snapToGrid/>
          <w:color w:val="auto"/>
          <w:kern w:val="2"/>
          <w:sz w:val="24"/>
          <w:szCs w:val="24"/>
          <w:highlight w:val="none"/>
          <w:lang w:eastAsia="zh-CN"/>
        </w:rPr>
        <w:t>2025</w:t>
      </w:r>
      <w:r>
        <w:rPr>
          <w:rStyle w:val="76"/>
          <w:rFonts w:cs="Times New Roman" w:asciiTheme="minorEastAsia" w:hAnsiTheme="minorEastAsia" w:eastAsiaTheme="minorEastAsia"/>
          <w:snapToGrid/>
          <w:color w:val="auto"/>
          <w:kern w:val="2"/>
          <w:sz w:val="24"/>
          <w:szCs w:val="24"/>
          <w:highlight w:val="none"/>
        </w:rPr>
        <w:t>年</w:t>
      </w:r>
      <w:r>
        <w:rPr>
          <w:rStyle w:val="76"/>
          <w:rFonts w:hint="eastAsia" w:cs="Times New Roman" w:asciiTheme="minorEastAsia" w:hAnsiTheme="minorEastAsia" w:eastAsiaTheme="minorEastAsia"/>
          <w:snapToGrid/>
          <w:color w:val="auto"/>
          <w:kern w:val="2"/>
          <w:sz w:val="24"/>
          <w:szCs w:val="24"/>
          <w:highlight w:val="none"/>
          <w:lang w:val="en-US" w:eastAsia="zh-CN"/>
        </w:rPr>
        <w:t>04</w:t>
      </w:r>
      <w:r>
        <w:rPr>
          <w:rStyle w:val="76"/>
          <w:rFonts w:hint="eastAsia" w:cs="Times New Roman" w:asciiTheme="minorEastAsia" w:hAnsiTheme="minorEastAsia" w:eastAsiaTheme="minorEastAsia"/>
          <w:snapToGrid/>
          <w:color w:val="auto"/>
          <w:kern w:val="2"/>
          <w:sz w:val="24"/>
          <w:szCs w:val="24"/>
          <w:highlight w:val="none"/>
        </w:rPr>
        <w:t>月</w:t>
      </w:r>
      <w:r>
        <w:rPr>
          <w:rStyle w:val="76"/>
          <w:rFonts w:hint="eastAsia" w:cs="Times New Roman" w:asciiTheme="minorEastAsia" w:hAnsiTheme="minorEastAsia" w:eastAsiaTheme="minorEastAsia"/>
          <w:snapToGrid/>
          <w:color w:val="auto"/>
          <w:kern w:val="2"/>
          <w:sz w:val="24"/>
          <w:szCs w:val="24"/>
          <w:highlight w:val="none"/>
          <w:lang w:val="en-US" w:eastAsia="zh-CN"/>
        </w:rPr>
        <w:t>27</w:t>
      </w:r>
      <w:r>
        <w:rPr>
          <w:rStyle w:val="76"/>
          <w:rFonts w:hint="eastAsia" w:cs="Times New Roman" w:asciiTheme="minorEastAsia" w:hAnsiTheme="minorEastAsia" w:eastAsiaTheme="minorEastAsia"/>
          <w:snapToGrid/>
          <w:color w:val="auto"/>
          <w:kern w:val="2"/>
          <w:sz w:val="24"/>
          <w:szCs w:val="24"/>
          <w:highlight w:val="none"/>
        </w:rPr>
        <w:t>日</w:t>
      </w:r>
      <w:r>
        <w:rPr>
          <w:rStyle w:val="76"/>
          <w:rFonts w:hint="eastAsia" w:cs="Times New Roman" w:asciiTheme="minorEastAsia" w:hAnsiTheme="minorEastAsia" w:eastAsiaTheme="minorEastAsia"/>
          <w:snapToGrid/>
          <w:color w:val="auto"/>
          <w:kern w:val="2"/>
          <w:sz w:val="24"/>
          <w:szCs w:val="24"/>
          <w:highlight w:val="none"/>
          <w:lang w:val="en-US" w:eastAsia="zh-CN"/>
        </w:rPr>
        <w:t>14</w:t>
      </w:r>
      <w:r>
        <w:rPr>
          <w:rStyle w:val="76"/>
          <w:rFonts w:hint="eastAsia" w:cs="Times New Roman" w:asciiTheme="minorEastAsia" w:hAnsiTheme="minorEastAsia" w:eastAsiaTheme="minorEastAsia"/>
          <w:snapToGrid/>
          <w:color w:val="auto"/>
          <w:kern w:val="2"/>
          <w:sz w:val="24"/>
          <w:szCs w:val="24"/>
          <w:highlight w:val="none"/>
        </w:rPr>
        <w:t>点</w:t>
      </w:r>
      <w:r>
        <w:rPr>
          <w:rStyle w:val="76"/>
          <w:rFonts w:hint="eastAsia" w:cs="Times New Roman" w:asciiTheme="minorEastAsia" w:hAnsiTheme="minorEastAsia" w:eastAsiaTheme="minorEastAsia"/>
          <w:snapToGrid/>
          <w:color w:val="auto"/>
          <w:kern w:val="2"/>
          <w:sz w:val="24"/>
          <w:szCs w:val="24"/>
          <w:highlight w:val="none"/>
          <w:lang w:val="en-US" w:eastAsia="zh-CN"/>
        </w:rPr>
        <w:t>00</w:t>
      </w:r>
      <w:r>
        <w:rPr>
          <w:rStyle w:val="76"/>
          <w:rFonts w:hint="eastAsia" w:cs="Times New Roman" w:asciiTheme="minorEastAsia" w:hAnsiTheme="minorEastAsia" w:eastAsiaTheme="minorEastAsia"/>
          <w:snapToGrid/>
          <w:color w:val="auto"/>
          <w:kern w:val="2"/>
          <w:sz w:val="24"/>
          <w:szCs w:val="24"/>
          <w:highlight w:val="none"/>
        </w:rPr>
        <w:t>分</w:t>
      </w:r>
      <w:r>
        <w:rPr>
          <w:rStyle w:val="76"/>
          <w:rFonts w:hint="eastAsia" w:cs="Times New Roman" w:asciiTheme="minorEastAsia" w:hAnsiTheme="minorEastAsia" w:eastAsiaTheme="minorEastAsia"/>
          <w:bCs/>
          <w:snapToGrid/>
          <w:color w:val="auto"/>
          <w:kern w:val="2"/>
          <w:sz w:val="24"/>
          <w:szCs w:val="24"/>
          <w:highlight w:val="non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2872AFD1">
      <w:pPr>
        <w:spacing w:line="312" w:lineRule="auto"/>
        <w:rPr>
          <w:rFonts w:ascii="宋体" w:hAnsi="宋体" w:cs="宋体"/>
          <w:b/>
          <w:sz w:val="24"/>
          <w:highlight w:val="none"/>
        </w:rPr>
      </w:pPr>
    </w:p>
    <w:p w14:paraId="0665DC8E">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sz w:val="24"/>
          <w:highlight w:val="none"/>
        </w:rPr>
      </w:pPr>
      <w:r>
        <w:rPr>
          <w:rFonts w:hint="eastAsia" w:ascii="宋体" w:hAnsi="宋体" w:cs="宋体"/>
          <w:b/>
          <w:sz w:val="24"/>
          <w:highlight w:val="none"/>
        </w:rPr>
        <w:t>一、项目基本情况</w:t>
      </w:r>
    </w:p>
    <w:p w14:paraId="7BD43AFD">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宋体" w:hAnsi="宋体" w:eastAsia="宋体" w:cs="宋体"/>
          <w:sz w:val="24"/>
          <w:highlight w:val="none"/>
          <w:lang w:eastAsia="zh-CN"/>
        </w:rPr>
      </w:pPr>
      <w:r>
        <w:rPr>
          <w:rFonts w:hint="eastAsia" w:ascii="宋体" w:hAnsi="宋体" w:cs="宋体"/>
          <w:b/>
          <w:sz w:val="24"/>
          <w:highlight w:val="none"/>
        </w:rPr>
        <w:t>项目编号：</w:t>
      </w:r>
      <w:r>
        <w:rPr>
          <w:rFonts w:hint="eastAsia" w:ascii="宋体" w:hAnsi="宋体" w:cs="宋体"/>
          <w:bCs/>
          <w:sz w:val="24"/>
          <w:highlight w:val="none"/>
          <w:lang w:eastAsia="zh-CN"/>
        </w:rPr>
        <w:t>CBZJ-20256056G</w:t>
      </w:r>
    </w:p>
    <w:p w14:paraId="58BBB25D">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宋体" w:hAnsi="宋体" w:eastAsia="宋体" w:cs="宋体"/>
          <w:sz w:val="24"/>
          <w:highlight w:val="none"/>
          <w:lang w:eastAsia="zh-CN"/>
        </w:rPr>
      </w:pPr>
      <w:r>
        <w:rPr>
          <w:rFonts w:hint="eastAsia" w:ascii="宋体" w:hAnsi="宋体" w:cs="宋体"/>
          <w:b/>
          <w:sz w:val="24"/>
          <w:highlight w:val="none"/>
        </w:rPr>
        <w:t>项目名称：</w:t>
      </w:r>
      <w:r>
        <w:rPr>
          <w:rFonts w:hint="eastAsia" w:ascii="宋体" w:hAnsi="宋体" w:cs="宋体"/>
          <w:bCs/>
          <w:sz w:val="24"/>
          <w:highlight w:val="none"/>
          <w:lang w:eastAsia="zh-CN"/>
        </w:rPr>
        <w:t>浙东二期污水处理站非电镀废水</w:t>
      </w:r>
      <w:r>
        <w:rPr>
          <w:rFonts w:hint="eastAsia" w:ascii="宋体" w:hAnsi="宋体" w:cs="宋体"/>
          <w:bCs/>
          <w:sz w:val="24"/>
          <w:highlight w:val="none"/>
          <w:lang w:val="en-US" w:eastAsia="zh-CN"/>
        </w:rPr>
        <w:t>处理系统</w:t>
      </w:r>
      <w:r>
        <w:rPr>
          <w:rFonts w:hint="eastAsia" w:ascii="宋体" w:hAnsi="宋体" w:cs="宋体"/>
          <w:bCs/>
          <w:sz w:val="24"/>
          <w:highlight w:val="none"/>
          <w:lang w:eastAsia="zh-CN"/>
        </w:rPr>
        <w:t>设备采购项目</w:t>
      </w:r>
    </w:p>
    <w:p w14:paraId="179D8E97">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bCs/>
          <w:color w:val="auto"/>
          <w:sz w:val="24"/>
          <w:highlight w:val="none"/>
        </w:rPr>
      </w:pPr>
      <w:r>
        <w:rPr>
          <w:rFonts w:hint="eastAsia" w:ascii="宋体" w:hAnsi="宋体" w:cs="宋体"/>
          <w:b/>
          <w:color w:val="auto"/>
          <w:sz w:val="24"/>
          <w:highlight w:val="none"/>
        </w:rPr>
        <w:t>预算金额（元）：</w:t>
      </w:r>
      <w:r>
        <w:rPr>
          <w:rFonts w:hint="eastAsia" w:ascii="宋体" w:hAnsi="宋体" w:cs="宋体"/>
          <w:b w:val="0"/>
          <w:bCs/>
          <w:color w:val="auto"/>
          <w:sz w:val="24"/>
          <w:highlight w:val="none"/>
        </w:rPr>
        <w:t>1500000</w:t>
      </w:r>
      <w:r>
        <w:rPr>
          <w:rFonts w:hint="eastAsia" w:ascii="宋体" w:hAnsi="宋体" w:cs="宋体"/>
          <w:bCs/>
          <w:sz w:val="24"/>
          <w:highlight w:val="none"/>
          <w:lang w:val="en-US" w:eastAsia="zh-CN"/>
        </w:rPr>
        <w:t>.00</w:t>
      </w:r>
    </w:p>
    <w:p w14:paraId="4E6458FB">
      <w:pPr>
        <w:keepNext w:val="0"/>
        <w:keepLines w:val="0"/>
        <w:pageBreakBefore w:val="0"/>
        <w:kinsoku/>
        <w:wordWrap/>
        <w:overflowPunct/>
        <w:topLinePunct w:val="0"/>
        <w:autoSpaceDE/>
        <w:autoSpaceDN/>
        <w:bidi w:val="0"/>
        <w:adjustRightInd w:val="0"/>
        <w:spacing w:line="360" w:lineRule="auto"/>
        <w:ind w:firstLine="480"/>
        <w:textAlignment w:val="auto"/>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 w:val="0"/>
          <w:bCs/>
          <w:color w:val="auto"/>
          <w:sz w:val="24"/>
          <w:highlight w:val="none"/>
        </w:rPr>
        <w:t>1500000</w:t>
      </w:r>
      <w:r>
        <w:rPr>
          <w:rFonts w:hint="eastAsia" w:ascii="宋体" w:hAnsi="宋体" w:cs="宋体"/>
          <w:b w:val="0"/>
          <w:bCs/>
          <w:color w:val="auto"/>
          <w:sz w:val="24"/>
          <w:highlight w:val="none"/>
          <w:lang w:val="en-US" w:eastAsia="zh-CN"/>
        </w:rPr>
        <w:t>.00</w:t>
      </w:r>
    </w:p>
    <w:p w14:paraId="795BDF0F">
      <w:pPr>
        <w:pStyle w:val="134"/>
        <w:keepNext w:val="0"/>
        <w:keepLines w:val="0"/>
        <w:pageBreakBefore w:val="0"/>
        <w:kinsoku/>
        <w:wordWrap/>
        <w:overflowPunct/>
        <w:topLinePunct w:val="0"/>
        <w:autoSpaceDE/>
        <w:autoSpaceDN/>
        <w:bidi w:val="0"/>
        <w:adjustRightInd w:val="0"/>
        <w:spacing w:before="0" w:line="360" w:lineRule="auto"/>
        <w:ind w:firstLine="482"/>
        <w:textAlignment w:val="auto"/>
        <w:rPr>
          <w:rFonts w:hint="eastAsia" w:asciiTheme="minorEastAsia" w:hAnsiTheme="minorEastAsia" w:eastAsiaTheme="minorEastAsia"/>
          <w:b/>
          <w:highlight w:val="none"/>
        </w:rPr>
      </w:pPr>
      <w:r>
        <w:rPr>
          <w:rFonts w:hint="eastAsia" w:asciiTheme="minorEastAsia" w:hAnsiTheme="minorEastAsia" w:eastAsiaTheme="minorEastAsia"/>
          <w:b/>
          <w:highlight w:val="none"/>
        </w:rPr>
        <w:t>采购需求：</w:t>
      </w:r>
    </w:p>
    <w:p w14:paraId="2E9E6124">
      <w:pPr>
        <w:keepNext w:val="0"/>
        <w:keepLines w:val="0"/>
        <w:pageBreakBefore w:val="0"/>
        <w:widowControl/>
        <w:kinsoku/>
        <w:wordWrap/>
        <w:overflowPunct/>
        <w:topLinePunct w:val="0"/>
        <w:autoSpaceDE/>
        <w:autoSpaceDN/>
        <w:bidi w:val="0"/>
        <w:adjustRightInd/>
        <w:snapToGrid/>
        <w:spacing w:line="360" w:lineRule="auto"/>
        <w:ind w:firstLine="720" w:firstLineChars="300"/>
        <w:jc w:val="left"/>
        <w:textAlignment w:val="auto"/>
        <w:outlineLvl w:val="9"/>
        <w:rPr>
          <w:rFonts w:hint="eastAsia"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rPr>
        <w:t>标项名称</w:t>
      </w:r>
      <w:r>
        <w:rPr>
          <w:rFonts w:hint="eastAsia" w:ascii="宋体" w:hAnsi="宋体" w:eastAsia="宋体" w:cs="宋体"/>
          <w:color w:val="auto"/>
          <w:kern w:val="0"/>
          <w:sz w:val="24"/>
          <w:szCs w:val="24"/>
          <w:highlight w:val="none"/>
          <w:lang w:eastAsia="zh-CN"/>
        </w:rPr>
        <w:t>：</w:t>
      </w:r>
      <w:r>
        <w:rPr>
          <w:rFonts w:hint="eastAsia" w:ascii="宋体" w:hAnsi="宋体" w:cs="宋体"/>
          <w:color w:val="auto"/>
          <w:kern w:val="0"/>
          <w:sz w:val="24"/>
          <w:szCs w:val="24"/>
          <w:highlight w:val="none"/>
          <w:lang w:eastAsia="zh-CN"/>
        </w:rPr>
        <w:t>浙东二期污水处理站非电镀废水处理系统设备采购</w:t>
      </w:r>
    </w:p>
    <w:p w14:paraId="6F884641">
      <w:pPr>
        <w:keepNext w:val="0"/>
        <w:keepLines w:val="0"/>
        <w:pageBreakBefore w:val="0"/>
        <w:widowControl/>
        <w:kinsoku/>
        <w:wordWrap/>
        <w:overflowPunct/>
        <w:topLinePunct w:val="0"/>
        <w:autoSpaceDE/>
        <w:autoSpaceDN/>
        <w:bidi w:val="0"/>
        <w:adjustRightInd/>
        <w:snapToGrid/>
        <w:spacing w:line="360" w:lineRule="auto"/>
        <w:ind w:firstLine="720" w:firstLineChars="300"/>
        <w:jc w:val="left"/>
        <w:textAlignment w:val="auto"/>
        <w:outlineLvl w:val="9"/>
        <w:rPr>
          <w:rFonts w:hint="eastAsia"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rPr>
        <w:t>数量</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1批</w:t>
      </w:r>
    </w:p>
    <w:p w14:paraId="048074F4">
      <w:pPr>
        <w:keepNext w:val="0"/>
        <w:keepLines w:val="0"/>
        <w:pageBreakBefore w:val="0"/>
        <w:widowControl/>
        <w:kinsoku/>
        <w:wordWrap/>
        <w:overflowPunct/>
        <w:topLinePunct w:val="0"/>
        <w:autoSpaceDE/>
        <w:autoSpaceDN/>
        <w:bidi w:val="0"/>
        <w:adjustRightInd/>
        <w:snapToGrid/>
        <w:spacing w:line="360" w:lineRule="auto"/>
        <w:ind w:firstLine="720" w:firstLineChars="30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预算金额（元）</w:t>
      </w:r>
      <w:r>
        <w:rPr>
          <w:rFonts w:hint="eastAsia" w:ascii="宋体" w:hAnsi="宋体" w:eastAsia="宋体" w:cs="宋体"/>
          <w:color w:val="auto"/>
          <w:kern w:val="0"/>
          <w:sz w:val="24"/>
          <w:szCs w:val="24"/>
          <w:highlight w:val="none"/>
          <w:lang w:eastAsia="zh-CN"/>
        </w:rPr>
        <w:t>：</w:t>
      </w:r>
      <w:r>
        <w:rPr>
          <w:rFonts w:hint="eastAsia" w:ascii="宋体" w:hAnsi="宋体" w:cs="宋体"/>
          <w:b w:val="0"/>
          <w:bCs/>
          <w:color w:val="auto"/>
          <w:sz w:val="24"/>
          <w:highlight w:val="none"/>
        </w:rPr>
        <w:t>1500000</w:t>
      </w:r>
      <w:r>
        <w:rPr>
          <w:rFonts w:hint="eastAsia" w:ascii="宋体" w:hAnsi="宋体" w:eastAsia="宋体" w:cs="宋体"/>
          <w:color w:val="auto"/>
          <w:kern w:val="0"/>
          <w:sz w:val="24"/>
          <w:szCs w:val="24"/>
          <w:highlight w:val="none"/>
          <w:lang w:val="en-US" w:eastAsia="zh-CN"/>
        </w:rPr>
        <w:t>.00</w:t>
      </w:r>
    </w:p>
    <w:p w14:paraId="2DFACC33">
      <w:pPr>
        <w:keepNext w:val="0"/>
        <w:keepLines w:val="0"/>
        <w:pageBreakBefore w:val="0"/>
        <w:widowControl/>
        <w:kinsoku/>
        <w:wordWrap/>
        <w:overflowPunct/>
        <w:topLinePunct w:val="0"/>
        <w:autoSpaceDE/>
        <w:autoSpaceDN/>
        <w:bidi w:val="0"/>
        <w:adjustRightInd/>
        <w:snapToGrid/>
        <w:spacing w:line="360" w:lineRule="auto"/>
        <w:ind w:firstLine="720" w:firstLineChars="30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简要规格描述或项目基本概况介绍、用途：</w:t>
      </w:r>
      <w:r>
        <w:rPr>
          <w:rFonts w:hint="eastAsia" w:ascii="宋体" w:hAnsi="宋体" w:eastAsia="宋体" w:cs="宋体"/>
          <w:color w:val="auto"/>
          <w:kern w:val="0"/>
          <w:sz w:val="24"/>
          <w:szCs w:val="24"/>
          <w:highlight w:val="none"/>
          <w:lang w:eastAsia="zh-CN"/>
        </w:rPr>
        <w:t>具体以招标文件第三部分采购需求为准，供应商可点击本公告下方“浏览采购文件”查看采购需求。</w:t>
      </w:r>
    </w:p>
    <w:p w14:paraId="77D2699E">
      <w:pPr>
        <w:keepNext w:val="0"/>
        <w:keepLines w:val="0"/>
        <w:pageBreakBefore w:val="0"/>
        <w:widowControl/>
        <w:kinsoku/>
        <w:wordWrap/>
        <w:overflowPunct/>
        <w:topLinePunct w:val="0"/>
        <w:autoSpaceDE/>
        <w:autoSpaceDN/>
        <w:bidi w:val="0"/>
        <w:adjustRightInd/>
        <w:snapToGrid/>
        <w:spacing w:line="360" w:lineRule="auto"/>
        <w:ind w:firstLine="720" w:firstLineChars="300"/>
        <w:jc w:val="left"/>
        <w:textAlignment w:val="auto"/>
        <w:outlineLvl w:val="9"/>
        <w:rPr>
          <w:rFonts w:hint="eastAsia" w:asciiTheme="minorEastAsia" w:hAnsiTheme="minorEastAsia" w:eastAsiaTheme="minorEastAsia"/>
          <w:b/>
          <w:highlight w:val="none"/>
        </w:rPr>
      </w:pPr>
      <w:r>
        <w:rPr>
          <w:rFonts w:hint="eastAsia" w:ascii="宋体" w:hAnsi="宋体" w:eastAsia="宋体" w:cs="宋体"/>
          <w:color w:val="auto"/>
          <w:kern w:val="0"/>
          <w:sz w:val="24"/>
          <w:szCs w:val="24"/>
          <w:highlight w:val="none"/>
        </w:rPr>
        <w:t>备注：</w:t>
      </w:r>
      <w:r>
        <w:rPr>
          <w:rFonts w:hint="eastAsia" w:ascii="宋体" w:hAnsi="宋体" w:cs="宋体"/>
          <w:snapToGrid w:val="0"/>
          <w:color w:val="000000"/>
          <w:kern w:val="28"/>
          <w:sz w:val="24"/>
          <w:szCs w:val="20"/>
          <w:highlight w:val="none"/>
          <w:lang w:val="en-US" w:eastAsia="zh-CN"/>
        </w:rPr>
        <w:t>无</w:t>
      </w:r>
      <w:r>
        <w:rPr>
          <w:rFonts w:hint="eastAsia" w:ascii="宋体" w:hAnsi="宋体" w:eastAsia="宋体" w:cs="宋体"/>
          <w:snapToGrid w:val="0"/>
          <w:color w:val="000000"/>
          <w:kern w:val="28"/>
          <w:sz w:val="24"/>
          <w:szCs w:val="20"/>
          <w:highlight w:val="none"/>
          <w:lang w:val="en-US" w:eastAsia="zh-CN"/>
        </w:rPr>
        <w:t>。</w:t>
      </w:r>
    </w:p>
    <w:p w14:paraId="648DBCDE">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360" w:lineRule="auto"/>
        <w:ind w:left="0" w:right="0" w:firstLine="482" w:firstLineChars="200"/>
        <w:jc w:val="both"/>
        <w:textAlignment w:val="auto"/>
        <w:rPr>
          <w:rFonts w:hint="eastAsia" w:ascii="宋体" w:hAnsi="宋体" w:eastAsia="宋体" w:cs="宋体"/>
          <w:color w:val="0000FF"/>
          <w:sz w:val="24"/>
          <w:szCs w:val="24"/>
          <w:highlight w:val="none"/>
        </w:rPr>
      </w:pPr>
      <w:r>
        <w:rPr>
          <w:rFonts w:hint="eastAsia" w:cs="Times New Roman" w:asciiTheme="minorEastAsia" w:hAnsiTheme="minorEastAsia" w:eastAsiaTheme="minorEastAsia"/>
          <w:b/>
          <w:kern w:val="2"/>
          <w:sz w:val="24"/>
          <w:szCs w:val="20"/>
          <w:highlight w:val="none"/>
          <w:lang w:val="en-US" w:eastAsia="zh-CN" w:bidi="ar-SA"/>
        </w:rPr>
        <w:t>合同履约期限：</w:t>
      </w:r>
      <w:r>
        <w:rPr>
          <w:rFonts w:hint="eastAsia" w:ascii="宋体" w:hAnsi="宋体" w:eastAsia="宋体" w:cs="宋体"/>
          <w:sz w:val="24"/>
          <w:highlight w:val="none"/>
        </w:rPr>
        <w:t>合同签订并生效之日起</w:t>
      </w:r>
      <w:r>
        <w:rPr>
          <w:rFonts w:hint="eastAsia" w:ascii="宋体" w:hAnsi="宋体" w:cs="宋体"/>
          <w:sz w:val="24"/>
          <w:highlight w:val="none"/>
          <w:lang w:val="en-US" w:eastAsia="zh-CN"/>
        </w:rPr>
        <w:t>四个月内完成项目建设并通过验收。</w:t>
      </w:r>
    </w:p>
    <w:p w14:paraId="69D0CBD7">
      <w:pPr>
        <w:pStyle w:val="15"/>
        <w:keepNext w:val="0"/>
        <w:keepLines w:val="0"/>
        <w:pageBreakBefore w:val="0"/>
        <w:kinsoku/>
        <w:wordWrap/>
        <w:overflowPunct/>
        <w:topLinePunct w:val="0"/>
        <w:autoSpaceDE/>
        <w:autoSpaceDN/>
        <w:bidi w:val="0"/>
        <w:adjustRightInd w:val="0"/>
        <w:spacing w:line="360" w:lineRule="auto"/>
        <w:ind w:firstLine="480"/>
        <w:textAlignment w:val="auto"/>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0"/>
            <w14:checkedState w14:val="00FE" w14:font="Wingdings"/>
            <w14:uncheckedState w14:val="2610" w14:font="MS Gothic"/>
          </w14:checkbox>
        </w:sdtPr>
        <w:sdtEndPr>
          <w:rPr>
            <w:rFonts w:hint="eastAsia" w:hAnsi="宋体" w:cs="宋体"/>
            <w:b w:val="0"/>
            <w:bCs w:val="0"/>
            <w:color w:val="auto"/>
            <w:kern w:val="0"/>
            <w:sz w:val="24"/>
            <w:highlight w:val="none"/>
          </w:rPr>
        </w:sdtEndPr>
        <w:sdtContent>
          <w:r>
            <w:rPr>
              <w:rFonts w:hint="eastAsia" w:ascii="MS Gothic" w:hAnsi="MS Gothic" w:eastAsia="宋体" w:cs="宋体"/>
              <w:b w:val="0"/>
              <w:bCs w:val="0"/>
              <w:snapToGrid w:val="0"/>
              <w:color w:val="auto"/>
              <w:kern w:val="0"/>
              <w:sz w:val="24"/>
              <w:szCs w:val="20"/>
              <w:highlight w:val="none"/>
              <w:lang w:val="en-US" w:eastAsia="zh-CN" w:bidi="ar-SA"/>
            </w:rPr>
            <w:t>☐</w:t>
          </w:r>
        </w:sdtContent>
      </w:sdt>
      <w:r>
        <w:rPr>
          <w:rFonts w:hint="eastAsia" w:hAnsi="宋体" w:cs="宋体"/>
          <w:b w:val="0"/>
          <w:bCs w:val="0"/>
          <w:color w:val="auto"/>
          <w:sz w:val="24"/>
          <w:highlight w:val="none"/>
        </w:rPr>
        <w:t>是</w:t>
      </w:r>
      <w:r>
        <w:rPr>
          <w:rFonts w:hint="eastAsia" w:hAnsi="宋体" w:cs="宋体"/>
          <w:b w:val="0"/>
          <w:bCs w:val="0"/>
          <w:snapToGrid/>
          <w:color w:val="auto"/>
          <w:kern w:val="2"/>
          <w:sz w:val="24"/>
          <w:highlight w:val="none"/>
        </w:rPr>
        <w:t>；</w:t>
      </w:r>
      <w:sdt>
        <w:sdtPr>
          <w:rPr>
            <w:rFonts w:hint="eastAsia" w:hAnsi="宋体" w:cs="宋体"/>
            <w:b w:val="0"/>
            <w:bCs w:val="0"/>
            <w:color w:val="auto"/>
            <w:kern w:val="0"/>
            <w:sz w:val="24"/>
            <w:highlight w:val="none"/>
          </w:rPr>
          <w:id w:val="147456425"/>
          <w14:checkbox>
            <w14:checked w14:val="1"/>
            <w14:checkedState w14:val="00FE" w14:font="Wingdings"/>
            <w14:uncheckedState w14:val="2610" w14:font="MS Gothic"/>
          </w14:checkbox>
        </w:sdtPr>
        <w:sdtEndPr>
          <w:rPr>
            <w:rFonts w:hint="eastAsia" w:hAnsi="宋体" w:cs="宋体"/>
            <w:b w:val="0"/>
            <w:bCs w:val="0"/>
            <w:color w:val="auto"/>
            <w:kern w:val="0"/>
            <w:sz w:val="24"/>
            <w:highlight w:val="none"/>
          </w:rPr>
        </w:sdtEndPr>
        <w:sdtContent>
          <w:r>
            <w:rPr>
              <w:rFonts w:hint="eastAsia" w:ascii="Wingdings" w:hAnsi="Wingdings" w:eastAsia="宋体" w:cs="宋体"/>
              <w:b w:val="0"/>
              <w:bCs w:val="0"/>
              <w:snapToGrid w:val="0"/>
              <w:color w:val="auto"/>
              <w:kern w:val="0"/>
              <w:sz w:val="24"/>
              <w:szCs w:val="20"/>
              <w:highlight w:val="none"/>
              <w:lang w:val="en-US" w:eastAsia="zh-CN" w:bidi="ar-SA"/>
            </w:rPr>
            <w:t>þ</w:t>
          </w:r>
        </w:sdtContent>
      </w:sdt>
      <w:r>
        <w:rPr>
          <w:rFonts w:hint="eastAsia" w:hAnsi="宋体" w:cs="宋体"/>
          <w:b w:val="0"/>
          <w:bCs w:val="0"/>
          <w:color w:val="auto"/>
          <w:sz w:val="24"/>
          <w:highlight w:val="none"/>
        </w:rPr>
        <w:t>否</w:t>
      </w:r>
      <w:r>
        <w:rPr>
          <w:rFonts w:hint="eastAsia" w:hAnsi="宋体" w:cs="宋体"/>
          <w:b w:val="0"/>
          <w:bCs w:val="0"/>
          <w:color w:val="auto"/>
          <w:kern w:val="0"/>
          <w:sz w:val="24"/>
          <w:highlight w:val="none"/>
        </w:rPr>
        <w:t>。</w:t>
      </w:r>
    </w:p>
    <w:p w14:paraId="2C4EB0CC">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sz w:val="24"/>
          <w:highlight w:val="none"/>
        </w:rPr>
      </w:pPr>
      <w:r>
        <w:rPr>
          <w:rFonts w:hint="eastAsia" w:ascii="宋体" w:hAnsi="宋体" w:cs="宋体"/>
          <w:b/>
          <w:sz w:val="24"/>
          <w:highlight w:val="none"/>
        </w:rPr>
        <w:t>二、</w:t>
      </w:r>
      <w:bookmarkStart w:id="10" w:name="_Hlk101132948"/>
      <w:r>
        <w:rPr>
          <w:rFonts w:hint="eastAsia" w:ascii="宋体" w:hAnsi="宋体" w:cs="宋体"/>
          <w:b/>
          <w:sz w:val="24"/>
          <w:highlight w:val="none"/>
        </w:rPr>
        <w:t>申请人的资格要求</w:t>
      </w:r>
      <w:bookmarkEnd w:id="10"/>
      <w:r>
        <w:rPr>
          <w:rFonts w:hint="eastAsia" w:ascii="宋体" w:hAnsi="宋体" w:cs="宋体"/>
          <w:b/>
          <w:sz w:val="24"/>
          <w:highlight w:val="none"/>
        </w:rPr>
        <w:t>：</w:t>
      </w:r>
    </w:p>
    <w:p w14:paraId="5C014210">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重大税收违法失信主体）、政府采购严重违法失信行为记录名单；</w:t>
      </w:r>
    </w:p>
    <w:p w14:paraId="1B5C314D">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napToGrid w:val="0"/>
          <w:kern w:val="28"/>
          <w:sz w:val="24"/>
          <w:szCs w:val="20"/>
          <w:highlight w:val="none"/>
        </w:rPr>
      </w:pPr>
      <w:r>
        <w:rPr>
          <w:rFonts w:ascii="宋体" w:hAnsi="宋体" w:cs="宋体"/>
          <w:snapToGrid w:val="0"/>
          <w:kern w:val="28"/>
          <w:sz w:val="24"/>
          <w:szCs w:val="20"/>
          <w:highlight w:val="none"/>
        </w:rPr>
        <w:t>2</w:t>
      </w:r>
      <w:r>
        <w:rPr>
          <w:rFonts w:hint="eastAsia" w:ascii="宋体" w:hAnsi="宋体" w:cs="宋体"/>
          <w:snapToGrid w:val="0"/>
          <w:kern w:val="28"/>
          <w:sz w:val="24"/>
          <w:szCs w:val="20"/>
          <w:highlight w:val="none"/>
        </w:rPr>
        <w:t>.</w:t>
      </w:r>
      <w:r>
        <w:rPr>
          <w:rFonts w:hint="eastAsia"/>
          <w:highlight w:val="none"/>
        </w:rPr>
        <w:t xml:space="preserve"> </w:t>
      </w:r>
      <w:r>
        <w:rPr>
          <w:rFonts w:hint="eastAsia" w:ascii="宋体" w:hAnsi="宋体" w:cs="宋体"/>
          <w:snapToGrid w:val="0"/>
          <w:kern w:val="28"/>
          <w:sz w:val="24"/>
          <w:szCs w:val="20"/>
          <w:highlight w:val="none"/>
        </w:rPr>
        <w:t>以联合体形式投标的，提供联合协议(本项目不接受联合体投标或者投标人不以联合体形式投标的，则不需要提供) ；</w:t>
      </w:r>
    </w:p>
    <w:p w14:paraId="28516A31">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snapToGrid w:val="0"/>
          <w:kern w:val="28"/>
          <w:sz w:val="24"/>
          <w:szCs w:val="20"/>
          <w:highlight w:val="none"/>
        </w:rPr>
      </w:pPr>
      <w:r>
        <w:rPr>
          <w:rFonts w:ascii="宋体" w:hAnsi="宋体" w:cs="宋体"/>
          <w:snapToGrid w:val="0"/>
          <w:kern w:val="28"/>
          <w:sz w:val="24"/>
          <w:szCs w:val="20"/>
          <w:highlight w:val="none"/>
        </w:rPr>
        <w:t>3</w:t>
      </w:r>
      <w:r>
        <w:rPr>
          <w:rFonts w:hint="eastAsia" w:ascii="宋体" w:hAnsi="宋体" w:cs="宋体"/>
          <w:snapToGrid w:val="0"/>
          <w:kern w:val="28"/>
          <w:sz w:val="24"/>
          <w:szCs w:val="20"/>
          <w:highlight w:val="none"/>
        </w:rPr>
        <w:t>. 落实政府采购政策需满足的资格要求：</w:t>
      </w:r>
    </w:p>
    <w:p w14:paraId="5144842D">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sdt>
        <w:sdtPr>
          <w:rPr>
            <w:rFonts w:hint="eastAsia" w:ascii="宋体" w:hAnsi="宋体" w:cs="宋体"/>
            <w:color w:val="0000FF"/>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cs="宋体"/>
          <w:sz w:val="24"/>
          <w:highlight w:val="none"/>
        </w:rPr>
        <w:t>无</w:t>
      </w:r>
      <w:r>
        <w:rPr>
          <w:rFonts w:hint="eastAsia" w:ascii="宋体" w:hAnsi="宋体" w:cs="宋体"/>
          <w:snapToGrid w:val="0"/>
          <w:kern w:val="28"/>
          <w:sz w:val="24"/>
          <w:szCs w:val="20"/>
          <w:highlight w:val="none"/>
        </w:rPr>
        <w:t>（注：不得限制大中型企业与小微企业组成联合体参与投标）</w:t>
      </w:r>
      <w:r>
        <w:rPr>
          <w:rFonts w:hint="eastAsia" w:ascii="宋体" w:hAnsi="宋体" w:cs="宋体"/>
          <w:sz w:val="24"/>
          <w:highlight w:val="none"/>
        </w:rPr>
        <w:t>；</w:t>
      </w:r>
    </w:p>
    <w:p w14:paraId="672704FF">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sdt>
        <w:sdtPr>
          <w:rPr>
            <w:rFonts w:hint="eastAsia" w:ascii="宋体" w:hAnsi="宋体" w:cs="宋体"/>
            <w:kern w:val="0"/>
            <w:sz w:val="24"/>
            <w:highlight w:val="none"/>
          </w:rPr>
          <w:id w:val="147477461"/>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szCs w:val="24"/>
              <w:highlight w:val="none"/>
              <w:lang w:val="en-US" w:eastAsia="zh-CN" w:bidi="ar-SA"/>
            </w:rPr>
            <w:t>☐</w:t>
          </w:r>
        </w:sdtContent>
      </w:sdt>
      <w:r>
        <w:rPr>
          <w:rFonts w:hint="eastAsia" w:ascii="宋体" w:hAnsi="宋体" w:cs="宋体"/>
          <w:kern w:val="0"/>
          <w:sz w:val="24"/>
          <w:highlight w:val="none"/>
        </w:rPr>
        <w:t>专</w:t>
      </w:r>
      <w:r>
        <w:rPr>
          <w:rFonts w:hint="eastAsia" w:ascii="宋体" w:hAnsi="宋体" w:cs="宋体"/>
          <w:sz w:val="24"/>
          <w:highlight w:val="none"/>
        </w:rPr>
        <w:t>门面向中小企业</w:t>
      </w:r>
    </w:p>
    <w:p w14:paraId="343E1A90">
      <w:pPr>
        <w:keepNext w:val="0"/>
        <w:keepLines w:val="0"/>
        <w:pageBreakBefore w:val="0"/>
        <w:kinsoku/>
        <w:wordWrap/>
        <w:overflowPunct/>
        <w:topLinePunct w:val="0"/>
        <w:autoSpaceDE/>
        <w:autoSpaceDN/>
        <w:bidi w:val="0"/>
        <w:adjustRightInd w:val="0"/>
        <w:spacing w:line="360" w:lineRule="auto"/>
        <w:ind w:firstLine="897" w:firstLineChars="374"/>
        <w:textAlignment w:val="auto"/>
        <w:rPr>
          <w:rFonts w:ascii="宋体" w:hAnsi="宋体" w:cs="宋体"/>
          <w:sz w:val="24"/>
          <w:highlight w:val="none"/>
          <w:u w:val="single"/>
        </w:rPr>
      </w:pPr>
      <w:sdt>
        <w:sdtPr>
          <w:rPr>
            <w:rFonts w:hint="eastAsia" w:ascii="宋体" w:hAnsi="宋体" w:cs="宋体"/>
            <w:kern w:val="0"/>
            <w:sz w:val="24"/>
            <w:highlight w:val="none"/>
          </w:rPr>
          <w:id w:val="14747480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szCs w:val="24"/>
              <w:highlight w:val="none"/>
              <w:lang w:val="en-US" w:eastAsia="zh-CN" w:bidi="ar-SA"/>
            </w:rPr>
            <w:t>☐</w:t>
          </w:r>
        </w:sdtContent>
      </w:sdt>
      <w:r>
        <w:rPr>
          <w:rFonts w:hint="eastAsia" w:ascii="宋体" w:hAnsi="宋体" w:cs="宋体"/>
          <w:sz w:val="24"/>
          <w:highlight w:val="none"/>
        </w:rPr>
        <w:t>货物全部由符合政策要求的中小企业制造，提供中小企业声明函；</w:t>
      </w:r>
    </w:p>
    <w:p w14:paraId="2ED69D7C">
      <w:pPr>
        <w:keepNext w:val="0"/>
        <w:keepLines w:val="0"/>
        <w:pageBreakBefore w:val="0"/>
        <w:kinsoku/>
        <w:wordWrap/>
        <w:overflowPunct/>
        <w:topLinePunct w:val="0"/>
        <w:autoSpaceDE/>
        <w:autoSpaceDN/>
        <w:bidi w:val="0"/>
        <w:adjustRightInd w:val="0"/>
        <w:spacing w:line="360" w:lineRule="auto"/>
        <w:ind w:firstLine="897" w:firstLineChars="374"/>
        <w:textAlignment w:val="auto"/>
        <w:rPr>
          <w:rFonts w:ascii="宋体" w:hAnsi="宋体" w:cs="宋体"/>
          <w:sz w:val="24"/>
          <w:highlight w:val="none"/>
        </w:rPr>
      </w:pPr>
      <w:sdt>
        <w:sdtPr>
          <w:rPr>
            <w:rFonts w:hint="eastAsia" w:ascii="宋体" w:hAnsi="宋体" w:cs="宋体"/>
            <w:kern w:val="0"/>
            <w:sz w:val="24"/>
            <w:highlight w:val="none"/>
          </w:rPr>
          <w:id w:val="147455991"/>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货物全部由符合政策要求的小微企业制造，提供中小企业声明函；</w:t>
      </w:r>
    </w:p>
    <w:p w14:paraId="05E01269">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sdt>
        <w:sdtPr>
          <w:rPr>
            <w:rFonts w:hint="eastAsia" w:ascii="宋体" w:hAnsi="宋体" w:cs="宋体"/>
            <w:kern w:val="0"/>
            <w:sz w:val="24"/>
            <w:highlight w:val="none"/>
          </w:rPr>
          <w:id w:val="147473116"/>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bookmarkStart w:id="11" w:name="_Hlk101132524"/>
        </w:sdtContent>
      </w:sdt>
      <w:r>
        <w:rPr>
          <w:rFonts w:hint="eastAsia" w:ascii="宋体" w:hAnsi="宋体" w:cs="宋体"/>
          <w:sz w:val="24"/>
          <w:highlight w:val="none"/>
        </w:rPr>
        <w:t>要求以联合体形式参加，提供联合协议和中小企业声明函，联合协议中中小企业合同金额应当达到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w:t>
      </w:r>
      <w:r>
        <w:rPr>
          <w:rFonts w:hint="eastAsia" w:ascii="宋体" w:hAnsi="宋体" w:cs="宋体"/>
          <w:sz w:val="24"/>
          <w:highlight w:val="none"/>
          <w:lang w:eastAsia="zh-CN"/>
        </w:rPr>
        <w:t>；</w:t>
      </w:r>
      <w:r>
        <w:rPr>
          <w:rFonts w:hint="eastAsia" w:ascii="宋体" w:hAnsi="宋体" w:cs="宋体"/>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highlight w:val="none"/>
        </w:rPr>
        <w:t>；</w:t>
      </w:r>
    </w:p>
    <w:bookmarkEnd w:id="11"/>
    <w:p w14:paraId="6946ACC1">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sdt>
        <w:sdtPr>
          <w:rPr>
            <w:rFonts w:hint="eastAsia" w:ascii="宋体" w:hAnsi="宋体" w:cs="宋体"/>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要求合同分包，提供分包意向协议和中小企业声明函，分包意向协议中中小企业合同金额应当达到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w:t>
      </w:r>
      <w:r>
        <w:rPr>
          <w:rFonts w:hint="eastAsia" w:ascii="宋体" w:hAnsi="宋体" w:cs="宋体"/>
          <w:sz w:val="24"/>
          <w:highlight w:val="none"/>
          <w:lang w:eastAsia="zh-CN"/>
        </w:rPr>
        <w:t>；</w:t>
      </w:r>
      <w:r>
        <w:rPr>
          <w:rFonts w:hint="eastAsia" w:ascii="宋体" w:hAnsi="宋体" w:cs="宋体"/>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highlight w:val="none"/>
        </w:rPr>
        <w:t>；</w:t>
      </w:r>
    </w:p>
    <w:p w14:paraId="77A42045">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kern w:val="0"/>
          <w:sz w:val="24"/>
          <w:highlight w:val="none"/>
        </w:rPr>
      </w:pPr>
      <w:r>
        <w:rPr>
          <w:rFonts w:ascii="宋体" w:hAnsi="宋体" w:cs="宋体"/>
          <w:sz w:val="24"/>
          <w:highlight w:val="none"/>
        </w:rPr>
        <w:t>4</w:t>
      </w:r>
      <w:r>
        <w:rPr>
          <w:rFonts w:hint="eastAsia" w:ascii="宋体" w:hAnsi="宋体" w:cs="宋体"/>
          <w:sz w:val="24"/>
          <w:highlight w:val="none"/>
        </w:rPr>
        <w:t>.本项目的特定资格要求：无；</w:t>
      </w:r>
    </w:p>
    <w:p w14:paraId="4D95CFE3">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sz w:val="24"/>
          <w:highlight w:val="none"/>
        </w:rPr>
      </w:pPr>
      <w:r>
        <w:rPr>
          <w:rFonts w:ascii="宋体" w:hAnsi="宋体" w:cs="宋体"/>
          <w:sz w:val="24"/>
          <w:highlight w:val="none"/>
        </w:rPr>
        <w:t>5</w:t>
      </w:r>
      <w:r>
        <w:rPr>
          <w:rFonts w:hint="eastAsia" w:ascii="宋体" w:hAnsi="宋体" w:cs="宋体"/>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C1548B4">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sz w:val="24"/>
          <w:highlight w:val="none"/>
        </w:rPr>
      </w:pPr>
      <w:r>
        <w:rPr>
          <w:rFonts w:hint="eastAsia" w:ascii="宋体" w:hAnsi="宋体" w:cs="宋体"/>
          <w:b/>
          <w:sz w:val="24"/>
          <w:highlight w:val="none"/>
        </w:rPr>
        <w:t xml:space="preserve">三、获取招标文件 </w:t>
      </w:r>
    </w:p>
    <w:p w14:paraId="353E804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时间：</w:t>
      </w:r>
      <w:r>
        <w:rPr>
          <w:rFonts w:hint="eastAsia" w:cs="宋体" w:asciiTheme="minorEastAsia" w:hAnsiTheme="minorEastAsia" w:eastAsiaTheme="minorEastAsia"/>
          <w:bCs/>
          <w:color w:val="auto"/>
          <w:sz w:val="24"/>
          <w:highlight w:val="none"/>
          <w:lang w:eastAsia="zh-CN"/>
        </w:rPr>
        <w:t>2025</w:t>
      </w:r>
      <w:r>
        <w:rPr>
          <w:rFonts w:hint="eastAsia" w:cs="宋体" w:asciiTheme="minorEastAsia" w:hAnsiTheme="minorEastAsia" w:eastAsiaTheme="minorEastAsia"/>
          <w:bCs/>
          <w:color w:val="auto"/>
          <w:sz w:val="24"/>
          <w:highlight w:val="none"/>
        </w:rPr>
        <w:t>年</w:t>
      </w:r>
      <w:r>
        <w:rPr>
          <w:rFonts w:hint="eastAsia" w:cs="宋体" w:asciiTheme="minorEastAsia" w:hAnsiTheme="minorEastAsia" w:eastAsiaTheme="minorEastAsia"/>
          <w:bCs/>
          <w:color w:val="auto"/>
          <w:sz w:val="24"/>
          <w:highlight w:val="none"/>
          <w:lang w:val="en-US" w:eastAsia="zh-CN"/>
        </w:rPr>
        <w:t>04</w:t>
      </w:r>
      <w:r>
        <w:rPr>
          <w:rFonts w:hint="eastAsia" w:cs="宋体" w:asciiTheme="minorEastAsia" w:hAnsiTheme="minorEastAsia" w:eastAsiaTheme="minorEastAsia"/>
          <w:bCs/>
          <w:color w:val="auto"/>
          <w:sz w:val="24"/>
          <w:highlight w:val="none"/>
        </w:rPr>
        <w:t>月</w:t>
      </w:r>
      <w:r>
        <w:rPr>
          <w:rFonts w:hint="eastAsia" w:cs="宋体" w:asciiTheme="minorEastAsia" w:hAnsiTheme="minorEastAsia" w:eastAsiaTheme="minorEastAsia"/>
          <w:bCs/>
          <w:color w:val="auto"/>
          <w:sz w:val="24"/>
          <w:highlight w:val="none"/>
          <w:lang w:val="en-US" w:eastAsia="zh-CN"/>
        </w:rPr>
        <w:t>07</w:t>
      </w:r>
      <w:r>
        <w:rPr>
          <w:rFonts w:hint="eastAsia" w:cs="宋体" w:asciiTheme="minorEastAsia" w:hAnsiTheme="minorEastAsia" w:eastAsiaTheme="minorEastAsia"/>
          <w:bCs/>
          <w:color w:val="auto"/>
          <w:sz w:val="24"/>
          <w:highlight w:val="none"/>
        </w:rPr>
        <w:t>日至</w:t>
      </w:r>
      <w:r>
        <w:rPr>
          <w:rFonts w:hint="eastAsia" w:cs="宋体" w:asciiTheme="minorEastAsia" w:hAnsiTheme="minorEastAsia" w:eastAsiaTheme="minorEastAsia"/>
          <w:bCs/>
          <w:color w:val="auto"/>
          <w:sz w:val="24"/>
          <w:highlight w:val="none"/>
          <w:lang w:eastAsia="zh-CN"/>
        </w:rPr>
        <w:t>2025</w:t>
      </w:r>
      <w:r>
        <w:rPr>
          <w:rFonts w:hint="eastAsia" w:cs="宋体" w:asciiTheme="minorEastAsia" w:hAnsiTheme="minorEastAsia" w:eastAsiaTheme="minorEastAsia"/>
          <w:bCs/>
          <w:color w:val="auto"/>
          <w:sz w:val="24"/>
          <w:highlight w:val="none"/>
        </w:rPr>
        <w:t>年</w:t>
      </w:r>
      <w:r>
        <w:rPr>
          <w:rFonts w:hint="eastAsia" w:cs="宋体" w:asciiTheme="minorEastAsia" w:hAnsiTheme="minorEastAsia" w:eastAsiaTheme="minorEastAsia"/>
          <w:bCs/>
          <w:color w:val="auto"/>
          <w:sz w:val="24"/>
          <w:highlight w:val="none"/>
          <w:lang w:val="en-US" w:eastAsia="zh-CN"/>
        </w:rPr>
        <w:t>04</w:t>
      </w:r>
      <w:r>
        <w:rPr>
          <w:rFonts w:hint="eastAsia" w:cs="宋体" w:asciiTheme="minorEastAsia" w:hAnsiTheme="minorEastAsia" w:eastAsiaTheme="minorEastAsia"/>
          <w:bCs/>
          <w:color w:val="auto"/>
          <w:sz w:val="24"/>
          <w:highlight w:val="none"/>
        </w:rPr>
        <w:t>月</w:t>
      </w:r>
      <w:r>
        <w:rPr>
          <w:rFonts w:hint="eastAsia" w:cs="宋体" w:asciiTheme="minorEastAsia" w:hAnsiTheme="minorEastAsia" w:eastAsiaTheme="minorEastAsia"/>
          <w:bCs/>
          <w:color w:val="auto"/>
          <w:sz w:val="24"/>
          <w:highlight w:val="none"/>
          <w:lang w:val="en-US" w:eastAsia="zh-CN"/>
        </w:rPr>
        <w:t>15</w:t>
      </w:r>
      <w:r>
        <w:rPr>
          <w:rFonts w:hint="eastAsia" w:cs="宋体" w:asciiTheme="minorEastAsia" w:hAnsiTheme="minorEastAsia" w:eastAsiaTheme="minorEastAsia"/>
          <w:bCs/>
          <w:color w:val="auto"/>
          <w:sz w:val="24"/>
          <w:highlight w:val="none"/>
        </w:rPr>
        <w:t>日</w:t>
      </w:r>
      <w:r>
        <w:rPr>
          <w:rFonts w:hint="eastAsia" w:cs="宋体" w:asciiTheme="minorEastAsia" w:hAnsiTheme="minorEastAsia" w:eastAsiaTheme="minorEastAsia"/>
          <w:color w:val="auto"/>
          <w:sz w:val="24"/>
          <w:highlight w:val="none"/>
        </w:rPr>
        <w:t>，</w:t>
      </w:r>
      <w:r>
        <w:rPr>
          <w:rFonts w:hint="eastAsia" w:ascii="宋体" w:hAnsi="宋体" w:cs="宋体"/>
          <w:color w:val="auto"/>
          <w:sz w:val="24"/>
          <w:highlight w:val="none"/>
        </w:rPr>
        <w:t>每天上午00:00至12:00 ，下午12:00至23:59（北京时间，线上获取法定节假日均可，线下获取文件法定节假日除外）</w:t>
      </w:r>
    </w:p>
    <w:p w14:paraId="53C3E0A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sz w:val="24"/>
          <w:highlight w:val="none"/>
        </w:rPr>
      </w:pPr>
      <w:r>
        <w:rPr>
          <w:rFonts w:hint="eastAsia" w:ascii="宋体" w:hAnsi="宋体" w:cs="宋体"/>
          <w:b/>
          <w:sz w:val="24"/>
          <w:highlight w:val="none"/>
        </w:rPr>
        <w:t>地点（网址）：</w:t>
      </w:r>
      <w:r>
        <w:rPr>
          <w:rFonts w:hint="eastAsia" w:ascii="宋体" w:hAnsi="宋体" w:cs="宋体"/>
          <w:sz w:val="24"/>
          <w:highlight w:val="none"/>
          <w:lang w:eastAsia="zh-CN"/>
        </w:rPr>
        <w:t>乐采云</w:t>
      </w:r>
      <w:r>
        <w:rPr>
          <w:rFonts w:hint="eastAsia" w:ascii="宋体" w:hAnsi="宋体" w:cs="宋体"/>
          <w:sz w:val="24"/>
          <w:highlight w:val="none"/>
        </w:rPr>
        <w:t>平台（https://www.</w:t>
      </w:r>
      <w:r>
        <w:rPr>
          <w:rFonts w:hint="eastAsia" w:ascii="宋体" w:hAnsi="宋体" w:cs="宋体"/>
          <w:sz w:val="24"/>
          <w:highlight w:val="none"/>
          <w:lang w:eastAsia="zh-CN"/>
        </w:rPr>
        <w:t>lecaiyun</w:t>
      </w:r>
      <w:r>
        <w:rPr>
          <w:rFonts w:hint="eastAsia" w:ascii="宋体" w:hAnsi="宋体" w:cs="宋体"/>
          <w:sz w:val="24"/>
          <w:highlight w:val="none"/>
        </w:rPr>
        <w:t xml:space="preserve">.cn/） </w:t>
      </w:r>
    </w:p>
    <w:p w14:paraId="15533CCD">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color w:val="auto"/>
          <w:sz w:val="24"/>
          <w:highlight w:val="none"/>
        </w:rPr>
      </w:pPr>
      <w:r>
        <w:rPr>
          <w:rFonts w:hint="eastAsia" w:ascii="宋体" w:hAnsi="宋体" w:cs="宋体"/>
          <w:b/>
          <w:sz w:val="24"/>
          <w:highlight w:val="none"/>
        </w:rPr>
        <w:t>方式：</w:t>
      </w:r>
      <w:r>
        <w:rPr>
          <w:rFonts w:hint="eastAsia" w:ascii="宋体" w:hAnsi="宋体" w:cs="宋体"/>
          <w:sz w:val="24"/>
          <w:highlight w:val="none"/>
        </w:rPr>
        <w:t>供应商登录</w:t>
      </w:r>
      <w:r>
        <w:rPr>
          <w:rFonts w:hint="eastAsia" w:ascii="宋体" w:hAnsi="宋体" w:cs="宋体"/>
          <w:sz w:val="24"/>
          <w:highlight w:val="none"/>
          <w:lang w:eastAsia="zh-CN"/>
        </w:rPr>
        <w:t>乐采云</w:t>
      </w:r>
      <w:r>
        <w:rPr>
          <w:rFonts w:hint="eastAsia" w:ascii="宋体" w:hAnsi="宋体" w:cs="宋体"/>
          <w:sz w:val="24"/>
          <w:highlight w:val="none"/>
        </w:rPr>
        <w:t>平台https://www.</w:t>
      </w:r>
      <w:r>
        <w:rPr>
          <w:rFonts w:hint="eastAsia" w:ascii="宋体" w:hAnsi="宋体" w:cs="宋体"/>
          <w:sz w:val="24"/>
          <w:highlight w:val="none"/>
          <w:lang w:eastAsia="zh-CN"/>
        </w:rPr>
        <w:t>lecaiyun</w:t>
      </w:r>
      <w:r>
        <w:rPr>
          <w:rFonts w:hint="eastAsia" w:ascii="宋体" w:hAnsi="宋体" w:cs="宋体"/>
          <w:sz w:val="24"/>
          <w:highlight w:val="none"/>
        </w:rPr>
        <w:t>.cn/在线申请获取采购文件（进入“项目采购”应用，在获取采</w:t>
      </w:r>
      <w:r>
        <w:rPr>
          <w:rFonts w:hint="eastAsia" w:ascii="宋体" w:hAnsi="宋体" w:cs="宋体"/>
          <w:color w:val="auto"/>
          <w:sz w:val="24"/>
          <w:highlight w:val="none"/>
        </w:rPr>
        <w:t xml:space="preserve">购文件菜单中选择项目，申请获取采购文件）。 </w:t>
      </w:r>
    </w:p>
    <w:p w14:paraId="4D0A5C8E">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p>
    <w:p w14:paraId="6846DD2E">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037450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379016C2">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Theme="minorEastAsia" w:hAnsiTheme="minorEastAsia" w:eastAsiaTheme="minorEastAsia"/>
          <w:color w:val="auto"/>
          <w:sz w:val="24"/>
          <w:highlight w:val="none"/>
          <w:lang w:eastAsia="zh-CN"/>
        </w:rPr>
        <w:t>乐采云平台</w:t>
      </w:r>
      <w:r>
        <w:rPr>
          <w:rFonts w:hint="eastAsia" w:asciiTheme="minorEastAsia" w:hAnsiTheme="minorEastAsia" w:eastAsiaTheme="minorEastAsia"/>
          <w:color w:val="auto"/>
          <w:sz w:val="24"/>
          <w:highlight w:val="none"/>
        </w:rPr>
        <w:t>（http://www.</w:t>
      </w:r>
      <w:r>
        <w:rPr>
          <w:rFonts w:hint="eastAsia" w:asciiTheme="minorEastAsia" w:hAnsiTheme="minorEastAsia" w:eastAsiaTheme="minorEastAsia"/>
          <w:color w:val="auto"/>
          <w:sz w:val="24"/>
          <w:highlight w:val="none"/>
          <w:lang w:eastAsia="zh-CN"/>
        </w:rPr>
        <w:t>lecaiyun</w:t>
      </w:r>
      <w:r>
        <w:rPr>
          <w:rFonts w:hint="eastAsia" w:asciiTheme="minorEastAsia" w:hAnsiTheme="minorEastAsia" w:eastAsiaTheme="minorEastAsia"/>
          <w:color w:val="auto"/>
          <w:sz w:val="24"/>
          <w:highlight w:val="none"/>
        </w:rPr>
        <w:t>.cn/）。</w:t>
      </w:r>
    </w:p>
    <w:p w14:paraId="6C03A65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p>
    <w:p w14:paraId="217F815B">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Theme="minorEastAsia" w:hAnsiTheme="minorEastAsia" w:eastAsiaTheme="minorEastAsia"/>
          <w:color w:val="auto"/>
          <w:sz w:val="24"/>
          <w:highlight w:val="none"/>
          <w:lang w:eastAsia="zh-CN"/>
        </w:rPr>
        <w:t>乐采云平台</w:t>
      </w:r>
      <w:r>
        <w:rPr>
          <w:rFonts w:hint="eastAsia" w:asciiTheme="minorEastAsia" w:hAnsiTheme="minorEastAsia" w:eastAsiaTheme="minorEastAsia"/>
          <w:color w:val="auto"/>
          <w:sz w:val="24"/>
          <w:highlight w:val="none"/>
        </w:rPr>
        <w:t>（http://www.</w:t>
      </w:r>
      <w:r>
        <w:rPr>
          <w:rFonts w:hint="eastAsia" w:asciiTheme="minorEastAsia" w:hAnsiTheme="minorEastAsia" w:eastAsiaTheme="minorEastAsia"/>
          <w:color w:val="auto"/>
          <w:sz w:val="24"/>
          <w:highlight w:val="none"/>
          <w:lang w:eastAsia="zh-CN"/>
        </w:rPr>
        <w:t>lecaiyun</w:t>
      </w:r>
      <w:r>
        <w:rPr>
          <w:rFonts w:hint="eastAsia" w:asciiTheme="minorEastAsia" w:hAnsiTheme="minorEastAsia" w:eastAsiaTheme="minorEastAsia"/>
          <w:color w:val="auto"/>
          <w:sz w:val="24"/>
          <w:highlight w:val="none"/>
        </w:rPr>
        <w:t>.cn/）。</w:t>
      </w:r>
    </w:p>
    <w:p w14:paraId="6246AB4A">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22D66E5B">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自本公告发布之日起5个工作日。</w:t>
      </w:r>
    </w:p>
    <w:p w14:paraId="70833D36">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sz w:val="24"/>
          <w:highlight w:val="none"/>
        </w:rPr>
      </w:pPr>
      <w:r>
        <w:rPr>
          <w:rFonts w:hint="eastAsia" w:ascii="宋体" w:hAnsi="宋体" w:cs="宋体"/>
          <w:b/>
          <w:sz w:val="24"/>
          <w:highlight w:val="none"/>
        </w:rPr>
        <w:t>六、其他补充事宜</w:t>
      </w:r>
    </w:p>
    <w:p w14:paraId="75363CD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1.</w:t>
      </w:r>
      <w:r>
        <w:rPr>
          <w:rFonts w:ascii="宋体" w:hAnsi="宋体" w:cs="宋体"/>
          <w:sz w:val="24"/>
          <w:highlight w:val="none"/>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highlight w:val="none"/>
        </w:rPr>
        <w:t>。</w:t>
      </w:r>
    </w:p>
    <w:p w14:paraId="54F57EC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2.根据《浙江省财政厅关于进一步促进政府采购公平竞争打造最优营商环境的通知》（浙财采监（2021）22号）文件关于“健全行政裁决机制”要求，鼓励供应商在线提起询问，路径为：</w:t>
      </w:r>
      <w:r>
        <w:rPr>
          <w:rFonts w:hint="eastAsia" w:ascii="宋体" w:hAnsi="宋体" w:cs="宋体"/>
          <w:sz w:val="24"/>
          <w:highlight w:val="none"/>
          <w:lang w:eastAsia="zh-CN"/>
        </w:rPr>
        <w:t>乐采云</w:t>
      </w:r>
      <w:r>
        <w:rPr>
          <w:rFonts w:hint="eastAsia" w:ascii="宋体" w:hAnsi="宋体" w:cs="宋体"/>
          <w:sz w:val="24"/>
          <w:highlight w:val="none"/>
        </w:rPr>
        <w:t>-项目采购-询问质疑投诉-询问列表:鼓励供应商在线提起质疑，路径为：</w:t>
      </w:r>
      <w:r>
        <w:rPr>
          <w:rFonts w:hint="eastAsia" w:ascii="宋体" w:hAnsi="宋体" w:cs="宋体"/>
          <w:sz w:val="24"/>
          <w:highlight w:val="none"/>
          <w:lang w:eastAsia="zh-CN"/>
        </w:rPr>
        <w:t>乐采云</w:t>
      </w:r>
      <w:r>
        <w:rPr>
          <w:rFonts w:hint="eastAsia" w:ascii="宋体" w:hAnsi="宋体" w:cs="宋体"/>
          <w:sz w:val="24"/>
          <w:highlight w:val="none"/>
        </w:rPr>
        <w:t>-项目采购-询问质疑投诉-质疑列表。质疑供应商对在线质疑答复不满意的，可在线提起投诉，路径为：浙江政府服务网-政府采购投诉处理-在线办理。</w:t>
      </w:r>
    </w:p>
    <w:p w14:paraId="547FB8B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0D83BC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cs="宋体"/>
          <w:sz w:val="24"/>
          <w:highlight w:val="none"/>
        </w:rPr>
      </w:pPr>
      <w:r>
        <w:rPr>
          <w:rFonts w:hint="eastAsia" w:ascii="宋体" w:hAnsi="宋体" w:cs="宋体"/>
          <w:sz w:val="24"/>
          <w:highlight w:val="none"/>
        </w:rPr>
        <w:t>4.其他事项：</w:t>
      </w:r>
    </w:p>
    <w:p w14:paraId="4DE46B5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（1）需要落实的政府采购政策：包括节约资源、保护环境、支持创新、促进中小企业发展等。详见招标文件的第二部分总则。</w:t>
      </w:r>
    </w:p>
    <w:p w14:paraId="307968A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（2）电子招投标的说明：①电子招投标：本项目以数据电文形式，依托“</w:t>
      </w:r>
      <w:r>
        <w:rPr>
          <w:rFonts w:hint="eastAsia" w:ascii="宋体" w:hAnsi="宋体" w:cs="宋体"/>
          <w:sz w:val="24"/>
          <w:highlight w:val="none"/>
          <w:lang w:eastAsia="zh-CN"/>
        </w:rPr>
        <w:t>乐采云平台</w:t>
      </w:r>
      <w:r>
        <w:rPr>
          <w:rFonts w:hint="eastAsia" w:ascii="宋体" w:hAnsi="宋体" w:cs="宋体"/>
          <w:sz w:val="24"/>
          <w:highlight w:val="none"/>
        </w:rPr>
        <w:t>（www.</w:t>
      </w:r>
      <w:r>
        <w:rPr>
          <w:rFonts w:hint="eastAsia" w:ascii="宋体" w:hAnsi="宋体" w:cs="宋体"/>
          <w:sz w:val="24"/>
          <w:highlight w:val="none"/>
          <w:lang w:eastAsia="zh-CN"/>
        </w:rPr>
        <w:t>lecaiyun</w:t>
      </w:r>
      <w:r>
        <w:rPr>
          <w:rFonts w:hint="eastAsia" w:ascii="宋体" w:hAnsi="宋体" w:cs="宋体"/>
          <w:sz w:val="24"/>
          <w:highlight w:val="none"/>
        </w:rPr>
        <w:t>.cn）”进行招投标活动，不接受纸质投标文件；②投标准备：注册账号--点击“商家入驻”，进行政府采购供应商资料填写；申领CA数字证书---申领流程详见“浙江政府采购网-下载专区-电子交易客户端-CA驱动和申领流程”；安装“</w:t>
      </w:r>
      <w:r>
        <w:rPr>
          <w:rFonts w:hint="eastAsia" w:ascii="宋体" w:hAnsi="宋体" w:cs="宋体"/>
          <w:sz w:val="24"/>
          <w:highlight w:val="none"/>
          <w:lang w:eastAsia="zh-CN"/>
        </w:rPr>
        <w:t>乐采云</w:t>
      </w:r>
      <w:r>
        <w:rPr>
          <w:rFonts w:hint="eastAsia" w:ascii="宋体" w:hAnsi="宋体" w:cs="宋体"/>
          <w:sz w:val="24"/>
          <w:highlight w:val="none"/>
        </w:rPr>
        <w:t>电子交易客户端”----前往“浙江政府采购网-下载专区-电子交易客户端”进行下载并安装；③招标文件的获取：使用账号登录或者使用CA登录</w:t>
      </w:r>
      <w:r>
        <w:rPr>
          <w:rFonts w:hint="eastAsia" w:ascii="宋体" w:hAnsi="宋体" w:cs="宋体"/>
          <w:sz w:val="24"/>
          <w:highlight w:val="none"/>
          <w:lang w:eastAsia="zh-CN"/>
        </w:rPr>
        <w:t>乐采云</w:t>
      </w:r>
      <w:r>
        <w:rPr>
          <w:rFonts w:hint="eastAsia" w:ascii="宋体" w:hAnsi="宋体" w:cs="宋体"/>
          <w:sz w:val="24"/>
          <w:highlight w:val="none"/>
        </w:rPr>
        <w:t>平台；进入“项目采购”应用，在获取采购文件菜单中选择项目，获取招标文件；④投标文件的制作</w:t>
      </w:r>
      <w:r>
        <w:rPr>
          <w:rFonts w:hint="eastAsia" w:cs="仿宋_GB2312" w:asciiTheme="minorEastAsia" w:hAnsiTheme="minorEastAsia" w:eastAsiaTheme="minorEastAsia"/>
          <w:sz w:val="24"/>
          <w:highlight w:val="none"/>
        </w:rPr>
        <w:t>（文件后缀为：jmbs）</w:t>
      </w:r>
      <w:r>
        <w:rPr>
          <w:rFonts w:hint="eastAsia" w:ascii="宋体" w:hAnsi="宋体" w:cs="宋体"/>
          <w:sz w:val="24"/>
          <w:highlight w:val="none"/>
        </w:rPr>
        <w:t>：在“</w:t>
      </w:r>
      <w:r>
        <w:rPr>
          <w:rFonts w:hint="eastAsia" w:ascii="宋体" w:hAnsi="宋体" w:cs="宋体"/>
          <w:sz w:val="24"/>
          <w:highlight w:val="none"/>
          <w:lang w:eastAsia="zh-CN"/>
        </w:rPr>
        <w:t>乐采云</w:t>
      </w:r>
      <w:r>
        <w:rPr>
          <w:rFonts w:hint="eastAsia" w:ascii="宋体" w:hAnsi="宋体" w:cs="宋体"/>
          <w:sz w:val="24"/>
          <w:highlight w:val="none"/>
        </w:rPr>
        <w:t>电子交易客户端”中完成“填写基本信息”、“导入投标文件”、“标书关联”、“标书检查”、“电子签名”、“生成电子标书”等操作；⑤采购人、采购代理机构将依托</w:t>
      </w:r>
      <w:r>
        <w:rPr>
          <w:rFonts w:hint="eastAsia" w:ascii="宋体" w:hAnsi="宋体" w:cs="宋体"/>
          <w:sz w:val="24"/>
          <w:highlight w:val="none"/>
          <w:lang w:eastAsia="zh-CN"/>
        </w:rPr>
        <w:t>乐采云</w:t>
      </w:r>
      <w:r>
        <w:rPr>
          <w:rFonts w:hint="eastAsia" w:ascii="宋体" w:hAnsi="宋体" w:cs="宋体"/>
          <w:sz w:val="24"/>
          <w:highlight w:val="none"/>
        </w:rPr>
        <w:t>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供应商在投标截止时间前将加密的投标文件上传至</w:t>
      </w:r>
      <w:r>
        <w:rPr>
          <w:rFonts w:hint="eastAsia" w:ascii="宋体" w:hAnsi="宋体" w:cs="宋体"/>
          <w:sz w:val="24"/>
          <w:highlight w:val="none"/>
          <w:lang w:eastAsia="zh-CN"/>
        </w:rPr>
        <w:t>乐采云平台</w:t>
      </w:r>
      <w:r>
        <w:rPr>
          <w:rFonts w:hint="eastAsia" w:ascii="宋体" w:hAnsi="宋体" w:cs="宋体"/>
          <w:sz w:val="24"/>
          <w:highlight w:val="none"/>
        </w:rPr>
        <w:t>，还可以在投标截止时间前直接提交或者以快递方式递交备份投标文件1份。备份投标文件（文件后缀为：bfbs）的制作、存储、密封详见招标文件第二部分第15点—“备份投标文件”；⑨投标文件的解密：投标供应商按照平台提示和招标文件的规定在半小时内完成在线解密。通过“</w:t>
      </w:r>
      <w:r>
        <w:rPr>
          <w:rFonts w:hint="eastAsia" w:ascii="宋体" w:hAnsi="宋体" w:cs="宋体"/>
          <w:sz w:val="24"/>
          <w:highlight w:val="none"/>
          <w:lang w:eastAsia="zh-CN"/>
        </w:rPr>
        <w:t>乐采云平台</w:t>
      </w:r>
      <w:r>
        <w:rPr>
          <w:rFonts w:hint="eastAsia" w:ascii="宋体" w:hAnsi="宋体" w:cs="宋体"/>
          <w:sz w:val="24"/>
          <w:highlight w:val="none"/>
        </w:rPr>
        <w:t>”上传递交的投标文件无法按时解密，投标供应商递交了备份投标文件的，以备份投标文件为依据，否则视为投标文件撤回。通过“</w:t>
      </w:r>
      <w:r>
        <w:rPr>
          <w:rFonts w:hint="eastAsia" w:ascii="宋体" w:hAnsi="宋体" w:cs="宋体"/>
          <w:sz w:val="24"/>
          <w:highlight w:val="none"/>
          <w:lang w:eastAsia="zh-CN"/>
        </w:rPr>
        <w:t>乐采云平台</w:t>
      </w:r>
      <w:r>
        <w:rPr>
          <w:rFonts w:hint="eastAsia" w:ascii="宋体" w:hAnsi="宋体" w:cs="宋体"/>
          <w:sz w:val="24"/>
          <w:highlight w:val="none"/>
        </w:rPr>
        <w:t>”上传递交的投标文件已按时解密的，备份投标文件自动失效。投标供应商仅提交备份投标文件，未在电子交易平台传输递交投标文件的，投标无效；⑩具体操作指南：详见</w:t>
      </w:r>
      <w:r>
        <w:rPr>
          <w:rFonts w:hint="eastAsia" w:ascii="宋体" w:hAnsi="宋体" w:cs="宋体"/>
          <w:sz w:val="24"/>
          <w:highlight w:val="none"/>
          <w:lang w:eastAsia="zh-CN"/>
        </w:rPr>
        <w:t>乐采云</w:t>
      </w:r>
      <w:r>
        <w:rPr>
          <w:rFonts w:hint="eastAsia" w:ascii="宋体" w:hAnsi="宋体" w:cs="宋体"/>
          <w:sz w:val="24"/>
          <w:highlight w:val="none"/>
        </w:rPr>
        <w:t>平台“服务中心-帮助文档-项目采购-操作流程-电子招投标-政府采购项目电子交易管理操作指南-供应商”。</w:t>
      </w:r>
    </w:p>
    <w:p w14:paraId="42A79DA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（3）招标文件公告期限与招标公告的公告期限一致。</w:t>
      </w:r>
    </w:p>
    <w:p w14:paraId="76E224F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sz w:val="24"/>
          <w:highlight w:val="none"/>
        </w:rPr>
      </w:pPr>
      <w:r>
        <w:rPr>
          <w:rFonts w:hint="eastAsia" w:cs="宋体" w:asciiTheme="minorEastAsia" w:hAnsiTheme="minorEastAsia" w:eastAsiaTheme="minorEastAsia"/>
          <w:sz w:val="24"/>
          <w:highlight w:val="none"/>
        </w:rPr>
        <w:t>（4）本《第一部分  招标公告》中二、申请人的资格要求：第一条中的“重大税收违法案件当事人名单”即为“重大税收违法失信主体”。</w:t>
      </w:r>
    </w:p>
    <w:p w14:paraId="31C6FF60">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14:paraId="3CE4E34F">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1.采购人信息</w:t>
      </w:r>
    </w:p>
    <w:p w14:paraId="5156A835">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eastAsia="宋体" w:cs="宋体"/>
          <w:sz w:val="24"/>
          <w:highlight w:val="none"/>
          <w:lang w:eastAsia="zh-CN"/>
        </w:rPr>
      </w:pPr>
      <w:r>
        <w:rPr>
          <w:rFonts w:hint="eastAsia" w:ascii="宋体" w:hAnsi="宋体" w:cs="宋体"/>
          <w:sz w:val="24"/>
          <w:highlight w:val="none"/>
        </w:rPr>
        <w:t>名    称：</w:t>
      </w:r>
      <w:r>
        <w:rPr>
          <w:rFonts w:hint="eastAsia" w:ascii="宋体" w:hAnsi="宋体" w:cs="宋体"/>
          <w:sz w:val="24"/>
          <w:highlight w:val="none"/>
          <w:lang w:eastAsia="zh-CN"/>
        </w:rPr>
        <w:t xml:space="preserve">象山经济开发区投资有限公司 </w:t>
      </w:r>
    </w:p>
    <w:p w14:paraId="7025541B">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cs="宋体"/>
          <w:sz w:val="24"/>
          <w:highlight w:val="none"/>
          <w:lang w:val="en-US" w:eastAsia="zh-CN"/>
        </w:rPr>
      </w:pPr>
      <w:r>
        <w:rPr>
          <w:rFonts w:hint="eastAsia" w:ascii="宋体" w:hAnsi="宋体" w:cs="宋体"/>
          <w:sz w:val="24"/>
          <w:highlight w:val="none"/>
        </w:rPr>
        <w:t>地    址：宁波市象山县城东工业园映玉路58号</w:t>
      </w:r>
    </w:p>
    <w:p w14:paraId="53A608F3">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eastAsia="宋体" w:cs="宋体"/>
          <w:sz w:val="24"/>
          <w:highlight w:val="none"/>
          <w:lang w:val="en-US" w:eastAsia="zh-CN"/>
        </w:rPr>
      </w:pPr>
      <w:r>
        <w:rPr>
          <w:rFonts w:hint="eastAsia" w:ascii="宋体" w:hAnsi="宋体" w:cs="宋体"/>
          <w:sz w:val="24"/>
          <w:highlight w:val="none"/>
        </w:rPr>
        <w:t>传    真：</w:t>
      </w:r>
      <w:r>
        <w:rPr>
          <w:rFonts w:hint="eastAsia" w:ascii="宋体" w:hAnsi="宋体" w:cs="宋体"/>
          <w:sz w:val="24"/>
          <w:highlight w:val="none"/>
          <w:lang w:val="en-US" w:eastAsia="zh-CN"/>
        </w:rPr>
        <w:t>/</w:t>
      </w:r>
    </w:p>
    <w:p w14:paraId="239191A6">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cs="宋体"/>
          <w:sz w:val="24"/>
          <w:highlight w:val="none"/>
        </w:rPr>
      </w:pPr>
      <w:r>
        <w:rPr>
          <w:rFonts w:hint="eastAsia" w:ascii="宋体" w:hAnsi="宋体" w:cs="宋体"/>
          <w:sz w:val="24"/>
          <w:highlight w:val="none"/>
        </w:rPr>
        <w:t>项目联系人（询问）：史宏飞</w:t>
      </w:r>
    </w:p>
    <w:p w14:paraId="1D041D0F">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cs="宋体"/>
          <w:sz w:val="24"/>
          <w:highlight w:val="none"/>
        </w:rPr>
      </w:pPr>
      <w:r>
        <w:rPr>
          <w:rFonts w:hint="eastAsia" w:ascii="宋体" w:hAnsi="宋体" w:cs="宋体"/>
          <w:sz w:val="24"/>
          <w:highlight w:val="none"/>
        </w:rPr>
        <w:t>项目联系方式（询问）：0574-65008980</w:t>
      </w:r>
    </w:p>
    <w:p w14:paraId="4E225190">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cs="宋体"/>
          <w:sz w:val="24"/>
          <w:highlight w:val="none"/>
        </w:rPr>
      </w:pPr>
      <w:r>
        <w:rPr>
          <w:rFonts w:hint="eastAsia" w:ascii="宋体" w:hAnsi="宋体" w:cs="宋体"/>
          <w:sz w:val="24"/>
          <w:highlight w:val="none"/>
        </w:rPr>
        <w:t>质疑联系人：</w:t>
      </w:r>
      <w:r>
        <w:rPr>
          <w:rFonts w:hint="eastAsia" w:ascii="宋体" w:hAnsi="宋体" w:cs="宋体"/>
          <w:sz w:val="24"/>
          <w:highlight w:val="none"/>
          <w:lang w:val="en-US" w:eastAsia="zh-CN"/>
        </w:rPr>
        <w:t>史</w:t>
      </w:r>
      <w:r>
        <w:rPr>
          <w:rFonts w:hint="eastAsia" w:ascii="宋体" w:hAnsi="宋体" w:eastAsia="宋体" w:cs="宋体"/>
          <w:sz w:val="24"/>
          <w:highlight w:val="none"/>
        </w:rPr>
        <w:t>老师</w:t>
      </w:r>
    </w:p>
    <w:p w14:paraId="4D05C74C">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质疑联系方式：0574-65008980</w:t>
      </w:r>
    </w:p>
    <w:p w14:paraId="0DE35D75">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2.采购代理机构信息</w:t>
      </w:r>
    </w:p>
    <w:p w14:paraId="1B78568E">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名    称：浙江中基正采管理咨询有限公司</w:t>
      </w:r>
    </w:p>
    <w:p w14:paraId="31C00993">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地    址：宁波市鄞州区天童南路666号中基大厦19楼</w:t>
      </w:r>
    </w:p>
    <w:p w14:paraId="60BE9A70">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传    真：0574-87425373</w:t>
      </w:r>
    </w:p>
    <w:p w14:paraId="07C3A568">
      <w:pPr>
        <w:keepNext w:val="0"/>
        <w:keepLines w:val="0"/>
        <w:pageBreakBefore w:val="0"/>
        <w:kinsoku/>
        <w:wordWrap/>
        <w:overflowPunct/>
        <w:topLinePunct w:val="0"/>
        <w:autoSpaceDE/>
        <w:autoSpaceDN/>
        <w:bidi w:val="0"/>
        <w:adjustRightInd w:val="0"/>
        <w:spacing w:line="360" w:lineRule="auto"/>
        <w:ind w:firstLine="480"/>
        <w:textAlignment w:val="auto"/>
        <w:rPr>
          <w:rFonts w:hint="default" w:ascii="宋体" w:hAnsi="宋体" w:eastAsia="宋体" w:cs="宋体"/>
          <w:sz w:val="24"/>
          <w:highlight w:val="none"/>
          <w:lang w:val="en-US" w:eastAsia="zh-CN"/>
        </w:rPr>
      </w:pPr>
      <w:r>
        <w:rPr>
          <w:rFonts w:hint="eastAsia" w:ascii="宋体" w:hAnsi="宋体" w:cs="宋体"/>
          <w:sz w:val="24"/>
          <w:highlight w:val="none"/>
        </w:rPr>
        <w:t>项目联系人（询问）：</w:t>
      </w:r>
      <w:r>
        <w:rPr>
          <w:rFonts w:hint="eastAsia" w:ascii="宋体" w:hAnsi="宋体" w:cs="宋体"/>
          <w:sz w:val="24"/>
          <w:highlight w:val="none"/>
          <w:lang w:val="en-US" w:eastAsia="zh-CN"/>
        </w:rPr>
        <w:t>朱贤东</w:t>
      </w:r>
      <w:r>
        <w:rPr>
          <w:rFonts w:hint="eastAsia" w:ascii="宋体" w:hAnsi="宋体" w:cs="宋体"/>
          <w:sz w:val="24"/>
        </w:rPr>
        <w:t>、</w:t>
      </w:r>
      <w:r>
        <w:rPr>
          <w:rFonts w:hint="eastAsia" w:ascii="宋体" w:hAnsi="宋体" w:cs="宋体"/>
          <w:sz w:val="24"/>
          <w:lang w:val="en-US" w:eastAsia="zh-CN"/>
        </w:rPr>
        <w:t>史宇骁</w:t>
      </w:r>
    </w:p>
    <w:p w14:paraId="782B1EB1">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项目联系方式（询问）：0574-87426203</w:t>
      </w:r>
    </w:p>
    <w:p w14:paraId="00BF9E2E">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宋体" w:hAnsi="宋体" w:eastAsia="宋体" w:cs="宋体"/>
          <w:sz w:val="24"/>
          <w:highlight w:val="none"/>
          <w:lang w:val="en-US" w:eastAsia="zh-CN"/>
        </w:rPr>
      </w:pPr>
      <w:r>
        <w:rPr>
          <w:rFonts w:hint="eastAsia" w:ascii="宋体" w:hAnsi="宋体" w:cs="宋体"/>
          <w:sz w:val="24"/>
          <w:highlight w:val="none"/>
        </w:rPr>
        <w:t>质疑联系人：</w:t>
      </w:r>
      <w:r>
        <w:rPr>
          <w:rFonts w:hint="eastAsia" w:ascii="宋体" w:hAnsi="宋体" w:cs="宋体"/>
          <w:sz w:val="24"/>
          <w:highlight w:val="none"/>
          <w:lang w:val="en-US" w:eastAsia="zh-CN"/>
        </w:rPr>
        <w:t>王近娜</w:t>
      </w:r>
    </w:p>
    <w:p w14:paraId="39FD2645">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质疑联系方式：0574-87425583</w:t>
      </w:r>
    </w:p>
    <w:p w14:paraId="321E560A">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3.同级政府采购监督管理部门：</w:t>
      </w:r>
    </w:p>
    <w:p w14:paraId="2F0FCD45">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名    称：象山县财政局政府采购管理办公室</w:t>
      </w:r>
    </w:p>
    <w:p w14:paraId="6FB2AC90">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地    址：象山县丹西街道丹峰西路163号</w:t>
      </w:r>
    </w:p>
    <w:p w14:paraId="063AA3FC">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传    真：0574-65265612</w:t>
      </w:r>
    </w:p>
    <w:p w14:paraId="6BB7E420">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联 系 人 ：林老师</w:t>
      </w:r>
    </w:p>
    <w:p w14:paraId="6C52C690">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r>
        <w:rPr>
          <w:rFonts w:hint="eastAsia" w:ascii="宋体" w:hAnsi="宋体" w:cs="宋体"/>
          <w:sz w:val="24"/>
          <w:highlight w:val="none"/>
        </w:rPr>
        <w:t>投诉电话：0574-65753557</w:t>
      </w:r>
    </w:p>
    <w:p w14:paraId="025FFA12">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z w:val="24"/>
          <w:highlight w:val="none"/>
        </w:rPr>
      </w:pPr>
    </w:p>
    <w:p w14:paraId="21D05508">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若对项目采购电子交易系统操作有疑问，可登录</w:t>
      </w:r>
      <w:r>
        <w:rPr>
          <w:rFonts w:hint="eastAsia" w:ascii="宋体" w:hAnsi="宋体" w:cs="宋体"/>
          <w:sz w:val="24"/>
          <w:highlight w:val="none"/>
          <w:lang w:eastAsia="zh-CN"/>
        </w:rPr>
        <w:t>乐采云</w:t>
      </w:r>
      <w:r>
        <w:rPr>
          <w:rFonts w:hint="eastAsia" w:ascii="宋体" w:hAnsi="宋体" w:cs="宋体"/>
          <w:sz w:val="24"/>
          <w:highlight w:val="none"/>
        </w:rPr>
        <w:t>（https://www.</w:t>
      </w:r>
      <w:r>
        <w:rPr>
          <w:rFonts w:hint="eastAsia" w:ascii="宋体" w:hAnsi="宋体" w:cs="宋体"/>
          <w:sz w:val="24"/>
          <w:highlight w:val="none"/>
          <w:lang w:eastAsia="zh-CN"/>
        </w:rPr>
        <w:t>lecaiyun</w:t>
      </w:r>
      <w:r>
        <w:rPr>
          <w:rFonts w:hint="eastAsia" w:ascii="宋体" w:hAnsi="宋体" w:cs="宋体"/>
          <w:sz w:val="24"/>
          <w:highlight w:val="none"/>
        </w:rPr>
        <w:t>.cn/），点击右侧咨询小采，获取采小蜜智能服务管家帮助，或拨打</w:t>
      </w:r>
      <w:r>
        <w:rPr>
          <w:rFonts w:hint="eastAsia" w:ascii="宋体" w:hAnsi="宋体" w:cs="宋体"/>
          <w:sz w:val="24"/>
          <w:highlight w:val="none"/>
          <w:lang w:eastAsia="zh-CN"/>
        </w:rPr>
        <w:t>乐采云</w:t>
      </w:r>
      <w:r>
        <w:rPr>
          <w:rFonts w:hint="eastAsia" w:ascii="宋体" w:hAnsi="宋体" w:cs="宋体"/>
          <w:sz w:val="24"/>
          <w:highlight w:val="none"/>
        </w:rPr>
        <w:t>服务热线“95763”获取热线服务帮助。</w:t>
      </w:r>
    </w:p>
    <w:p w14:paraId="3062BEBA">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Ansi="宋体" w:cs="宋体"/>
          <w:b/>
          <w:sz w:val="36"/>
          <w:szCs w:val="20"/>
          <w:highlight w:val="none"/>
        </w:rPr>
      </w:pPr>
      <w:r>
        <w:rPr>
          <w:rFonts w:hint="eastAsia" w:ascii="宋体" w:hAnsi="宋体" w:cs="宋体"/>
          <w:sz w:val="24"/>
          <w:highlight w:val="none"/>
        </w:rPr>
        <w:t>CA问题联系电话（人工）：汇信CA 400-888-4636；天谷CA 400-087-8198。</w:t>
      </w:r>
    </w:p>
    <w:p w14:paraId="3801EAC3">
      <w:pPr>
        <w:tabs>
          <w:tab w:val="left" w:pos="432"/>
        </w:tabs>
        <w:rPr>
          <w:highlight w:val="none"/>
        </w:rPr>
      </w:pPr>
    </w:p>
    <w:p w14:paraId="5157E9A1">
      <w:pPr>
        <w:tabs>
          <w:tab w:val="left" w:pos="432"/>
        </w:tabs>
        <w:rPr>
          <w:highlight w:val="none"/>
        </w:rPr>
      </w:pPr>
    </w:p>
    <w:p w14:paraId="51BD9E3A">
      <w:pPr>
        <w:tabs>
          <w:tab w:val="left" w:pos="432"/>
        </w:tabs>
        <w:rPr>
          <w:rFonts w:ascii="宋体"/>
          <w:snapToGrid w:val="0"/>
          <w:highlight w:val="none"/>
        </w:rPr>
      </w:pPr>
      <w:r>
        <w:rPr>
          <w:highlight w:val="none"/>
        </w:rPr>
        <w:br w:type="page"/>
      </w:r>
    </w:p>
    <w:p w14:paraId="1E621A69">
      <w:pPr>
        <w:adjustRightInd/>
        <w:spacing w:line="360" w:lineRule="auto"/>
        <w:jc w:val="center"/>
        <w:outlineLvl w:val="0"/>
        <w:rPr>
          <w:rFonts w:ascii="宋体" w:hAnsi="宋体" w:cs="宋体"/>
          <w:b/>
          <w:sz w:val="36"/>
          <w:szCs w:val="20"/>
          <w:highlight w:val="none"/>
        </w:rPr>
      </w:pPr>
      <w:bookmarkStart w:id="12" w:name="_Toc30576"/>
      <w:r>
        <w:rPr>
          <w:rFonts w:hint="eastAsia" w:ascii="宋体" w:hAnsi="宋体" w:cs="宋体"/>
          <w:b/>
          <w:sz w:val="36"/>
          <w:szCs w:val="20"/>
          <w:highlight w:val="none"/>
        </w:rPr>
        <w:t>第二部分</w:t>
      </w:r>
      <w:bookmarkEnd w:id="6"/>
      <w:r>
        <w:rPr>
          <w:rFonts w:hint="eastAsia" w:ascii="宋体" w:hAnsi="宋体" w:cs="宋体"/>
          <w:b/>
          <w:sz w:val="36"/>
          <w:szCs w:val="20"/>
          <w:highlight w:val="none"/>
        </w:rPr>
        <w:t xml:space="preserve"> 投标人须知</w:t>
      </w:r>
      <w:bookmarkEnd w:id="7"/>
      <w:bookmarkEnd w:id="12"/>
    </w:p>
    <w:p w14:paraId="35ED716F">
      <w:pPr>
        <w:adjustRightInd/>
        <w:spacing w:line="360" w:lineRule="auto"/>
        <w:ind w:firstLine="3845" w:firstLineChars="1197"/>
        <w:rPr>
          <w:rFonts w:ascii="宋体" w:hAnsi="宋体" w:cs="宋体"/>
          <w:b/>
          <w:sz w:val="32"/>
          <w:szCs w:val="20"/>
          <w:highlight w:val="none"/>
        </w:rPr>
      </w:pPr>
      <w:r>
        <w:rPr>
          <w:rFonts w:hint="eastAsia" w:ascii="宋体" w:hAnsi="宋体" w:cs="宋体"/>
          <w:b/>
          <w:sz w:val="32"/>
          <w:szCs w:val="20"/>
          <w:highlight w:val="none"/>
        </w:rPr>
        <w:t>前附表</w:t>
      </w:r>
    </w:p>
    <w:tbl>
      <w:tblPr>
        <w:tblStyle w:val="62"/>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528"/>
      </w:tblGrid>
      <w:tr w14:paraId="36E94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tcPr>
          <w:p w14:paraId="0C2AA009">
            <w:pPr>
              <w:snapToGrid w:val="0"/>
              <w:jc w:val="center"/>
              <w:rPr>
                <w:rFonts w:ascii="宋体" w:hAnsi="宋体" w:cs="宋体"/>
                <w:b/>
                <w:sz w:val="24"/>
                <w:highlight w:val="none"/>
              </w:rPr>
            </w:pPr>
            <w:r>
              <w:rPr>
                <w:rFonts w:hint="eastAsia" w:ascii="宋体" w:hAnsi="宋体" w:cs="宋体"/>
                <w:b/>
                <w:sz w:val="24"/>
                <w:highlight w:val="none"/>
              </w:rPr>
              <w:t>序号</w:t>
            </w:r>
          </w:p>
        </w:tc>
        <w:tc>
          <w:tcPr>
            <w:tcW w:w="1843" w:type="dxa"/>
            <w:vAlign w:val="center"/>
          </w:tcPr>
          <w:p w14:paraId="6756676E">
            <w:pPr>
              <w:snapToGrid w:val="0"/>
              <w:jc w:val="center"/>
              <w:rPr>
                <w:rFonts w:ascii="宋体" w:hAnsi="宋体" w:cs="宋体"/>
                <w:b/>
                <w:sz w:val="24"/>
                <w:highlight w:val="none"/>
              </w:rPr>
            </w:pPr>
            <w:r>
              <w:rPr>
                <w:rFonts w:hint="eastAsia" w:ascii="宋体" w:hAnsi="宋体" w:cs="宋体"/>
                <w:b/>
                <w:sz w:val="24"/>
                <w:highlight w:val="none"/>
              </w:rPr>
              <w:t>事项</w:t>
            </w:r>
          </w:p>
        </w:tc>
        <w:tc>
          <w:tcPr>
            <w:tcW w:w="6528" w:type="dxa"/>
            <w:vAlign w:val="center"/>
          </w:tcPr>
          <w:p w14:paraId="0BC252B7">
            <w:pPr>
              <w:snapToGrid w:val="0"/>
              <w:jc w:val="center"/>
              <w:rPr>
                <w:rFonts w:ascii="宋体" w:hAnsi="宋体" w:cs="宋体"/>
                <w:b/>
                <w:sz w:val="24"/>
                <w:highlight w:val="none"/>
              </w:rPr>
            </w:pPr>
            <w:r>
              <w:rPr>
                <w:rFonts w:hint="eastAsia" w:ascii="宋体" w:hAnsi="宋体" w:cs="宋体"/>
                <w:b/>
                <w:sz w:val="24"/>
                <w:highlight w:val="none"/>
              </w:rPr>
              <w:t>本项目的特别规定</w:t>
            </w:r>
          </w:p>
        </w:tc>
      </w:tr>
      <w:tr w14:paraId="5CE0C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36915EC4">
            <w:pPr>
              <w:snapToGrid w:val="0"/>
              <w:jc w:val="center"/>
              <w:rPr>
                <w:rFonts w:ascii="宋体" w:hAnsi="宋体" w:cs="宋体"/>
                <w:sz w:val="24"/>
                <w:highlight w:val="none"/>
              </w:rPr>
            </w:pPr>
            <w:r>
              <w:rPr>
                <w:rFonts w:hint="eastAsia" w:ascii="宋体" w:hAnsi="宋体" w:cs="宋体"/>
                <w:sz w:val="24"/>
                <w:highlight w:val="none"/>
              </w:rPr>
              <w:t>1</w:t>
            </w:r>
          </w:p>
        </w:tc>
        <w:tc>
          <w:tcPr>
            <w:tcW w:w="1843" w:type="dxa"/>
            <w:vAlign w:val="center"/>
          </w:tcPr>
          <w:p w14:paraId="68BFD066">
            <w:pPr>
              <w:snapToGrid w:val="0"/>
              <w:jc w:val="center"/>
              <w:rPr>
                <w:rFonts w:ascii="宋体" w:hAnsi="宋体" w:cs="宋体"/>
                <w:b/>
                <w:sz w:val="24"/>
                <w:highlight w:val="none"/>
              </w:rPr>
            </w:pPr>
            <w:r>
              <w:rPr>
                <w:rFonts w:hint="eastAsia" w:ascii="宋体" w:hAnsi="宋体" w:cs="宋体"/>
                <w:b/>
                <w:sz w:val="24"/>
                <w:highlight w:val="none"/>
              </w:rPr>
              <w:t>项目属性与核心产品</w:t>
            </w:r>
          </w:p>
        </w:tc>
        <w:tc>
          <w:tcPr>
            <w:tcW w:w="6528" w:type="dxa"/>
            <w:vAlign w:val="center"/>
          </w:tcPr>
          <w:p w14:paraId="525B32E7">
            <w:pPr>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lang w:val="en-US" w:eastAsia="zh-CN"/>
              </w:rPr>
              <w:t xml:space="preserve"> 提升泵2 </w:t>
            </w:r>
            <w:r>
              <w:rPr>
                <w:rFonts w:hint="eastAsia" w:ascii="宋体" w:hAnsi="宋体" w:cs="宋体"/>
                <w:color w:val="auto"/>
                <w:sz w:val="24"/>
                <w:highlight w:val="none"/>
              </w:rPr>
              <w:t>。</w:t>
            </w:r>
          </w:p>
        </w:tc>
      </w:tr>
      <w:tr w14:paraId="1B187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11361163">
            <w:pPr>
              <w:snapToGrid w:val="0"/>
              <w:jc w:val="center"/>
              <w:rPr>
                <w:rFonts w:ascii="宋体" w:hAnsi="宋体" w:cs="宋体"/>
                <w:sz w:val="24"/>
                <w:highlight w:val="none"/>
              </w:rPr>
            </w:pPr>
            <w:r>
              <w:rPr>
                <w:rFonts w:hint="eastAsia" w:ascii="宋体" w:hAnsi="宋体" w:cs="宋体"/>
                <w:sz w:val="24"/>
                <w:highlight w:val="none"/>
              </w:rPr>
              <w:t>2</w:t>
            </w:r>
          </w:p>
        </w:tc>
        <w:tc>
          <w:tcPr>
            <w:tcW w:w="1843" w:type="dxa"/>
            <w:vAlign w:val="center"/>
          </w:tcPr>
          <w:p w14:paraId="22729581">
            <w:pPr>
              <w:snapToGrid w:val="0"/>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528" w:type="dxa"/>
            <w:vAlign w:val="center"/>
          </w:tcPr>
          <w:p w14:paraId="3EDBE49C">
            <w:pPr>
              <w:numPr>
                <w:ilvl w:val="0"/>
                <w:numId w:val="0"/>
              </w:numPr>
              <w:snapToGrid w:val="0"/>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（1）本项目为是否专门面向中小企业：</w:t>
            </w:r>
            <w:r>
              <w:rPr>
                <w:rFonts w:hint="eastAsia" w:ascii="宋体" w:hAnsi="宋体" w:cs="宋体"/>
                <w:color w:val="auto"/>
                <w:kern w:val="0"/>
                <w:sz w:val="24"/>
                <w:highlight w:val="none"/>
                <w:u w:val="single"/>
                <w:lang w:val="en-US" w:eastAsia="zh-CN"/>
              </w:rPr>
              <w:t>否</w:t>
            </w:r>
            <w:r>
              <w:rPr>
                <w:rFonts w:hint="eastAsia" w:ascii="宋体" w:hAnsi="宋体" w:eastAsia="宋体" w:cs="宋体"/>
                <w:color w:val="auto"/>
                <w:kern w:val="0"/>
                <w:sz w:val="24"/>
                <w:highlight w:val="none"/>
                <w:u w:val="none"/>
                <w:lang w:val="en-US" w:eastAsia="zh-CN"/>
              </w:rPr>
              <w:t>。</w:t>
            </w:r>
          </w:p>
          <w:p w14:paraId="083FB2C6">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textAlignment w:val="auto"/>
              <w:outlineLvl w:val="9"/>
              <w:rPr>
                <w:rFonts w:hint="eastAsia" w:ascii="宋体" w:hAnsi="宋体" w:eastAsia="宋体" w:cs="宋体"/>
                <w:kern w:val="0"/>
                <w:sz w:val="24"/>
                <w:highlight w:val="none"/>
                <w:lang w:val="en-US" w:eastAsia="zh-CN"/>
              </w:rPr>
            </w:pPr>
            <w:r>
              <w:rPr>
                <w:rFonts w:hint="eastAsia" w:ascii="宋体" w:hAnsi="宋体" w:cs="宋体"/>
                <w:kern w:val="0"/>
                <w:sz w:val="24"/>
                <w:highlight w:val="none"/>
                <w:lang w:eastAsia="zh-CN"/>
              </w:rPr>
              <w:t>（</w:t>
            </w:r>
            <w:r>
              <w:rPr>
                <w:rFonts w:hint="eastAsia" w:ascii="宋体" w:hAnsi="宋体" w:cs="宋体"/>
                <w:kern w:val="0"/>
                <w:sz w:val="24"/>
                <w:highlight w:val="none"/>
                <w:lang w:val="en-US" w:eastAsia="zh-CN"/>
              </w:rPr>
              <w:t>2</w:t>
            </w:r>
            <w:r>
              <w:rPr>
                <w:rFonts w:hint="eastAsia" w:ascii="宋体" w:hAnsi="宋体" w:cs="宋体"/>
                <w:kern w:val="0"/>
                <w:sz w:val="24"/>
                <w:highlight w:val="none"/>
                <w:lang w:eastAsia="zh-CN"/>
              </w:rPr>
              <w:t>）</w:t>
            </w:r>
            <w:r>
              <w:rPr>
                <w:rFonts w:hint="eastAsia" w:ascii="宋体" w:hAnsi="宋体" w:cs="宋体"/>
                <w:color w:val="auto"/>
                <w:kern w:val="0"/>
                <w:sz w:val="24"/>
                <w:highlight w:val="none"/>
              </w:rPr>
              <w:t>标的</w:t>
            </w:r>
            <w:r>
              <w:rPr>
                <w:rFonts w:hint="eastAsia" w:ascii="宋体" w:hAnsi="宋体" w:cs="宋体"/>
                <w:color w:val="auto"/>
                <w:kern w:val="0"/>
                <w:sz w:val="24"/>
                <w:highlight w:val="none"/>
                <w:lang w:val="en-US" w:eastAsia="zh-CN"/>
              </w:rPr>
              <w:t>名称：</w:t>
            </w:r>
          </w:p>
          <w:p w14:paraId="6805CAFE">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textAlignment w:val="auto"/>
              <w:outlineLvl w:val="9"/>
              <w:rPr>
                <w:rFonts w:hint="eastAsia" w:ascii="宋体" w:hAnsi="宋体" w:cs="宋体"/>
                <w:color w:val="auto"/>
                <w:kern w:val="0"/>
                <w:sz w:val="24"/>
                <w:highlight w:val="none"/>
                <w:lang w:eastAsia="zh-CN"/>
              </w:rPr>
            </w:pPr>
            <w:r>
              <w:rPr>
                <w:rFonts w:hint="eastAsia" w:ascii="宋体" w:hAnsi="宋体" w:cs="宋体"/>
                <w:color w:val="auto"/>
                <w:kern w:val="0"/>
                <w:sz w:val="24"/>
                <w:highlight w:val="none"/>
                <w:lang w:val="en-US" w:eastAsia="zh-CN"/>
              </w:rPr>
              <w:t>①</w:t>
            </w: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提升泵2 </w:t>
            </w:r>
            <w:r>
              <w:rPr>
                <w:rFonts w:hint="eastAsia" w:ascii="宋体" w:hAnsi="宋体" w:cs="宋体"/>
                <w:b/>
                <w:bCs/>
                <w:i/>
                <w:iCs/>
                <w:color w:val="C00000"/>
                <w:sz w:val="24"/>
                <w:highlight w:val="none"/>
                <w:u w:val="single"/>
                <w:lang w:eastAsia="zh-CN"/>
              </w:rPr>
              <w:t>（</w:t>
            </w:r>
            <w:r>
              <w:rPr>
                <w:rFonts w:hint="eastAsia" w:ascii="宋体" w:hAnsi="宋体" w:cs="宋体"/>
                <w:b/>
                <w:bCs/>
                <w:i/>
                <w:iCs/>
                <w:color w:val="C00000"/>
                <w:sz w:val="24"/>
                <w:highlight w:val="none"/>
                <w:u w:val="single"/>
                <w:lang w:val="en-US" w:eastAsia="zh-CN"/>
              </w:rPr>
              <w:t>填写“第三部分  采购需求  五、设备清单  1、新增设备清单”对应的产品名称。如：提升泵2、提升泵3、提升泵4、提升泵5、提升泵6等</w:t>
            </w:r>
            <w:r>
              <w:rPr>
                <w:rFonts w:hint="eastAsia" w:ascii="宋体" w:hAnsi="宋体" w:cs="宋体"/>
                <w:b/>
                <w:bCs/>
                <w:i/>
                <w:iCs/>
                <w:color w:val="C00000"/>
                <w:sz w:val="24"/>
                <w:highlight w:val="none"/>
                <w:u w:val="single"/>
                <w:lang w:eastAsia="zh-CN"/>
              </w:rPr>
              <w:t>，</w:t>
            </w:r>
            <w:r>
              <w:rPr>
                <w:rFonts w:hint="eastAsia" w:ascii="宋体" w:hAnsi="宋体" w:cs="宋体"/>
                <w:b/>
                <w:bCs/>
                <w:i/>
                <w:iCs/>
                <w:color w:val="C00000"/>
                <w:sz w:val="24"/>
                <w:highlight w:val="none"/>
                <w:u w:val="single"/>
                <w:lang w:val="en-US" w:eastAsia="zh-CN"/>
              </w:rPr>
              <w:t>本部分内容仅作为参考提示，文件编制时请删除</w:t>
            </w:r>
            <w:r>
              <w:rPr>
                <w:rFonts w:hint="eastAsia" w:ascii="宋体" w:hAnsi="宋体" w:cs="宋体"/>
                <w:b/>
                <w:bCs/>
                <w:i/>
                <w:iCs/>
                <w:color w:val="C00000"/>
                <w:sz w:val="24"/>
                <w:highlight w:val="none"/>
                <w:u w:val="single"/>
                <w:lang w:eastAsia="zh-CN"/>
              </w:rPr>
              <w:t>）</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工业 </w:t>
            </w:r>
            <w:r>
              <w:rPr>
                <w:rFonts w:hint="eastAsia" w:ascii="宋体" w:hAnsi="宋体" w:cs="宋体"/>
                <w:color w:val="auto"/>
                <w:kern w:val="0"/>
                <w:sz w:val="24"/>
                <w:highlight w:val="none"/>
              </w:rPr>
              <w:t>行业</w:t>
            </w:r>
            <w:r>
              <w:rPr>
                <w:rFonts w:hint="eastAsia" w:ascii="宋体" w:hAnsi="宋体" w:cs="宋体"/>
                <w:color w:val="auto"/>
                <w:kern w:val="0"/>
                <w:sz w:val="24"/>
                <w:highlight w:val="none"/>
                <w:lang w:eastAsia="zh-CN"/>
              </w:rPr>
              <w:t>；</w:t>
            </w:r>
          </w:p>
          <w:p w14:paraId="7C2F61FB">
            <w:pPr>
              <w:numPr>
                <w:ilvl w:val="0"/>
                <w:numId w:val="0"/>
              </w:numPr>
              <w:snapToGrid w:val="0"/>
              <w:rPr>
                <w:rFonts w:hint="eastAsia" w:ascii="宋体" w:hAnsi="宋体" w:eastAsia="宋体" w:cs="宋体"/>
                <w:highlight w:val="none"/>
                <w:lang w:eastAsia="zh-CN"/>
              </w:rPr>
            </w:pPr>
            <w:r>
              <w:rPr>
                <w:rFonts w:hint="eastAsia" w:ascii="宋体" w:hAnsi="宋体" w:cs="宋体"/>
                <w:color w:val="auto"/>
                <w:kern w:val="0"/>
                <w:sz w:val="24"/>
                <w:highlight w:val="none"/>
                <w:lang w:val="en-US" w:eastAsia="zh-CN"/>
              </w:rPr>
              <w:t>②</w:t>
            </w: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提升泵</w:t>
            </w:r>
            <w:r>
              <w:rPr>
                <w:rFonts w:hint="eastAsia" w:ascii="宋体" w:hAnsi="宋体" w:cs="宋体"/>
                <w:color w:val="auto"/>
                <w:kern w:val="0"/>
                <w:sz w:val="24"/>
                <w:highlight w:val="none"/>
                <w:u w:val="single"/>
                <w:lang w:val="en-US" w:eastAsia="zh-CN"/>
              </w:rPr>
              <w:t>3</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工业 </w:t>
            </w:r>
            <w:r>
              <w:rPr>
                <w:rFonts w:hint="eastAsia" w:ascii="宋体" w:hAnsi="宋体" w:cs="宋体"/>
                <w:color w:val="auto"/>
                <w:kern w:val="0"/>
                <w:sz w:val="24"/>
                <w:highlight w:val="none"/>
              </w:rPr>
              <w:t>行业</w:t>
            </w:r>
            <w:r>
              <w:rPr>
                <w:rFonts w:hint="eastAsia" w:ascii="宋体" w:hAnsi="宋体" w:cs="宋体"/>
                <w:color w:val="auto"/>
                <w:kern w:val="0"/>
                <w:sz w:val="24"/>
                <w:highlight w:val="none"/>
                <w:lang w:eastAsia="zh-CN"/>
              </w:rPr>
              <w:t>。</w:t>
            </w:r>
          </w:p>
        </w:tc>
      </w:tr>
      <w:tr w14:paraId="2AA6C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148A14BD">
            <w:pPr>
              <w:snapToGrid w:val="0"/>
              <w:jc w:val="center"/>
              <w:rPr>
                <w:rFonts w:ascii="宋体" w:hAnsi="宋体" w:cs="宋体"/>
                <w:sz w:val="24"/>
                <w:highlight w:val="none"/>
              </w:rPr>
            </w:pPr>
            <w:r>
              <w:rPr>
                <w:rFonts w:hint="eastAsia" w:ascii="宋体" w:hAnsi="宋体" w:cs="宋体"/>
                <w:sz w:val="24"/>
                <w:highlight w:val="none"/>
              </w:rPr>
              <w:t>3</w:t>
            </w:r>
          </w:p>
        </w:tc>
        <w:tc>
          <w:tcPr>
            <w:tcW w:w="1843" w:type="dxa"/>
            <w:vAlign w:val="center"/>
          </w:tcPr>
          <w:p w14:paraId="4F8C285B">
            <w:pPr>
              <w:snapToGrid w:val="0"/>
              <w:jc w:val="center"/>
              <w:rPr>
                <w:rFonts w:ascii="宋体" w:hAnsi="宋体" w:cs="宋体"/>
                <w:b/>
                <w:sz w:val="24"/>
                <w:highlight w:val="none"/>
              </w:rPr>
            </w:pPr>
            <w:r>
              <w:rPr>
                <w:rFonts w:hint="eastAsia" w:ascii="宋体" w:hAnsi="宋体" w:cs="宋体"/>
                <w:b/>
                <w:sz w:val="24"/>
                <w:highlight w:val="none"/>
              </w:rPr>
              <w:t>是否允许采购进口产品</w:t>
            </w:r>
          </w:p>
        </w:tc>
        <w:tc>
          <w:tcPr>
            <w:tcW w:w="6528" w:type="dxa"/>
            <w:vAlign w:val="center"/>
          </w:tcPr>
          <w:p w14:paraId="0F714051">
            <w:pPr>
              <w:rPr>
                <w:rFonts w:ascii="宋体" w:hAnsi="宋体" w:cs="宋体"/>
                <w:kern w:val="0"/>
                <w:sz w:val="24"/>
                <w:highlight w:val="none"/>
              </w:rPr>
            </w:pPr>
            <w:sdt>
              <w:sdtPr>
                <w:rPr>
                  <w:rFonts w:hint="eastAsia" w:ascii="宋体" w:hAnsi="宋体" w:cs="宋体"/>
                  <w:kern w:val="0"/>
                  <w:sz w:val="24"/>
                  <w:highlight w:val="none"/>
                </w:rPr>
                <w:id w:val="147456318"/>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cs="宋体"/>
                <w:kern w:val="0"/>
                <w:sz w:val="24"/>
                <w:highlight w:val="none"/>
              </w:rPr>
              <w:t>本项目不允许采购进口产品。</w:t>
            </w:r>
          </w:p>
          <w:p w14:paraId="16BB5250">
            <w:pPr>
              <w:rPr>
                <w:rFonts w:ascii="宋体" w:hAnsi="宋体" w:cs="宋体"/>
                <w:highlight w:val="none"/>
              </w:rPr>
            </w:pPr>
            <w:sdt>
              <w:sdtPr>
                <w:rPr>
                  <w:rFonts w:hint="eastAsia" w:ascii="宋体" w:hAnsi="宋体" w:cs="宋体"/>
                  <w:kern w:val="0"/>
                  <w:sz w:val="24"/>
                  <w:highlight w:val="none"/>
                </w:rPr>
                <w:id w:val="14747288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宋体" w:cs="宋体"/>
                    <w:kern w:val="0"/>
                    <w:sz w:val="24"/>
                    <w:szCs w:val="24"/>
                    <w:highlight w:val="none"/>
                    <w:lang w:val="en-US" w:eastAsia="zh-CN" w:bidi="ar-SA"/>
                  </w:rPr>
                  <w:t>☐</w:t>
                </w:r>
              </w:sdtContent>
            </w:sdt>
            <w:r>
              <w:rPr>
                <w:rFonts w:hint="eastAsia" w:ascii="宋体" w:hAnsi="宋体" w:cs="宋体"/>
                <w:kern w:val="0"/>
                <w:sz w:val="24"/>
                <w:highlight w:val="none"/>
              </w:rPr>
              <w:t>可以就</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kern w:val="0"/>
                <w:sz w:val="24"/>
                <w:highlight w:val="none"/>
              </w:rPr>
              <w:t>采购进口产品。</w:t>
            </w:r>
          </w:p>
        </w:tc>
      </w:tr>
      <w:tr w14:paraId="39C36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7B1B88D4">
            <w:pPr>
              <w:snapToGrid w:val="0"/>
              <w:jc w:val="center"/>
              <w:rPr>
                <w:rFonts w:ascii="宋体" w:hAnsi="宋体" w:cs="宋体"/>
                <w:sz w:val="24"/>
                <w:highlight w:val="none"/>
              </w:rPr>
            </w:pPr>
            <w:r>
              <w:rPr>
                <w:rFonts w:hint="eastAsia" w:ascii="宋体" w:hAnsi="宋体" w:cs="宋体"/>
                <w:sz w:val="24"/>
                <w:highlight w:val="none"/>
              </w:rPr>
              <w:t>4</w:t>
            </w:r>
          </w:p>
        </w:tc>
        <w:tc>
          <w:tcPr>
            <w:tcW w:w="1843" w:type="dxa"/>
            <w:vAlign w:val="center"/>
          </w:tcPr>
          <w:p w14:paraId="6DB3BAA7">
            <w:pPr>
              <w:snapToGrid w:val="0"/>
              <w:ind w:firstLine="482" w:firstLineChars="200"/>
              <w:rPr>
                <w:rFonts w:ascii="宋体" w:hAnsi="宋体" w:cs="宋体"/>
                <w:b/>
                <w:sz w:val="24"/>
                <w:highlight w:val="none"/>
              </w:rPr>
            </w:pPr>
            <w:r>
              <w:rPr>
                <w:rFonts w:hint="eastAsia" w:ascii="宋体" w:hAnsi="宋体" w:cs="宋体"/>
                <w:b/>
                <w:sz w:val="24"/>
                <w:highlight w:val="none"/>
              </w:rPr>
              <w:t>分包</w:t>
            </w:r>
          </w:p>
        </w:tc>
        <w:tc>
          <w:tcPr>
            <w:tcW w:w="6528" w:type="dxa"/>
            <w:vAlign w:val="center"/>
          </w:tcPr>
          <w:p w14:paraId="03A45103">
            <w:pPr>
              <w:rPr>
                <w:rFonts w:ascii="宋体" w:hAnsi="宋体" w:cs="宋体"/>
                <w:sz w:val="24"/>
                <w:highlight w:val="none"/>
              </w:rPr>
            </w:pPr>
            <w:sdt>
              <w:sdtPr>
                <w:rPr>
                  <w:rFonts w:hint="eastAsia" w:ascii="宋体" w:hAnsi="宋体" w:cs="宋体"/>
                  <w:kern w:val="0"/>
                  <w:sz w:val="24"/>
                  <w:highlight w:val="none"/>
                </w:rPr>
                <w:id w:val="147462411"/>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eastAsia="宋体" w:cs="宋体"/>
                    <w:kern w:val="0"/>
                    <w:sz w:val="24"/>
                    <w:szCs w:val="24"/>
                    <w:highlight w:val="none"/>
                    <w:lang w:val="en-US" w:eastAsia="zh-CN" w:bidi="ar-SA"/>
                  </w:rPr>
                  <w:t>þ</w:t>
                </w:r>
              </w:sdtContent>
            </w:sdt>
            <w:r>
              <w:rPr>
                <w:rFonts w:hint="eastAsia" w:ascii="宋体" w:hAnsi="宋体" w:cs="宋体"/>
                <w:kern w:val="0"/>
                <w:sz w:val="24"/>
                <w:highlight w:val="none"/>
              </w:rPr>
              <w:t xml:space="preserve"> A</w:t>
            </w:r>
            <w:r>
              <w:rPr>
                <w:rFonts w:hint="eastAsia" w:ascii="宋体" w:hAnsi="宋体" w:cs="宋体"/>
                <w:sz w:val="24"/>
                <w:highlight w:val="none"/>
              </w:rPr>
              <w:t>同意将非主体、非关键性的工作分包。</w:t>
            </w:r>
          </w:p>
          <w:p w14:paraId="48C86F1B">
            <w:pPr>
              <w:rPr>
                <w:rFonts w:ascii="宋体" w:hAnsi="宋体" w:cs="宋体"/>
                <w:sz w:val="24"/>
                <w:highlight w:val="none"/>
              </w:rPr>
            </w:pPr>
            <w:sdt>
              <w:sdtPr>
                <w:rPr>
                  <w:rFonts w:hint="eastAsia" w:ascii="宋体" w:hAnsi="宋体" w:cs="宋体"/>
                  <w:kern w:val="0"/>
                  <w:sz w:val="24"/>
                  <w:highlight w:val="none"/>
                </w:rPr>
                <w:id w:val="14748100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宋体" w:cs="宋体"/>
                    <w:kern w:val="0"/>
                    <w:sz w:val="24"/>
                    <w:szCs w:val="24"/>
                    <w:highlight w:val="none"/>
                    <w:lang w:val="en-US" w:eastAsia="zh-CN" w:bidi="ar-SA"/>
                  </w:rPr>
                  <w:t>☐</w:t>
                </w:r>
              </w:sdtContent>
            </w:sdt>
            <w:r>
              <w:rPr>
                <w:rFonts w:hint="eastAsia" w:ascii="宋体" w:hAnsi="宋体" w:cs="宋体"/>
                <w:kern w:val="0"/>
                <w:sz w:val="24"/>
                <w:highlight w:val="none"/>
              </w:rPr>
              <w:t xml:space="preserve"> B</w:t>
            </w:r>
            <w:r>
              <w:rPr>
                <w:rFonts w:hint="eastAsia" w:ascii="宋体" w:hAnsi="宋体" w:cs="宋体"/>
                <w:sz w:val="24"/>
                <w:highlight w:val="none"/>
              </w:rPr>
              <w:t>不同意分包。</w:t>
            </w:r>
          </w:p>
          <w:p w14:paraId="146DEED9">
            <w:pPr>
              <w:rPr>
                <w:rFonts w:ascii="宋体" w:hAnsi="宋体" w:cs="宋体"/>
                <w:sz w:val="24"/>
                <w:highlight w:val="none"/>
              </w:rPr>
            </w:pPr>
            <w:r>
              <w:rPr>
                <w:rFonts w:hint="eastAsia" w:ascii="宋体" w:hAnsi="宋体" w:cs="宋体"/>
                <w:sz w:val="24"/>
                <w:highlight w:val="none"/>
              </w:rPr>
              <w:t>注：不得限制大中型企业向小微企业合理分包。</w:t>
            </w:r>
          </w:p>
        </w:tc>
      </w:tr>
      <w:tr w14:paraId="2F8E9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20889E1E">
            <w:pPr>
              <w:snapToGrid w:val="0"/>
              <w:jc w:val="center"/>
              <w:rPr>
                <w:rFonts w:ascii="宋体" w:hAnsi="宋体" w:cs="宋体"/>
                <w:sz w:val="24"/>
                <w:highlight w:val="none"/>
              </w:rPr>
            </w:pPr>
            <w:r>
              <w:rPr>
                <w:rFonts w:hint="eastAsia" w:ascii="宋体" w:hAnsi="宋体" w:cs="宋体"/>
                <w:sz w:val="24"/>
                <w:highlight w:val="none"/>
              </w:rPr>
              <w:t>5</w:t>
            </w:r>
          </w:p>
        </w:tc>
        <w:tc>
          <w:tcPr>
            <w:tcW w:w="1843" w:type="dxa"/>
            <w:vAlign w:val="center"/>
          </w:tcPr>
          <w:p w14:paraId="5F4DE0B4">
            <w:pPr>
              <w:snapToGrid w:val="0"/>
              <w:jc w:val="center"/>
              <w:rPr>
                <w:rFonts w:ascii="宋体" w:hAnsi="宋体" w:cs="宋体"/>
                <w:b/>
                <w:sz w:val="24"/>
                <w:highlight w:val="none"/>
              </w:rPr>
            </w:pPr>
            <w:r>
              <w:rPr>
                <w:rFonts w:hint="eastAsia" w:ascii="宋体" w:hAnsi="宋体" w:cs="宋体"/>
                <w:b/>
                <w:sz w:val="24"/>
                <w:highlight w:val="none"/>
              </w:rPr>
              <w:t>开标前答疑会或现场考察</w:t>
            </w:r>
          </w:p>
        </w:tc>
        <w:tc>
          <w:tcPr>
            <w:tcW w:w="6528" w:type="dxa"/>
            <w:vAlign w:val="center"/>
          </w:tcPr>
          <w:p w14:paraId="3B414633">
            <w:pPr>
              <w:rPr>
                <w:rFonts w:ascii="宋体" w:hAnsi="宋体" w:cs="宋体"/>
                <w:sz w:val="24"/>
                <w:highlight w:val="none"/>
              </w:rPr>
            </w:pPr>
            <w:sdt>
              <w:sdtPr>
                <w:rPr>
                  <w:rFonts w:hint="eastAsia" w:ascii="宋体" w:hAnsi="宋体" w:cs="宋体"/>
                  <w:kern w:val="0"/>
                  <w:sz w:val="24"/>
                  <w:highlight w:val="none"/>
                </w:rPr>
                <w:id w:val="147460462"/>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5B3B80C0">
            <w:pPr>
              <w:rPr>
                <w:rFonts w:ascii="宋体" w:hAnsi="宋体" w:cs="宋体"/>
                <w:sz w:val="24"/>
                <w:szCs w:val="20"/>
                <w:highlight w:val="none"/>
              </w:rPr>
            </w:pPr>
            <w:sdt>
              <w:sdtPr>
                <w:rPr>
                  <w:rFonts w:hint="eastAsia" w:ascii="宋体" w:hAnsi="宋体" w:cs="宋体"/>
                  <w:kern w:val="0"/>
                  <w:sz w:val="24"/>
                  <w:highlight w:val="none"/>
                </w:rPr>
                <w:id w:val="147475279"/>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lang w:eastAsia="zh-CN"/>
              </w:rPr>
              <w:t>，</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tc>
      </w:tr>
      <w:tr w14:paraId="6DF50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6CB90D15">
            <w:pPr>
              <w:snapToGrid w:val="0"/>
              <w:jc w:val="center"/>
              <w:rPr>
                <w:rFonts w:ascii="宋体" w:hAnsi="宋体" w:cs="宋体"/>
                <w:sz w:val="24"/>
                <w:highlight w:val="none"/>
              </w:rPr>
            </w:pPr>
            <w:r>
              <w:rPr>
                <w:rFonts w:hint="eastAsia" w:ascii="宋体" w:hAnsi="宋体" w:cs="宋体"/>
                <w:sz w:val="24"/>
                <w:highlight w:val="none"/>
              </w:rPr>
              <w:t>6</w:t>
            </w:r>
          </w:p>
        </w:tc>
        <w:tc>
          <w:tcPr>
            <w:tcW w:w="1843" w:type="dxa"/>
            <w:vAlign w:val="center"/>
          </w:tcPr>
          <w:p w14:paraId="795DA75E">
            <w:pPr>
              <w:snapToGrid w:val="0"/>
              <w:jc w:val="center"/>
              <w:rPr>
                <w:rFonts w:ascii="宋体" w:hAnsi="宋体" w:cs="宋体"/>
                <w:b/>
                <w:sz w:val="24"/>
                <w:highlight w:val="none"/>
              </w:rPr>
            </w:pPr>
            <w:r>
              <w:rPr>
                <w:rFonts w:hint="eastAsia" w:ascii="宋体" w:hAnsi="宋体" w:cs="宋体"/>
                <w:b/>
                <w:sz w:val="24"/>
                <w:highlight w:val="none"/>
              </w:rPr>
              <w:t>样品提供</w:t>
            </w:r>
          </w:p>
        </w:tc>
        <w:tc>
          <w:tcPr>
            <w:tcW w:w="6528" w:type="dxa"/>
            <w:vAlign w:val="center"/>
          </w:tcPr>
          <w:p w14:paraId="4DD862C2">
            <w:pPr>
              <w:rPr>
                <w:rFonts w:ascii="宋体" w:hAnsi="宋体" w:cs="宋体"/>
                <w:sz w:val="24"/>
                <w:highlight w:val="none"/>
              </w:rPr>
            </w:pPr>
            <w:sdt>
              <w:sdtPr>
                <w:rPr>
                  <w:rFonts w:hint="eastAsia" w:ascii="宋体" w:hAnsi="宋体" w:cs="宋体"/>
                  <w:kern w:val="0"/>
                  <w:sz w:val="24"/>
                  <w:highlight w:val="none"/>
                </w:rPr>
                <w:id w:val="147476480"/>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不要求提供。</w:t>
            </w:r>
          </w:p>
          <w:p w14:paraId="027FD198">
            <w:pPr>
              <w:rPr>
                <w:rFonts w:ascii="宋体" w:hAnsi="宋体" w:cs="宋体"/>
                <w:kern w:val="0"/>
                <w:sz w:val="24"/>
                <w:highlight w:val="none"/>
              </w:rPr>
            </w:pPr>
            <w:sdt>
              <w:sdtPr>
                <w:rPr>
                  <w:rFonts w:hint="eastAsia" w:ascii="宋体" w:hAnsi="宋体" w:cs="宋体"/>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szCs w:val="24"/>
                    <w:highlight w:val="none"/>
                    <w:lang w:val="en-US" w:eastAsia="zh-CN" w:bidi="ar-SA"/>
                  </w:rPr>
                  <w:t>☐</w:t>
                </w:r>
              </w:sdtContent>
            </w:sdt>
            <w:r>
              <w:rPr>
                <w:rFonts w:hint="eastAsia" w:ascii="宋体" w:hAnsi="宋体" w:cs="宋体"/>
                <w:kern w:val="0"/>
                <w:sz w:val="24"/>
                <w:highlight w:val="none"/>
              </w:rPr>
              <w:t>B要求提供，</w:t>
            </w:r>
          </w:p>
          <w:p w14:paraId="34C2E10A">
            <w:pPr>
              <w:rPr>
                <w:rFonts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snapToGrid w:val="0"/>
                <w:kern w:val="28"/>
                <w:sz w:val="24"/>
                <w:highlight w:val="none"/>
              </w:rPr>
              <w:t>样品：</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kern w:val="0"/>
                <w:sz w:val="24"/>
                <w:highlight w:val="none"/>
              </w:rPr>
              <w:t>；</w:t>
            </w:r>
          </w:p>
          <w:p w14:paraId="7B318607">
            <w:pPr>
              <w:rPr>
                <w:rFonts w:ascii="宋体" w:hAnsi="宋体" w:cs="宋体"/>
                <w:kern w:val="0"/>
                <w:sz w:val="24"/>
                <w:highlight w:val="none"/>
              </w:rPr>
            </w:pPr>
            <w:r>
              <w:rPr>
                <w:rFonts w:hint="eastAsia" w:ascii="宋体" w:hAnsi="宋体" w:cs="宋体"/>
                <w:kern w:val="0"/>
                <w:sz w:val="24"/>
                <w:highlight w:val="none"/>
              </w:rPr>
              <w:t>（2）</w:t>
            </w:r>
            <w:r>
              <w:rPr>
                <w:rFonts w:hint="eastAsia" w:ascii="宋体" w:hAnsi="宋体" w:cs="宋体"/>
                <w:snapToGrid w:val="0"/>
                <w:kern w:val="28"/>
                <w:sz w:val="24"/>
                <w:highlight w:val="none"/>
              </w:rPr>
              <w:t>样品制作的标准和要求：</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34B450BC">
            <w:pPr>
              <w:rPr>
                <w:rFonts w:ascii="宋体" w:hAnsi="宋体" w:cs="宋体"/>
                <w:kern w:val="0"/>
                <w:sz w:val="24"/>
                <w:highlight w:val="none"/>
              </w:rPr>
            </w:pPr>
            <w:r>
              <w:rPr>
                <w:rFonts w:hint="eastAsia" w:ascii="宋体" w:hAnsi="宋体" w:cs="宋体"/>
                <w:kern w:val="0"/>
                <w:sz w:val="24"/>
                <w:highlight w:val="none"/>
              </w:rPr>
              <w:t>（3）样品的评审方法以及评审标准</w:t>
            </w:r>
            <w:r>
              <w:rPr>
                <w:rFonts w:hint="eastAsia" w:ascii="宋体" w:hAnsi="宋体" w:cs="宋体"/>
                <w:snapToGrid w:val="0"/>
                <w:kern w:val="28"/>
                <w:sz w:val="24"/>
                <w:highlight w:val="none"/>
              </w:rPr>
              <w:t>：详见</w:t>
            </w:r>
            <w:r>
              <w:rPr>
                <w:rFonts w:hint="eastAsia" w:ascii="宋体" w:hAnsi="宋体" w:cs="宋体"/>
                <w:sz w:val="24"/>
                <w:highlight w:val="none"/>
                <w:u w:val="single"/>
              </w:rPr>
              <w:t>评标办法</w:t>
            </w:r>
            <w:r>
              <w:rPr>
                <w:rFonts w:hint="eastAsia" w:ascii="宋体" w:hAnsi="宋体" w:cs="宋体"/>
                <w:kern w:val="0"/>
                <w:sz w:val="24"/>
                <w:highlight w:val="none"/>
              </w:rPr>
              <w:t>；</w:t>
            </w:r>
          </w:p>
          <w:p w14:paraId="6C565F5C">
            <w:pPr>
              <w:rPr>
                <w:rFonts w:ascii="宋体" w:hAnsi="宋体" w:cs="宋体"/>
                <w:kern w:val="0"/>
                <w:sz w:val="24"/>
                <w:highlight w:val="none"/>
              </w:rPr>
            </w:pPr>
            <w:r>
              <w:rPr>
                <w:rFonts w:hint="eastAsia" w:ascii="宋体" w:hAnsi="宋体" w:cs="宋体"/>
                <w:kern w:val="0"/>
                <w:sz w:val="24"/>
                <w:highlight w:val="none"/>
              </w:rPr>
              <w:t>（4）是否需要随样品提交检测报告：</w:t>
            </w:r>
            <w:sdt>
              <w:sdtPr>
                <w:rPr>
                  <w:rFonts w:hint="eastAsia" w:ascii="宋体" w:hAnsi="宋体" w:cs="宋体"/>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否；</w:t>
            </w:r>
            <w:sdt>
              <w:sdtPr>
                <w:rPr>
                  <w:rFonts w:hint="eastAsia" w:ascii="宋体" w:hAnsi="宋体" w:cs="宋体"/>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是，检测机构的要求</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kern w:val="0"/>
                <w:sz w:val="24"/>
                <w:highlight w:val="none"/>
              </w:rPr>
              <w:t>；检测内容</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72AEF21D">
            <w:pPr>
              <w:rPr>
                <w:rFonts w:ascii="宋体" w:hAnsi="宋体" w:cs="宋体"/>
                <w:sz w:val="24"/>
                <w:highlight w:val="none"/>
              </w:rPr>
            </w:pPr>
            <w:r>
              <w:rPr>
                <w:rFonts w:hint="eastAsia" w:ascii="宋体" w:hAnsi="宋体" w:cs="宋体"/>
                <w:sz w:val="24"/>
                <w:highlight w:val="none"/>
              </w:rPr>
              <w:t>（5）提供样品的时间：</w:t>
            </w:r>
            <w:r>
              <w:rPr>
                <w:rFonts w:hint="eastAsia" w:ascii="宋体" w:hAnsi="宋体" w:cs="宋体"/>
                <w:sz w:val="24"/>
                <w:highlight w:val="none"/>
                <w:u w:val="single"/>
              </w:rPr>
              <w:t xml:space="preserve">  </w:t>
            </w:r>
            <w:r>
              <w:rPr>
                <w:rFonts w:hint="eastAsia" w:ascii="宋体" w:hAnsi="宋体" w:cs="宋体"/>
                <w:kern w:val="0"/>
                <w:sz w:val="24"/>
                <w:highlight w:val="none"/>
              </w:rPr>
              <w:t>；地点：</w:t>
            </w:r>
            <w:r>
              <w:rPr>
                <w:rFonts w:hint="eastAsia" w:ascii="宋体" w:hAnsi="宋体" w:cs="宋体"/>
                <w:sz w:val="24"/>
                <w:highlight w:val="none"/>
                <w:u w:val="single"/>
              </w:rPr>
              <w:t xml:space="preserve">  </w:t>
            </w:r>
            <w:r>
              <w:rPr>
                <w:rFonts w:hint="eastAsia" w:ascii="宋体" w:hAnsi="宋体" w:cs="宋体"/>
                <w:kern w:val="0"/>
                <w:sz w:val="24"/>
                <w:highlight w:val="none"/>
              </w:rPr>
              <w:t>；联系人</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28"/>
                <w:sz w:val="24"/>
                <w:highlight w:val="none"/>
              </w:rPr>
              <w:t>联系电话：</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sz w:val="24"/>
                <w:highlight w:val="none"/>
              </w:rPr>
              <w:t>。请投标人在上述时间内提供样品并按规定位置安装完毕。超过截止时间的，采购人或采购代理机构将不予接收，并将清场并封闭样品现场。</w:t>
            </w:r>
          </w:p>
          <w:p w14:paraId="28F4BB67">
            <w:pPr>
              <w:rPr>
                <w:rFonts w:ascii="宋体" w:hAnsi="宋体" w:cs="宋体"/>
                <w:sz w:val="24"/>
                <w:highlight w:val="none"/>
              </w:rPr>
            </w:pPr>
            <w:r>
              <w:rPr>
                <w:rFonts w:hint="eastAsia" w:ascii="宋体" w:hAnsi="宋体" w:cs="宋体"/>
                <w:sz w:val="24"/>
                <w:highlight w:val="none"/>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4427179">
            <w:pPr>
              <w:rPr>
                <w:rFonts w:ascii="宋体" w:hAnsi="宋体" w:cs="宋体"/>
                <w:b/>
                <w:sz w:val="24"/>
                <w:highlight w:val="none"/>
              </w:rPr>
            </w:pPr>
            <w:r>
              <w:rPr>
                <w:rFonts w:hint="eastAsia" w:ascii="宋体" w:hAnsi="宋体" w:cs="宋体"/>
                <w:sz w:val="24"/>
                <w:highlight w:val="none"/>
              </w:rPr>
              <w:t>（7）制作、运输、安装和保管样品所发生的一切费用由投标人自理。</w:t>
            </w:r>
          </w:p>
        </w:tc>
      </w:tr>
      <w:tr w14:paraId="5C685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589E6F24">
            <w:pPr>
              <w:snapToGrid w:val="0"/>
              <w:jc w:val="center"/>
              <w:rPr>
                <w:rFonts w:ascii="宋体" w:hAnsi="宋体" w:cs="宋体"/>
                <w:sz w:val="24"/>
                <w:highlight w:val="none"/>
              </w:rPr>
            </w:pPr>
            <w:r>
              <w:rPr>
                <w:rFonts w:hint="eastAsia" w:ascii="宋体" w:hAnsi="宋体" w:cs="宋体"/>
                <w:sz w:val="24"/>
                <w:highlight w:val="none"/>
              </w:rPr>
              <w:t>7</w:t>
            </w:r>
          </w:p>
        </w:tc>
        <w:tc>
          <w:tcPr>
            <w:tcW w:w="1843" w:type="dxa"/>
            <w:vAlign w:val="center"/>
          </w:tcPr>
          <w:p w14:paraId="471AD7CB">
            <w:pPr>
              <w:snapToGrid w:val="0"/>
              <w:jc w:val="center"/>
              <w:rPr>
                <w:rFonts w:ascii="宋体" w:hAnsi="宋体" w:cs="宋体"/>
                <w:bCs/>
                <w:sz w:val="24"/>
                <w:highlight w:val="none"/>
              </w:rPr>
            </w:pPr>
            <w:r>
              <w:rPr>
                <w:rFonts w:hint="eastAsia" w:ascii="宋体" w:hAnsi="宋体" w:cs="宋体"/>
                <w:b/>
                <w:sz w:val="24"/>
                <w:highlight w:val="none"/>
              </w:rPr>
              <w:t>方案讲解演示</w:t>
            </w:r>
          </w:p>
        </w:tc>
        <w:tc>
          <w:tcPr>
            <w:tcW w:w="6528" w:type="dxa"/>
            <w:vAlign w:val="center"/>
          </w:tcPr>
          <w:p w14:paraId="75DB9E3B">
            <w:pPr>
              <w:rPr>
                <w:rFonts w:ascii="宋体" w:hAnsi="宋体" w:cs="宋体"/>
                <w:sz w:val="24"/>
                <w:highlight w:val="none"/>
              </w:rPr>
            </w:pPr>
            <w:sdt>
              <w:sdtPr>
                <w:rPr>
                  <w:rFonts w:hint="eastAsia" w:ascii="宋体" w:hAnsi="宋体" w:cs="宋体"/>
                  <w:kern w:val="0"/>
                  <w:sz w:val="24"/>
                  <w:highlight w:val="none"/>
                </w:rPr>
                <w:id w:val="147472768"/>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6EABE8F4">
            <w:pPr>
              <w:rPr>
                <w:rFonts w:ascii="宋体" w:hAnsi="宋体" w:cs="宋体"/>
                <w:kern w:val="0"/>
                <w:sz w:val="24"/>
                <w:highlight w:val="none"/>
              </w:rPr>
            </w:pPr>
            <w:sdt>
              <w:sdtPr>
                <w:rPr>
                  <w:rFonts w:hint="eastAsia" w:ascii="宋体" w:hAnsi="宋体" w:cs="宋体"/>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p>
          <w:p w14:paraId="3B28453C">
            <w:pPr>
              <w:snapToGrid w:val="0"/>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w:t>
            </w:r>
            <w:r>
              <w:rPr>
                <w:rFonts w:hint="eastAsia" w:ascii="宋体" w:hAnsi="宋体" w:cs="宋体"/>
                <w:kern w:val="0"/>
                <w:sz w:val="24"/>
                <w:highlight w:val="none"/>
                <w:u w:val="single"/>
              </w:rPr>
              <w:t>20（编制时可根据项目情况进行调整）</w:t>
            </w:r>
            <w:r>
              <w:rPr>
                <w:rFonts w:hint="eastAsia" w:ascii="宋体" w:hAnsi="宋体" w:cs="宋体"/>
                <w:kern w:val="0"/>
                <w:sz w:val="24"/>
                <w:highlight w:val="none"/>
              </w:rPr>
              <w:t>分钟，讲解次序以投标文件解密时间先后次序为准，讲解演示人员不超过</w:t>
            </w:r>
            <w:r>
              <w:rPr>
                <w:rFonts w:hint="eastAsia" w:ascii="宋体" w:hAnsi="宋体" w:cs="宋体"/>
                <w:kern w:val="0"/>
                <w:sz w:val="24"/>
                <w:highlight w:val="none"/>
                <w:u w:val="single"/>
              </w:rPr>
              <w:t>3（编制时可根据项目情况进行调整）</w:t>
            </w:r>
            <w:r>
              <w:rPr>
                <w:rFonts w:hint="eastAsia" w:ascii="宋体" w:hAnsi="宋体" w:cs="宋体"/>
                <w:kern w:val="0"/>
                <w:sz w:val="24"/>
                <w:highlight w:val="none"/>
              </w:rPr>
              <w:t>人。讲解演示结束后按要求解答评标委员会提问。</w:t>
            </w:r>
          </w:p>
          <w:p w14:paraId="1D5A6EDF">
            <w:pPr>
              <w:snapToGrid w:val="0"/>
              <w:rPr>
                <w:rFonts w:ascii="宋体" w:hAnsi="宋体" w:cs="宋体"/>
                <w:kern w:val="0"/>
                <w:sz w:val="24"/>
                <w:highlight w:val="none"/>
              </w:rPr>
            </w:pPr>
            <w:r>
              <w:rPr>
                <w:rFonts w:hint="eastAsia" w:ascii="宋体" w:hAnsi="宋体" w:cs="宋体"/>
                <w:kern w:val="0"/>
                <w:sz w:val="24"/>
                <w:highlight w:val="none"/>
              </w:rPr>
              <w:t>（2）方案讲解演示可选择以下其中一种方式：</w:t>
            </w:r>
          </w:p>
          <w:p w14:paraId="2C6F0B5A">
            <w:pPr>
              <w:snapToGrid w:val="0"/>
              <w:rPr>
                <w:rFonts w:ascii="宋体" w:hAnsi="宋体" w:cs="宋体"/>
                <w:kern w:val="0"/>
                <w:sz w:val="24"/>
                <w:highlight w:val="none"/>
              </w:rPr>
            </w:pPr>
            <w:r>
              <w:rPr>
                <w:rFonts w:hint="eastAsia" w:ascii="宋体" w:hAnsi="宋体" w:cs="宋体"/>
                <w:kern w:val="0"/>
                <w:sz w:val="24"/>
                <w:highlight w:val="none"/>
              </w:rPr>
              <w:t>方式一：</w:t>
            </w:r>
            <w:r>
              <w:rPr>
                <w:rFonts w:hint="eastAsia" w:ascii="宋体" w:hAnsi="宋体" w:cs="宋体"/>
                <w:kern w:val="0"/>
                <w:sz w:val="24"/>
                <w:highlight w:val="none"/>
                <w:lang w:eastAsia="zh-CN"/>
              </w:rPr>
              <w:t>乐采云</w:t>
            </w:r>
            <w:r>
              <w:rPr>
                <w:rFonts w:hint="eastAsia" w:ascii="宋体" w:hAnsi="宋体" w:cs="宋体"/>
                <w:kern w:val="0"/>
                <w:sz w:val="24"/>
                <w:highlight w:val="none"/>
              </w:rPr>
              <w:t>平台在线讲解演示。</w:t>
            </w:r>
            <w:r>
              <w:rPr>
                <w:rFonts w:hint="eastAsia" w:ascii="宋体" w:hAnsi="宋体" w:cs="宋体"/>
                <w:kern w:val="0"/>
                <w:sz w:val="24"/>
                <w:highlight w:val="none"/>
                <w:lang w:eastAsia="zh-CN"/>
              </w:rPr>
              <w:t>乐采云</w:t>
            </w:r>
            <w:r>
              <w:rPr>
                <w:rFonts w:hint="eastAsia" w:ascii="宋体" w:hAnsi="宋体" w:cs="宋体"/>
                <w:kern w:val="0"/>
                <w:sz w:val="24"/>
                <w:highlight w:val="none"/>
              </w:rPr>
              <w:t>平台在线讲解需投标人根据</w:t>
            </w:r>
            <w:r>
              <w:rPr>
                <w:rFonts w:hint="eastAsia" w:ascii="宋体" w:hAnsi="宋体" w:cs="宋体"/>
                <w:kern w:val="0"/>
                <w:sz w:val="24"/>
                <w:highlight w:val="none"/>
                <w:lang w:eastAsia="zh-CN"/>
              </w:rPr>
              <w:t>乐采云</w:t>
            </w:r>
            <w:r>
              <w:rPr>
                <w:rFonts w:hint="eastAsia" w:ascii="宋体" w:hAnsi="宋体" w:cs="宋体"/>
                <w:kern w:val="0"/>
                <w:sz w:val="24"/>
                <w:highlight w:val="none"/>
              </w:rPr>
              <w:t>平台操作要求做好准备工作，提前完善软硬件配置环境。</w:t>
            </w:r>
          </w:p>
          <w:p w14:paraId="11265FDB">
            <w:pPr>
              <w:snapToGrid w:val="0"/>
              <w:rPr>
                <w:rFonts w:ascii="宋体" w:hAnsi="宋体" w:cs="宋体"/>
                <w:kern w:val="0"/>
                <w:sz w:val="24"/>
                <w:highlight w:val="none"/>
              </w:rPr>
            </w:pPr>
            <w:r>
              <w:rPr>
                <w:rFonts w:hint="eastAsia" w:ascii="宋体" w:hAnsi="宋体" w:cs="宋体"/>
                <w:kern w:val="0"/>
                <w:sz w:val="24"/>
                <w:highlight w:val="none"/>
              </w:rPr>
              <w:t>方式二：评标现场讲解演示。现场讲解地点为</w:t>
            </w:r>
            <w:r>
              <w:rPr>
                <w:rFonts w:hint="eastAsia" w:ascii="宋体" w:hAnsi="宋体" w:cs="宋体"/>
                <w:color w:val="auto"/>
                <w:sz w:val="24"/>
                <w:highlight w:val="none"/>
                <w:u w:val="single"/>
              </w:rPr>
              <w:t xml:space="preserve">       </w:t>
            </w:r>
            <w:r>
              <w:rPr>
                <w:rFonts w:hint="eastAsia" w:ascii="宋体" w:hAnsi="宋体" w:cs="宋体"/>
                <w:kern w:val="0"/>
                <w:sz w:val="24"/>
                <w:highlight w:val="none"/>
              </w:rPr>
              <w:t>，讲解演示所用电脑等设备由投标人自备。现场讲解演示人员进场时提供讲解人员名单（加盖公章或授权代表签名）及身份证明，否则不得讲解演示。</w:t>
            </w:r>
          </w:p>
          <w:p w14:paraId="7E9DBD7B">
            <w:pPr>
              <w:snapToGrid w:val="0"/>
              <w:rPr>
                <w:rFonts w:ascii="宋体" w:hAnsi="宋体" w:cs="宋体"/>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0EC2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Merge w:val="restart"/>
            <w:vAlign w:val="center"/>
          </w:tcPr>
          <w:p w14:paraId="42F24900">
            <w:pPr>
              <w:snapToGrid w:val="0"/>
              <w:jc w:val="center"/>
              <w:rPr>
                <w:rFonts w:ascii="宋体" w:hAnsi="宋体" w:cs="宋体"/>
                <w:sz w:val="24"/>
                <w:highlight w:val="none"/>
              </w:rPr>
            </w:pPr>
            <w:r>
              <w:rPr>
                <w:rFonts w:hint="eastAsia" w:ascii="宋体" w:hAnsi="宋体" w:cs="宋体"/>
                <w:sz w:val="24"/>
                <w:highlight w:val="none"/>
              </w:rPr>
              <w:t>8</w:t>
            </w:r>
          </w:p>
        </w:tc>
        <w:tc>
          <w:tcPr>
            <w:tcW w:w="1843" w:type="dxa"/>
            <w:vMerge w:val="restart"/>
            <w:vAlign w:val="center"/>
          </w:tcPr>
          <w:p w14:paraId="45D500A2">
            <w:pPr>
              <w:snapToGrid w:val="0"/>
              <w:jc w:val="center"/>
              <w:rPr>
                <w:rFonts w:ascii="宋体" w:hAnsi="宋体" w:cs="宋体"/>
                <w:b/>
                <w:sz w:val="24"/>
                <w:highlight w:val="none"/>
              </w:rPr>
            </w:pPr>
            <w:r>
              <w:rPr>
                <w:rFonts w:hint="eastAsia" w:ascii="宋体" w:hAnsi="宋体" w:cs="宋体"/>
                <w:b/>
                <w:sz w:val="24"/>
                <w:highlight w:val="none"/>
              </w:rPr>
              <w:t>投标人应当提供的资格、资信证明文件</w:t>
            </w:r>
          </w:p>
        </w:tc>
        <w:tc>
          <w:tcPr>
            <w:tcW w:w="6528" w:type="dxa"/>
            <w:vAlign w:val="center"/>
          </w:tcPr>
          <w:p w14:paraId="52050926">
            <w:pPr>
              <w:rPr>
                <w:rFonts w:ascii="宋体" w:hAnsi="宋体" w:cs="宋体"/>
                <w:sz w:val="24"/>
                <w:highlight w:val="none"/>
              </w:rPr>
            </w:pPr>
            <w:r>
              <w:rPr>
                <w:rFonts w:hint="eastAsia" w:ascii="宋体" w:hAnsi="宋体" w:cs="宋体"/>
                <w:sz w:val="24"/>
                <w:highlight w:val="none"/>
              </w:rPr>
              <w:t>（1）资格证明文件：见招标文件第二部分11.1。</w:t>
            </w:r>
          </w:p>
          <w:p w14:paraId="01DA4AD7">
            <w:pPr>
              <w:rPr>
                <w:rFonts w:ascii="宋体" w:hAnsi="宋体" w:cs="宋体"/>
                <w:snapToGrid w:val="0"/>
                <w:kern w:val="0"/>
                <w:szCs w:val="21"/>
                <w:highlight w:val="none"/>
              </w:rPr>
            </w:pPr>
            <w:r>
              <w:rPr>
                <w:rFonts w:hint="eastAsia" w:ascii="宋体" w:hAnsi="宋体" w:cs="宋体"/>
                <w:kern w:val="0"/>
                <w:sz w:val="24"/>
                <w:highlight w:val="none"/>
                <w:lang w:val="zh-CN"/>
              </w:rPr>
              <w:t>投标人未提供有效的资格证明文件的，视为投标人不具备招标文件中规定的资格要求，投标无效。</w:t>
            </w:r>
          </w:p>
        </w:tc>
      </w:tr>
      <w:tr w14:paraId="675FD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Merge w:val="continue"/>
            <w:vAlign w:val="center"/>
          </w:tcPr>
          <w:p w14:paraId="4DEC2A1E">
            <w:pPr>
              <w:snapToGrid w:val="0"/>
              <w:jc w:val="center"/>
              <w:rPr>
                <w:rFonts w:ascii="宋体" w:hAnsi="宋体" w:cs="宋体"/>
                <w:sz w:val="24"/>
                <w:highlight w:val="none"/>
              </w:rPr>
            </w:pPr>
          </w:p>
        </w:tc>
        <w:tc>
          <w:tcPr>
            <w:tcW w:w="1843" w:type="dxa"/>
            <w:vMerge w:val="continue"/>
            <w:vAlign w:val="center"/>
          </w:tcPr>
          <w:p w14:paraId="62EA94E2">
            <w:pPr>
              <w:snapToGrid w:val="0"/>
              <w:jc w:val="center"/>
              <w:rPr>
                <w:rFonts w:ascii="宋体" w:hAnsi="宋体" w:cs="宋体"/>
                <w:b/>
                <w:sz w:val="24"/>
                <w:highlight w:val="none"/>
              </w:rPr>
            </w:pPr>
          </w:p>
        </w:tc>
        <w:tc>
          <w:tcPr>
            <w:tcW w:w="6528" w:type="dxa"/>
            <w:vAlign w:val="center"/>
          </w:tcPr>
          <w:p w14:paraId="46F476C8">
            <w:pPr>
              <w:rPr>
                <w:rFonts w:ascii="宋体" w:hAnsi="宋体" w:cs="宋体"/>
                <w:sz w:val="24"/>
                <w:highlight w:val="none"/>
              </w:rPr>
            </w:pPr>
            <w:r>
              <w:rPr>
                <w:rFonts w:hint="eastAsia" w:ascii="宋体" w:hAnsi="宋体" w:cs="宋体"/>
                <w:sz w:val="24"/>
                <w:highlight w:val="none"/>
              </w:rPr>
              <w:t>（2）资信证明文件：根据招标文件第四部分评标标准提供。</w:t>
            </w:r>
          </w:p>
        </w:tc>
      </w:tr>
      <w:tr w14:paraId="335F8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02AFA6B2">
            <w:pPr>
              <w:snapToGrid w:val="0"/>
              <w:jc w:val="center"/>
              <w:rPr>
                <w:rFonts w:ascii="宋体" w:hAnsi="宋体" w:cs="宋体"/>
                <w:sz w:val="24"/>
                <w:highlight w:val="none"/>
              </w:rPr>
            </w:pPr>
            <w:r>
              <w:rPr>
                <w:rFonts w:hint="eastAsia" w:ascii="宋体" w:hAnsi="宋体" w:cs="宋体"/>
                <w:sz w:val="24"/>
                <w:highlight w:val="none"/>
              </w:rPr>
              <w:t>9</w:t>
            </w:r>
          </w:p>
        </w:tc>
        <w:tc>
          <w:tcPr>
            <w:tcW w:w="1843" w:type="dxa"/>
            <w:vAlign w:val="center"/>
          </w:tcPr>
          <w:p w14:paraId="0AC731FF">
            <w:pPr>
              <w:snapToGrid w:val="0"/>
              <w:jc w:val="center"/>
              <w:rPr>
                <w:rFonts w:ascii="宋体" w:hAnsi="宋体" w:cs="宋体"/>
                <w:b/>
                <w:sz w:val="24"/>
                <w:highlight w:val="none"/>
              </w:rPr>
            </w:pPr>
            <w:r>
              <w:rPr>
                <w:rFonts w:hint="eastAsia" w:ascii="宋体" w:hAnsi="宋体" w:cs="宋体"/>
                <w:b/>
                <w:sz w:val="24"/>
                <w:highlight w:val="none"/>
              </w:rPr>
              <w:t>节能产品、环境标志产品</w:t>
            </w:r>
          </w:p>
        </w:tc>
        <w:tc>
          <w:tcPr>
            <w:tcW w:w="6528" w:type="dxa"/>
            <w:vAlign w:val="center"/>
          </w:tcPr>
          <w:p w14:paraId="433277FF">
            <w:pPr>
              <w:snapToGrid w:val="0"/>
              <w:rPr>
                <w:rFonts w:ascii="宋体" w:hAnsi="宋体" w:cs="宋体"/>
                <w:highlight w:val="none"/>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CBCF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7D06E822">
            <w:pPr>
              <w:snapToGrid w:val="0"/>
              <w:jc w:val="center"/>
              <w:rPr>
                <w:rFonts w:ascii="宋体" w:hAnsi="宋体" w:cs="宋体"/>
                <w:sz w:val="24"/>
                <w:highlight w:val="none"/>
              </w:rPr>
            </w:pPr>
            <w:r>
              <w:rPr>
                <w:rFonts w:hint="eastAsia" w:ascii="宋体" w:hAnsi="宋体" w:cs="宋体"/>
                <w:b/>
                <w:sz w:val="24"/>
                <w:highlight w:val="none"/>
              </w:rPr>
              <w:t>▲</w:t>
            </w:r>
            <w:r>
              <w:rPr>
                <w:rFonts w:hint="eastAsia" w:ascii="宋体" w:hAnsi="宋体" w:cs="宋体"/>
                <w:sz w:val="24"/>
                <w:highlight w:val="none"/>
              </w:rPr>
              <w:t>10</w:t>
            </w:r>
          </w:p>
        </w:tc>
        <w:tc>
          <w:tcPr>
            <w:tcW w:w="1843" w:type="dxa"/>
            <w:vAlign w:val="center"/>
          </w:tcPr>
          <w:p w14:paraId="026ED7C8">
            <w:pPr>
              <w:snapToGrid w:val="0"/>
              <w:jc w:val="center"/>
              <w:rPr>
                <w:rFonts w:ascii="宋体" w:hAnsi="宋体" w:cs="宋体"/>
                <w:b/>
                <w:sz w:val="24"/>
                <w:highlight w:val="none"/>
              </w:rPr>
            </w:pPr>
            <w:r>
              <w:rPr>
                <w:rFonts w:hint="eastAsia" w:ascii="宋体" w:hAnsi="宋体" w:cs="宋体"/>
                <w:b/>
                <w:sz w:val="24"/>
                <w:highlight w:val="none"/>
              </w:rPr>
              <w:t>报价要求</w:t>
            </w:r>
          </w:p>
        </w:tc>
        <w:tc>
          <w:tcPr>
            <w:tcW w:w="6528" w:type="dxa"/>
            <w:vAlign w:val="center"/>
          </w:tcPr>
          <w:p w14:paraId="33918922">
            <w:pPr>
              <w:snapToGrid w:val="0"/>
              <w:jc w:val="left"/>
              <w:rPr>
                <w:rFonts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w:t>
            </w:r>
            <w:r>
              <w:rPr>
                <w:rFonts w:hint="eastAsia" w:ascii="宋体" w:hAnsi="宋体" w:cs="宋体"/>
                <w:b/>
                <w:bCs/>
                <w:kern w:val="0"/>
                <w:sz w:val="24"/>
                <w:highlight w:val="none"/>
                <w:lang w:val="zh-CN"/>
              </w:rPr>
              <w:t>投标文件</w:t>
            </w:r>
            <w:r>
              <w:rPr>
                <w:rFonts w:hint="eastAsia" w:ascii="宋体" w:hAnsi="宋体" w:cs="宋体"/>
                <w:b/>
                <w:bCs/>
                <w:sz w:val="24"/>
                <w:highlight w:val="none"/>
              </w:rPr>
              <w:t>开标一览表（报价表）是报价的唯一载体，如投标人在</w:t>
            </w:r>
            <w:r>
              <w:rPr>
                <w:rFonts w:hint="eastAsia" w:ascii="宋体" w:hAnsi="宋体" w:cs="宋体"/>
                <w:b/>
                <w:bCs/>
                <w:sz w:val="24"/>
                <w:highlight w:val="none"/>
                <w:lang w:eastAsia="zh-CN"/>
              </w:rPr>
              <w:t>乐采云平台</w:t>
            </w:r>
            <w:r>
              <w:rPr>
                <w:rFonts w:hint="eastAsia" w:ascii="宋体" w:hAnsi="宋体" w:cs="宋体"/>
                <w:b/>
                <w:bCs/>
                <w:sz w:val="24"/>
                <w:highlight w:val="none"/>
              </w:rPr>
              <w:t>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w:t>
            </w:r>
          </w:p>
          <w:p w14:paraId="26136C84">
            <w:pPr>
              <w:snapToGrid w:val="0"/>
              <w:ind w:firstLine="240" w:firstLineChars="100"/>
              <w:jc w:val="left"/>
              <w:rPr>
                <w:rFonts w:ascii="宋体" w:hAnsi="宋体" w:cs="宋体"/>
                <w:bCs/>
                <w:kern w:val="0"/>
                <w:sz w:val="24"/>
                <w:highlight w:val="none"/>
                <w:lang w:val="zh-CN"/>
              </w:rPr>
            </w:pPr>
            <w:r>
              <w:rPr>
                <w:rFonts w:hint="eastAsia" w:ascii="宋体" w:hAnsi="宋体" w:cs="宋体"/>
                <w:bCs/>
                <w:kern w:val="0"/>
                <w:sz w:val="24"/>
                <w:highlight w:val="none"/>
                <w:lang w:val="zh-CN"/>
              </w:rPr>
              <w:t>本项目采用人民币报价。投标报价须是完成本项目的所有费用，投标报价应包括但不限于货物采购费、必要的保险费、运输费、装卸费、安装调试费、配套基础设施相关费用、备品备件相关费用、验收费、</w:t>
            </w:r>
            <w:r>
              <w:rPr>
                <w:rFonts w:hint="eastAsia" w:ascii="宋体" w:hAnsi="宋体" w:cs="宋体"/>
                <w:bCs/>
                <w:kern w:val="0"/>
                <w:sz w:val="24"/>
                <w:highlight w:val="none"/>
                <w:lang w:val="en-US" w:eastAsia="zh-CN"/>
              </w:rPr>
              <w:t>深化设计费、</w:t>
            </w:r>
            <w:r>
              <w:rPr>
                <w:rFonts w:hint="eastAsia" w:ascii="宋体" w:hAnsi="宋体" w:cs="宋体"/>
                <w:bCs/>
                <w:kern w:val="0"/>
                <w:sz w:val="24"/>
                <w:highlight w:val="none"/>
                <w:lang w:val="zh-CN"/>
              </w:rPr>
              <w:t>培训费、售后服务费、</w:t>
            </w:r>
            <w:r>
              <w:rPr>
                <w:rFonts w:hint="eastAsia" w:ascii="宋体" w:hAnsi="宋体" w:cs="宋体"/>
                <w:bCs/>
                <w:kern w:val="0"/>
                <w:sz w:val="24"/>
                <w:highlight w:val="none"/>
                <w:lang w:val="en-US" w:eastAsia="zh-CN"/>
              </w:rPr>
              <w:t>通讯费、</w:t>
            </w:r>
            <w:r>
              <w:rPr>
                <w:rFonts w:hint="eastAsia" w:ascii="宋体" w:hAnsi="宋体" w:cs="宋体"/>
                <w:bCs/>
                <w:kern w:val="0"/>
                <w:sz w:val="24"/>
                <w:highlight w:val="none"/>
                <w:lang w:val="zh-CN"/>
              </w:rPr>
              <w:t>运维费、货物临时仓储、风险费、管理费、利润、税金、招标代理服务费等有关完成本项目的全部费用及参加采购活动所发生的全部费用。</w:t>
            </w:r>
          </w:p>
          <w:p w14:paraId="3744AA32">
            <w:pPr>
              <w:snapToGrid w:val="0"/>
              <w:jc w:val="left"/>
              <w:rPr>
                <w:rFonts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14:paraId="6706D82D">
            <w:pPr>
              <w:snapToGrid w:val="0"/>
              <w:ind w:firstLine="241" w:firstLineChars="100"/>
              <w:jc w:val="left"/>
              <w:rPr>
                <w:rFonts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14:paraId="64FED7E9">
            <w:pPr>
              <w:snapToGrid w:val="0"/>
              <w:ind w:firstLine="241" w:firstLineChars="100"/>
              <w:jc w:val="left"/>
              <w:rPr>
                <w:rFonts w:ascii="宋体" w:hAnsi="宋体" w:cs="宋体"/>
                <w:kern w:val="0"/>
                <w:sz w:val="24"/>
                <w:highlight w:val="none"/>
                <w:lang w:val="zh-CN"/>
              </w:rPr>
            </w:pPr>
            <w:r>
              <w:rPr>
                <w:rFonts w:hint="eastAsia" w:ascii="宋体" w:hAnsi="宋体" w:cs="宋体"/>
                <w:b/>
                <w:kern w:val="0"/>
                <w:sz w:val="24"/>
                <w:highlight w:val="none"/>
                <w:lang w:val="zh-CN"/>
              </w:rPr>
              <w:t>投标报价超过招标文件中规定的预算金额或者最高限价的；</w:t>
            </w:r>
          </w:p>
          <w:p w14:paraId="76086481">
            <w:pPr>
              <w:ind w:firstLine="241" w:firstLineChars="100"/>
              <w:rPr>
                <w:rFonts w:ascii="宋体" w:hAnsi="宋体" w:cs="宋体"/>
                <w:b/>
                <w:sz w:val="24"/>
                <w:highlight w:val="none"/>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p>
          <w:p w14:paraId="2A802588">
            <w:pPr>
              <w:ind w:firstLine="241" w:firstLineChars="100"/>
              <w:rPr>
                <w:rFonts w:ascii="宋体" w:hAnsi="宋体" w:cs="宋体"/>
                <w:sz w:val="24"/>
                <w:highlight w:val="none"/>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p>
        </w:tc>
      </w:tr>
      <w:tr w14:paraId="29B4E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18208687">
            <w:pPr>
              <w:snapToGrid w:val="0"/>
              <w:jc w:val="center"/>
              <w:rPr>
                <w:rFonts w:ascii="宋体" w:hAnsi="宋体" w:cs="宋体"/>
                <w:sz w:val="24"/>
                <w:highlight w:val="none"/>
              </w:rPr>
            </w:pPr>
            <w:r>
              <w:rPr>
                <w:rFonts w:hint="eastAsia" w:ascii="宋体" w:hAnsi="宋体" w:cs="宋体"/>
                <w:sz w:val="24"/>
                <w:highlight w:val="none"/>
              </w:rPr>
              <w:t>11</w:t>
            </w:r>
          </w:p>
        </w:tc>
        <w:tc>
          <w:tcPr>
            <w:tcW w:w="1843" w:type="dxa"/>
            <w:vAlign w:val="center"/>
          </w:tcPr>
          <w:p w14:paraId="759B09FE">
            <w:pPr>
              <w:snapToGrid w:val="0"/>
              <w:jc w:val="center"/>
              <w:rPr>
                <w:rFonts w:ascii="宋体" w:hAnsi="宋体" w:cs="宋体"/>
                <w:b/>
                <w:sz w:val="24"/>
                <w:highlight w:val="none"/>
              </w:rPr>
            </w:pPr>
            <w:r>
              <w:rPr>
                <w:rFonts w:hint="eastAsia" w:ascii="宋体" w:hAnsi="宋体" w:cs="宋体"/>
                <w:b/>
                <w:sz w:val="24"/>
                <w:highlight w:val="none"/>
              </w:rPr>
              <w:t>中小企业信用融资</w:t>
            </w:r>
          </w:p>
        </w:tc>
        <w:tc>
          <w:tcPr>
            <w:tcW w:w="6528" w:type="dxa"/>
            <w:vAlign w:val="center"/>
          </w:tcPr>
          <w:p w14:paraId="0266F69C">
            <w:pPr>
              <w:ind w:firstLine="480" w:firstLineChars="200"/>
              <w:rPr>
                <w:rFonts w:ascii="宋体" w:hAnsi="宋体" w:cs="宋体"/>
                <w:sz w:val="24"/>
                <w:highlight w:val="none"/>
              </w:rPr>
            </w:pPr>
            <w:r>
              <w:rPr>
                <w:rFonts w:hint="eastAsia" w:ascii="宋体" w:hAnsi="宋体" w:cs="宋体"/>
                <w:snapToGrid w:val="0"/>
                <w:kern w:val="28"/>
                <w:sz w:val="24"/>
                <w:highlight w:val="none"/>
              </w:rPr>
              <w:t>供应商中标后也可在“</w:t>
            </w:r>
            <w:r>
              <w:rPr>
                <w:rFonts w:hint="eastAsia" w:ascii="宋体" w:hAnsi="宋体" w:cs="宋体"/>
                <w:snapToGrid w:val="0"/>
                <w:kern w:val="28"/>
                <w:sz w:val="24"/>
                <w:highlight w:val="none"/>
                <w:lang w:eastAsia="zh-CN"/>
              </w:rPr>
              <w:t>乐采云</w:t>
            </w:r>
            <w:r>
              <w:rPr>
                <w:rFonts w:hint="eastAsia" w:ascii="宋体" w:hAnsi="宋体" w:cs="宋体"/>
                <w:snapToGrid w:val="0"/>
                <w:kern w:val="28"/>
                <w:sz w:val="24"/>
                <w:highlight w:val="none"/>
              </w:rPr>
              <w:t>”平台申请政采贷：操作路径：登录</w:t>
            </w:r>
            <w:r>
              <w:rPr>
                <w:rFonts w:hint="eastAsia" w:ascii="宋体" w:hAnsi="宋体" w:cs="宋体"/>
                <w:snapToGrid w:val="0"/>
                <w:kern w:val="28"/>
                <w:sz w:val="24"/>
                <w:highlight w:val="none"/>
                <w:lang w:eastAsia="zh-CN"/>
              </w:rPr>
              <w:t>乐采云</w:t>
            </w:r>
            <w:r>
              <w:rPr>
                <w:rFonts w:hint="eastAsia" w:ascii="宋体" w:hAnsi="宋体" w:cs="宋体"/>
                <w:snapToGrid w:val="0"/>
                <w:kern w:val="28"/>
                <w:sz w:val="24"/>
                <w:highlight w:val="none"/>
              </w:rPr>
              <w:t>平台 - 金融服务中心 -【融资服务】，可在热门申请中选择产品直接申请，也可点击云智贷匹配适合产品进行申请，或者在可申请项目中根据该项目进行申请。</w:t>
            </w:r>
          </w:p>
        </w:tc>
      </w:tr>
      <w:tr w14:paraId="55E5E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288D237F">
            <w:pPr>
              <w:snapToGrid w:val="0"/>
              <w:jc w:val="center"/>
              <w:rPr>
                <w:rFonts w:ascii="宋体" w:hAnsi="宋体" w:cs="宋体"/>
                <w:sz w:val="24"/>
                <w:highlight w:val="none"/>
              </w:rPr>
            </w:pPr>
            <w:r>
              <w:rPr>
                <w:rFonts w:hint="eastAsia" w:ascii="宋体" w:hAnsi="宋体" w:cs="宋体"/>
                <w:sz w:val="24"/>
                <w:highlight w:val="none"/>
              </w:rPr>
              <w:t>12</w:t>
            </w:r>
          </w:p>
        </w:tc>
        <w:tc>
          <w:tcPr>
            <w:tcW w:w="1843" w:type="dxa"/>
            <w:vAlign w:val="center"/>
          </w:tcPr>
          <w:p w14:paraId="62B10A5C">
            <w:pPr>
              <w:snapToGrid w:val="0"/>
              <w:jc w:val="center"/>
              <w:rPr>
                <w:rFonts w:ascii="宋体" w:hAnsi="宋体" w:cs="宋体"/>
                <w:b/>
                <w:sz w:val="24"/>
                <w:highlight w:val="none"/>
              </w:rPr>
            </w:pPr>
            <w:r>
              <w:rPr>
                <w:rFonts w:hint="eastAsia" w:ascii="宋体" w:hAnsi="宋体" w:cs="宋体"/>
                <w:b/>
                <w:sz w:val="24"/>
                <w:highlight w:val="none"/>
              </w:rPr>
              <w:t xml:space="preserve">备份投标文件送达地点和签收人员 </w:t>
            </w:r>
          </w:p>
        </w:tc>
        <w:tc>
          <w:tcPr>
            <w:tcW w:w="6528" w:type="dxa"/>
            <w:vAlign w:val="center"/>
          </w:tcPr>
          <w:p w14:paraId="7F95EA33">
            <w:pPr>
              <w:pStyle w:val="33"/>
              <w:rPr>
                <w:rFonts w:cs="宋体" w:asciiTheme="minorEastAsia" w:hAnsiTheme="minorEastAsia" w:eastAsiaTheme="minorEastAsia"/>
                <w:kern w:val="28"/>
                <w:sz w:val="24"/>
                <w:szCs w:val="24"/>
                <w:highlight w:val="none"/>
              </w:rPr>
            </w:pPr>
            <w:r>
              <w:rPr>
                <w:rFonts w:hint="eastAsia" w:cs="宋体" w:asciiTheme="minorEastAsia" w:hAnsiTheme="minorEastAsia" w:eastAsiaTheme="minorEastAsia"/>
                <w:kern w:val="28"/>
                <w:sz w:val="24"/>
                <w:szCs w:val="24"/>
                <w:highlight w:val="none"/>
              </w:rPr>
              <w:t>供应商可以准备U盘存储的电子备份投标文件1份，按</w:t>
            </w:r>
            <w:r>
              <w:rPr>
                <w:rFonts w:hint="eastAsia" w:cs="宋体" w:asciiTheme="minorEastAsia" w:hAnsiTheme="minorEastAsia" w:eastAsiaTheme="minorEastAsia"/>
                <w:kern w:val="28"/>
                <w:sz w:val="24"/>
                <w:szCs w:val="24"/>
                <w:highlight w:val="none"/>
                <w:lang w:eastAsia="zh-CN"/>
              </w:rPr>
              <w:t>乐采云平台</w:t>
            </w:r>
            <w:r>
              <w:rPr>
                <w:rFonts w:hint="eastAsia" w:cs="宋体" w:asciiTheme="minorEastAsia" w:hAnsiTheme="minorEastAsia" w:eastAsiaTheme="minorEastAsia"/>
                <w:kern w:val="28"/>
                <w:sz w:val="24"/>
                <w:szCs w:val="24"/>
                <w:highlight w:val="none"/>
              </w:rPr>
              <w:t>要求制作的电子备份投标文件，以用于异常情况处理。</w:t>
            </w:r>
          </w:p>
          <w:p w14:paraId="70F4E3AF">
            <w:pPr>
              <w:pStyle w:val="33"/>
              <w:rPr>
                <w:rFonts w:cs="宋体" w:asciiTheme="minorEastAsia" w:hAnsiTheme="minorEastAsia" w:eastAsiaTheme="minorEastAsia"/>
                <w:kern w:val="28"/>
                <w:sz w:val="24"/>
                <w:szCs w:val="24"/>
                <w:highlight w:val="none"/>
              </w:rPr>
            </w:pPr>
            <w:r>
              <w:rPr>
                <w:rFonts w:hint="eastAsia" w:cs="宋体" w:asciiTheme="minorEastAsia" w:hAnsiTheme="minorEastAsia" w:eastAsiaTheme="minorEastAsia"/>
                <w:kern w:val="28"/>
                <w:sz w:val="24"/>
                <w:szCs w:val="24"/>
                <w:highlight w:val="none"/>
              </w:rPr>
              <w:t>如提供备份投标文件的，应于投标文件提交（上传）截止时间前，将以U盘存储的电子备份投标文件密封，递交至</w:t>
            </w:r>
            <w:r>
              <w:rPr>
                <w:rFonts w:hint="eastAsia" w:cs="宋体" w:asciiTheme="minorEastAsia" w:hAnsiTheme="minorEastAsia" w:eastAsiaTheme="minorEastAsia"/>
                <w:kern w:val="28"/>
                <w:sz w:val="24"/>
                <w:szCs w:val="24"/>
                <w:highlight w:val="none"/>
                <w:u w:val="single"/>
              </w:rPr>
              <w:t>象山县公共资源交易中心四楼开标室[象山县象山港路300号]</w:t>
            </w:r>
            <w:r>
              <w:rPr>
                <w:rFonts w:hint="eastAsia" w:cs="宋体" w:asciiTheme="minorEastAsia" w:hAnsiTheme="minorEastAsia" w:eastAsiaTheme="minorEastAsia"/>
                <w:kern w:val="28"/>
                <w:sz w:val="24"/>
                <w:szCs w:val="24"/>
                <w:highlight w:val="none"/>
              </w:rPr>
              <w:t>，逾期送达或未密封将予以拒收。</w:t>
            </w:r>
          </w:p>
          <w:p w14:paraId="33D269C9">
            <w:pPr>
              <w:pStyle w:val="33"/>
              <w:rPr>
                <w:rFonts w:cs="宋体" w:asciiTheme="minorEastAsia" w:hAnsiTheme="minorEastAsia" w:eastAsiaTheme="minorEastAsia"/>
                <w:b/>
                <w:bCs/>
                <w:kern w:val="28"/>
                <w:sz w:val="24"/>
                <w:szCs w:val="24"/>
                <w:highlight w:val="none"/>
              </w:rPr>
            </w:pPr>
            <w:r>
              <w:rPr>
                <w:rFonts w:hint="eastAsia" w:cs="宋体" w:asciiTheme="minorEastAsia" w:hAnsiTheme="minorEastAsia" w:eastAsiaTheme="minorEastAsia"/>
                <w:b/>
                <w:bCs/>
                <w:kern w:val="28"/>
                <w:sz w:val="24"/>
                <w:szCs w:val="24"/>
                <w:highlight w:val="none"/>
              </w:rPr>
              <w:t>供应商可采用邮寄（含快递）方式递交备份投标文件。</w:t>
            </w:r>
          </w:p>
          <w:p w14:paraId="342C5BAD">
            <w:pPr>
              <w:pStyle w:val="33"/>
              <w:rPr>
                <w:rFonts w:cs="宋体" w:asciiTheme="minorEastAsia" w:hAnsiTheme="minorEastAsia" w:eastAsiaTheme="minorEastAsia"/>
                <w:kern w:val="28"/>
                <w:sz w:val="24"/>
                <w:szCs w:val="24"/>
                <w:highlight w:val="none"/>
              </w:rPr>
            </w:pPr>
            <w:r>
              <w:rPr>
                <w:rFonts w:hint="eastAsia" w:cs="宋体" w:asciiTheme="minorEastAsia" w:hAnsiTheme="minorEastAsia" w:eastAsiaTheme="minorEastAsia"/>
                <w:kern w:val="28"/>
                <w:sz w:val="24"/>
                <w:szCs w:val="24"/>
                <w:highlight w:val="none"/>
              </w:rPr>
              <w:t>各供应商在规定时间前将备份投标文件邮寄至规定地点，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7DC414D1">
            <w:pPr>
              <w:pStyle w:val="33"/>
              <w:rPr>
                <w:rFonts w:cs="宋体" w:asciiTheme="minorEastAsia" w:hAnsiTheme="minorEastAsia" w:eastAsiaTheme="minorEastAsia"/>
                <w:kern w:val="28"/>
                <w:sz w:val="24"/>
                <w:szCs w:val="24"/>
                <w:highlight w:val="none"/>
              </w:rPr>
            </w:pPr>
            <w:r>
              <w:rPr>
                <w:rFonts w:hint="eastAsia" w:cs="宋体" w:asciiTheme="minorEastAsia" w:hAnsiTheme="minorEastAsia" w:eastAsiaTheme="minorEastAsia"/>
                <w:kern w:val="28"/>
                <w:sz w:val="24"/>
                <w:szCs w:val="24"/>
                <w:highlight w:val="none"/>
              </w:rPr>
              <w:t>拟在开标前一工作日16:00前到件的邮寄地址为：</w:t>
            </w:r>
            <w:r>
              <w:rPr>
                <w:rFonts w:hint="eastAsia" w:cs="宋体" w:asciiTheme="minorEastAsia" w:hAnsiTheme="minorEastAsia" w:eastAsiaTheme="minorEastAsia"/>
                <w:kern w:val="28"/>
                <w:sz w:val="24"/>
                <w:szCs w:val="24"/>
                <w:highlight w:val="none"/>
                <w:u w:val="single"/>
              </w:rPr>
              <w:t>宁波市鄞州区天童南路666号中基大厦19楼业务六部</w:t>
            </w:r>
            <w:r>
              <w:rPr>
                <w:rFonts w:hint="eastAsia" w:cs="宋体" w:asciiTheme="minorEastAsia" w:hAnsiTheme="minorEastAsia" w:eastAsiaTheme="minorEastAsia"/>
                <w:kern w:val="28"/>
                <w:sz w:val="24"/>
                <w:szCs w:val="24"/>
                <w:highlight w:val="none"/>
              </w:rPr>
              <w:t>；</w:t>
            </w:r>
          </w:p>
          <w:p w14:paraId="1D13939B">
            <w:pPr>
              <w:pStyle w:val="33"/>
              <w:rPr>
                <w:rFonts w:hint="default" w:cs="宋体" w:asciiTheme="minorEastAsia" w:hAnsiTheme="minorEastAsia" w:eastAsiaTheme="minorEastAsia"/>
                <w:kern w:val="28"/>
                <w:sz w:val="24"/>
                <w:szCs w:val="24"/>
                <w:highlight w:val="none"/>
                <w:lang w:val="en-US" w:eastAsia="zh-CN"/>
              </w:rPr>
            </w:pPr>
            <w:r>
              <w:rPr>
                <w:rFonts w:hint="eastAsia" w:cs="宋体" w:asciiTheme="minorEastAsia" w:hAnsiTheme="minorEastAsia" w:eastAsiaTheme="minorEastAsia"/>
                <w:kern w:val="28"/>
                <w:sz w:val="24"/>
                <w:szCs w:val="24"/>
                <w:highlight w:val="none"/>
              </w:rPr>
              <w:t>收件人：</w:t>
            </w:r>
            <w:r>
              <w:rPr>
                <w:rFonts w:hint="eastAsia" w:cs="宋体" w:asciiTheme="minorEastAsia" w:hAnsiTheme="minorEastAsia" w:eastAsiaTheme="minorEastAsia"/>
                <w:kern w:val="28"/>
                <w:sz w:val="24"/>
                <w:szCs w:val="24"/>
                <w:highlight w:val="none"/>
                <w:lang w:val="en-US" w:eastAsia="zh-CN"/>
              </w:rPr>
              <w:t>朱贤东</w:t>
            </w:r>
            <w:r>
              <w:rPr>
                <w:rFonts w:hint="eastAsia" w:cs="宋体" w:asciiTheme="minorEastAsia" w:hAnsiTheme="minorEastAsia" w:eastAsiaTheme="minorEastAsia"/>
                <w:kern w:val="28"/>
                <w:sz w:val="24"/>
                <w:szCs w:val="24"/>
                <w:highlight w:val="none"/>
              </w:rPr>
              <w:t xml:space="preserve">  联系方式：</w:t>
            </w:r>
            <w:r>
              <w:rPr>
                <w:rFonts w:hint="eastAsia" w:cs="宋体" w:asciiTheme="minorEastAsia" w:hAnsiTheme="minorEastAsia" w:eastAsiaTheme="minorEastAsia"/>
                <w:kern w:val="28"/>
                <w:sz w:val="24"/>
                <w:szCs w:val="24"/>
                <w:highlight w:val="none"/>
                <w:lang w:val="en-US" w:eastAsia="zh-CN"/>
              </w:rPr>
              <w:t>0574-87426203</w:t>
            </w:r>
          </w:p>
          <w:p w14:paraId="3CAD3C00">
            <w:pPr>
              <w:pStyle w:val="33"/>
              <w:rPr>
                <w:rFonts w:cs="宋体" w:asciiTheme="minorEastAsia" w:hAnsiTheme="minorEastAsia" w:eastAsiaTheme="minorEastAsia"/>
                <w:kern w:val="28"/>
                <w:sz w:val="24"/>
                <w:szCs w:val="24"/>
                <w:highlight w:val="none"/>
              </w:rPr>
            </w:pPr>
            <w:r>
              <w:rPr>
                <w:rFonts w:hint="eastAsia" w:cs="宋体" w:asciiTheme="minorEastAsia" w:hAnsiTheme="minorEastAsia" w:eastAsiaTheme="minorEastAsia"/>
                <w:kern w:val="28"/>
                <w:sz w:val="24"/>
                <w:szCs w:val="24"/>
                <w:highlight w:val="none"/>
              </w:rPr>
              <w:t>请各供应商确保密封包装在邮寄过程密封包装完好，因邮寄过程的密封破损造成不符合开标要求的，本采购代理及采购人概不负责。</w:t>
            </w:r>
          </w:p>
          <w:p w14:paraId="556DB2E6">
            <w:pPr>
              <w:pStyle w:val="33"/>
              <w:rPr>
                <w:rFonts w:hAnsi="宋体" w:cs="宋体"/>
                <w:kern w:val="28"/>
                <w:sz w:val="24"/>
                <w:highlight w:val="none"/>
              </w:rPr>
            </w:pPr>
            <w:r>
              <w:rPr>
                <w:rFonts w:hint="eastAsia" w:cs="宋体" w:asciiTheme="minorEastAsia" w:hAnsiTheme="minorEastAsia" w:eastAsiaTheme="minorEastAsia"/>
                <w:b/>
                <w:sz w:val="24"/>
                <w:szCs w:val="24"/>
                <w:highlight w:val="none"/>
              </w:rPr>
              <w:t>采购人、采购代理机构不强制或变相强制供应商提交备份投标文件。</w:t>
            </w:r>
          </w:p>
        </w:tc>
      </w:tr>
      <w:tr w14:paraId="4CA18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24E4410F">
            <w:pPr>
              <w:snapToGrid w:val="0"/>
              <w:jc w:val="center"/>
              <w:rPr>
                <w:rFonts w:ascii="宋体" w:hAnsi="宋体" w:cs="宋体"/>
                <w:sz w:val="24"/>
                <w:highlight w:val="none"/>
              </w:rPr>
            </w:pPr>
            <w:r>
              <w:rPr>
                <w:rFonts w:hint="eastAsia" w:ascii="宋体" w:hAnsi="宋体" w:cs="宋体"/>
                <w:sz w:val="24"/>
                <w:highlight w:val="none"/>
              </w:rPr>
              <w:t>13</w:t>
            </w:r>
          </w:p>
        </w:tc>
        <w:tc>
          <w:tcPr>
            <w:tcW w:w="1843" w:type="dxa"/>
            <w:vAlign w:val="center"/>
          </w:tcPr>
          <w:p w14:paraId="2CCE1DD1">
            <w:pPr>
              <w:snapToGrid w:val="0"/>
              <w:jc w:val="center"/>
              <w:rPr>
                <w:rFonts w:ascii="宋体" w:hAnsi="宋体" w:cs="宋体"/>
                <w:b/>
                <w:sz w:val="24"/>
                <w:highlight w:val="none"/>
              </w:rPr>
            </w:pPr>
            <w:r>
              <w:rPr>
                <w:rFonts w:hint="eastAsia" w:cs="仿宋_GB2312" w:asciiTheme="minorEastAsia" w:hAnsiTheme="minorEastAsia" w:eastAsiaTheme="minorEastAsia"/>
                <w:b/>
                <w:sz w:val="24"/>
                <w:highlight w:val="none"/>
              </w:rPr>
              <w:t>特别说明</w:t>
            </w:r>
          </w:p>
        </w:tc>
        <w:tc>
          <w:tcPr>
            <w:tcW w:w="6528" w:type="dxa"/>
            <w:vAlign w:val="center"/>
          </w:tcPr>
          <w:p w14:paraId="3E53AEAB">
            <w:pPr>
              <w:rPr>
                <w:rFonts w:hint="default" w:ascii="宋体" w:hAnsi="宋体" w:eastAsia="宋体" w:cs="宋体"/>
                <w:snapToGrid w:val="0"/>
                <w:kern w:val="28"/>
                <w:sz w:val="24"/>
                <w:highlight w:val="none"/>
                <w:lang w:val="en-US" w:eastAsia="zh-CN"/>
              </w:rPr>
            </w:pPr>
            <w:r>
              <w:rPr>
                <w:rFonts w:hint="eastAsia" w:ascii="宋体" w:hAnsi="宋体" w:cs="宋体"/>
                <w:snapToGrid w:val="0"/>
                <w:kern w:val="28"/>
                <w:sz w:val="24"/>
                <w:highlight w:val="none"/>
                <w:lang w:val="en-US" w:eastAsia="zh-CN"/>
              </w:rPr>
              <w:t>如为联合体投标，联合体各方提供的材料均予以认可。</w:t>
            </w:r>
          </w:p>
        </w:tc>
      </w:tr>
      <w:tr w14:paraId="6778A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629" w:type="dxa"/>
            <w:vAlign w:val="center"/>
          </w:tcPr>
          <w:p w14:paraId="54E06C7C">
            <w:pPr>
              <w:snapToGrid w:val="0"/>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14</w:t>
            </w:r>
          </w:p>
        </w:tc>
        <w:tc>
          <w:tcPr>
            <w:tcW w:w="1843" w:type="dxa"/>
            <w:vAlign w:val="center"/>
          </w:tcPr>
          <w:p w14:paraId="01812EAD">
            <w:pPr>
              <w:snapToGrid w:val="0"/>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其他说明</w:t>
            </w:r>
          </w:p>
        </w:tc>
        <w:tc>
          <w:tcPr>
            <w:tcW w:w="6528" w:type="dxa"/>
            <w:vAlign w:val="center"/>
          </w:tcPr>
          <w:p w14:paraId="1B29FFFE">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strike w:val="0"/>
                <w:color w:val="auto"/>
                <w:kern w:val="0"/>
                <w:sz w:val="24"/>
                <w:szCs w:val="24"/>
                <w:highlight w:val="none"/>
                <w:lang w:val="en-US" w:eastAsia="zh-CN"/>
              </w:rPr>
              <w:t>招标代理服务费的收取标准：</w:t>
            </w:r>
            <w:r>
              <w:rPr>
                <w:rFonts w:hint="eastAsia" w:ascii="宋体" w:hAnsi="宋体" w:eastAsia="宋体" w:cs="宋体"/>
                <w:color w:val="auto"/>
                <w:kern w:val="0"/>
                <w:sz w:val="24"/>
                <w:szCs w:val="24"/>
                <w:highlight w:val="none"/>
                <w:lang w:val="en-US" w:eastAsia="zh-CN"/>
              </w:rPr>
              <w:t>采购代理按下表中货物招标标准（按差额定率累进法计算），根据中标总金额向中标人收取</w:t>
            </w:r>
            <w:r>
              <w:rPr>
                <w:rFonts w:hint="eastAsia" w:ascii="宋体" w:hAnsi="宋体" w:eastAsia="宋体" w:cs="宋体"/>
                <w:strike w:val="0"/>
                <w:color w:val="auto"/>
                <w:kern w:val="0"/>
                <w:sz w:val="24"/>
                <w:szCs w:val="24"/>
                <w:highlight w:val="none"/>
                <w:lang w:val="en-US" w:eastAsia="zh-CN"/>
              </w:rPr>
              <w:t>招标代理服务费</w:t>
            </w:r>
            <w:r>
              <w:rPr>
                <w:rFonts w:hint="eastAsia" w:ascii="宋体" w:hAnsi="宋体" w:eastAsia="宋体" w:cs="宋体"/>
                <w:color w:val="auto"/>
                <w:kern w:val="0"/>
                <w:sz w:val="24"/>
                <w:szCs w:val="24"/>
                <w:highlight w:val="none"/>
                <w:lang w:val="en-US" w:eastAsia="zh-CN"/>
              </w:rPr>
              <w:t>。</w:t>
            </w:r>
          </w:p>
          <w:tbl>
            <w:tblPr>
              <w:tblStyle w:val="62"/>
              <w:tblW w:w="6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968"/>
              <w:gridCol w:w="968"/>
              <w:gridCol w:w="969"/>
            </w:tblGrid>
            <w:tr w14:paraId="3070D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9" w:hRule="atLeast"/>
                <w:jc w:val="center"/>
              </w:trPr>
              <w:tc>
                <w:tcPr>
                  <w:tcW w:w="3300" w:type="dxa"/>
                  <w:tcBorders>
                    <w:tl2br w:val="single" w:color="auto" w:sz="4" w:space="0"/>
                  </w:tcBorders>
                  <w:noWrap w:val="0"/>
                  <w:tcMar>
                    <w:top w:w="30" w:type="dxa"/>
                    <w:left w:w="150" w:type="dxa"/>
                    <w:bottom w:w="30" w:type="dxa"/>
                    <w:right w:w="150" w:type="dxa"/>
                  </w:tcMar>
                  <w:vAlign w:val="center"/>
                  <mc:AlternateContent>
                    <mc:Choice Requires="wpsCustomData">
                      <wpsCustomData:diagonals>
                        <wpsCustomData:diagonal from="30000" to="15200">
                          <wpsCustomData:border w:val="single" w:color="auto" w:sz="4" w:space="0"/>
                        </wpsCustomData:diagonal>
                        <wpsCustomData:diagonal from="10000" to="30000">
                          <wpsCustomData:border w:val="single" w:color="auto" w:sz="4" w:space="0"/>
                        </wpsCustomData:diagonal>
                      </wpsCustomData:diagonals>
                    </mc:Choice>
                  </mc:AlternateContent>
                </w:tcPr>
                <w:p w14:paraId="1D0DD6E0">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rPr>
                  </w:pPr>
                </w:p>
                <w:p w14:paraId="24E241C5">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金额</w:t>
                  </w:r>
                </w:p>
                <w:p w14:paraId="4CBD793C">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万元</w:t>
                  </w:r>
                  <w:r>
                    <w:rPr>
                      <w:rFonts w:hint="eastAsia" w:ascii="宋体" w:hAnsi="宋体" w:eastAsia="宋体" w:cs="宋体"/>
                      <w:color w:val="auto"/>
                      <w:kern w:val="0"/>
                      <w:sz w:val="24"/>
                      <w:szCs w:val="24"/>
                      <w:highlight w:val="none"/>
                      <w:lang w:eastAsia="zh-CN"/>
                    </w:rPr>
                    <w:t>）</w:t>
                  </w:r>
                </w:p>
                <w:p w14:paraId="722AADF9">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mc:AlternateContent>
                      <mc:Choice Requires="wpsCustomData">
                        <wpsCustomData:diagonalParaType/>
                      </mc:Choice>
                    </mc:AlternateConten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p w14:paraId="3E5E79BB">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mc:AlternateContent>
                      <mc:Choice Requires="wpsCustomData">
                        <wpsCustomData:diagonalParaType/>
                      </mc:Choice>
                    </mc:AlternateConten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费率</w:t>
                  </w:r>
                </w:p>
                <w:p w14:paraId="36839857">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类型</w:t>
                  </w:r>
                </w:p>
              </w:tc>
              <w:tc>
                <w:tcPr>
                  <w:tcW w:w="968" w:type="dxa"/>
                  <w:noWrap w:val="0"/>
                  <w:tcMar>
                    <w:top w:w="30" w:type="dxa"/>
                    <w:left w:w="150" w:type="dxa"/>
                    <w:bottom w:w="30" w:type="dxa"/>
                    <w:right w:w="150" w:type="dxa"/>
                  </w:tcMar>
                  <w:vAlign w:val="center"/>
                </w:tcPr>
                <w:p w14:paraId="1C4FA6B6">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货物</w:t>
                  </w:r>
                </w:p>
                <w:p w14:paraId="39599EC0">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招标</w:t>
                  </w:r>
                </w:p>
              </w:tc>
              <w:tc>
                <w:tcPr>
                  <w:tcW w:w="968" w:type="dxa"/>
                  <w:noWrap w:val="0"/>
                  <w:tcMar>
                    <w:top w:w="30" w:type="dxa"/>
                    <w:left w:w="150" w:type="dxa"/>
                    <w:bottom w:w="30" w:type="dxa"/>
                    <w:right w:w="150" w:type="dxa"/>
                  </w:tcMar>
                  <w:vAlign w:val="center"/>
                </w:tcPr>
                <w:p w14:paraId="0D9A9CD5">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服务</w:t>
                  </w:r>
                </w:p>
                <w:p w14:paraId="03F12F2B">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招标</w:t>
                  </w:r>
                </w:p>
              </w:tc>
              <w:tc>
                <w:tcPr>
                  <w:tcW w:w="969" w:type="dxa"/>
                  <w:noWrap w:val="0"/>
                  <w:tcMar>
                    <w:top w:w="30" w:type="dxa"/>
                    <w:left w:w="150" w:type="dxa"/>
                    <w:bottom w:w="30" w:type="dxa"/>
                    <w:right w:w="150" w:type="dxa"/>
                  </w:tcMar>
                  <w:vAlign w:val="center"/>
                </w:tcPr>
                <w:p w14:paraId="76558BA4">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工程</w:t>
                  </w:r>
                </w:p>
                <w:p w14:paraId="7C696B47">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招标</w:t>
                  </w:r>
                </w:p>
              </w:tc>
            </w:tr>
            <w:tr w14:paraId="3A7AD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21DF8986">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100以下</w:t>
                  </w:r>
                </w:p>
              </w:tc>
              <w:tc>
                <w:tcPr>
                  <w:tcW w:w="968" w:type="dxa"/>
                  <w:noWrap w:val="0"/>
                  <w:tcMar>
                    <w:top w:w="30" w:type="dxa"/>
                    <w:left w:w="150" w:type="dxa"/>
                    <w:bottom w:w="30" w:type="dxa"/>
                    <w:right w:w="150" w:type="dxa"/>
                  </w:tcMar>
                  <w:vAlign w:val="center"/>
                </w:tcPr>
                <w:p w14:paraId="7C0C1543">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1.5%</w:t>
                  </w:r>
                </w:p>
              </w:tc>
              <w:tc>
                <w:tcPr>
                  <w:tcW w:w="968" w:type="dxa"/>
                  <w:noWrap w:val="0"/>
                  <w:tcMar>
                    <w:top w:w="30" w:type="dxa"/>
                    <w:left w:w="150" w:type="dxa"/>
                    <w:bottom w:w="30" w:type="dxa"/>
                    <w:right w:w="150" w:type="dxa"/>
                  </w:tcMar>
                  <w:vAlign w:val="center"/>
                </w:tcPr>
                <w:p w14:paraId="4B0D6B9F">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1.5%</w:t>
                  </w:r>
                </w:p>
              </w:tc>
              <w:tc>
                <w:tcPr>
                  <w:tcW w:w="969" w:type="dxa"/>
                  <w:noWrap w:val="0"/>
                  <w:tcMar>
                    <w:top w:w="30" w:type="dxa"/>
                    <w:left w:w="150" w:type="dxa"/>
                    <w:bottom w:w="30" w:type="dxa"/>
                    <w:right w:w="150" w:type="dxa"/>
                  </w:tcMar>
                  <w:vAlign w:val="center"/>
                </w:tcPr>
                <w:p w14:paraId="3E1C0899">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r>
            <w:tr w14:paraId="38B89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44BB7979">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100-500</w:t>
                  </w:r>
                </w:p>
              </w:tc>
              <w:tc>
                <w:tcPr>
                  <w:tcW w:w="968" w:type="dxa"/>
                  <w:noWrap w:val="0"/>
                  <w:tcMar>
                    <w:top w:w="30" w:type="dxa"/>
                    <w:left w:w="150" w:type="dxa"/>
                    <w:bottom w:w="30" w:type="dxa"/>
                    <w:right w:w="150" w:type="dxa"/>
                  </w:tcMar>
                  <w:vAlign w:val="center"/>
                </w:tcPr>
                <w:p w14:paraId="3A5D7CAA">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w:t>
                  </w:r>
                </w:p>
              </w:tc>
              <w:tc>
                <w:tcPr>
                  <w:tcW w:w="968" w:type="dxa"/>
                  <w:noWrap w:val="0"/>
                  <w:tcMar>
                    <w:top w:w="30" w:type="dxa"/>
                    <w:left w:w="150" w:type="dxa"/>
                    <w:bottom w:w="30" w:type="dxa"/>
                    <w:right w:w="150" w:type="dxa"/>
                  </w:tcMar>
                  <w:vAlign w:val="center"/>
                </w:tcPr>
                <w:p w14:paraId="674981F6">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0.8%</w:t>
                  </w:r>
                </w:p>
              </w:tc>
              <w:tc>
                <w:tcPr>
                  <w:tcW w:w="969" w:type="dxa"/>
                  <w:noWrap w:val="0"/>
                  <w:tcMar>
                    <w:top w:w="30" w:type="dxa"/>
                    <w:left w:w="150" w:type="dxa"/>
                    <w:bottom w:w="30" w:type="dxa"/>
                    <w:right w:w="150" w:type="dxa"/>
                  </w:tcMar>
                  <w:vAlign w:val="center"/>
                </w:tcPr>
                <w:p w14:paraId="469DC776">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0.7%</w:t>
                  </w:r>
                </w:p>
              </w:tc>
            </w:tr>
            <w:tr w14:paraId="6047B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55332CF5">
                  <w:pPr>
                    <w:keepNext w:val="0"/>
                    <w:keepLines w:val="0"/>
                    <w:pageBreakBefore w:val="0"/>
                    <w:widowControl w:val="0"/>
                    <w:kinsoku/>
                    <w:wordWrap/>
                    <w:overflowPunct/>
                    <w:topLinePunct w:val="0"/>
                    <w:autoSpaceDE/>
                    <w:autoSpaceDN/>
                    <w:bidi w:val="0"/>
                    <w:adjustRightInd w:val="0"/>
                    <w:snapToGrid/>
                    <w:spacing w:line="264" w:lineRule="auto"/>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500-1000</w:t>
                  </w:r>
                </w:p>
              </w:tc>
              <w:tc>
                <w:tcPr>
                  <w:tcW w:w="968" w:type="dxa"/>
                  <w:noWrap w:val="0"/>
                  <w:tcMar>
                    <w:top w:w="30" w:type="dxa"/>
                    <w:left w:w="150" w:type="dxa"/>
                    <w:bottom w:w="30" w:type="dxa"/>
                    <w:right w:w="150" w:type="dxa"/>
                  </w:tcMar>
                  <w:vAlign w:val="center"/>
                </w:tcPr>
                <w:p w14:paraId="0E0560E7">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0.8%</w:t>
                  </w:r>
                </w:p>
              </w:tc>
              <w:tc>
                <w:tcPr>
                  <w:tcW w:w="968" w:type="dxa"/>
                  <w:noWrap w:val="0"/>
                  <w:tcMar>
                    <w:top w:w="30" w:type="dxa"/>
                    <w:left w:w="150" w:type="dxa"/>
                    <w:bottom w:w="30" w:type="dxa"/>
                    <w:right w:w="150" w:type="dxa"/>
                  </w:tcMar>
                  <w:vAlign w:val="center"/>
                </w:tcPr>
                <w:p w14:paraId="663F6488">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0.45%</w:t>
                  </w:r>
                </w:p>
              </w:tc>
              <w:tc>
                <w:tcPr>
                  <w:tcW w:w="969" w:type="dxa"/>
                  <w:noWrap w:val="0"/>
                  <w:tcMar>
                    <w:top w:w="30" w:type="dxa"/>
                    <w:left w:w="150" w:type="dxa"/>
                    <w:bottom w:w="30" w:type="dxa"/>
                    <w:right w:w="150" w:type="dxa"/>
                  </w:tcMar>
                  <w:vAlign w:val="center"/>
                </w:tcPr>
                <w:p w14:paraId="75FC2283">
                  <w:pPr>
                    <w:keepNext w:val="0"/>
                    <w:keepLines w:val="0"/>
                    <w:pageBreakBefore w:val="0"/>
                    <w:widowControl w:val="0"/>
                    <w:kinsoku/>
                    <w:wordWrap/>
                    <w:overflowPunct/>
                    <w:topLinePunct w:val="0"/>
                    <w:autoSpaceDE/>
                    <w:autoSpaceDN/>
                    <w:bidi w:val="0"/>
                    <w:adjustRightInd w:val="0"/>
                    <w:snapToGrid/>
                    <w:spacing w:line="264" w:lineRule="auto"/>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0.55%</w:t>
                  </w:r>
                </w:p>
              </w:tc>
            </w:tr>
          </w:tbl>
          <w:p w14:paraId="4B11BB46">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备注：招标代理服务费只收现金、银行票汇款、电汇款。汇入以下账户：</w:t>
            </w:r>
          </w:p>
          <w:p w14:paraId="228C1C8B">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开户银行：宁波银行股份有限公司鄞州中心区支行</w:t>
            </w:r>
          </w:p>
          <w:p w14:paraId="6EEA86E8">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账号：30010122001229488</w:t>
            </w:r>
          </w:p>
          <w:p w14:paraId="41E7AE72">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cs="Arial" w:asciiTheme="minorEastAsia" w:hAnsiTheme="minorEastAsia" w:eastAsiaTheme="minorEastAsia"/>
                <w:kern w:val="0"/>
                <w:sz w:val="24"/>
                <w:szCs w:val="24"/>
                <w:lang w:val="en-US" w:eastAsia="zh-CN" w:bidi="ar-SA"/>
              </w:rPr>
            </w:pPr>
            <w:r>
              <w:rPr>
                <w:rFonts w:hint="eastAsia" w:ascii="宋体" w:hAnsi="宋体" w:eastAsia="宋体" w:cs="宋体"/>
                <w:color w:val="auto"/>
                <w:kern w:val="0"/>
                <w:sz w:val="24"/>
                <w:szCs w:val="24"/>
                <w:highlight w:val="none"/>
                <w:lang w:val="en-US" w:eastAsia="zh-CN"/>
              </w:rPr>
              <w:t>户名：浙江中基正采管理咨询有限公司</w:t>
            </w:r>
          </w:p>
        </w:tc>
      </w:tr>
      <w:bookmarkEnd w:id="8"/>
    </w:tbl>
    <w:p w14:paraId="6BAC9DCC">
      <w:pPr>
        <w:rPr>
          <w:rFonts w:ascii="宋体" w:hAnsi="宋体" w:cs="宋体"/>
          <w:b/>
          <w:sz w:val="32"/>
          <w:szCs w:val="20"/>
          <w:highlight w:val="none"/>
        </w:rPr>
      </w:pPr>
      <w:bookmarkStart w:id="13" w:name="_Toc164416483"/>
      <w:bookmarkStart w:id="14" w:name="第三部分"/>
      <w:r>
        <w:rPr>
          <w:rFonts w:hint="eastAsia" w:ascii="宋体" w:hAnsi="宋体" w:cs="宋体"/>
          <w:b/>
          <w:sz w:val="32"/>
          <w:szCs w:val="20"/>
          <w:highlight w:val="none"/>
        </w:rPr>
        <w:br w:type="page"/>
      </w:r>
    </w:p>
    <w:p w14:paraId="2C208472">
      <w:pPr>
        <w:adjustRightInd/>
        <w:spacing w:line="348" w:lineRule="auto"/>
        <w:ind w:firstLine="0" w:firstLineChars="0"/>
        <w:jc w:val="center"/>
        <w:rPr>
          <w:rFonts w:ascii="宋体" w:hAnsi="宋体" w:cs="宋体"/>
          <w:b/>
          <w:sz w:val="32"/>
          <w:szCs w:val="20"/>
          <w:highlight w:val="none"/>
        </w:rPr>
      </w:pPr>
      <w:r>
        <w:rPr>
          <w:rFonts w:hint="eastAsia" w:ascii="宋体" w:hAnsi="宋体" w:cs="宋体"/>
          <w:b/>
          <w:sz w:val="32"/>
          <w:szCs w:val="20"/>
          <w:highlight w:val="none"/>
        </w:rPr>
        <w:t>一、总则</w:t>
      </w:r>
    </w:p>
    <w:p w14:paraId="69C297FE">
      <w:pPr>
        <w:snapToGrid w:val="0"/>
        <w:spacing w:line="348" w:lineRule="auto"/>
        <w:ind w:firstLine="361" w:firstLineChars="150"/>
        <w:jc w:val="left"/>
        <w:rPr>
          <w:rFonts w:ascii="宋体" w:hAnsi="宋体" w:cs="宋体"/>
          <w:b/>
          <w:sz w:val="24"/>
          <w:highlight w:val="none"/>
        </w:rPr>
      </w:pPr>
      <w:r>
        <w:rPr>
          <w:rFonts w:hint="eastAsia" w:ascii="宋体" w:hAnsi="宋体" w:cs="宋体"/>
          <w:b/>
          <w:sz w:val="24"/>
          <w:highlight w:val="none"/>
        </w:rPr>
        <w:t>1. 适用范围</w:t>
      </w:r>
    </w:p>
    <w:p w14:paraId="5AAE0915">
      <w:pPr>
        <w:snapToGrid w:val="0"/>
        <w:spacing w:line="348" w:lineRule="auto"/>
        <w:ind w:firstLine="480" w:firstLineChars="200"/>
        <w:jc w:val="left"/>
        <w:rPr>
          <w:rFonts w:ascii="宋体" w:hAnsi="宋体" w:cs="宋体"/>
          <w:sz w:val="24"/>
          <w:highlight w:val="none"/>
        </w:rPr>
      </w:pPr>
      <w:r>
        <w:rPr>
          <w:rFonts w:hint="eastAsia" w:ascii="宋体" w:hAnsi="宋体" w:cs="宋体"/>
          <w:sz w:val="24"/>
          <w:highlight w:val="none"/>
        </w:rPr>
        <w:t>本招标文件适用于该项目的招标、投标、开标、资格审查及信用信息查询、评标、定标、合同、验收等行为（法律、法规另有规定的，从其规定）。</w:t>
      </w:r>
    </w:p>
    <w:p w14:paraId="7A237F58">
      <w:pPr>
        <w:adjustRightInd/>
        <w:spacing w:line="348" w:lineRule="auto"/>
        <w:rPr>
          <w:rFonts w:ascii="宋体" w:hAnsi="宋体" w:cs="宋体"/>
          <w:b/>
          <w:sz w:val="24"/>
          <w:highlight w:val="none"/>
        </w:rPr>
      </w:pPr>
      <w:r>
        <w:rPr>
          <w:rFonts w:hint="eastAsia" w:ascii="宋体" w:hAnsi="宋体" w:cs="宋体"/>
          <w:b/>
          <w:sz w:val="24"/>
          <w:highlight w:val="none"/>
        </w:rPr>
        <w:t xml:space="preserve">   2.定义</w:t>
      </w:r>
    </w:p>
    <w:p w14:paraId="66B58758">
      <w:pPr>
        <w:spacing w:line="348" w:lineRule="auto"/>
        <w:ind w:firstLine="480" w:firstLineChars="200"/>
        <w:rPr>
          <w:rFonts w:ascii="宋体" w:hAnsi="宋体" w:cs="宋体"/>
          <w:sz w:val="24"/>
          <w:highlight w:val="none"/>
        </w:rPr>
      </w:pPr>
      <w:r>
        <w:rPr>
          <w:rFonts w:hint="eastAsia" w:ascii="宋体" w:hAnsi="宋体" w:cs="宋体"/>
          <w:sz w:val="24"/>
          <w:highlight w:val="none"/>
        </w:rPr>
        <w:t>2.1 “采购人”系指招标公告中载明的本项目的采购人。</w:t>
      </w:r>
    </w:p>
    <w:p w14:paraId="1A4CB095">
      <w:pPr>
        <w:spacing w:line="348" w:lineRule="auto"/>
        <w:ind w:firstLine="480" w:firstLineChars="200"/>
        <w:rPr>
          <w:rFonts w:ascii="宋体" w:hAnsi="宋体" w:cs="宋体"/>
          <w:sz w:val="24"/>
          <w:highlight w:val="none"/>
        </w:rPr>
      </w:pPr>
      <w:r>
        <w:rPr>
          <w:rFonts w:hint="eastAsia" w:ascii="宋体" w:hAnsi="宋体" w:cs="宋体"/>
          <w:sz w:val="24"/>
          <w:highlight w:val="none"/>
        </w:rPr>
        <w:t>2.2 “采购代理机构”系指招标公告中载明的本项目的采购代理机构。</w:t>
      </w:r>
    </w:p>
    <w:p w14:paraId="7300864F">
      <w:pPr>
        <w:spacing w:line="348" w:lineRule="auto"/>
        <w:ind w:firstLine="480" w:firstLineChars="200"/>
        <w:rPr>
          <w:rFonts w:ascii="宋体" w:hAnsi="宋体" w:cs="宋体"/>
          <w:sz w:val="24"/>
          <w:highlight w:val="none"/>
        </w:rPr>
      </w:pPr>
      <w:r>
        <w:rPr>
          <w:rFonts w:hint="eastAsia" w:ascii="宋体" w:hAnsi="宋体" w:cs="宋体"/>
          <w:sz w:val="24"/>
          <w:highlight w:val="none"/>
        </w:rPr>
        <w:t>2.3 “投标人”系指是指响应招标、参加投标竞争的法人、其他组织或者自然人。</w:t>
      </w:r>
    </w:p>
    <w:p w14:paraId="4CD2EAEE">
      <w:pPr>
        <w:spacing w:line="348" w:lineRule="auto"/>
        <w:ind w:firstLine="480" w:firstLineChars="200"/>
        <w:rPr>
          <w:rFonts w:ascii="宋体" w:hAnsi="宋体" w:cs="宋体"/>
          <w:sz w:val="24"/>
          <w:highlight w:val="none"/>
        </w:rPr>
      </w:pPr>
      <w:r>
        <w:rPr>
          <w:rFonts w:hint="eastAsia" w:ascii="宋体" w:hAnsi="宋体" w:cs="宋体"/>
          <w:sz w:val="24"/>
          <w:highlight w:val="none"/>
        </w:rPr>
        <w:t>2.4 “负责人”系指法人企业的法定负责人，或其他组织为法律、行政法规规定代表单位行使职权的主要负责人，或自然人本人。</w:t>
      </w:r>
    </w:p>
    <w:p w14:paraId="3DA9268A">
      <w:pPr>
        <w:spacing w:line="348" w:lineRule="auto"/>
        <w:ind w:firstLine="480" w:firstLineChars="200"/>
        <w:rPr>
          <w:rFonts w:ascii="宋体" w:hAnsi="宋体" w:cs="宋体"/>
          <w:sz w:val="24"/>
          <w:highlight w:val="none"/>
        </w:rPr>
      </w:pPr>
      <w:r>
        <w:rPr>
          <w:rFonts w:hint="eastAsia" w:ascii="宋体" w:hAnsi="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7DED5D2">
      <w:pPr>
        <w:spacing w:line="348" w:lineRule="auto"/>
        <w:ind w:firstLine="480" w:firstLineChars="200"/>
        <w:rPr>
          <w:rFonts w:ascii="宋体" w:hAnsi="宋体" w:cs="宋体"/>
          <w:sz w:val="24"/>
          <w:highlight w:val="none"/>
        </w:rPr>
      </w:pPr>
      <w:r>
        <w:rPr>
          <w:rFonts w:hint="eastAsia" w:ascii="宋体" w:hAnsi="宋体" w:cs="宋体"/>
          <w:sz w:val="24"/>
          <w:highlight w:val="none"/>
        </w:rPr>
        <w:t>2.6“电子交易平台”系指本项目政府采购活动所依托的</w:t>
      </w:r>
      <w:r>
        <w:rPr>
          <w:rFonts w:hint="eastAsia" w:ascii="宋体" w:hAnsi="宋体" w:cs="宋体"/>
          <w:sz w:val="24"/>
          <w:highlight w:val="none"/>
          <w:lang w:eastAsia="zh-CN"/>
        </w:rPr>
        <w:t>乐采云平台</w:t>
      </w:r>
      <w:r>
        <w:rPr>
          <w:rFonts w:hint="eastAsia" w:ascii="宋体" w:hAnsi="宋体" w:cs="宋体"/>
          <w:sz w:val="24"/>
          <w:highlight w:val="none"/>
        </w:rPr>
        <w:t>（https://www.</w:t>
      </w:r>
      <w:r>
        <w:rPr>
          <w:rFonts w:hint="eastAsia" w:ascii="宋体" w:hAnsi="宋体" w:cs="宋体"/>
          <w:sz w:val="24"/>
          <w:highlight w:val="none"/>
          <w:lang w:eastAsia="zh-CN"/>
        </w:rPr>
        <w:t>lecaiyun</w:t>
      </w:r>
      <w:r>
        <w:rPr>
          <w:rFonts w:hint="eastAsia" w:ascii="宋体" w:hAnsi="宋体" w:cs="宋体"/>
          <w:sz w:val="24"/>
          <w:highlight w:val="none"/>
        </w:rPr>
        <w:t>.cn/）。</w:t>
      </w:r>
    </w:p>
    <w:p w14:paraId="1166BF48">
      <w:pPr>
        <w:spacing w:line="348" w:lineRule="auto"/>
        <w:ind w:firstLine="480" w:firstLineChars="200"/>
        <w:rPr>
          <w:rFonts w:ascii="宋体" w:hAnsi="宋体" w:cs="宋体"/>
          <w:sz w:val="24"/>
          <w:highlight w:val="none"/>
        </w:rPr>
      </w:pPr>
      <w:r>
        <w:rPr>
          <w:rFonts w:hint="eastAsia" w:ascii="宋体" w:hAnsi="宋体" w:cs="宋体"/>
          <w:sz w:val="24"/>
          <w:highlight w:val="none"/>
        </w:rPr>
        <w:t>2.7 “▲” 系指实质性要求条款，“</w:t>
      </w:r>
      <w:sdt>
        <w:sdtPr>
          <w:rPr>
            <w:rFonts w:hint="eastAsia" w:ascii="宋体" w:hAnsi="宋体" w:cs="宋体"/>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sz w:val="24"/>
          <w:highlight w:val="none"/>
        </w:rPr>
        <w:t>” 系指适用本项目的要求，“</w:t>
      </w:r>
      <w:sdt>
        <w:sdtPr>
          <w:rPr>
            <w:rFonts w:hint="eastAsia" w:ascii="宋体" w:hAnsi="宋体" w:cs="宋体"/>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 系指不适用本项目的要求。</w:t>
      </w:r>
    </w:p>
    <w:p w14:paraId="6F47D242">
      <w:pPr>
        <w:spacing w:line="348" w:lineRule="auto"/>
        <w:ind w:firstLine="480" w:firstLineChars="200"/>
        <w:rPr>
          <w:rFonts w:ascii="宋体" w:hAnsi="宋体" w:cs="宋体"/>
          <w:sz w:val="24"/>
          <w:highlight w:val="none"/>
        </w:rPr>
      </w:pPr>
      <w:r>
        <w:rPr>
          <w:rFonts w:hint="eastAsia" w:ascii="宋体" w:hAnsi="宋体" w:cs="宋体"/>
          <w:sz w:val="24"/>
          <w:highlight w:val="none"/>
        </w:rPr>
        <w:t>▲8、若采购货物属于国家实行许可证制度或生产注册证制度的，则应具备相应有效的证书。</w:t>
      </w:r>
    </w:p>
    <w:p w14:paraId="1334DDAE">
      <w:pPr>
        <w:spacing w:line="348" w:lineRule="auto"/>
        <w:ind w:firstLine="241" w:firstLineChars="100"/>
        <w:rPr>
          <w:rFonts w:ascii="宋体" w:hAnsi="宋体" w:cs="宋体"/>
          <w:b/>
          <w:sz w:val="24"/>
          <w:highlight w:val="none"/>
        </w:rPr>
      </w:pPr>
      <w:r>
        <w:rPr>
          <w:rFonts w:hint="eastAsia" w:ascii="宋体" w:hAnsi="宋体" w:cs="宋体"/>
          <w:b/>
          <w:sz w:val="24"/>
          <w:highlight w:val="none"/>
        </w:rPr>
        <w:t>3.</w:t>
      </w:r>
      <w:r>
        <w:rPr>
          <w:rFonts w:hint="eastAsia" w:ascii="宋体" w:hAnsi="宋体" w:cs="宋体"/>
          <w:highlight w:val="none"/>
        </w:rPr>
        <w:t xml:space="preserve"> </w:t>
      </w:r>
      <w:r>
        <w:rPr>
          <w:rFonts w:hint="eastAsia" w:ascii="宋体" w:hAnsi="宋体" w:cs="宋体"/>
          <w:b/>
          <w:sz w:val="24"/>
          <w:highlight w:val="none"/>
        </w:rPr>
        <w:t>采购项目需要落实的政府采购政策</w:t>
      </w:r>
    </w:p>
    <w:p w14:paraId="6369D209">
      <w:pPr>
        <w:spacing w:line="348" w:lineRule="auto"/>
        <w:ind w:firstLine="240" w:firstLineChars="100"/>
        <w:rPr>
          <w:rFonts w:ascii="宋体" w:hAnsi="宋体" w:cs="宋体"/>
          <w:sz w:val="24"/>
          <w:highlight w:val="none"/>
        </w:rPr>
      </w:pPr>
      <w:r>
        <w:rPr>
          <w:rFonts w:hint="eastAsia" w:ascii="宋体" w:hAnsi="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highlight w:val="none"/>
        </w:rPr>
        <w:t>优先采购向我国企业转让技术、与我国企业签订消化吸收再创新方案的供应商的进口产品</w:t>
      </w:r>
      <w:r>
        <w:rPr>
          <w:rFonts w:hint="eastAsia" w:ascii="宋体" w:hAnsi="宋体" w:cs="宋体"/>
          <w:sz w:val="24"/>
          <w:highlight w:val="none"/>
        </w:rPr>
        <w:t>。</w:t>
      </w:r>
    </w:p>
    <w:p w14:paraId="316BC27F">
      <w:pPr>
        <w:spacing w:line="348" w:lineRule="auto"/>
        <w:ind w:firstLine="240" w:firstLineChars="100"/>
        <w:rPr>
          <w:rFonts w:ascii="宋体" w:hAnsi="宋体" w:cs="宋体"/>
          <w:sz w:val="24"/>
          <w:highlight w:val="none"/>
        </w:rPr>
      </w:pPr>
      <w:r>
        <w:rPr>
          <w:rFonts w:hint="eastAsia" w:ascii="宋体" w:hAnsi="宋体" w:cs="宋体"/>
          <w:sz w:val="24"/>
          <w:highlight w:val="none"/>
        </w:rPr>
        <w:t>3.2 支持绿色发展</w:t>
      </w:r>
    </w:p>
    <w:p w14:paraId="0EF229E3">
      <w:pPr>
        <w:spacing w:line="348" w:lineRule="auto"/>
        <w:ind w:firstLine="480" w:firstLineChars="200"/>
        <w:rPr>
          <w:rFonts w:ascii="宋体" w:hAnsi="宋体" w:cs="宋体"/>
          <w:b/>
          <w:sz w:val="24"/>
          <w:highlight w:val="none"/>
        </w:rPr>
      </w:pPr>
      <w:r>
        <w:rPr>
          <w:rFonts w:hint="eastAsia" w:ascii="宋体" w:hAnsi="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13E908F">
      <w:pPr>
        <w:spacing w:line="348" w:lineRule="auto"/>
        <w:ind w:firstLine="480" w:firstLineChars="200"/>
        <w:rPr>
          <w:rFonts w:ascii="宋体" w:hAnsi="宋体" w:cs="宋体"/>
          <w:sz w:val="24"/>
          <w:highlight w:val="none"/>
        </w:rPr>
      </w:pPr>
      <w:r>
        <w:rPr>
          <w:rFonts w:hint="eastAsia" w:ascii="宋体" w:hAnsi="宋体" w:cs="宋体"/>
          <w:sz w:val="24"/>
          <w:highlight w:val="none"/>
        </w:rPr>
        <w:t>3.2.2纳入政府采购管理的修缮、装修类项目采购建材的，鼓励采购单位将绿色建材性能、指标等作为实质性条件纳入采购文件和合同，具体性能指标要求参考相关绿色建材政府采购需求标准。</w:t>
      </w:r>
    </w:p>
    <w:p w14:paraId="24392F62">
      <w:pPr>
        <w:spacing w:line="348"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000000" w:themeColor="text1"/>
          <w:sz w:val="24"/>
          <w:highlight w:val="none"/>
          <w14:textFill>
            <w14:solidFill>
              <w14:schemeClr w14:val="tx1"/>
            </w14:solidFill>
          </w14:textFill>
        </w:rPr>
        <w:t>鼓励采购单位优先采购秸秆环保板材等资源综合利用产品。鼓励采购单位优先采购绿色物流配送服务、提供新能源交通工具的租赁服务。</w:t>
      </w:r>
    </w:p>
    <w:p w14:paraId="5B76938C">
      <w:pPr>
        <w:spacing w:line="348" w:lineRule="auto"/>
        <w:ind w:firstLine="480" w:firstLineChars="200"/>
        <w:rPr>
          <w:rFonts w:ascii="宋体" w:hAnsi="宋体" w:cs="宋体"/>
          <w:sz w:val="24"/>
          <w:highlight w:val="none"/>
        </w:rPr>
      </w:pPr>
      <w:r>
        <w:rPr>
          <w:rFonts w:hint="eastAsia" w:ascii="宋体" w:hAnsi="宋体" w:cs="宋体"/>
          <w:sz w:val="24"/>
          <w:highlight w:val="none"/>
        </w:rPr>
        <w:t>3.2.4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4046C623">
      <w:pPr>
        <w:spacing w:line="348" w:lineRule="auto"/>
        <w:ind w:firstLine="240" w:firstLineChars="100"/>
        <w:rPr>
          <w:rFonts w:ascii="宋体" w:hAnsi="宋体" w:cs="宋体"/>
          <w:sz w:val="24"/>
          <w:highlight w:val="none"/>
        </w:rPr>
      </w:pPr>
      <w:r>
        <w:rPr>
          <w:rFonts w:hint="eastAsia" w:ascii="宋体" w:hAnsi="宋体" w:cs="宋体"/>
          <w:sz w:val="24"/>
          <w:highlight w:val="none"/>
        </w:rPr>
        <w:t>3.3支持中小企业发展</w:t>
      </w:r>
    </w:p>
    <w:p w14:paraId="3F91D728">
      <w:pPr>
        <w:spacing w:line="348" w:lineRule="auto"/>
        <w:ind w:firstLine="480" w:firstLineChars="200"/>
        <w:rPr>
          <w:rFonts w:ascii="宋体" w:hAnsi="宋体" w:cs="宋体"/>
          <w:sz w:val="24"/>
          <w:highlight w:val="none"/>
        </w:rPr>
      </w:pPr>
      <w:r>
        <w:rPr>
          <w:rFonts w:hint="eastAsia" w:ascii="宋体" w:hAnsi="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D0AA7F6">
      <w:pPr>
        <w:spacing w:line="348" w:lineRule="auto"/>
        <w:ind w:firstLine="480" w:firstLineChars="200"/>
        <w:rPr>
          <w:rFonts w:ascii="宋体" w:hAnsi="宋体" w:cs="宋体"/>
          <w:sz w:val="24"/>
          <w:highlight w:val="none"/>
        </w:rPr>
      </w:pPr>
      <w:r>
        <w:rPr>
          <w:rFonts w:hint="eastAsia" w:ascii="宋体" w:hAnsi="宋体" w:cs="宋体"/>
          <w:sz w:val="24"/>
          <w:highlight w:val="none"/>
        </w:rPr>
        <w:t>符合中小企业划分标准的个体工商户，在政府采购活动中视同中小企业。</w:t>
      </w:r>
    </w:p>
    <w:p w14:paraId="75F1D4AF">
      <w:pPr>
        <w:widowControl/>
        <w:spacing w:line="348" w:lineRule="auto"/>
        <w:ind w:firstLine="480" w:firstLineChars="200"/>
        <w:jc w:val="left"/>
        <w:rPr>
          <w:rFonts w:ascii="宋体" w:hAnsi="宋体" w:cs="宋体"/>
          <w:kern w:val="0"/>
          <w:sz w:val="24"/>
          <w:highlight w:val="none"/>
        </w:rPr>
      </w:pPr>
      <w:r>
        <w:rPr>
          <w:rFonts w:ascii="宋体" w:hAnsi="宋体" w:cs="宋体"/>
          <w:bCs/>
          <w:sz w:val="24"/>
          <w:highlight w:val="none"/>
        </w:rPr>
        <w:t>3.3.2</w:t>
      </w:r>
      <w:r>
        <w:rPr>
          <w:rFonts w:hint="eastAsia" w:ascii="宋体" w:hAnsi="宋体" w:cs="宋体"/>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602C9858">
      <w:pPr>
        <w:widowControl/>
        <w:spacing w:line="348"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以联合体形式参加政府采购活动，联合体各方均为中小企业的，联合体视同中小企业。其中，联合体各方均为小微企业的，联合体视同小微企业。</w:t>
      </w:r>
    </w:p>
    <w:p w14:paraId="58635BC8">
      <w:pPr>
        <w:spacing w:line="348" w:lineRule="auto"/>
        <w:ind w:firstLine="480" w:firstLineChars="200"/>
        <w:rPr>
          <w:rFonts w:ascii="宋体" w:hAnsi="宋体" w:cs="宋体"/>
          <w:sz w:val="24"/>
          <w:highlight w:val="none"/>
        </w:rPr>
      </w:pPr>
      <w:r>
        <w:rPr>
          <w:rFonts w:hint="eastAsia" w:ascii="宋体" w:hAnsi="宋体" w:cs="宋体"/>
          <w:sz w:val="24"/>
          <w:highlight w:val="none"/>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sz w:val="24"/>
          <w:highlight w:val="none"/>
        </w:rPr>
        <w:t>联合协议或者分包意向协议约定小微企业的合同份额占到合同总金额30%以上的</w:t>
      </w:r>
      <w:bookmarkEnd w:id="16"/>
      <w:r>
        <w:rPr>
          <w:rFonts w:hint="eastAsia" w:ascii="宋体" w:hAnsi="宋体" w:cs="宋体"/>
          <w:sz w:val="24"/>
          <w:highlight w:val="none"/>
        </w:rPr>
        <w:t>，对联合体或者大中型企业的报价给予4%的扣除，用扣除后的价格参加评审。组成联合体或者接受分包的小微企业与联合体内其他企业、分包企业之间存在直接控股、管理关系的，不享受价格扣除优惠政策。</w:t>
      </w:r>
    </w:p>
    <w:p w14:paraId="21935141">
      <w:pPr>
        <w:spacing w:line="348" w:lineRule="auto"/>
        <w:ind w:firstLine="480" w:firstLineChars="200"/>
        <w:rPr>
          <w:rFonts w:ascii="宋体" w:hAnsi="宋体" w:cs="宋体"/>
          <w:sz w:val="24"/>
          <w:highlight w:val="none"/>
        </w:rPr>
      </w:pPr>
      <w:r>
        <w:rPr>
          <w:rFonts w:hint="eastAsia" w:ascii="宋体" w:hAnsi="宋体" w:cs="宋体"/>
          <w:sz w:val="24"/>
          <w:highlight w:val="none"/>
        </w:rPr>
        <w:t>3.3.4符合《关于促进残疾人就业政府采购政策的通知》（财库〔2017〕141号）规定的条件并提供《残疾人福利性单位声明函》（附件1）的残疾人福利性单位视同小型、微型企业；</w:t>
      </w:r>
    </w:p>
    <w:p w14:paraId="4D2CA6CE">
      <w:pPr>
        <w:spacing w:line="348" w:lineRule="auto"/>
        <w:ind w:firstLine="480" w:firstLineChars="200"/>
        <w:rPr>
          <w:rFonts w:ascii="宋体" w:hAnsi="宋体" w:cs="宋体"/>
          <w:sz w:val="24"/>
          <w:highlight w:val="none"/>
        </w:rPr>
      </w:pPr>
      <w:r>
        <w:rPr>
          <w:rFonts w:hint="eastAsia" w:ascii="宋体" w:hAnsi="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C7DDE16">
      <w:pPr>
        <w:spacing w:line="348" w:lineRule="auto"/>
        <w:ind w:firstLine="480" w:firstLineChars="200"/>
        <w:rPr>
          <w:rFonts w:ascii="宋体" w:hAnsi="宋体" w:cs="宋体"/>
          <w:sz w:val="24"/>
          <w:highlight w:val="none"/>
        </w:rPr>
      </w:pPr>
      <w:r>
        <w:rPr>
          <w:rFonts w:hint="eastAsia" w:ascii="宋体" w:hAnsi="宋体" w:cs="宋体"/>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3BA1406">
      <w:pPr>
        <w:spacing w:line="348" w:lineRule="auto"/>
        <w:ind w:firstLine="480" w:firstLineChars="200"/>
        <w:rPr>
          <w:rFonts w:ascii="宋体" w:hAnsi="宋体" w:cs="宋体"/>
          <w:sz w:val="24"/>
          <w:highlight w:val="none"/>
        </w:rPr>
      </w:pPr>
      <w:r>
        <w:rPr>
          <w:rFonts w:hint="eastAsia" w:ascii="宋体" w:hAnsi="宋体" w:cs="宋体"/>
          <w:sz w:val="24"/>
          <w:highlight w:val="none"/>
        </w:rPr>
        <w:t>3.3.7中小企业享受扶持政策获得政府采购合同的，小微企业不得将合同分包给大中型企业，中型企业不得将合同分包给大型企业。</w:t>
      </w:r>
    </w:p>
    <w:p w14:paraId="7BC185D4">
      <w:pPr>
        <w:spacing w:line="348" w:lineRule="auto"/>
        <w:ind w:firstLine="240" w:firstLineChars="100"/>
        <w:rPr>
          <w:rFonts w:ascii="宋体" w:hAnsi="宋体" w:cs="宋体"/>
          <w:sz w:val="24"/>
          <w:highlight w:val="none"/>
        </w:rPr>
      </w:pPr>
      <w:r>
        <w:rPr>
          <w:rFonts w:hint="eastAsia" w:ascii="宋体" w:hAnsi="宋体" w:cs="宋体"/>
          <w:sz w:val="24"/>
          <w:highlight w:val="none"/>
        </w:rPr>
        <w:t>3.4</w:t>
      </w:r>
      <w:r>
        <w:rPr>
          <w:rFonts w:hint="eastAsia" w:ascii="宋体" w:hAnsi="宋体" w:cs="宋体"/>
          <w:bCs/>
          <w:sz w:val="24"/>
          <w:highlight w:val="none"/>
        </w:rPr>
        <w:t>支持创新发展</w:t>
      </w:r>
    </w:p>
    <w:p w14:paraId="701AD18D">
      <w:pPr>
        <w:spacing w:line="348" w:lineRule="auto"/>
        <w:ind w:firstLine="480" w:firstLineChars="200"/>
        <w:rPr>
          <w:rFonts w:ascii="宋体" w:hAnsi="宋体" w:cs="宋体"/>
          <w:sz w:val="24"/>
          <w:highlight w:val="none"/>
        </w:rPr>
      </w:pPr>
      <w:r>
        <w:rPr>
          <w:rFonts w:hint="eastAsia" w:ascii="宋体" w:hAnsi="宋体" w:cs="宋体"/>
          <w:sz w:val="24"/>
          <w:highlight w:val="none"/>
        </w:rPr>
        <w:t>3.4.1采购人优先采购被认定为首台套产品和“制造精品”的自主创新产品。</w:t>
      </w:r>
    </w:p>
    <w:p w14:paraId="5FE9F6CF">
      <w:pPr>
        <w:spacing w:line="348" w:lineRule="auto"/>
        <w:ind w:firstLine="480" w:firstLineChars="200"/>
        <w:rPr>
          <w:rFonts w:ascii="宋体" w:hAnsi="宋体" w:cs="宋体"/>
          <w:sz w:val="24"/>
          <w:highlight w:val="none"/>
        </w:rPr>
      </w:pPr>
      <w:r>
        <w:rPr>
          <w:rFonts w:hint="eastAsia" w:ascii="宋体" w:hAnsi="宋体" w:cs="宋体"/>
          <w:sz w:val="24"/>
          <w:highlight w:val="none"/>
        </w:rPr>
        <w:t>3.4.2首台套产品被纳入《首台套产品推广应用指导目录》之日起</w:t>
      </w:r>
      <w:r>
        <w:rPr>
          <w:rFonts w:ascii="宋体" w:hAnsi="宋体" w:cs="宋体"/>
          <w:sz w:val="24"/>
          <w:highlight w:val="none"/>
        </w:rPr>
        <w:t>3</w:t>
      </w:r>
      <w:r>
        <w:rPr>
          <w:rFonts w:hint="eastAsia" w:ascii="宋体" w:hAnsi="宋体" w:cs="宋体"/>
          <w:sz w:val="24"/>
          <w:highlight w:val="none"/>
        </w:rPr>
        <w:t>年内，以及产品核心技术高于国内领先水平，并具有明晰自主知识产权的“制造精品”产品，自认定之日起2年内视同已具备相应销售业绩，参加政府采购活动时业绩分值为满分。</w:t>
      </w:r>
    </w:p>
    <w:p w14:paraId="0D690AB0">
      <w:pPr>
        <w:spacing w:line="348" w:lineRule="auto"/>
        <w:ind w:firstLine="240" w:firstLineChars="100"/>
        <w:rPr>
          <w:rFonts w:ascii="宋体" w:hAnsi="宋体" w:cs="宋体"/>
          <w:sz w:val="24"/>
          <w:highlight w:val="none"/>
        </w:rPr>
      </w:pPr>
      <w:r>
        <w:rPr>
          <w:rFonts w:hint="eastAsia" w:ascii="宋体" w:hAnsi="宋体" w:cs="宋体"/>
          <w:sz w:val="24"/>
          <w:highlight w:val="none"/>
        </w:rPr>
        <w:t>3.5平等对待内外资企业和符合条件的破产重整企业</w:t>
      </w:r>
    </w:p>
    <w:p w14:paraId="00592E6F">
      <w:pPr>
        <w:spacing w:line="348" w:lineRule="auto"/>
        <w:ind w:firstLine="480" w:firstLineChars="200"/>
        <w:rPr>
          <w:b/>
          <w:highlight w:val="none"/>
        </w:rPr>
      </w:pPr>
      <w:r>
        <w:rPr>
          <w:rFonts w:hint="eastAsia" w:ascii="宋体" w:hAnsi="宋体" w:cs="宋体"/>
          <w:sz w:val="24"/>
          <w:highlight w:val="none"/>
        </w:rPr>
        <w:t>平等对待内外资企业和符合条件的破产重整企业，切实保障企业公平竞争，平等维护企业的合法利益。</w:t>
      </w:r>
      <w:r>
        <w:rPr>
          <w:rFonts w:hint="eastAsia" w:ascii="宋体" w:hAnsi="宋体" w:cs="宋体"/>
          <w:sz w:val="24"/>
          <w:highlight w:val="none"/>
        </w:rPr>
        <w:cr/>
      </w:r>
      <w:r>
        <w:rPr>
          <w:rFonts w:hint="eastAsia" w:ascii="宋体" w:hAnsi="宋体" w:cs="宋体"/>
          <w:b/>
          <w:sz w:val="24"/>
          <w:highlight w:val="none"/>
        </w:rPr>
        <w:t>4. 询问、质疑、投诉</w:t>
      </w:r>
    </w:p>
    <w:p w14:paraId="57919158">
      <w:pPr>
        <w:pStyle w:val="886"/>
        <w:snapToGrid w:val="0"/>
        <w:spacing w:before="0" w:beforeAutospacing="0" w:after="0" w:afterAutospacing="0" w:line="348" w:lineRule="auto"/>
        <w:ind w:firstLine="400"/>
        <w:contextualSpacing/>
        <w:rPr>
          <w:highlight w:val="none"/>
          <w:lang w:val="zh-CN"/>
        </w:rPr>
      </w:pPr>
      <w:r>
        <w:rPr>
          <w:rFonts w:hint="eastAsia"/>
          <w:highlight w:val="none"/>
          <w:lang w:val="zh-CN"/>
        </w:rPr>
        <w:t>4.1在线询问、质疑、投诉</w:t>
      </w:r>
    </w:p>
    <w:p w14:paraId="011468D1">
      <w:pPr>
        <w:pStyle w:val="886"/>
        <w:snapToGrid w:val="0"/>
        <w:spacing w:before="0" w:beforeAutospacing="0" w:after="0" w:afterAutospacing="0" w:line="348" w:lineRule="auto"/>
        <w:ind w:firstLine="400"/>
        <w:contextualSpacing/>
        <w:rPr>
          <w:highlight w:val="none"/>
          <w:lang w:val="zh-CN"/>
        </w:rPr>
      </w:pPr>
      <w:r>
        <w:rPr>
          <w:rFonts w:hint="eastAsia"/>
          <w:highlight w:val="none"/>
          <w:lang w:val="zh-CN"/>
        </w:rPr>
        <w:t>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路径为：浙江政府服务网-政府采购投诉处理-在线办理。</w:t>
      </w:r>
    </w:p>
    <w:p w14:paraId="1AB3930B">
      <w:pPr>
        <w:autoSpaceDE w:val="0"/>
        <w:autoSpaceDN w:val="0"/>
        <w:spacing w:line="348" w:lineRule="auto"/>
        <w:ind w:firstLine="240" w:firstLineChars="100"/>
        <w:jc w:val="left"/>
        <w:rPr>
          <w:rFonts w:ascii="宋体" w:hAnsi="宋体" w:cs="宋体"/>
          <w:kern w:val="0"/>
          <w:sz w:val="24"/>
          <w:highlight w:val="none"/>
          <w:lang w:val="zh-CN"/>
        </w:rPr>
      </w:pPr>
      <w:r>
        <w:rPr>
          <w:rFonts w:hint="eastAsia" w:ascii="宋体" w:hAnsi="宋体" w:cs="宋体"/>
          <w:kern w:val="0"/>
          <w:sz w:val="24"/>
          <w:highlight w:val="none"/>
          <w:lang w:val="zh-CN"/>
        </w:rPr>
        <w:t>4.2供应商询问</w:t>
      </w:r>
    </w:p>
    <w:p w14:paraId="7D8B2DF8">
      <w:pPr>
        <w:autoSpaceDE w:val="0"/>
        <w:autoSpaceDN w:val="0"/>
        <w:spacing w:line="348"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8533F9D">
      <w:pPr>
        <w:autoSpaceDE w:val="0"/>
        <w:autoSpaceDN w:val="0"/>
        <w:spacing w:line="348" w:lineRule="auto"/>
        <w:ind w:firstLine="240" w:firstLineChars="100"/>
        <w:jc w:val="left"/>
        <w:rPr>
          <w:rFonts w:ascii="宋体" w:hAnsi="宋体" w:cs="宋体"/>
          <w:kern w:val="0"/>
          <w:sz w:val="24"/>
          <w:highlight w:val="none"/>
          <w:lang w:val="zh-CN"/>
        </w:rPr>
      </w:pPr>
      <w:r>
        <w:rPr>
          <w:rFonts w:hint="eastAsia" w:ascii="宋体" w:hAnsi="宋体" w:cs="宋体"/>
          <w:kern w:val="0"/>
          <w:sz w:val="24"/>
          <w:highlight w:val="none"/>
          <w:lang w:val="zh-CN"/>
        </w:rPr>
        <w:t>4.3供应商质疑</w:t>
      </w:r>
    </w:p>
    <w:p w14:paraId="50DA5896">
      <w:pPr>
        <w:pStyle w:val="33"/>
        <w:spacing w:line="348"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.1提出质疑的供应商应当是参与所质疑项目采购活动的供应商。潜在供应商已依法获取其可质疑的招标文件的，可以对该文件提出质疑。</w:t>
      </w:r>
    </w:p>
    <w:p w14:paraId="113CCC24">
      <w:pPr>
        <w:pStyle w:val="33"/>
        <w:spacing w:line="348"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A450D18">
      <w:pPr>
        <w:pStyle w:val="15"/>
        <w:spacing w:line="348"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2A96F50C">
      <w:pPr>
        <w:pStyle w:val="33"/>
        <w:spacing w:line="348" w:lineRule="auto"/>
        <w:ind w:left="479" w:leftChars="228"/>
        <w:rPr>
          <w:rFonts w:hint="eastAsia" w:hAnsi="宋体" w:cs="宋体"/>
          <w:sz w:val="24"/>
          <w:highlight w:val="none"/>
        </w:rPr>
      </w:pPr>
      <w:r>
        <w:rPr>
          <w:rFonts w:hint="eastAsia" w:hAnsi="宋体" w:cs="宋体"/>
          <w:sz w:val="24"/>
          <w:highlight w:val="none"/>
        </w:rPr>
        <w:t>4.3.2.2对采购过程提出质疑的，质疑期限为各采购程序环节结束之日起计算。</w:t>
      </w:r>
    </w:p>
    <w:p w14:paraId="223B92E8">
      <w:pPr>
        <w:pStyle w:val="33"/>
        <w:spacing w:line="348" w:lineRule="auto"/>
        <w:ind w:left="479" w:leftChars="228"/>
        <w:rPr>
          <w:rFonts w:hAnsi="宋体" w:cs="宋体"/>
          <w:sz w:val="24"/>
          <w:highlight w:val="none"/>
        </w:rPr>
      </w:pPr>
      <w:r>
        <w:rPr>
          <w:rFonts w:hint="eastAsia" w:hAnsi="宋体" w:cs="宋体"/>
          <w:sz w:val="24"/>
          <w:highlight w:val="none"/>
        </w:rPr>
        <w:t>4.3.2.3对采购结果提出质疑的，质疑期限自采购结果公告期限届满之日起计算。</w:t>
      </w:r>
    </w:p>
    <w:p w14:paraId="1D5C586E">
      <w:pPr>
        <w:pStyle w:val="33"/>
        <w:spacing w:line="348" w:lineRule="auto"/>
        <w:ind w:firstLine="480" w:firstLineChars="200"/>
        <w:rPr>
          <w:rFonts w:hAnsi="宋体" w:cs="宋体"/>
          <w:kern w:val="0"/>
          <w:sz w:val="24"/>
          <w:highlight w:val="none"/>
          <w:lang w:val="zh-CN"/>
        </w:rPr>
      </w:pPr>
      <w:r>
        <w:rPr>
          <w:rFonts w:hint="eastAsia" w:hAnsi="宋体" w:cs="宋体"/>
          <w:kern w:val="0"/>
          <w:sz w:val="24"/>
          <w:highlight w:val="none"/>
          <w:lang w:val="zh-CN"/>
        </w:rPr>
        <w:t>4.3.3</w:t>
      </w:r>
      <w:r>
        <w:rPr>
          <w:rFonts w:hint="eastAsia" w:hAnsi="宋体" w:cs="宋体"/>
          <w:sz w:val="24"/>
          <w:highlight w:val="none"/>
        </w:rPr>
        <w:t>供应商提出质疑应当提交质疑函和必要的证明材料。质疑函应当包括下列内容：</w:t>
      </w:r>
    </w:p>
    <w:p w14:paraId="3FDF52C2">
      <w:pPr>
        <w:pStyle w:val="33"/>
        <w:spacing w:line="348" w:lineRule="auto"/>
        <w:ind w:firstLine="480" w:firstLineChars="200"/>
        <w:rPr>
          <w:rFonts w:hAnsi="宋体" w:cs="宋体"/>
          <w:kern w:val="0"/>
          <w:sz w:val="24"/>
          <w:highlight w:val="none"/>
          <w:lang w:val="zh-CN"/>
        </w:rPr>
      </w:pPr>
      <w:r>
        <w:rPr>
          <w:rFonts w:hint="eastAsia" w:hAnsi="宋体" w:cs="宋体"/>
          <w:kern w:val="0"/>
          <w:sz w:val="24"/>
          <w:highlight w:val="none"/>
          <w:lang w:val="zh-CN"/>
        </w:rPr>
        <w:t>　　4.3.3.1供应商的姓名或者名称、地址、邮编、联系人及联系电话；</w:t>
      </w:r>
    </w:p>
    <w:p w14:paraId="250BCE1F">
      <w:pPr>
        <w:pStyle w:val="33"/>
        <w:spacing w:line="348" w:lineRule="auto"/>
        <w:ind w:firstLine="480" w:firstLineChars="200"/>
        <w:rPr>
          <w:rFonts w:hAnsi="宋体" w:cs="宋体"/>
          <w:kern w:val="0"/>
          <w:sz w:val="24"/>
          <w:highlight w:val="none"/>
          <w:lang w:val="zh-CN"/>
        </w:rPr>
      </w:pPr>
      <w:r>
        <w:rPr>
          <w:rFonts w:hint="eastAsia" w:hAnsi="宋体" w:cs="宋体"/>
          <w:kern w:val="0"/>
          <w:sz w:val="24"/>
          <w:highlight w:val="none"/>
          <w:lang w:val="zh-CN"/>
        </w:rPr>
        <w:t>　　4.3.3.2质疑项目的名称、编号；</w:t>
      </w:r>
    </w:p>
    <w:p w14:paraId="60C900A6">
      <w:pPr>
        <w:pStyle w:val="33"/>
        <w:spacing w:line="348" w:lineRule="auto"/>
        <w:ind w:firstLine="480" w:firstLineChars="200"/>
        <w:rPr>
          <w:rFonts w:hAnsi="宋体" w:cs="宋体"/>
          <w:kern w:val="0"/>
          <w:sz w:val="24"/>
          <w:highlight w:val="none"/>
          <w:lang w:val="zh-CN"/>
        </w:rPr>
      </w:pPr>
      <w:r>
        <w:rPr>
          <w:rFonts w:hint="eastAsia" w:hAnsi="宋体" w:cs="宋体"/>
          <w:kern w:val="0"/>
          <w:sz w:val="24"/>
          <w:highlight w:val="none"/>
          <w:lang w:val="zh-CN"/>
        </w:rPr>
        <w:t>　　4.3.3.3具体、明确的质疑事项和与质疑事项相关的请求；</w:t>
      </w:r>
    </w:p>
    <w:p w14:paraId="7FB0A4A0">
      <w:pPr>
        <w:pStyle w:val="33"/>
        <w:spacing w:line="348" w:lineRule="auto"/>
        <w:ind w:firstLine="480" w:firstLineChars="200"/>
        <w:rPr>
          <w:rFonts w:hAnsi="宋体" w:cs="宋体"/>
          <w:kern w:val="0"/>
          <w:sz w:val="24"/>
          <w:highlight w:val="none"/>
          <w:lang w:val="zh-CN"/>
        </w:rPr>
      </w:pPr>
      <w:r>
        <w:rPr>
          <w:rFonts w:hint="eastAsia" w:hAnsi="宋体" w:cs="宋体"/>
          <w:kern w:val="0"/>
          <w:sz w:val="24"/>
          <w:highlight w:val="none"/>
          <w:lang w:val="zh-CN"/>
        </w:rPr>
        <w:t>　　4.3.3.4事实依据；</w:t>
      </w:r>
    </w:p>
    <w:p w14:paraId="52A25B21">
      <w:pPr>
        <w:pStyle w:val="33"/>
        <w:spacing w:line="348" w:lineRule="auto"/>
        <w:ind w:firstLine="480" w:firstLineChars="200"/>
        <w:rPr>
          <w:rFonts w:hAnsi="宋体" w:cs="宋体"/>
          <w:kern w:val="0"/>
          <w:sz w:val="24"/>
          <w:highlight w:val="none"/>
          <w:lang w:val="zh-CN"/>
        </w:rPr>
      </w:pPr>
      <w:r>
        <w:rPr>
          <w:rFonts w:hint="eastAsia" w:hAnsi="宋体" w:cs="宋体"/>
          <w:kern w:val="0"/>
          <w:sz w:val="24"/>
          <w:highlight w:val="none"/>
          <w:lang w:val="zh-CN"/>
        </w:rPr>
        <w:t>　　4.3.3.5必要的法律依据；</w:t>
      </w:r>
    </w:p>
    <w:p w14:paraId="4FE6914F">
      <w:pPr>
        <w:pStyle w:val="33"/>
        <w:spacing w:line="348" w:lineRule="auto"/>
        <w:ind w:firstLine="960" w:firstLineChars="400"/>
        <w:rPr>
          <w:rFonts w:hAnsi="宋体" w:cs="宋体"/>
          <w:kern w:val="0"/>
          <w:sz w:val="24"/>
          <w:highlight w:val="none"/>
          <w:lang w:val="zh-CN"/>
        </w:rPr>
      </w:pPr>
      <w:r>
        <w:rPr>
          <w:rFonts w:hint="eastAsia" w:hAnsi="宋体" w:cs="宋体"/>
          <w:kern w:val="0"/>
          <w:sz w:val="24"/>
          <w:highlight w:val="none"/>
          <w:lang w:val="zh-CN"/>
        </w:rPr>
        <w:t>4.3.3.6提出质疑的日期。</w:t>
      </w:r>
    </w:p>
    <w:p w14:paraId="37FF91EE">
      <w:pPr>
        <w:pStyle w:val="886"/>
        <w:snapToGrid w:val="0"/>
        <w:spacing w:before="0" w:beforeAutospacing="0" w:after="0" w:afterAutospacing="0" w:line="348" w:lineRule="auto"/>
        <w:ind w:firstLine="400"/>
        <w:contextualSpacing/>
        <w:rPr>
          <w:highlight w:val="none"/>
        </w:rPr>
      </w:pPr>
      <w:r>
        <w:rPr>
          <w:rFonts w:hint="eastAsia"/>
          <w:highlight w:val="none"/>
        </w:rPr>
        <w:t>供应商提交的质疑函需一式三份。供应商为自然人的，应当由本人签字；供应商为法人或者其他组织的，应当由法定代表人、主要负责人，或者其授权代表签字或者盖章，并加盖公章。</w:t>
      </w:r>
    </w:p>
    <w:p w14:paraId="60F8C12F">
      <w:pPr>
        <w:pStyle w:val="886"/>
        <w:snapToGrid w:val="0"/>
        <w:spacing w:before="0" w:beforeAutospacing="0" w:after="0" w:afterAutospacing="0" w:line="348" w:lineRule="auto"/>
        <w:ind w:firstLine="400"/>
        <w:contextualSpacing/>
        <w:rPr>
          <w:highlight w:val="none"/>
        </w:rPr>
      </w:pPr>
      <w:r>
        <w:rPr>
          <w:rFonts w:hint="eastAsia"/>
          <w:highlight w:val="none"/>
        </w:rPr>
        <w:t>质疑函范本及制作说明详见附件2。</w:t>
      </w:r>
    </w:p>
    <w:p w14:paraId="4948AC0D">
      <w:pPr>
        <w:pStyle w:val="886"/>
        <w:snapToGrid w:val="0"/>
        <w:spacing w:before="0" w:beforeAutospacing="0" w:after="0" w:afterAutospacing="0" w:line="348" w:lineRule="auto"/>
        <w:ind w:firstLine="400"/>
        <w:contextualSpacing/>
        <w:rPr>
          <w:highlight w:val="none"/>
        </w:rPr>
      </w:pPr>
      <w:r>
        <w:rPr>
          <w:rFonts w:hint="eastAsia"/>
          <w:highlight w:val="none"/>
        </w:rPr>
        <w:t>4.3.4对同一采购程序环节的质疑，供应商须在法定质疑期内一次性提出。</w:t>
      </w:r>
    </w:p>
    <w:p w14:paraId="0C7EC4A1">
      <w:pPr>
        <w:pStyle w:val="886"/>
        <w:snapToGrid w:val="0"/>
        <w:spacing w:before="0" w:beforeAutospacing="0" w:after="0" w:afterAutospacing="0" w:line="348" w:lineRule="auto"/>
        <w:ind w:firstLine="400"/>
        <w:contextualSpacing/>
        <w:rPr>
          <w:highlight w:val="none"/>
        </w:rPr>
      </w:pPr>
      <w:r>
        <w:rPr>
          <w:rFonts w:hint="eastAsia"/>
          <w:highlight w:val="none"/>
          <w:lang w:val="zh-CN"/>
        </w:rPr>
        <w:t>4.3</w:t>
      </w:r>
      <w:r>
        <w:rPr>
          <w:rFonts w:hint="eastAsia"/>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highlight w:val="none"/>
        </w:rPr>
        <w:t>根据《浙江省财政厅关于进一步加强政府采购公平竞争打造最优营商环境的通知》（浙财采监〔</w:t>
      </w:r>
      <w:r>
        <w:rPr>
          <w:rFonts w:asciiTheme="minorEastAsia" w:hAnsiTheme="minorEastAsia" w:eastAsiaTheme="minorEastAsia"/>
          <w:highlight w:val="none"/>
        </w:rPr>
        <w:t>2021〕</w:t>
      </w:r>
      <w:r>
        <w:rPr>
          <w:rFonts w:hint="eastAsia" w:asciiTheme="minorEastAsia" w:hAnsiTheme="minorEastAsia" w:eastAsiaTheme="minorEastAsia"/>
          <w:highlight w:val="none"/>
        </w:rPr>
        <w:t>2</w:t>
      </w:r>
      <w:r>
        <w:rPr>
          <w:rFonts w:hint="eastAsia" w:asciiTheme="minorEastAsia" w:hAnsiTheme="minorEastAsia" w:eastAsiaTheme="minorEastAsia"/>
          <w:highlight w:val="none"/>
          <w:lang w:val="en-US" w:eastAsia="zh-CN"/>
        </w:rPr>
        <w:t>2</w:t>
      </w:r>
      <w:r>
        <w:rPr>
          <w:rFonts w:asciiTheme="minorEastAsia" w:hAnsiTheme="minorEastAsia" w:eastAsiaTheme="minorEastAsia"/>
          <w:highlight w:val="none"/>
        </w:rPr>
        <w:t>号）</w:t>
      </w:r>
      <w:r>
        <w:rPr>
          <w:rFonts w:hint="eastAsia"/>
          <w:highlight w:val="none"/>
        </w:rPr>
        <w:t>,采购人或者采购代理机构在质疑回复后5个工作日内，在浙江政府采购网的“其他公告”栏目公开质疑答复，答复内容应当完整。质疑函作为附件上传。</w:t>
      </w:r>
    </w:p>
    <w:p w14:paraId="50017E94">
      <w:pPr>
        <w:pStyle w:val="886"/>
        <w:snapToGrid w:val="0"/>
        <w:spacing w:before="0" w:beforeAutospacing="0" w:after="0" w:afterAutospacing="0" w:line="348" w:lineRule="auto"/>
        <w:ind w:firstLine="400"/>
        <w:contextualSpacing/>
        <w:rPr>
          <w:highlight w:val="none"/>
        </w:rPr>
      </w:pPr>
      <w:r>
        <w:rPr>
          <w:rFonts w:hint="eastAsia"/>
          <w:highlight w:val="none"/>
          <w:lang w:val="zh-CN"/>
        </w:rPr>
        <w:t>4.3</w:t>
      </w:r>
      <w:r>
        <w:rPr>
          <w:rFonts w:hint="eastAsia"/>
          <w:highlight w:val="none"/>
        </w:rPr>
        <w:t>.6询问或者质疑事项可能影响采购结果的，采购人应当暂停签订合同，已经签订合同的，应当中止履行合同。</w:t>
      </w:r>
    </w:p>
    <w:p w14:paraId="766F61CF">
      <w:pPr>
        <w:pStyle w:val="886"/>
        <w:snapToGrid w:val="0"/>
        <w:spacing w:before="0" w:beforeAutospacing="0" w:after="0" w:afterAutospacing="0" w:line="348" w:lineRule="auto"/>
        <w:ind w:firstLine="480" w:firstLineChars="200"/>
        <w:contextualSpacing/>
        <w:rPr>
          <w:highlight w:val="none"/>
          <w:lang w:val="zh-CN"/>
        </w:rPr>
      </w:pPr>
      <w:r>
        <w:rPr>
          <w:rFonts w:hint="eastAsia"/>
          <w:highlight w:val="none"/>
          <w:lang w:val="zh-CN"/>
        </w:rPr>
        <w:t>4.4供应商投诉</w:t>
      </w:r>
    </w:p>
    <w:p w14:paraId="1104CB54">
      <w:pPr>
        <w:pStyle w:val="886"/>
        <w:snapToGrid w:val="0"/>
        <w:spacing w:before="0" w:beforeAutospacing="0" w:after="0" w:afterAutospacing="0" w:line="348" w:lineRule="auto"/>
        <w:ind w:firstLine="400"/>
        <w:contextualSpacing/>
        <w:rPr>
          <w:highlight w:val="none"/>
        </w:rPr>
      </w:pPr>
      <w:r>
        <w:rPr>
          <w:rFonts w:hint="eastAsia"/>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55CB025E">
      <w:pPr>
        <w:pStyle w:val="886"/>
        <w:snapToGrid w:val="0"/>
        <w:spacing w:before="0" w:beforeAutospacing="0" w:after="0" w:afterAutospacing="0" w:line="348" w:lineRule="auto"/>
        <w:ind w:firstLine="400"/>
        <w:contextualSpacing/>
        <w:rPr>
          <w:highlight w:val="none"/>
        </w:rPr>
      </w:pPr>
      <w:r>
        <w:rPr>
          <w:rFonts w:hint="eastAsia"/>
          <w:highlight w:val="none"/>
        </w:rPr>
        <w:t>4.4.</w:t>
      </w:r>
      <w:r>
        <w:rPr>
          <w:rFonts w:hint="eastAsia"/>
          <w:highlight w:val="none"/>
          <w:lang w:val="zh-CN"/>
        </w:rPr>
        <w:t>2</w:t>
      </w:r>
      <w:r>
        <w:rPr>
          <w:rFonts w:hint="eastAsia"/>
          <w:highlight w:val="none"/>
        </w:rPr>
        <w:t>供应商投诉的事项不得超出已质疑事项的范围，基于质疑答复内容提出的投诉事项除外。</w:t>
      </w:r>
    </w:p>
    <w:p w14:paraId="04F670C1">
      <w:pPr>
        <w:pStyle w:val="886"/>
        <w:snapToGrid w:val="0"/>
        <w:spacing w:before="0" w:beforeAutospacing="0" w:after="0" w:afterAutospacing="0" w:line="348" w:lineRule="auto"/>
        <w:ind w:firstLine="400"/>
        <w:contextualSpacing/>
        <w:rPr>
          <w:highlight w:val="none"/>
        </w:rPr>
      </w:pPr>
      <w:r>
        <w:rPr>
          <w:rFonts w:hint="eastAsia"/>
          <w:highlight w:val="none"/>
        </w:rPr>
        <w:t>4.4.3供应商投诉应当有明确的请求和必要的证明材料。</w:t>
      </w:r>
    </w:p>
    <w:p w14:paraId="33DE2613">
      <w:pPr>
        <w:pStyle w:val="886"/>
        <w:snapToGrid w:val="0"/>
        <w:spacing w:before="0" w:beforeAutospacing="0" w:after="0" w:afterAutospacing="0" w:line="348" w:lineRule="auto"/>
        <w:ind w:firstLine="400"/>
        <w:contextualSpacing/>
        <w:rPr>
          <w:highlight w:val="none"/>
        </w:rPr>
      </w:pPr>
      <w:r>
        <w:rPr>
          <w:rFonts w:hint="eastAsia"/>
          <w:highlight w:val="none"/>
        </w:rPr>
        <w:t>4.4.4以联合体形式参加政府采购活动的，其投诉应当由组成联合体的所有供应商共同提出。</w:t>
      </w:r>
    </w:p>
    <w:p w14:paraId="12033B41">
      <w:pPr>
        <w:pStyle w:val="886"/>
        <w:snapToGrid w:val="0"/>
        <w:spacing w:before="0" w:beforeAutospacing="0" w:after="0" w:afterAutospacing="0" w:line="348" w:lineRule="auto"/>
        <w:ind w:firstLine="480" w:firstLineChars="200"/>
        <w:contextualSpacing/>
        <w:rPr>
          <w:highlight w:val="none"/>
        </w:rPr>
      </w:pPr>
      <w:r>
        <w:rPr>
          <w:rFonts w:hint="eastAsia"/>
          <w:highlight w:val="none"/>
        </w:rPr>
        <w:t>4.4.5投诉材料</w:t>
      </w:r>
      <w:r>
        <w:rPr>
          <w:rFonts w:hint="eastAsia" w:hAnsi="Courier New"/>
          <w:highlight w:val="none"/>
        </w:rPr>
        <w:t>寄送</w:t>
      </w:r>
      <w:r>
        <w:rPr>
          <w:rFonts w:hint="eastAsia"/>
          <w:highlight w:val="none"/>
        </w:rPr>
        <w:t>相关信息详见《第一部分  招标公告》。</w:t>
      </w:r>
    </w:p>
    <w:p w14:paraId="716962A1">
      <w:pPr>
        <w:pStyle w:val="886"/>
        <w:snapToGrid w:val="0"/>
        <w:spacing w:before="0" w:beforeAutospacing="0" w:after="0" w:afterAutospacing="0" w:line="348" w:lineRule="auto"/>
        <w:ind w:firstLine="400"/>
        <w:contextualSpacing/>
        <w:rPr>
          <w:highlight w:val="none"/>
        </w:rPr>
      </w:pPr>
      <w:r>
        <w:rPr>
          <w:rFonts w:hint="eastAsia"/>
          <w:highlight w:val="none"/>
        </w:rPr>
        <w:t>投诉书范本及制作说明详见附件3。</w:t>
      </w:r>
    </w:p>
    <w:p w14:paraId="6663D95A">
      <w:pPr>
        <w:adjustRightInd/>
        <w:spacing w:line="348" w:lineRule="auto"/>
        <w:jc w:val="center"/>
        <w:rPr>
          <w:rFonts w:ascii="宋体" w:hAnsi="宋体" w:cs="宋体"/>
          <w:b/>
          <w:sz w:val="32"/>
          <w:szCs w:val="20"/>
          <w:highlight w:val="none"/>
        </w:rPr>
      </w:pPr>
      <w:r>
        <w:rPr>
          <w:rFonts w:hint="eastAsia" w:ascii="宋体" w:hAnsi="宋体" w:cs="宋体"/>
          <w:b/>
          <w:sz w:val="32"/>
          <w:szCs w:val="20"/>
          <w:highlight w:val="none"/>
        </w:rPr>
        <w:t>二、招标文件的构成、澄清、修改</w:t>
      </w:r>
    </w:p>
    <w:p w14:paraId="357C8147">
      <w:pPr>
        <w:pStyle w:val="33"/>
        <w:spacing w:line="348" w:lineRule="auto"/>
        <w:rPr>
          <w:rFonts w:hAnsi="宋体" w:cs="宋体"/>
          <w:b/>
          <w:sz w:val="24"/>
          <w:szCs w:val="24"/>
          <w:highlight w:val="none"/>
        </w:rPr>
      </w:pPr>
      <w:r>
        <w:rPr>
          <w:rFonts w:hint="eastAsia" w:hAnsi="宋体" w:cs="宋体"/>
          <w:b/>
          <w:sz w:val="24"/>
          <w:szCs w:val="24"/>
          <w:highlight w:val="none"/>
        </w:rPr>
        <w:t>5．招标文件的构成</w:t>
      </w:r>
    </w:p>
    <w:p w14:paraId="4095889B">
      <w:pPr>
        <w:pStyle w:val="33"/>
        <w:spacing w:line="348" w:lineRule="auto"/>
        <w:ind w:firstLine="480" w:firstLineChars="200"/>
        <w:rPr>
          <w:rFonts w:hAnsi="宋体" w:cs="宋体"/>
          <w:sz w:val="24"/>
          <w:szCs w:val="24"/>
          <w:highlight w:val="none"/>
        </w:rPr>
      </w:pPr>
      <w:r>
        <w:rPr>
          <w:rFonts w:hint="eastAsia" w:hAnsi="宋体" w:cs="宋体"/>
          <w:sz w:val="24"/>
          <w:szCs w:val="24"/>
          <w:highlight w:val="none"/>
        </w:rPr>
        <w:t>5.1 招标文件包括下列文件及附件：</w:t>
      </w:r>
    </w:p>
    <w:p w14:paraId="5142618A">
      <w:pPr>
        <w:pStyle w:val="33"/>
        <w:tabs>
          <w:tab w:val="left" w:pos="840"/>
        </w:tabs>
        <w:spacing w:line="348" w:lineRule="auto"/>
        <w:ind w:firstLine="960" w:firstLineChars="400"/>
        <w:rPr>
          <w:rFonts w:hAnsi="宋体" w:cs="宋体"/>
          <w:sz w:val="24"/>
          <w:szCs w:val="24"/>
          <w:highlight w:val="none"/>
        </w:rPr>
      </w:pPr>
      <w:r>
        <w:rPr>
          <w:rFonts w:hint="eastAsia" w:hAnsi="宋体" w:cs="宋体"/>
          <w:sz w:val="24"/>
          <w:szCs w:val="24"/>
          <w:highlight w:val="none"/>
        </w:rPr>
        <w:t>5.1.1招标公告；</w:t>
      </w:r>
    </w:p>
    <w:p w14:paraId="494DD679">
      <w:pPr>
        <w:pStyle w:val="33"/>
        <w:tabs>
          <w:tab w:val="left" w:pos="840"/>
        </w:tabs>
        <w:spacing w:line="348" w:lineRule="auto"/>
        <w:ind w:firstLine="960" w:firstLineChars="400"/>
        <w:rPr>
          <w:rFonts w:hAnsi="宋体" w:cs="宋体"/>
          <w:sz w:val="24"/>
          <w:szCs w:val="24"/>
          <w:highlight w:val="none"/>
        </w:rPr>
      </w:pPr>
      <w:r>
        <w:rPr>
          <w:rFonts w:hint="eastAsia" w:hAnsi="宋体" w:cs="宋体"/>
          <w:sz w:val="24"/>
          <w:szCs w:val="24"/>
          <w:highlight w:val="none"/>
        </w:rPr>
        <w:t>5.1.2投标人须知；</w:t>
      </w:r>
    </w:p>
    <w:p w14:paraId="316099D5">
      <w:pPr>
        <w:pStyle w:val="33"/>
        <w:tabs>
          <w:tab w:val="left" w:pos="840"/>
        </w:tabs>
        <w:spacing w:line="348" w:lineRule="auto"/>
        <w:ind w:firstLine="960" w:firstLineChars="400"/>
        <w:rPr>
          <w:rFonts w:hAnsi="宋体" w:cs="宋体"/>
          <w:sz w:val="24"/>
          <w:szCs w:val="24"/>
          <w:highlight w:val="none"/>
        </w:rPr>
      </w:pPr>
      <w:r>
        <w:rPr>
          <w:rFonts w:hint="eastAsia" w:hAnsi="宋体" w:cs="宋体"/>
          <w:sz w:val="24"/>
          <w:szCs w:val="24"/>
          <w:highlight w:val="none"/>
        </w:rPr>
        <w:t>5.1.3采购需求；</w:t>
      </w:r>
    </w:p>
    <w:p w14:paraId="734BB434">
      <w:pPr>
        <w:pStyle w:val="33"/>
        <w:tabs>
          <w:tab w:val="left" w:pos="840"/>
        </w:tabs>
        <w:spacing w:line="348" w:lineRule="auto"/>
        <w:ind w:firstLine="960" w:firstLineChars="400"/>
        <w:rPr>
          <w:rFonts w:hAnsi="宋体" w:cs="宋体"/>
          <w:sz w:val="24"/>
          <w:szCs w:val="24"/>
          <w:highlight w:val="none"/>
        </w:rPr>
      </w:pPr>
      <w:r>
        <w:rPr>
          <w:rFonts w:hint="eastAsia" w:hAnsi="宋体" w:cs="宋体"/>
          <w:sz w:val="24"/>
          <w:szCs w:val="24"/>
          <w:highlight w:val="none"/>
        </w:rPr>
        <w:t>5.1.4评标办法；</w:t>
      </w:r>
    </w:p>
    <w:p w14:paraId="051BF460">
      <w:pPr>
        <w:pStyle w:val="33"/>
        <w:tabs>
          <w:tab w:val="left" w:pos="840"/>
        </w:tabs>
        <w:spacing w:line="348" w:lineRule="auto"/>
        <w:ind w:firstLine="960" w:firstLineChars="400"/>
        <w:rPr>
          <w:rFonts w:hAnsi="宋体" w:cs="宋体"/>
          <w:sz w:val="24"/>
          <w:szCs w:val="24"/>
          <w:highlight w:val="none"/>
        </w:rPr>
      </w:pPr>
      <w:r>
        <w:rPr>
          <w:rFonts w:hint="eastAsia" w:hAnsi="宋体" w:cs="宋体"/>
          <w:sz w:val="24"/>
          <w:szCs w:val="24"/>
          <w:highlight w:val="none"/>
        </w:rPr>
        <w:t>5.1.5拟签订的合同文本；</w:t>
      </w:r>
    </w:p>
    <w:p w14:paraId="2FC7A303">
      <w:pPr>
        <w:pStyle w:val="33"/>
        <w:tabs>
          <w:tab w:val="left" w:pos="840"/>
        </w:tabs>
        <w:spacing w:line="348" w:lineRule="auto"/>
        <w:ind w:firstLine="960" w:firstLineChars="400"/>
        <w:rPr>
          <w:rFonts w:hAnsi="宋体" w:cs="宋体"/>
          <w:sz w:val="24"/>
          <w:szCs w:val="24"/>
          <w:highlight w:val="none"/>
        </w:rPr>
      </w:pPr>
      <w:r>
        <w:rPr>
          <w:rFonts w:hint="eastAsia" w:hAnsi="宋体" w:cs="宋体"/>
          <w:sz w:val="24"/>
          <w:highlight w:val="none"/>
        </w:rPr>
        <w:t>5.1.6</w:t>
      </w:r>
      <w:r>
        <w:rPr>
          <w:rFonts w:hint="eastAsia" w:hAnsi="宋体" w:cs="宋体"/>
          <w:sz w:val="24"/>
          <w:szCs w:val="24"/>
          <w:highlight w:val="none"/>
        </w:rPr>
        <w:t>应提交的有关格式范例。</w:t>
      </w:r>
    </w:p>
    <w:p w14:paraId="093F0245">
      <w:pPr>
        <w:spacing w:line="348" w:lineRule="auto"/>
        <w:ind w:firstLine="480" w:firstLineChars="200"/>
        <w:rPr>
          <w:rFonts w:ascii="宋体" w:hAnsi="宋体" w:cs="宋体"/>
          <w:sz w:val="24"/>
          <w:highlight w:val="none"/>
        </w:rPr>
      </w:pPr>
      <w:r>
        <w:rPr>
          <w:rFonts w:hint="eastAsia" w:ascii="宋体" w:hAnsi="宋体" w:cs="宋体"/>
          <w:sz w:val="24"/>
          <w:highlight w:val="none"/>
        </w:rPr>
        <w:t>5.2与本项目有关的</w:t>
      </w:r>
      <w:r>
        <w:rPr>
          <w:rFonts w:hint="eastAsia" w:ascii="宋体" w:hAnsi="宋体" w:cs="宋体"/>
          <w:bCs/>
          <w:sz w:val="24"/>
          <w:highlight w:val="none"/>
        </w:rPr>
        <w:t>澄清或者修改的内容为招标文件的组成部分</w:t>
      </w:r>
      <w:r>
        <w:rPr>
          <w:rFonts w:hint="eastAsia" w:ascii="宋体" w:hAnsi="宋体" w:cs="宋体"/>
          <w:sz w:val="24"/>
          <w:highlight w:val="none"/>
        </w:rPr>
        <w:t>。</w:t>
      </w:r>
    </w:p>
    <w:p w14:paraId="37937596">
      <w:pPr>
        <w:pStyle w:val="33"/>
        <w:spacing w:line="348" w:lineRule="auto"/>
        <w:rPr>
          <w:rFonts w:hAnsi="宋体" w:cs="宋体"/>
          <w:b/>
          <w:sz w:val="24"/>
          <w:szCs w:val="24"/>
          <w:highlight w:val="none"/>
        </w:rPr>
      </w:pPr>
      <w:r>
        <w:rPr>
          <w:rFonts w:hint="eastAsia" w:hAnsi="宋体" w:cs="宋体"/>
          <w:b/>
          <w:sz w:val="24"/>
          <w:szCs w:val="24"/>
          <w:highlight w:val="none"/>
        </w:rPr>
        <w:t>6.招标文件的澄清、修改</w:t>
      </w:r>
    </w:p>
    <w:p w14:paraId="1BC2FDE0">
      <w:pPr>
        <w:pStyle w:val="134"/>
        <w:snapToGrid w:val="0"/>
        <w:spacing w:before="0" w:line="348" w:lineRule="auto"/>
        <w:ind w:firstLine="480"/>
        <w:rPr>
          <w:rFonts w:ascii="宋体" w:hAnsi="宋体" w:cs="宋体"/>
          <w:highlight w:val="none"/>
        </w:rPr>
      </w:pPr>
      <w:r>
        <w:rPr>
          <w:rFonts w:hint="eastAsia" w:ascii="宋体" w:hAnsi="宋体" w:cs="宋体"/>
          <w:highlight w:val="none"/>
        </w:rPr>
        <w:t>6.1已获取招标文件的潜在投标人，若有问题需要澄清，应于投标截止时间前，以书面形式向采购代理机构提出。</w:t>
      </w:r>
    </w:p>
    <w:p w14:paraId="3048475C">
      <w:pPr>
        <w:pStyle w:val="134"/>
        <w:snapToGrid w:val="0"/>
        <w:spacing w:before="0" w:line="348" w:lineRule="auto"/>
        <w:ind w:firstLine="480"/>
        <w:rPr>
          <w:rFonts w:ascii="宋体" w:hAnsi="宋体" w:cs="宋体"/>
          <w:highlight w:val="none"/>
        </w:rPr>
      </w:pPr>
      <w:r>
        <w:rPr>
          <w:rFonts w:hint="eastAsia" w:ascii="宋体" w:hAnsi="宋体" w:cs="宋体"/>
          <w:highlight w:val="none"/>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7C1F072">
      <w:pPr>
        <w:adjustRightInd/>
        <w:spacing w:line="348" w:lineRule="auto"/>
        <w:jc w:val="center"/>
        <w:rPr>
          <w:rFonts w:ascii="宋体" w:hAnsi="宋体" w:cs="宋体"/>
          <w:b/>
          <w:sz w:val="30"/>
          <w:szCs w:val="20"/>
          <w:highlight w:val="none"/>
        </w:rPr>
      </w:pPr>
      <w:r>
        <w:rPr>
          <w:rFonts w:hint="eastAsia" w:ascii="宋体" w:hAnsi="宋体" w:cs="宋体"/>
          <w:b/>
          <w:sz w:val="30"/>
          <w:szCs w:val="20"/>
          <w:highlight w:val="none"/>
        </w:rPr>
        <w:t>三、投标</w:t>
      </w:r>
    </w:p>
    <w:p w14:paraId="220FE98F">
      <w:pPr>
        <w:pStyle w:val="33"/>
        <w:spacing w:line="348" w:lineRule="auto"/>
        <w:rPr>
          <w:rFonts w:hAnsi="宋体" w:cs="宋体"/>
          <w:b/>
          <w:sz w:val="24"/>
          <w:szCs w:val="24"/>
          <w:highlight w:val="none"/>
        </w:rPr>
      </w:pPr>
      <w:r>
        <w:rPr>
          <w:rFonts w:hint="eastAsia" w:hAnsi="宋体" w:cs="宋体"/>
          <w:b/>
          <w:sz w:val="24"/>
          <w:szCs w:val="24"/>
          <w:highlight w:val="none"/>
        </w:rPr>
        <w:t>7.招标文件的获取</w:t>
      </w:r>
    </w:p>
    <w:p w14:paraId="33FB5785">
      <w:pPr>
        <w:spacing w:line="348" w:lineRule="auto"/>
        <w:ind w:firstLine="480" w:firstLineChars="200"/>
        <w:rPr>
          <w:rFonts w:ascii="宋体" w:hAnsi="宋体" w:cs="宋体"/>
          <w:snapToGrid w:val="0"/>
          <w:kern w:val="28"/>
          <w:sz w:val="24"/>
          <w:highlight w:val="none"/>
        </w:rPr>
      </w:pPr>
      <w:r>
        <w:rPr>
          <w:rFonts w:hint="eastAsia" w:ascii="宋体" w:hAnsi="宋体" w:cs="宋体"/>
          <w:snapToGrid w:val="0"/>
          <w:kern w:val="28"/>
          <w:sz w:val="24"/>
          <w:highlight w:val="none"/>
        </w:rPr>
        <w:t>详见招标公告中获取招标文件的时间期限、地点、方式及招标文件售价。</w:t>
      </w:r>
    </w:p>
    <w:p w14:paraId="249D0690">
      <w:pPr>
        <w:pStyle w:val="33"/>
        <w:spacing w:line="348" w:lineRule="auto"/>
        <w:rPr>
          <w:rFonts w:hAnsi="宋体" w:cs="宋体"/>
          <w:b/>
          <w:sz w:val="24"/>
          <w:szCs w:val="24"/>
          <w:highlight w:val="none"/>
        </w:rPr>
      </w:pPr>
      <w:r>
        <w:rPr>
          <w:rFonts w:hint="eastAsia" w:hAnsi="宋体" w:cs="宋体"/>
          <w:b/>
          <w:sz w:val="24"/>
          <w:szCs w:val="24"/>
          <w:highlight w:val="none"/>
        </w:rPr>
        <w:t>8.开标前答疑会或现场考察</w:t>
      </w:r>
    </w:p>
    <w:p w14:paraId="4D03DAF0">
      <w:pPr>
        <w:pStyle w:val="33"/>
        <w:spacing w:line="348" w:lineRule="auto"/>
        <w:ind w:firstLine="480" w:firstLineChars="200"/>
        <w:rPr>
          <w:rFonts w:hAnsi="宋体" w:cs="宋体"/>
          <w:sz w:val="24"/>
          <w:szCs w:val="24"/>
          <w:highlight w:val="none"/>
        </w:rPr>
      </w:pPr>
      <w:r>
        <w:rPr>
          <w:rFonts w:hint="eastAsia" w:hAnsi="宋体" w:cs="宋体"/>
          <w:sz w:val="24"/>
          <w:szCs w:val="24"/>
          <w:highlight w:val="none"/>
        </w:rPr>
        <w:t>采购人组织潜在投标人现场考察或者召开开标前答疑会的，潜在投标人按第二部分投标人须知前附表的规定参加现场考察或者开标前答疑会。</w:t>
      </w:r>
    </w:p>
    <w:p w14:paraId="71BE5329">
      <w:pPr>
        <w:pStyle w:val="33"/>
        <w:spacing w:line="348" w:lineRule="auto"/>
        <w:rPr>
          <w:rFonts w:hAnsi="宋体" w:cs="宋体"/>
          <w:b/>
          <w:szCs w:val="24"/>
          <w:highlight w:val="none"/>
        </w:rPr>
      </w:pPr>
      <w:r>
        <w:rPr>
          <w:rFonts w:hint="eastAsia" w:hAnsi="宋体" w:cs="宋体"/>
          <w:b/>
          <w:kern w:val="28"/>
          <w:sz w:val="24"/>
          <w:szCs w:val="24"/>
          <w:highlight w:val="none"/>
        </w:rPr>
        <w:t>9.投标保证金</w:t>
      </w:r>
    </w:p>
    <w:p w14:paraId="0BBBF88D">
      <w:pPr>
        <w:pStyle w:val="15"/>
        <w:spacing w:line="348"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0B12553B">
      <w:pPr>
        <w:pStyle w:val="33"/>
        <w:spacing w:line="348" w:lineRule="auto"/>
        <w:rPr>
          <w:rFonts w:hAnsi="宋体" w:cs="宋体"/>
          <w:b/>
          <w:sz w:val="24"/>
          <w:szCs w:val="24"/>
          <w:highlight w:val="none"/>
        </w:rPr>
      </w:pPr>
      <w:r>
        <w:rPr>
          <w:rFonts w:hint="eastAsia" w:hAnsi="宋体" w:cs="宋体"/>
          <w:b/>
          <w:sz w:val="24"/>
          <w:szCs w:val="24"/>
          <w:highlight w:val="none"/>
        </w:rPr>
        <w:t>10. 投标文件的语言</w:t>
      </w:r>
    </w:p>
    <w:p w14:paraId="1D4817C4">
      <w:pPr>
        <w:autoSpaceDE w:val="0"/>
        <w:autoSpaceDN w:val="0"/>
        <w:spacing w:line="348" w:lineRule="auto"/>
        <w:ind w:firstLine="480" w:firstLineChars="200"/>
        <w:rPr>
          <w:rFonts w:ascii="宋体" w:hAnsi="宋体" w:cs="宋体"/>
          <w:sz w:val="24"/>
          <w:highlight w:val="none"/>
          <w:lang w:val="zh-CN"/>
        </w:rPr>
      </w:pPr>
      <w:r>
        <w:rPr>
          <w:rFonts w:hint="eastAsia" w:ascii="宋体" w:hAnsi="宋体" w:cs="宋体"/>
          <w:sz w:val="24"/>
          <w:highlight w:val="none"/>
        </w:rPr>
        <w:t>投标文件及投标人与采购有关的来往通知、函件和文件均应使用中文。</w:t>
      </w:r>
    </w:p>
    <w:p w14:paraId="078228D0">
      <w:pPr>
        <w:pStyle w:val="33"/>
        <w:spacing w:line="348" w:lineRule="auto"/>
        <w:rPr>
          <w:rFonts w:hAnsi="宋体" w:cs="宋体"/>
          <w:b/>
          <w:sz w:val="24"/>
          <w:szCs w:val="24"/>
          <w:highlight w:val="none"/>
        </w:rPr>
      </w:pPr>
      <w:r>
        <w:rPr>
          <w:rFonts w:hint="eastAsia" w:hAnsi="宋体" w:cs="宋体"/>
          <w:b/>
          <w:sz w:val="24"/>
          <w:szCs w:val="24"/>
          <w:highlight w:val="none"/>
        </w:rPr>
        <w:t>11. 投标文件的组成</w:t>
      </w:r>
    </w:p>
    <w:p w14:paraId="60940642">
      <w:pPr>
        <w:snapToGrid w:val="0"/>
        <w:spacing w:line="348" w:lineRule="auto"/>
        <w:ind w:firstLine="482" w:firstLineChars="200"/>
        <w:rPr>
          <w:rFonts w:ascii="宋体" w:hAnsi="宋体" w:cs="宋体"/>
          <w:b/>
          <w:bCs/>
          <w:sz w:val="24"/>
          <w:highlight w:val="none"/>
        </w:rPr>
      </w:pPr>
      <w:r>
        <w:rPr>
          <w:rFonts w:hint="eastAsia" w:ascii="宋体" w:hAnsi="宋体" w:cs="宋体"/>
          <w:b/>
          <w:bCs/>
          <w:sz w:val="24"/>
          <w:highlight w:val="none"/>
        </w:rPr>
        <w:t>11.1资格文件：</w:t>
      </w:r>
    </w:p>
    <w:p w14:paraId="4FC9391A">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11.1.1符合参加政府采购活动应当具备的一般条件的承诺函；</w:t>
      </w:r>
    </w:p>
    <w:p w14:paraId="3384FD6A">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w:t>
      </w:r>
      <w:r>
        <w:rPr>
          <w:rFonts w:ascii="宋体" w:hAnsi="宋体" w:cs="宋体"/>
          <w:sz w:val="24"/>
          <w:highlight w:val="none"/>
        </w:rPr>
        <w:t>1.1.2</w:t>
      </w:r>
      <w:bookmarkStart w:id="17" w:name="_Hlk101259339"/>
      <w:r>
        <w:rPr>
          <w:rFonts w:hint="eastAsia" w:ascii="宋体" w:hAnsi="宋体" w:cs="宋体"/>
          <w:snapToGrid w:val="0"/>
          <w:kern w:val="28"/>
          <w:sz w:val="24"/>
          <w:szCs w:val="20"/>
          <w:highlight w:val="none"/>
        </w:rPr>
        <w:t>联合协议</w:t>
      </w:r>
      <w:bookmarkEnd w:id="17"/>
      <w:r>
        <w:rPr>
          <w:rFonts w:hint="eastAsia" w:ascii="宋体" w:hAnsi="宋体" w:cs="宋体"/>
          <w:snapToGrid w:val="0"/>
          <w:kern w:val="28"/>
          <w:sz w:val="24"/>
          <w:szCs w:val="20"/>
          <w:highlight w:val="none"/>
        </w:rPr>
        <w:t>（如果有)；</w:t>
      </w:r>
    </w:p>
    <w:p w14:paraId="149F3558">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11.1.</w:t>
      </w:r>
      <w:r>
        <w:rPr>
          <w:rFonts w:ascii="宋体" w:hAnsi="宋体" w:cs="宋体"/>
          <w:sz w:val="24"/>
          <w:highlight w:val="none"/>
        </w:rPr>
        <w:t>3</w:t>
      </w:r>
      <w:r>
        <w:rPr>
          <w:rFonts w:hint="eastAsia" w:ascii="宋体" w:hAnsi="宋体" w:cs="宋体"/>
          <w:sz w:val="24"/>
          <w:highlight w:val="none"/>
        </w:rPr>
        <w:t>落实政府采购政策需满足的资格要求</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2A774691">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11.1.</w:t>
      </w:r>
      <w:r>
        <w:rPr>
          <w:rFonts w:ascii="宋体" w:hAnsi="宋体" w:cs="宋体"/>
          <w:sz w:val="24"/>
          <w:highlight w:val="none"/>
        </w:rPr>
        <w:t>4</w:t>
      </w:r>
      <w:r>
        <w:rPr>
          <w:rFonts w:hint="eastAsia" w:ascii="宋体" w:hAnsi="宋体" w:cs="宋体"/>
          <w:sz w:val="24"/>
          <w:highlight w:val="none"/>
        </w:rPr>
        <w:t>本项目的特定资格要求</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741563F0">
      <w:pPr>
        <w:snapToGrid w:val="0"/>
        <w:spacing w:line="348" w:lineRule="auto"/>
        <w:ind w:firstLine="482" w:firstLineChars="200"/>
        <w:rPr>
          <w:rFonts w:ascii="宋体" w:hAnsi="宋体" w:cs="宋体"/>
          <w:b/>
          <w:bCs/>
          <w:sz w:val="24"/>
          <w:highlight w:val="none"/>
          <w:lang w:val="zh-CN"/>
        </w:rPr>
      </w:pPr>
      <w:r>
        <w:rPr>
          <w:rFonts w:hint="eastAsia" w:ascii="宋体" w:hAnsi="宋体" w:cs="宋体"/>
          <w:b/>
          <w:bCs/>
          <w:sz w:val="24"/>
          <w:highlight w:val="none"/>
          <w:lang w:val="zh-CN"/>
        </w:rPr>
        <w:t>11.</w:t>
      </w:r>
      <w:r>
        <w:rPr>
          <w:rFonts w:hint="eastAsia" w:ascii="宋体" w:hAnsi="宋体" w:cs="宋体"/>
          <w:b/>
          <w:bCs/>
          <w:sz w:val="24"/>
          <w:highlight w:val="none"/>
        </w:rPr>
        <w:t>2商务技术</w:t>
      </w:r>
      <w:r>
        <w:rPr>
          <w:rFonts w:hint="eastAsia" w:ascii="宋体" w:hAnsi="宋体" w:cs="宋体"/>
          <w:b/>
          <w:bCs/>
          <w:sz w:val="24"/>
          <w:highlight w:val="none"/>
          <w:lang w:val="zh-CN"/>
        </w:rPr>
        <w:t>文件：</w:t>
      </w:r>
    </w:p>
    <w:p w14:paraId="32CB8B8C">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11.2.1投标函；</w:t>
      </w:r>
    </w:p>
    <w:p w14:paraId="7DA4E1F6">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11.2.2授权委托书或法定代表人（单位负责人、自然人本人）身份证明；</w:t>
      </w:r>
    </w:p>
    <w:p w14:paraId="2C562AA3">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1142F8D7">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4</w:t>
      </w:r>
      <w:r>
        <w:rPr>
          <w:rFonts w:hint="eastAsia" w:ascii="宋体" w:hAnsi="宋体" w:cs="宋体"/>
          <w:sz w:val="24"/>
          <w:highlight w:val="none"/>
        </w:rPr>
        <w:t>符合性审查资料；</w:t>
      </w:r>
    </w:p>
    <w:p w14:paraId="0E099DB6">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5</w:t>
      </w:r>
      <w:r>
        <w:rPr>
          <w:rFonts w:hint="eastAsia" w:ascii="宋体" w:hAnsi="宋体" w:cs="宋体"/>
          <w:sz w:val="24"/>
          <w:highlight w:val="none"/>
        </w:rPr>
        <w:t>评标标准相应的商务技术资料；</w:t>
      </w:r>
    </w:p>
    <w:p w14:paraId="7C2CCDFE">
      <w:pPr>
        <w:snapToGrid w:val="0"/>
        <w:spacing w:line="348" w:lineRule="auto"/>
        <w:ind w:firstLine="960" w:firstLineChars="4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6</w:t>
      </w:r>
      <w:r>
        <w:rPr>
          <w:rFonts w:hint="eastAsia" w:ascii="宋体" w:hAnsi="宋体" w:cs="宋体"/>
          <w:sz w:val="24"/>
          <w:highlight w:val="none"/>
        </w:rPr>
        <w:t>商务技术偏离表；</w:t>
      </w:r>
    </w:p>
    <w:p w14:paraId="16312742">
      <w:pPr>
        <w:snapToGrid w:val="0"/>
        <w:spacing w:line="348" w:lineRule="auto"/>
        <w:ind w:firstLine="960" w:firstLineChars="400"/>
        <w:rPr>
          <w:rFonts w:hint="eastAsia" w:ascii="宋体" w:hAnsi="宋体" w:cs="宋体"/>
          <w:sz w:val="24"/>
          <w:highlight w:val="none"/>
          <w:lang w:val="zh-CN"/>
        </w:rPr>
      </w:pPr>
      <w:r>
        <w:rPr>
          <w:rFonts w:hint="eastAsia" w:ascii="宋体" w:hAnsi="宋体" w:cs="宋体"/>
          <w:sz w:val="24"/>
          <w:highlight w:val="none"/>
          <w:lang w:val="zh-CN"/>
        </w:rPr>
        <w:t>11.</w:t>
      </w: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7</w:t>
      </w:r>
      <w:r>
        <w:rPr>
          <w:rFonts w:hint="eastAsia" w:ascii="宋体" w:hAnsi="宋体" w:cs="宋体"/>
          <w:sz w:val="24"/>
          <w:highlight w:val="none"/>
          <w:lang w:val="zh-CN"/>
        </w:rPr>
        <w:t>政府采购供应商廉洁自律承诺书；</w:t>
      </w:r>
    </w:p>
    <w:p w14:paraId="240E655B">
      <w:pPr>
        <w:snapToGrid w:val="0"/>
        <w:spacing w:line="348" w:lineRule="auto"/>
        <w:ind w:firstLine="482" w:firstLineChars="200"/>
        <w:rPr>
          <w:rFonts w:ascii="宋体" w:hAnsi="宋体" w:cs="宋体"/>
          <w:b/>
          <w:bCs/>
          <w:sz w:val="24"/>
          <w:highlight w:val="none"/>
          <w:u w:val="single"/>
          <w:lang w:val="zh-CN"/>
        </w:rPr>
      </w:pPr>
      <w:r>
        <w:rPr>
          <w:rFonts w:hint="eastAsia" w:ascii="宋体" w:hAnsi="宋体" w:cs="宋体"/>
          <w:b/>
          <w:bCs/>
          <w:kern w:val="0"/>
          <w:sz w:val="24"/>
          <w:highlight w:val="none"/>
          <w:lang w:val="zh-CN"/>
        </w:rPr>
        <w:t>11.</w:t>
      </w:r>
      <w:r>
        <w:rPr>
          <w:rFonts w:hint="eastAsia" w:ascii="宋体" w:hAnsi="宋体" w:cs="宋体"/>
          <w:b/>
          <w:bCs/>
          <w:kern w:val="0"/>
          <w:sz w:val="24"/>
          <w:highlight w:val="none"/>
        </w:rPr>
        <w:t>3</w:t>
      </w:r>
      <w:r>
        <w:rPr>
          <w:rFonts w:hint="eastAsia" w:ascii="宋体" w:hAnsi="宋体" w:cs="宋体"/>
          <w:b/>
          <w:bCs/>
          <w:sz w:val="24"/>
          <w:highlight w:val="none"/>
        </w:rPr>
        <w:t>报价文件：</w:t>
      </w:r>
    </w:p>
    <w:p w14:paraId="7396A31F">
      <w:pPr>
        <w:kinsoku/>
        <w:wordWrap/>
        <w:overflowPunct/>
        <w:topLinePunct w:val="0"/>
        <w:bidi w:val="0"/>
        <w:adjustRightInd/>
        <w:spacing w:line="360" w:lineRule="auto"/>
        <w:ind w:firstLine="960" w:firstLineChars="400"/>
        <w:outlineLvl w:val="9"/>
        <w:rPr>
          <w:rFonts w:hint="eastAsia" w:ascii="宋体" w:hAnsi="宋体" w:eastAsia="宋体" w:cs="宋体"/>
          <w:sz w:val="24"/>
          <w:highlight w:val="none"/>
          <w:lang w:eastAsia="zh-CN"/>
        </w:rPr>
      </w:pPr>
      <w:r>
        <w:rPr>
          <w:rFonts w:hint="eastAsia" w:ascii="宋体" w:hAnsi="宋体" w:cs="宋体"/>
          <w:sz w:val="24"/>
          <w:highlight w:val="none"/>
        </w:rPr>
        <w:t>11.3.1开标一览表（报价表）、投标分项报价表</w:t>
      </w:r>
      <w:r>
        <w:rPr>
          <w:rFonts w:hint="eastAsia" w:ascii="宋体" w:hAnsi="宋体" w:cs="宋体"/>
          <w:sz w:val="24"/>
          <w:highlight w:val="none"/>
          <w:lang w:eastAsia="zh-CN"/>
        </w:rPr>
        <w:t>；</w:t>
      </w:r>
    </w:p>
    <w:p w14:paraId="38B6B429">
      <w:pPr>
        <w:kinsoku/>
        <w:wordWrap/>
        <w:overflowPunct/>
        <w:topLinePunct w:val="0"/>
        <w:bidi w:val="0"/>
        <w:adjustRightInd/>
        <w:spacing w:line="360" w:lineRule="auto"/>
        <w:ind w:firstLine="960" w:firstLineChars="400"/>
        <w:outlineLvl w:val="9"/>
        <w:rPr>
          <w:rFonts w:hint="eastAsia" w:ascii="宋体" w:hAnsi="宋体" w:eastAsia="宋体" w:cs="宋体"/>
          <w:sz w:val="24"/>
          <w:highlight w:val="none"/>
          <w:lang w:eastAsia="zh-CN"/>
        </w:rPr>
      </w:pPr>
      <w:r>
        <w:rPr>
          <w:rFonts w:hint="eastAsia" w:ascii="宋体" w:hAnsi="宋体" w:eastAsia="宋体" w:cs="宋体"/>
          <w:strike w:val="0"/>
          <w:dstrike w:val="0"/>
          <w:sz w:val="24"/>
          <w:highlight w:val="none"/>
        </w:rPr>
        <w:t>11.3.2</w:t>
      </w:r>
      <w:r>
        <w:rPr>
          <w:rFonts w:hint="eastAsia" w:ascii="宋体" w:hAnsi="宋体" w:eastAsia="宋体" w:cs="宋体"/>
          <w:strike w:val="0"/>
          <w:dstrike w:val="0"/>
          <w:sz w:val="24"/>
          <w:highlight w:val="none"/>
          <w:lang w:val="en-US" w:eastAsia="zh-CN"/>
        </w:rPr>
        <w:t>报价情况说明(如供应商报价低于项目预算50%的，应当提交本文档，详细阐述不影响产品质量或者诚信履约的具体原因。</w:t>
      </w:r>
    </w:p>
    <w:p w14:paraId="3D7DBCA4">
      <w:pPr>
        <w:spacing w:line="348" w:lineRule="auto"/>
        <w:ind w:firstLine="723" w:firstLineChars="300"/>
        <w:rPr>
          <w:rFonts w:ascii="宋体" w:hAnsi="宋体" w:cs="宋体"/>
          <w:b/>
          <w:sz w:val="24"/>
          <w:highlight w:val="none"/>
        </w:rPr>
      </w:pPr>
      <w:r>
        <w:rPr>
          <w:rFonts w:hint="eastAsia" w:ascii="宋体" w:hAnsi="宋体" w:cs="宋体"/>
          <w:b/>
          <w:sz w:val="24"/>
          <w:highlight w:val="none"/>
        </w:rPr>
        <w:t>投标文件含有采购人不能接受的附加条件的，投标无效；</w:t>
      </w:r>
    </w:p>
    <w:p w14:paraId="7F07C19A">
      <w:pPr>
        <w:spacing w:line="348" w:lineRule="auto"/>
        <w:ind w:firstLine="723" w:firstLineChars="300"/>
        <w:rPr>
          <w:rFonts w:ascii="宋体" w:hAnsi="宋体" w:cs="宋体"/>
          <w:b/>
          <w:sz w:val="24"/>
          <w:szCs w:val="21"/>
          <w:highlight w:val="none"/>
        </w:rPr>
      </w:pPr>
      <w:r>
        <w:rPr>
          <w:rFonts w:hint="eastAsia" w:ascii="宋体" w:hAnsi="宋体" w:eastAsia="宋体" w:cs="宋体"/>
          <w:b/>
          <w:sz w:val="24"/>
        </w:rPr>
        <w:t>投标人提供虚假材料投标的，投标无效。注：投标人可事先在公开官网查询、核对相关证书和报告内容，确保投标（响应）文件资料准确无误。投标人应对投标文件中材料的真实性、合法性负责。</w:t>
      </w:r>
    </w:p>
    <w:p w14:paraId="1E42D920">
      <w:pPr>
        <w:pStyle w:val="134"/>
        <w:snapToGrid w:val="0"/>
        <w:spacing w:before="0" w:line="348" w:lineRule="auto"/>
        <w:ind w:firstLine="0" w:firstLineChars="0"/>
        <w:rPr>
          <w:rFonts w:ascii="宋体" w:hAnsi="宋体" w:cs="宋体"/>
          <w:b/>
          <w:szCs w:val="24"/>
          <w:highlight w:val="none"/>
        </w:rPr>
      </w:pPr>
      <w:r>
        <w:rPr>
          <w:rFonts w:hint="eastAsia" w:ascii="宋体" w:hAnsi="宋体" w:cs="宋体"/>
          <w:b/>
          <w:szCs w:val="24"/>
          <w:highlight w:val="none"/>
        </w:rPr>
        <w:t>12</w:t>
      </w:r>
      <w:r>
        <w:rPr>
          <w:rFonts w:hint="eastAsia" w:ascii="宋体" w:hAnsi="宋体" w:cs="宋体"/>
          <w:b/>
          <w:kern w:val="0"/>
          <w:szCs w:val="24"/>
          <w:highlight w:val="none"/>
          <w:lang w:val="zh-CN"/>
        </w:rPr>
        <w:t xml:space="preserve">. </w:t>
      </w:r>
      <w:r>
        <w:rPr>
          <w:rFonts w:hint="eastAsia" w:ascii="宋体" w:hAnsi="宋体" w:cs="宋体"/>
          <w:b/>
          <w:szCs w:val="24"/>
          <w:highlight w:val="none"/>
        </w:rPr>
        <w:t>投标文件的编制</w:t>
      </w:r>
    </w:p>
    <w:p w14:paraId="6A71B8C2">
      <w:pPr>
        <w:spacing w:line="348" w:lineRule="auto"/>
        <w:ind w:firstLine="480" w:firstLineChars="200"/>
        <w:rPr>
          <w:rFonts w:ascii="宋体" w:hAnsi="宋体" w:cs="宋体"/>
          <w:b/>
          <w:sz w:val="24"/>
          <w:highlight w:val="none"/>
        </w:rPr>
      </w:pPr>
      <w:r>
        <w:rPr>
          <w:rFonts w:hint="eastAsia" w:ascii="宋体" w:hAnsi="宋体" w:cs="宋体"/>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899C21E">
      <w:pPr>
        <w:spacing w:line="348"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12.2投标人进行电子投标应安装客户端软件—“乐采云电子交易客户端”，并按照招标文件和电子交易平台的要求编制并加密投标文件。投标人未按规定加密的投标文件，电子交易平台将拒收并提示。</w:t>
      </w:r>
    </w:p>
    <w:p w14:paraId="59C768F8">
      <w:pPr>
        <w:spacing w:line="348"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12.3使用“乐采云电子交易客户端”需要提前申领CA数字证书，申领流程请自行前往“浙江政府采购网-下载专区-电子交易客户端-CA驱动和申领流程”进行查阅。</w:t>
      </w:r>
    </w:p>
    <w:p w14:paraId="0184ACBB">
      <w:pPr>
        <w:snapToGrid w:val="0"/>
        <w:spacing w:line="348" w:lineRule="auto"/>
        <w:rPr>
          <w:rFonts w:ascii="宋体" w:hAnsi="宋体" w:cs="宋体"/>
          <w:b/>
          <w:sz w:val="24"/>
          <w:highlight w:val="none"/>
        </w:rPr>
      </w:pPr>
      <w:r>
        <w:rPr>
          <w:rFonts w:hint="eastAsia" w:ascii="宋体" w:hAnsi="宋体" w:cs="宋体"/>
          <w:b/>
          <w:sz w:val="24"/>
          <w:highlight w:val="none"/>
        </w:rPr>
        <w:t>13.投标文件的签署、盖章</w:t>
      </w:r>
    </w:p>
    <w:p w14:paraId="6B8352D7">
      <w:pPr>
        <w:pStyle w:val="134"/>
        <w:snapToGrid w:val="0"/>
        <w:spacing w:before="0" w:line="348" w:lineRule="auto"/>
        <w:ind w:firstLine="480"/>
        <w:rPr>
          <w:rFonts w:ascii="宋体" w:hAnsi="宋体" w:cs="宋体"/>
          <w:b/>
          <w:highlight w:val="none"/>
        </w:rPr>
      </w:pPr>
      <w:r>
        <w:rPr>
          <w:rFonts w:hint="eastAsia" w:ascii="宋体" w:hAnsi="宋体" w:cs="宋体"/>
          <w:szCs w:val="24"/>
          <w:highlight w:val="none"/>
        </w:rPr>
        <w:t>13.1投标文件按照招标文件第六部分格式要</w:t>
      </w:r>
      <w:r>
        <w:rPr>
          <w:rFonts w:hint="eastAsia" w:ascii="宋体" w:hAnsi="宋体" w:cs="宋体"/>
          <w:highlight w:val="none"/>
        </w:rPr>
        <w:t>求进行签署、盖章。</w:t>
      </w:r>
      <w:r>
        <w:rPr>
          <w:rFonts w:hint="eastAsia" w:ascii="宋体" w:hAnsi="宋体" w:cs="宋体"/>
          <w:b/>
          <w:highlight w:val="none"/>
        </w:rPr>
        <w:t>▲投标人的投标文件未按照招标文件要求签署、盖章的，其投标无效</w:t>
      </w:r>
      <w:r>
        <w:rPr>
          <w:rFonts w:hint="eastAsia" w:ascii="宋体" w:hAnsi="宋体" w:cs="宋体"/>
          <w:szCs w:val="24"/>
          <w:highlight w:val="none"/>
        </w:rPr>
        <w:t>。</w:t>
      </w:r>
    </w:p>
    <w:p w14:paraId="59E11ACE">
      <w:pPr>
        <w:pStyle w:val="134"/>
        <w:snapToGrid w:val="0"/>
        <w:spacing w:before="0" w:line="348" w:lineRule="auto"/>
        <w:ind w:firstLine="480"/>
        <w:rPr>
          <w:rFonts w:ascii="宋体" w:hAnsi="宋体" w:cs="宋体"/>
          <w:highlight w:val="none"/>
        </w:rPr>
      </w:pPr>
      <w:r>
        <w:rPr>
          <w:rFonts w:hint="eastAsia" w:ascii="宋体" w:hAnsi="宋体" w:cs="宋体"/>
          <w:highlight w:val="none"/>
        </w:rPr>
        <w:t>13.2为确保网上操作合法、有效和安全，投标人应当在投标截止时间前完成在“</w:t>
      </w:r>
      <w:r>
        <w:rPr>
          <w:rFonts w:hint="eastAsia" w:ascii="宋体" w:hAnsi="宋体" w:cs="宋体"/>
          <w:highlight w:val="none"/>
          <w:lang w:eastAsia="zh-CN"/>
        </w:rPr>
        <w:t>乐采云平台</w:t>
      </w:r>
      <w:r>
        <w:rPr>
          <w:rFonts w:hint="eastAsia" w:ascii="宋体" w:hAnsi="宋体" w:cs="宋体"/>
          <w:highlight w:val="none"/>
        </w:rPr>
        <w:t>”的身份认证，确保在电子投标过程中能够对相关数据电文进行加密和使用电子签名。</w:t>
      </w:r>
    </w:p>
    <w:p w14:paraId="0B7CFA0E">
      <w:pPr>
        <w:pStyle w:val="134"/>
        <w:snapToGrid w:val="0"/>
        <w:spacing w:before="0" w:line="348" w:lineRule="auto"/>
        <w:ind w:firstLine="480"/>
        <w:rPr>
          <w:rFonts w:ascii="宋体" w:hAnsi="宋体" w:cs="宋体"/>
          <w:szCs w:val="24"/>
          <w:highlight w:val="none"/>
        </w:rPr>
      </w:pPr>
      <w:r>
        <w:rPr>
          <w:rFonts w:hint="eastAsia" w:ascii="宋体" w:hAnsi="宋体" w:cs="宋体"/>
          <w:highlight w:val="none"/>
        </w:rPr>
        <w:t>13.3招标文件对投标文件签署、盖章的要求适用于电子签名。</w:t>
      </w:r>
    </w:p>
    <w:p w14:paraId="14EFD29B">
      <w:pPr>
        <w:pStyle w:val="134"/>
        <w:spacing w:before="0" w:line="348" w:lineRule="auto"/>
        <w:ind w:firstLine="0" w:firstLineChars="0"/>
        <w:rPr>
          <w:rFonts w:ascii="宋体" w:hAnsi="宋体" w:cs="宋体"/>
          <w:b/>
          <w:szCs w:val="24"/>
          <w:highlight w:val="none"/>
        </w:rPr>
      </w:pPr>
      <w:r>
        <w:rPr>
          <w:rFonts w:hint="eastAsia" w:ascii="宋体" w:hAnsi="宋体" w:cs="宋体"/>
          <w:b/>
          <w:szCs w:val="24"/>
          <w:highlight w:val="none"/>
        </w:rPr>
        <w:t>14. 投标文件的提交、补充、修改、撤回</w:t>
      </w:r>
    </w:p>
    <w:p w14:paraId="6F11C903">
      <w:pPr>
        <w:pStyle w:val="134"/>
        <w:spacing w:before="0" w:line="348" w:lineRule="auto"/>
        <w:ind w:firstLine="480"/>
        <w:rPr>
          <w:rFonts w:ascii="宋体" w:hAnsi="宋体" w:cs="宋体"/>
          <w:szCs w:val="24"/>
          <w:highlight w:val="none"/>
        </w:rPr>
      </w:pPr>
      <w:r>
        <w:rPr>
          <w:rFonts w:hint="eastAsia" w:ascii="宋体" w:hAnsi="宋体" w:cs="宋体"/>
          <w:szCs w:val="24"/>
          <w:highlight w:val="none"/>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B3EAC16">
      <w:pPr>
        <w:pStyle w:val="134"/>
        <w:spacing w:before="0" w:line="348" w:lineRule="auto"/>
        <w:ind w:firstLine="480"/>
        <w:rPr>
          <w:rFonts w:ascii="宋体" w:hAnsi="宋体" w:cs="宋体"/>
          <w:szCs w:val="24"/>
          <w:highlight w:val="none"/>
        </w:rPr>
      </w:pPr>
      <w:r>
        <w:rPr>
          <w:rFonts w:hint="eastAsia" w:ascii="宋体" w:hAnsi="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65D524B">
      <w:pPr>
        <w:pStyle w:val="134"/>
        <w:spacing w:before="0" w:line="348" w:lineRule="auto"/>
        <w:ind w:firstLine="480"/>
        <w:rPr>
          <w:rFonts w:ascii="宋体" w:hAnsi="宋体" w:cs="宋体"/>
          <w:szCs w:val="24"/>
          <w:highlight w:val="none"/>
        </w:rPr>
      </w:pPr>
      <w:r>
        <w:rPr>
          <w:rFonts w:hint="eastAsia" w:ascii="宋体" w:hAnsi="宋体" w:cs="宋体"/>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314FFC24">
      <w:pPr>
        <w:pStyle w:val="33"/>
        <w:spacing w:line="348" w:lineRule="auto"/>
        <w:rPr>
          <w:rFonts w:hAnsi="宋体" w:cs="宋体"/>
          <w:b/>
          <w:sz w:val="24"/>
          <w:szCs w:val="24"/>
          <w:highlight w:val="none"/>
        </w:rPr>
      </w:pPr>
      <w:r>
        <w:rPr>
          <w:rFonts w:hint="eastAsia" w:hAnsi="宋体" w:cs="宋体"/>
          <w:b/>
          <w:sz w:val="24"/>
          <w:szCs w:val="24"/>
          <w:highlight w:val="none"/>
        </w:rPr>
        <w:t>15.备份投标文件（文件后缀为：bfbs）</w:t>
      </w:r>
    </w:p>
    <w:p w14:paraId="1B15B311">
      <w:pPr>
        <w:pStyle w:val="33"/>
        <w:spacing w:line="348" w:lineRule="auto"/>
        <w:ind w:firstLine="360" w:firstLineChars="150"/>
        <w:rPr>
          <w:rFonts w:hAnsi="宋体" w:cs="宋体"/>
          <w:b/>
          <w:sz w:val="24"/>
          <w:szCs w:val="24"/>
          <w:highlight w:val="none"/>
        </w:rPr>
      </w:pPr>
      <w:r>
        <w:rPr>
          <w:rFonts w:hint="eastAsia" w:hAnsi="宋体" w:cs="宋体"/>
          <w:sz w:val="24"/>
          <w:szCs w:val="24"/>
          <w:highlight w:val="none"/>
        </w:rPr>
        <w:t>15.1投标人在电子交易平台传输递交投标文件后，还可以在投标截止时间前直接提交或者以快递方式递交备份投标文件1份，</w:t>
      </w:r>
      <w:r>
        <w:rPr>
          <w:rFonts w:hint="eastAsia" w:hAnsi="宋体" w:cs="宋体"/>
          <w:b/>
          <w:sz w:val="24"/>
          <w:szCs w:val="24"/>
          <w:highlight w:val="none"/>
        </w:rPr>
        <w:t>但采购人、采购代理机构不强制或变相强制投标人提交备份投标文件。</w:t>
      </w:r>
    </w:p>
    <w:p w14:paraId="3233DC93">
      <w:pPr>
        <w:pStyle w:val="33"/>
        <w:spacing w:line="348" w:lineRule="auto"/>
        <w:ind w:firstLine="480" w:firstLineChars="200"/>
        <w:rPr>
          <w:rFonts w:hAnsi="宋体" w:cs="宋体"/>
          <w:b/>
          <w:sz w:val="24"/>
          <w:szCs w:val="24"/>
          <w:highlight w:val="none"/>
        </w:rPr>
      </w:pPr>
      <w:r>
        <w:rPr>
          <w:rFonts w:hint="eastAsia" w:hAnsi="宋体" w:cs="宋体"/>
          <w:sz w:val="24"/>
          <w:szCs w:val="24"/>
          <w:highlight w:val="none"/>
        </w:rPr>
        <w:t>15.2备份投标文件须在“</w:t>
      </w:r>
      <w:r>
        <w:rPr>
          <w:rFonts w:hint="eastAsia" w:hAnsi="宋体" w:cs="宋体"/>
          <w:sz w:val="24"/>
          <w:szCs w:val="24"/>
          <w:highlight w:val="none"/>
          <w:lang w:eastAsia="zh-CN"/>
        </w:rPr>
        <w:t>乐采云</w:t>
      </w:r>
      <w:r>
        <w:rPr>
          <w:rFonts w:hint="eastAsia" w:hAnsi="宋体" w:cs="宋体"/>
          <w:sz w:val="24"/>
          <w:szCs w:val="24"/>
          <w:highlight w:val="none"/>
        </w:rPr>
        <w:t>投标客户端”制作生成，并储存在</w:t>
      </w:r>
      <w:r>
        <w:rPr>
          <w:rFonts w:hint="eastAsia" w:hAnsi="宋体" w:cs="宋体"/>
          <w:sz w:val="24"/>
          <w:highlight w:val="none"/>
        </w:rPr>
        <w:t>U盘</w:t>
      </w:r>
      <w:r>
        <w:rPr>
          <w:rFonts w:hint="eastAsia" w:hAnsi="宋体" w:cs="宋体"/>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highlight w:val="none"/>
        </w:rPr>
        <w:t>不符合上述制作、</w:t>
      </w:r>
      <w:r>
        <w:rPr>
          <w:rFonts w:hint="eastAsia" w:hAnsi="宋体" w:cs="宋体"/>
          <w:b/>
          <w:sz w:val="24"/>
          <w:szCs w:val="24"/>
          <w:highlight w:val="none"/>
        </w:rPr>
        <w:t>存储、密封规定的备份投标文件将被视为无效或者被拒绝接收。</w:t>
      </w:r>
    </w:p>
    <w:p w14:paraId="25B21DD2">
      <w:pPr>
        <w:pStyle w:val="33"/>
        <w:spacing w:line="348" w:lineRule="auto"/>
        <w:ind w:firstLine="480" w:firstLineChars="200"/>
        <w:rPr>
          <w:rFonts w:hAnsi="宋体" w:cs="宋体"/>
          <w:sz w:val="24"/>
          <w:szCs w:val="24"/>
          <w:highlight w:val="none"/>
        </w:rPr>
      </w:pPr>
      <w:r>
        <w:rPr>
          <w:rFonts w:hint="eastAsia" w:hAnsi="宋体" w:cs="宋体"/>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0002BA83">
      <w:pPr>
        <w:pStyle w:val="33"/>
        <w:spacing w:line="348" w:lineRule="auto"/>
        <w:ind w:firstLine="480" w:firstLineChars="200"/>
        <w:rPr>
          <w:rFonts w:hAnsi="宋体" w:cs="宋体"/>
          <w:sz w:val="24"/>
          <w:szCs w:val="24"/>
          <w:highlight w:val="none"/>
        </w:rPr>
      </w:pPr>
      <w:r>
        <w:rPr>
          <w:rFonts w:hint="eastAsia" w:hAnsi="宋体" w:cs="宋体"/>
          <w:sz w:val="24"/>
          <w:szCs w:val="24"/>
          <w:highlight w:val="none"/>
        </w:rPr>
        <w:t>15.4以快递方式递交备份投标文件的，投标人应先将备份投标文件按要求密封和标记，再进行快递包装后邮寄。备份投标文件须在投标截止时间之前送达</w:t>
      </w:r>
      <w:r>
        <w:rPr>
          <w:rFonts w:hint="eastAsia" w:hAnsi="宋体" w:cs="宋体"/>
          <w:snapToGrid/>
          <w:sz w:val="24"/>
          <w:szCs w:val="24"/>
          <w:highlight w:val="none"/>
        </w:rPr>
        <w:t>招标文件第二部分投标人须知前附表规定的备份投标文件送达地点；</w:t>
      </w:r>
      <w:r>
        <w:rPr>
          <w:rFonts w:hint="eastAsia" w:hAnsi="宋体" w:cs="宋体"/>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04BAF3C5">
      <w:pPr>
        <w:pStyle w:val="33"/>
        <w:spacing w:line="348" w:lineRule="auto"/>
        <w:ind w:firstLine="479" w:firstLineChars="199"/>
        <w:rPr>
          <w:rFonts w:hAnsi="宋体" w:cs="宋体"/>
          <w:b/>
          <w:sz w:val="24"/>
          <w:szCs w:val="24"/>
          <w:highlight w:val="none"/>
        </w:rPr>
      </w:pPr>
      <w:r>
        <w:rPr>
          <w:rFonts w:hint="eastAsia" w:hAnsi="宋体" w:cs="宋体"/>
          <w:b/>
          <w:sz w:val="24"/>
          <w:szCs w:val="24"/>
          <w:highlight w:val="none"/>
        </w:rPr>
        <w:t>15.5投标人仅提交备份投标文件，未在电子交易平台传输递交投标文件的，投标无效。</w:t>
      </w:r>
    </w:p>
    <w:p w14:paraId="5397CC57">
      <w:pPr>
        <w:pStyle w:val="134"/>
        <w:spacing w:before="0" w:line="348" w:lineRule="auto"/>
        <w:ind w:firstLine="0" w:firstLineChars="0"/>
        <w:rPr>
          <w:rFonts w:ascii="宋体" w:hAnsi="宋体" w:cs="宋体"/>
          <w:b/>
          <w:szCs w:val="24"/>
          <w:highlight w:val="none"/>
        </w:rPr>
      </w:pPr>
      <w:r>
        <w:rPr>
          <w:rFonts w:hint="eastAsia" w:ascii="宋体" w:hAnsi="宋体" w:cs="宋体"/>
          <w:b/>
          <w:szCs w:val="24"/>
          <w:highlight w:val="none"/>
        </w:rPr>
        <w:t>16.投标文件的无效处理</w:t>
      </w:r>
    </w:p>
    <w:p w14:paraId="7A602D71">
      <w:pPr>
        <w:pStyle w:val="25"/>
        <w:spacing w:line="348" w:lineRule="auto"/>
        <w:ind w:firstLine="360" w:firstLineChars="150"/>
        <w:rPr>
          <w:rFonts w:cs="宋体"/>
          <w:szCs w:val="21"/>
          <w:highlight w:val="none"/>
        </w:rPr>
      </w:pPr>
      <w:r>
        <w:rPr>
          <w:rFonts w:hint="eastAsia" w:cs="宋体"/>
          <w:szCs w:val="21"/>
          <w:highlight w:val="none"/>
        </w:rPr>
        <w:t>有招标文件第四部分</w:t>
      </w:r>
      <w:r>
        <w:rPr>
          <w:rFonts w:cs="宋体"/>
          <w:highlight w:val="none"/>
        </w:rPr>
        <w:t>4.2规定</w:t>
      </w:r>
      <w:r>
        <w:rPr>
          <w:rFonts w:hint="eastAsia" w:cs="宋体"/>
          <w:szCs w:val="21"/>
          <w:highlight w:val="none"/>
        </w:rPr>
        <w:t>的情形之一的，投标无效：</w:t>
      </w:r>
    </w:p>
    <w:p w14:paraId="71CC5EA0">
      <w:pPr>
        <w:pStyle w:val="134"/>
        <w:spacing w:before="0" w:line="348" w:lineRule="auto"/>
        <w:ind w:firstLine="0" w:firstLineChars="0"/>
        <w:rPr>
          <w:rFonts w:ascii="宋体" w:hAnsi="宋体" w:cs="宋体"/>
          <w:b/>
          <w:szCs w:val="24"/>
          <w:highlight w:val="none"/>
        </w:rPr>
      </w:pPr>
      <w:r>
        <w:rPr>
          <w:rFonts w:hint="eastAsia" w:ascii="宋体" w:hAnsi="宋体" w:cs="宋体"/>
          <w:b/>
          <w:szCs w:val="24"/>
          <w:highlight w:val="none"/>
        </w:rPr>
        <w:t>17.投标有效期</w:t>
      </w:r>
    </w:p>
    <w:p w14:paraId="5263F009">
      <w:pPr>
        <w:spacing w:line="348" w:lineRule="auto"/>
        <w:ind w:firstLine="480" w:firstLineChars="200"/>
        <w:rPr>
          <w:rFonts w:ascii="宋体" w:hAnsi="宋体" w:cs="宋体"/>
          <w:b/>
          <w:sz w:val="24"/>
          <w:szCs w:val="21"/>
          <w:highlight w:val="none"/>
        </w:rPr>
      </w:pPr>
      <w:r>
        <w:rPr>
          <w:rFonts w:hint="eastAsia" w:ascii="宋体" w:hAnsi="宋体" w:cs="宋体"/>
          <w:sz w:val="24"/>
          <w:szCs w:val="20"/>
          <w:highlight w:val="none"/>
        </w:rPr>
        <w:t>17.1投标有效期为从提交投标文件的截止之日起90天。▲</w:t>
      </w:r>
      <w:r>
        <w:rPr>
          <w:rFonts w:hint="eastAsia" w:ascii="宋体" w:hAnsi="宋体" w:cs="宋体"/>
          <w:b/>
          <w:sz w:val="24"/>
          <w:szCs w:val="20"/>
          <w:highlight w:val="none"/>
        </w:rPr>
        <w:t>投标人的投标文件中承</w:t>
      </w:r>
      <w:r>
        <w:rPr>
          <w:rFonts w:hint="eastAsia" w:ascii="宋体" w:hAnsi="宋体" w:cs="宋体"/>
          <w:b/>
          <w:sz w:val="24"/>
          <w:szCs w:val="21"/>
          <w:highlight w:val="none"/>
        </w:rPr>
        <w:t>诺的投标有效期少于招标文件中载明的投标有效期的，投标无效。</w:t>
      </w:r>
    </w:p>
    <w:p w14:paraId="28B7F635">
      <w:pPr>
        <w:pStyle w:val="134"/>
        <w:spacing w:before="0" w:line="348" w:lineRule="auto"/>
        <w:ind w:firstLine="480"/>
        <w:rPr>
          <w:rFonts w:ascii="宋体" w:hAnsi="宋体" w:cs="宋体"/>
          <w:highlight w:val="none"/>
        </w:rPr>
      </w:pPr>
      <w:r>
        <w:rPr>
          <w:rFonts w:hint="eastAsia" w:ascii="宋体" w:hAnsi="宋体" w:cs="宋体"/>
          <w:highlight w:val="none"/>
        </w:rPr>
        <w:t>17.2投标文件合格投递后，自投标截止日期起，在投标有效期内有效。</w:t>
      </w:r>
    </w:p>
    <w:p w14:paraId="61817F60">
      <w:pPr>
        <w:pStyle w:val="134"/>
        <w:spacing w:before="0" w:line="348" w:lineRule="auto"/>
        <w:ind w:firstLine="480"/>
        <w:rPr>
          <w:rFonts w:ascii="宋体" w:hAnsi="宋体" w:cs="宋体"/>
          <w:highlight w:val="none"/>
        </w:rPr>
      </w:pPr>
      <w:r>
        <w:rPr>
          <w:rFonts w:hint="eastAsia" w:ascii="宋体" w:hAnsi="宋体" w:cs="宋体"/>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51334285">
      <w:pPr>
        <w:pStyle w:val="134"/>
        <w:spacing w:before="0" w:line="348" w:lineRule="auto"/>
        <w:ind w:firstLine="1928" w:firstLineChars="600"/>
        <w:rPr>
          <w:rFonts w:ascii="宋体" w:hAnsi="宋体" w:cs="宋体"/>
          <w:b/>
          <w:sz w:val="32"/>
          <w:highlight w:val="none"/>
        </w:rPr>
      </w:pPr>
      <w:r>
        <w:rPr>
          <w:rFonts w:hint="eastAsia" w:ascii="宋体" w:hAnsi="宋体" w:cs="宋体"/>
          <w:b/>
          <w:sz w:val="32"/>
          <w:highlight w:val="none"/>
        </w:rPr>
        <w:t>四、开标、资格审查与信用信息查询</w:t>
      </w:r>
    </w:p>
    <w:p w14:paraId="619B2394">
      <w:pPr>
        <w:pStyle w:val="555"/>
        <w:keepNext w:val="0"/>
        <w:keepLines w:val="0"/>
        <w:pageBreakBefore w:val="0"/>
        <w:kinsoku/>
        <w:wordWrap/>
        <w:overflowPunct/>
        <w:topLinePunct w:val="0"/>
        <w:bidi w:val="0"/>
        <w:spacing w:before="0" w:line="336" w:lineRule="auto"/>
        <w:ind w:left="0" w:firstLine="241" w:firstLineChars="100"/>
        <w:contextualSpacing/>
        <w:textAlignment w:val="auto"/>
        <w:rPr>
          <w:rFonts w:ascii="宋体" w:hAnsi="宋体" w:cs="宋体"/>
          <w:sz w:val="24"/>
          <w:highlight w:val="none"/>
        </w:rPr>
      </w:pPr>
      <w:r>
        <w:rPr>
          <w:rFonts w:hint="eastAsia" w:ascii="宋体" w:hAnsi="宋体" w:cs="宋体"/>
          <w:b/>
          <w:sz w:val="24"/>
          <w:szCs w:val="24"/>
          <w:highlight w:val="none"/>
        </w:rPr>
        <w:t>18.开标</w:t>
      </w:r>
      <w:r>
        <w:rPr>
          <w:rFonts w:hint="eastAsia" w:ascii="宋体" w:hAnsi="宋体" w:cs="宋体"/>
          <w:sz w:val="24"/>
          <w:highlight w:val="none"/>
        </w:rPr>
        <w:t xml:space="preserve"> </w:t>
      </w:r>
    </w:p>
    <w:p w14:paraId="0486326D">
      <w:pPr>
        <w:pStyle w:val="555"/>
        <w:keepNext w:val="0"/>
        <w:keepLines w:val="0"/>
        <w:pageBreakBefore w:val="0"/>
        <w:kinsoku/>
        <w:wordWrap/>
        <w:overflowPunct/>
        <w:topLinePunct w:val="0"/>
        <w:bidi w:val="0"/>
        <w:spacing w:before="0" w:line="336" w:lineRule="auto"/>
        <w:ind w:left="0" w:firstLine="480" w:firstLineChars="200"/>
        <w:contextualSpacing/>
        <w:textAlignment w:val="auto"/>
        <w:rPr>
          <w:rFonts w:ascii="宋体" w:hAnsi="宋体" w:cs="宋体"/>
          <w:sz w:val="24"/>
          <w:highlight w:val="none"/>
        </w:rPr>
      </w:pPr>
      <w:r>
        <w:rPr>
          <w:rFonts w:hint="eastAsia" w:ascii="宋体" w:hAnsi="宋体" w:cs="宋体"/>
          <w:sz w:val="24"/>
          <w:highlight w:val="none"/>
        </w:rPr>
        <w:t>18.1采购代理机构按照招标文件规定的时间通过电子交易平台组织开标，所有投标人均应当准时在线参加。投标人不足3家的，不得开标。</w:t>
      </w:r>
    </w:p>
    <w:p w14:paraId="6657B0C1">
      <w:pPr>
        <w:pStyle w:val="555"/>
        <w:keepNext w:val="0"/>
        <w:keepLines w:val="0"/>
        <w:pageBreakBefore w:val="0"/>
        <w:kinsoku/>
        <w:wordWrap/>
        <w:overflowPunct/>
        <w:topLinePunct w:val="0"/>
        <w:bidi w:val="0"/>
        <w:spacing w:before="0" w:line="336" w:lineRule="auto"/>
        <w:ind w:left="0" w:firstLine="240" w:firstLineChars="100"/>
        <w:contextualSpacing/>
        <w:textAlignment w:val="auto"/>
        <w:rPr>
          <w:rFonts w:ascii="宋体" w:hAnsi="宋体" w:cs="宋体"/>
          <w:sz w:val="24"/>
          <w:highlight w:val="none"/>
        </w:rPr>
      </w:pPr>
      <w:r>
        <w:rPr>
          <w:rFonts w:hint="eastAsia" w:ascii="宋体" w:hAnsi="宋体" w:cs="宋体"/>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31251D3F">
      <w:pPr>
        <w:pStyle w:val="555"/>
        <w:keepNext w:val="0"/>
        <w:keepLines w:val="0"/>
        <w:pageBreakBefore w:val="0"/>
        <w:kinsoku/>
        <w:wordWrap/>
        <w:overflowPunct/>
        <w:topLinePunct w:val="0"/>
        <w:bidi w:val="0"/>
        <w:spacing w:before="0" w:line="336" w:lineRule="auto"/>
        <w:ind w:left="0" w:firstLine="480" w:firstLineChars="200"/>
        <w:contextualSpacing/>
        <w:textAlignment w:val="auto"/>
        <w:rPr>
          <w:rFonts w:ascii="宋体" w:hAnsi="宋体" w:cs="宋体"/>
          <w:sz w:val="24"/>
          <w:highlight w:val="none"/>
        </w:rPr>
      </w:pPr>
      <w:r>
        <w:rPr>
          <w:rFonts w:hint="eastAsia" w:ascii="宋体" w:hAnsi="宋体" w:cs="宋体"/>
          <w:sz w:val="24"/>
          <w:highlight w:val="none"/>
        </w:rPr>
        <w:t>18.2.1具体开标程序：</w:t>
      </w:r>
    </w:p>
    <w:p w14:paraId="15F844DB">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第一阶段：</w:t>
      </w:r>
    </w:p>
    <w:p w14:paraId="5BB20C49">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（1）投标截止时间后，供应商登录</w:t>
      </w:r>
      <w:r>
        <w:rPr>
          <w:rFonts w:hint="eastAsia" w:ascii="宋体" w:hAnsi="宋体" w:cs="宋体"/>
          <w:sz w:val="24"/>
          <w:highlight w:val="none"/>
          <w:lang w:val="en-US" w:eastAsia="zh-CN" w:bidi="ar-SA"/>
        </w:rPr>
        <w:t>乐采云平台</w:t>
      </w:r>
      <w:r>
        <w:rPr>
          <w:rFonts w:hint="eastAsia" w:ascii="宋体" w:hAnsi="宋体" w:eastAsia="宋体" w:cs="宋体"/>
          <w:sz w:val="24"/>
          <w:highlight w:val="none"/>
          <w:lang w:val="en-US" w:eastAsia="zh-CN" w:bidi="ar-SA"/>
        </w:rPr>
        <w:t>，用“项目采购-开标评标”功能对电子投标文件进行在线解密，在线解密电子投标文件时间为开标时间后30分钟内。</w:t>
      </w:r>
    </w:p>
    <w:p w14:paraId="7244DC30">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（2）在</w:t>
      </w:r>
      <w:r>
        <w:rPr>
          <w:rFonts w:hint="eastAsia" w:ascii="宋体" w:hAnsi="宋体" w:cs="宋体"/>
          <w:sz w:val="24"/>
          <w:highlight w:val="none"/>
          <w:lang w:val="en-US" w:eastAsia="zh-CN" w:bidi="ar-SA"/>
        </w:rPr>
        <w:t>乐采云平台</w:t>
      </w:r>
      <w:r>
        <w:rPr>
          <w:rFonts w:hint="eastAsia" w:ascii="宋体" w:hAnsi="宋体" w:eastAsia="宋体" w:cs="宋体"/>
          <w:sz w:val="24"/>
          <w:highlight w:val="none"/>
          <w:lang w:val="en-US" w:eastAsia="zh-CN" w:bidi="ar-SA"/>
        </w:rPr>
        <w:t>开启已解密供应商的“资格文件、商务技术文件”，并做开标记录；</w:t>
      </w:r>
    </w:p>
    <w:p w14:paraId="3FBA45BC">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第二阶段：</w:t>
      </w:r>
    </w:p>
    <w:p w14:paraId="71CD3BF6">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（1）在</w:t>
      </w:r>
      <w:r>
        <w:rPr>
          <w:rFonts w:hint="eastAsia" w:ascii="宋体" w:hAnsi="宋体" w:cs="宋体"/>
          <w:sz w:val="24"/>
          <w:highlight w:val="none"/>
          <w:lang w:val="en-US" w:eastAsia="zh-CN" w:bidi="ar-SA"/>
        </w:rPr>
        <w:t>乐采云平台</w:t>
      </w:r>
      <w:r>
        <w:rPr>
          <w:rFonts w:hint="eastAsia" w:ascii="宋体" w:hAnsi="宋体" w:eastAsia="宋体" w:cs="宋体"/>
          <w:sz w:val="24"/>
          <w:highlight w:val="none"/>
          <w:lang w:val="en-US" w:eastAsia="zh-CN" w:bidi="ar-SA"/>
        </w:rPr>
        <w:t>宣告第一阶段评审无效供应商名单及理由；</w:t>
      </w:r>
    </w:p>
    <w:p w14:paraId="0636280B">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（2）公布经第一阶段评审符合招标文件要求的供应商的商务技术得分情况；</w:t>
      </w:r>
    </w:p>
    <w:p w14:paraId="387B8DDD">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（3）在</w:t>
      </w:r>
      <w:r>
        <w:rPr>
          <w:rFonts w:hint="eastAsia" w:ascii="宋体" w:hAnsi="宋体" w:cs="宋体"/>
          <w:sz w:val="24"/>
          <w:highlight w:val="none"/>
          <w:lang w:val="en-US" w:eastAsia="zh-CN" w:bidi="ar-SA"/>
        </w:rPr>
        <w:t>乐采云平台</w:t>
      </w:r>
      <w:r>
        <w:rPr>
          <w:rFonts w:hint="eastAsia" w:ascii="宋体" w:hAnsi="宋体" w:eastAsia="宋体" w:cs="宋体"/>
          <w:sz w:val="24"/>
          <w:highlight w:val="none"/>
          <w:lang w:val="en-US" w:eastAsia="zh-CN" w:bidi="ar-SA"/>
        </w:rPr>
        <w:t>开启除第一阶段无效标外的供应商的“报价文件”，并做开标记录；</w:t>
      </w:r>
    </w:p>
    <w:p w14:paraId="12899797">
      <w:pPr>
        <w:keepNext w:val="0"/>
        <w:keepLines w:val="0"/>
        <w:pageBreakBefore w:val="0"/>
        <w:widowControl w:val="0"/>
        <w:kinsoku/>
        <w:wordWrap/>
        <w:overflowPunct/>
        <w:topLinePunct w:val="0"/>
        <w:autoSpaceDE w:val="0"/>
        <w:autoSpaceDN w:val="0"/>
        <w:bidi w:val="0"/>
        <w:adjustRightInd w:val="0"/>
        <w:spacing w:before="0" w:line="336" w:lineRule="auto"/>
        <w:ind w:left="0" w:firstLine="480" w:firstLineChars="200"/>
        <w:contextualSpacing/>
        <w:jc w:val="both"/>
        <w:textAlignment w:val="auto"/>
        <w:rPr>
          <w:rFonts w:ascii="宋体" w:hAnsi="宋体" w:eastAsia="宋体" w:cs="宋体"/>
          <w:sz w:val="24"/>
          <w:highlight w:val="none"/>
          <w:lang w:val="en-US" w:eastAsia="zh-CN" w:bidi="ar-SA"/>
        </w:rPr>
      </w:pPr>
      <w:r>
        <w:rPr>
          <w:rFonts w:hint="eastAsia" w:ascii="宋体" w:hAnsi="宋体" w:eastAsia="宋体" w:cs="宋体"/>
          <w:sz w:val="24"/>
          <w:highlight w:val="none"/>
          <w:lang w:val="en-US" w:eastAsia="zh-CN" w:bidi="ar-SA"/>
        </w:rPr>
        <w:t>（4）在</w:t>
      </w:r>
      <w:r>
        <w:rPr>
          <w:rFonts w:hint="eastAsia" w:ascii="宋体" w:hAnsi="宋体" w:cs="宋体"/>
          <w:sz w:val="24"/>
          <w:highlight w:val="none"/>
          <w:lang w:val="en-US" w:eastAsia="zh-CN" w:bidi="ar-SA"/>
        </w:rPr>
        <w:t>乐采云平台</w:t>
      </w:r>
      <w:r>
        <w:rPr>
          <w:rFonts w:hint="eastAsia" w:ascii="宋体" w:hAnsi="宋体" w:eastAsia="宋体" w:cs="宋体"/>
          <w:sz w:val="24"/>
          <w:highlight w:val="none"/>
          <w:lang w:val="en-US" w:eastAsia="zh-CN" w:bidi="ar-SA"/>
        </w:rPr>
        <w:t>公布评审结果。</w:t>
      </w:r>
    </w:p>
    <w:p w14:paraId="45B56DD8">
      <w:pPr>
        <w:pStyle w:val="555"/>
        <w:keepNext w:val="0"/>
        <w:keepLines w:val="0"/>
        <w:pageBreakBefore w:val="0"/>
        <w:kinsoku/>
        <w:wordWrap/>
        <w:overflowPunct/>
        <w:topLinePunct w:val="0"/>
        <w:bidi w:val="0"/>
        <w:spacing w:before="0" w:line="336" w:lineRule="auto"/>
        <w:ind w:left="0" w:firstLine="480" w:firstLineChars="200"/>
        <w:contextualSpacing/>
        <w:textAlignment w:val="auto"/>
        <w:rPr>
          <w:rFonts w:ascii="宋体" w:hAnsi="宋体" w:cs="宋体"/>
          <w:sz w:val="24"/>
          <w:highlight w:val="none"/>
        </w:rPr>
      </w:pPr>
      <w:r>
        <w:rPr>
          <w:rFonts w:hint="eastAsia" w:ascii="宋体" w:hAnsi="宋体" w:eastAsia="宋体" w:cs="宋体"/>
          <w:sz w:val="24"/>
          <w:highlight w:val="none"/>
          <w:lang w:val="en-US" w:eastAsia="zh-CN" w:bidi="ar-SA"/>
        </w:rPr>
        <w:t>（5）开标会议结束。</w:t>
      </w:r>
    </w:p>
    <w:p w14:paraId="760E48A5">
      <w:pPr>
        <w:pStyle w:val="555"/>
        <w:keepNext w:val="0"/>
        <w:keepLines w:val="0"/>
        <w:pageBreakBefore w:val="0"/>
        <w:kinsoku/>
        <w:wordWrap/>
        <w:overflowPunct/>
        <w:topLinePunct w:val="0"/>
        <w:bidi w:val="0"/>
        <w:spacing w:before="0" w:line="336" w:lineRule="auto"/>
        <w:ind w:left="0" w:firstLine="240" w:firstLineChars="100"/>
        <w:contextualSpacing/>
        <w:textAlignment w:val="auto"/>
        <w:rPr>
          <w:rFonts w:ascii="宋体" w:hAnsi="宋体" w:cs="宋体"/>
          <w:b/>
          <w:sz w:val="24"/>
          <w:highlight w:val="none"/>
        </w:rPr>
      </w:pPr>
      <w:r>
        <w:rPr>
          <w:rFonts w:hint="eastAsia" w:ascii="宋体" w:hAnsi="宋体" w:cs="宋体"/>
          <w:sz w:val="24"/>
          <w:highlight w:val="none"/>
        </w:rPr>
        <w:t>　18.3</w:t>
      </w:r>
      <w:r>
        <w:rPr>
          <w:rFonts w:hint="eastAsia" w:ascii="宋体" w:hAnsi="宋体" w:cs="宋体"/>
          <w:b/>
          <w:sz w:val="24"/>
          <w:highlight w:val="none"/>
        </w:rPr>
        <w:t>投标文件未按时解密，投标人提供了备份投标文件的，以备份投标文件作为依据，否则视为投标文件撤回。投标文件已按时解密的，备份投标文件自动失效。</w:t>
      </w:r>
    </w:p>
    <w:p w14:paraId="74D81AE1">
      <w:pPr>
        <w:keepNext w:val="0"/>
        <w:keepLines w:val="0"/>
        <w:pageBreakBefore w:val="0"/>
        <w:widowControl/>
        <w:kinsoku/>
        <w:wordWrap/>
        <w:overflowPunct/>
        <w:topLinePunct w:val="0"/>
        <w:bidi w:val="0"/>
        <w:spacing w:line="336" w:lineRule="auto"/>
        <w:jc w:val="left"/>
        <w:textAlignment w:val="auto"/>
        <w:rPr>
          <w:rFonts w:ascii="宋体" w:hAnsi="宋体" w:cs="宋体"/>
          <w:b/>
          <w:sz w:val="24"/>
          <w:szCs w:val="20"/>
          <w:highlight w:val="none"/>
        </w:rPr>
      </w:pPr>
      <w:r>
        <w:rPr>
          <w:rFonts w:hint="eastAsia" w:ascii="宋体" w:hAnsi="宋体" w:cs="宋体"/>
          <w:b/>
          <w:sz w:val="24"/>
          <w:szCs w:val="20"/>
          <w:highlight w:val="none"/>
        </w:rPr>
        <w:t>　19、资格审查</w:t>
      </w:r>
    </w:p>
    <w:p w14:paraId="3C3C7268">
      <w:pPr>
        <w:keepNext w:val="0"/>
        <w:keepLines w:val="0"/>
        <w:pageBreakBefore w:val="0"/>
        <w:kinsoku/>
        <w:wordWrap/>
        <w:overflowPunct/>
        <w:topLinePunct w:val="0"/>
        <w:bidi w:val="0"/>
        <w:snapToGrid w:val="0"/>
        <w:spacing w:line="336" w:lineRule="auto"/>
        <w:ind w:firstLine="480" w:firstLineChars="200"/>
        <w:textAlignment w:val="auto"/>
        <w:rPr>
          <w:rFonts w:ascii="宋体" w:hAnsi="宋体" w:cs="宋体"/>
          <w:sz w:val="24"/>
          <w:highlight w:val="none"/>
        </w:rPr>
      </w:pPr>
      <w:r>
        <w:rPr>
          <w:rFonts w:hint="eastAsia" w:ascii="宋体" w:hAnsi="宋体" w:cs="宋体"/>
          <w:kern w:val="0"/>
          <w:sz w:val="24"/>
          <w:highlight w:val="none"/>
        </w:rPr>
        <w:t>19.1</w:t>
      </w:r>
      <w:r>
        <w:rPr>
          <w:rFonts w:hint="eastAsia" w:ascii="宋体" w:hAnsi="宋体" w:cs="宋体"/>
          <w:sz w:val="24"/>
          <w:highlight w:val="none"/>
        </w:rPr>
        <w:t>采购人或采购代理机构依据法律法规和招标文件的规定，对投标人的资格进行审查。</w:t>
      </w:r>
    </w:p>
    <w:p w14:paraId="7826BDC4">
      <w:pPr>
        <w:pStyle w:val="134"/>
        <w:keepNext w:val="0"/>
        <w:keepLines w:val="0"/>
        <w:pageBreakBefore w:val="0"/>
        <w:kinsoku/>
        <w:wordWrap/>
        <w:overflowPunct/>
        <w:topLinePunct w:val="0"/>
        <w:bidi w:val="0"/>
        <w:spacing w:before="0" w:line="336" w:lineRule="auto"/>
        <w:ind w:firstLine="480"/>
        <w:textAlignment w:val="auto"/>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5FB078D0">
      <w:pPr>
        <w:pStyle w:val="134"/>
        <w:keepNext w:val="0"/>
        <w:keepLines w:val="0"/>
        <w:pageBreakBefore w:val="0"/>
        <w:kinsoku/>
        <w:wordWrap/>
        <w:overflowPunct/>
        <w:topLinePunct w:val="0"/>
        <w:bidi w:val="0"/>
        <w:spacing w:before="0" w:line="336" w:lineRule="auto"/>
        <w:ind w:firstLine="480"/>
        <w:textAlignment w:val="auto"/>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3对未通过资格审查的投标人，采购人或采购代理机构告知其未通过的原因。</w:t>
      </w:r>
    </w:p>
    <w:p w14:paraId="6B17E4EC">
      <w:pPr>
        <w:pStyle w:val="134"/>
        <w:keepNext w:val="0"/>
        <w:keepLines w:val="0"/>
        <w:pageBreakBefore w:val="0"/>
        <w:kinsoku/>
        <w:wordWrap/>
        <w:overflowPunct/>
        <w:topLinePunct w:val="0"/>
        <w:bidi w:val="0"/>
        <w:spacing w:before="0" w:line="336" w:lineRule="auto"/>
        <w:ind w:firstLine="480"/>
        <w:textAlignment w:val="auto"/>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14:paraId="4D7ADB77">
      <w:pPr>
        <w:pStyle w:val="134"/>
        <w:keepNext w:val="0"/>
        <w:keepLines w:val="0"/>
        <w:pageBreakBefore w:val="0"/>
        <w:kinsoku/>
        <w:wordWrap/>
        <w:overflowPunct/>
        <w:topLinePunct w:val="0"/>
        <w:bidi w:val="0"/>
        <w:spacing w:before="0" w:line="336" w:lineRule="auto"/>
        <w:ind w:firstLine="0" w:firstLineChars="0"/>
        <w:textAlignment w:val="auto"/>
        <w:rPr>
          <w:rFonts w:ascii="宋体" w:hAnsi="宋体" w:cs="宋体"/>
          <w:b/>
          <w:szCs w:val="24"/>
          <w:highlight w:val="none"/>
        </w:rPr>
      </w:pPr>
      <w:r>
        <w:rPr>
          <w:rFonts w:hint="eastAsia" w:ascii="宋体" w:hAnsi="宋体" w:cs="宋体"/>
          <w:b/>
          <w:szCs w:val="24"/>
          <w:highlight w:val="none"/>
        </w:rPr>
        <w:t>20、信用信息查询</w:t>
      </w:r>
    </w:p>
    <w:p w14:paraId="52DDD084">
      <w:pPr>
        <w:pStyle w:val="134"/>
        <w:keepNext w:val="0"/>
        <w:keepLines w:val="0"/>
        <w:pageBreakBefore w:val="0"/>
        <w:kinsoku/>
        <w:wordWrap/>
        <w:overflowPunct/>
        <w:topLinePunct w:val="0"/>
        <w:bidi w:val="0"/>
        <w:spacing w:before="0" w:line="336" w:lineRule="auto"/>
        <w:ind w:firstLine="495" w:firstLineChars="0"/>
        <w:textAlignment w:val="auto"/>
        <w:rPr>
          <w:rFonts w:ascii="宋体" w:hAnsi="宋体" w:cs="宋体"/>
          <w:kern w:val="0"/>
          <w:szCs w:val="24"/>
          <w:highlight w:val="none"/>
        </w:rPr>
      </w:pPr>
      <w:r>
        <w:rPr>
          <w:rFonts w:hint="eastAsia" w:ascii="宋体" w:hAnsi="宋体" w:cs="宋体"/>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14:paraId="00D45584">
      <w:pPr>
        <w:pStyle w:val="134"/>
        <w:keepNext w:val="0"/>
        <w:keepLines w:val="0"/>
        <w:pageBreakBefore w:val="0"/>
        <w:kinsoku/>
        <w:wordWrap/>
        <w:overflowPunct/>
        <w:topLinePunct w:val="0"/>
        <w:bidi w:val="0"/>
        <w:spacing w:before="0" w:line="336" w:lineRule="auto"/>
        <w:ind w:firstLine="495" w:firstLineChars="0"/>
        <w:textAlignment w:val="auto"/>
        <w:rPr>
          <w:rFonts w:ascii="宋体" w:hAnsi="宋体" w:cs="宋体"/>
          <w:kern w:val="0"/>
          <w:szCs w:val="24"/>
          <w:highlight w:val="none"/>
        </w:rPr>
      </w:pPr>
      <w:r>
        <w:rPr>
          <w:rFonts w:hint="eastAsia" w:ascii="宋体" w:hAnsi="宋体" w:cs="宋体"/>
          <w:kern w:val="0"/>
          <w:szCs w:val="24"/>
          <w:highlight w:val="none"/>
        </w:rPr>
        <w:t>20.2信用信息查询记录和证据留存的具体方式：现场查询的投标人的信用记录、查询结果经确认后将与采购文件一起存档。</w:t>
      </w:r>
    </w:p>
    <w:p w14:paraId="6395FDA3">
      <w:pPr>
        <w:pStyle w:val="134"/>
        <w:keepNext w:val="0"/>
        <w:keepLines w:val="0"/>
        <w:pageBreakBefore w:val="0"/>
        <w:kinsoku/>
        <w:wordWrap/>
        <w:overflowPunct/>
        <w:topLinePunct w:val="0"/>
        <w:bidi w:val="0"/>
        <w:spacing w:before="0" w:line="336" w:lineRule="auto"/>
        <w:ind w:firstLine="495" w:firstLineChars="0"/>
        <w:textAlignment w:val="auto"/>
        <w:rPr>
          <w:rFonts w:ascii="宋体" w:hAnsi="宋体" w:cs="宋体"/>
          <w:kern w:val="0"/>
          <w:szCs w:val="24"/>
          <w:highlight w:val="none"/>
        </w:rPr>
      </w:pPr>
      <w:r>
        <w:rPr>
          <w:rFonts w:hint="eastAsia" w:ascii="宋体" w:hAnsi="宋体" w:cs="宋体"/>
          <w:kern w:val="0"/>
          <w:szCs w:val="24"/>
          <w:highlight w:val="none"/>
        </w:rPr>
        <w:t>20.3信用信息的使用规则：经查询列入失信被执行人名单、重大税收违法案件当事人名单</w:t>
      </w:r>
      <w:r>
        <w:rPr>
          <w:rFonts w:hint="eastAsia" w:ascii="宋体" w:hAnsi="宋体" w:cs="宋体"/>
          <w:snapToGrid w:val="0"/>
          <w:kern w:val="28"/>
          <w:highlight w:val="none"/>
        </w:rPr>
        <w:t>（重大税收违法失信主体）</w:t>
      </w:r>
      <w:r>
        <w:rPr>
          <w:rFonts w:hint="eastAsia" w:ascii="宋体" w:hAnsi="宋体" w:cs="宋体"/>
          <w:kern w:val="0"/>
          <w:szCs w:val="24"/>
          <w:highlight w:val="none"/>
        </w:rPr>
        <w:t>、政府采购严重违法失信行为记录名单的投标人将被拒绝参与政府采购活动。</w:t>
      </w:r>
    </w:p>
    <w:p w14:paraId="7F97FDA4">
      <w:pPr>
        <w:pStyle w:val="134"/>
        <w:keepNext w:val="0"/>
        <w:keepLines w:val="0"/>
        <w:pageBreakBefore w:val="0"/>
        <w:kinsoku/>
        <w:wordWrap/>
        <w:overflowPunct/>
        <w:topLinePunct w:val="0"/>
        <w:bidi w:val="0"/>
        <w:spacing w:before="0" w:line="336" w:lineRule="auto"/>
        <w:ind w:firstLine="480"/>
        <w:textAlignment w:val="auto"/>
        <w:rPr>
          <w:rFonts w:ascii="宋体" w:hAnsi="宋体" w:cs="宋体"/>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678AD7F9">
      <w:pPr>
        <w:keepNext w:val="0"/>
        <w:keepLines w:val="0"/>
        <w:pageBreakBefore w:val="0"/>
        <w:kinsoku/>
        <w:wordWrap/>
        <w:overflowPunct/>
        <w:topLinePunct w:val="0"/>
        <w:bidi w:val="0"/>
        <w:snapToGrid w:val="0"/>
        <w:spacing w:line="336" w:lineRule="auto"/>
        <w:jc w:val="center"/>
        <w:textAlignment w:val="auto"/>
        <w:rPr>
          <w:rFonts w:ascii="宋体" w:hAnsi="宋体" w:cs="宋体"/>
          <w:b/>
          <w:sz w:val="36"/>
          <w:szCs w:val="36"/>
          <w:highlight w:val="none"/>
        </w:rPr>
      </w:pPr>
      <w:r>
        <w:rPr>
          <w:rFonts w:hint="eastAsia" w:ascii="宋体" w:hAnsi="宋体" w:cs="宋体"/>
          <w:b/>
          <w:sz w:val="36"/>
          <w:szCs w:val="36"/>
          <w:highlight w:val="none"/>
        </w:rPr>
        <w:t>五、评标</w:t>
      </w:r>
    </w:p>
    <w:p w14:paraId="075C49DE">
      <w:pPr>
        <w:keepNext w:val="0"/>
        <w:keepLines w:val="0"/>
        <w:pageBreakBefore w:val="0"/>
        <w:kinsoku/>
        <w:wordWrap/>
        <w:overflowPunct/>
        <w:topLinePunct w:val="0"/>
        <w:bidi w:val="0"/>
        <w:spacing w:line="336" w:lineRule="auto"/>
        <w:textAlignment w:val="auto"/>
        <w:rPr>
          <w:rFonts w:ascii="宋体" w:hAnsi="宋体" w:cs="宋体"/>
          <w:b/>
          <w:sz w:val="24"/>
          <w:highlight w:val="none"/>
        </w:rPr>
      </w:pPr>
      <w:bookmarkStart w:id="18" w:name="_Toc91899903"/>
      <w:r>
        <w:rPr>
          <w:rFonts w:hint="eastAsia" w:ascii="宋体" w:hAnsi="宋体" w:cs="宋体"/>
          <w:b/>
          <w:sz w:val="24"/>
          <w:highlight w:val="none"/>
        </w:rPr>
        <w:t>21.</w:t>
      </w:r>
      <w:r>
        <w:rPr>
          <w:rFonts w:hint="eastAsia" w:ascii="宋体" w:hAnsi="宋体" w:cs="宋体"/>
          <w:highlight w:val="none"/>
        </w:rPr>
        <w:t xml:space="preserve"> </w:t>
      </w:r>
      <w:r>
        <w:rPr>
          <w:rFonts w:hint="eastAsia" w:ascii="宋体" w:hAnsi="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highlight w:val="none"/>
        </w:rPr>
        <w:t>详见招标文件第四部分评标办法。</w:t>
      </w:r>
    </w:p>
    <w:p w14:paraId="46AA4DDE">
      <w:pPr>
        <w:keepNext w:val="0"/>
        <w:keepLines w:val="0"/>
        <w:pageBreakBefore w:val="0"/>
        <w:kinsoku/>
        <w:wordWrap/>
        <w:overflowPunct/>
        <w:topLinePunct w:val="0"/>
        <w:bidi w:val="0"/>
        <w:snapToGrid w:val="0"/>
        <w:spacing w:line="336" w:lineRule="auto"/>
        <w:jc w:val="center"/>
        <w:textAlignment w:val="auto"/>
        <w:rPr>
          <w:rFonts w:ascii="宋体" w:hAnsi="宋体" w:cs="宋体"/>
          <w:b/>
          <w:sz w:val="36"/>
          <w:szCs w:val="36"/>
          <w:highlight w:val="none"/>
        </w:rPr>
      </w:pPr>
      <w:r>
        <w:rPr>
          <w:rFonts w:hint="eastAsia" w:ascii="宋体" w:hAnsi="宋体" w:cs="宋体"/>
          <w:b/>
          <w:sz w:val="36"/>
          <w:szCs w:val="36"/>
          <w:highlight w:val="none"/>
        </w:rPr>
        <w:t>六、定 标</w:t>
      </w:r>
    </w:p>
    <w:p w14:paraId="64E5E981">
      <w:pPr>
        <w:pStyle w:val="25"/>
        <w:keepNext w:val="0"/>
        <w:keepLines w:val="0"/>
        <w:pageBreakBefore w:val="0"/>
        <w:kinsoku/>
        <w:wordWrap/>
        <w:overflowPunct/>
        <w:topLinePunct w:val="0"/>
        <w:bidi w:val="0"/>
        <w:spacing w:line="336" w:lineRule="auto"/>
        <w:ind w:left="479" w:hanging="479" w:hangingChars="199"/>
        <w:textAlignment w:val="auto"/>
        <w:rPr>
          <w:rFonts w:cs="宋体"/>
          <w:b/>
          <w:highlight w:val="none"/>
        </w:rPr>
      </w:pPr>
      <w:r>
        <w:rPr>
          <w:rFonts w:hint="eastAsia" w:cs="宋体"/>
          <w:b/>
          <w:highlight w:val="none"/>
        </w:rPr>
        <w:t>22. 确定中标供应商</w:t>
      </w:r>
    </w:p>
    <w:p w14:paraId="71D8FECE">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b/>
          <w:szCs w:val="24"/>
          <w:highlight w:val="none"/>
        </w:rPr>
      </w:pPr>
      <w:r>
        <w:rPr>
          <w:rFonts w:hint="eastAsia" w:ascii="宋体" w:hAnsi="宋体" w:cs="宋体"/>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r>
        <w:rPr>
          <w:rFonts w:hint="eastAsia" w:ascii="宋体" w:hAnsi="宋体" w:cs="宋体"/>
          <w:b/>
          <w:bCs/>
          <w:szCs w:val="24"/>
          <w:highlight w:val="none"/>
        </w:rPr>
        <w:t>注：</w:t>
      </w:r>
      <w:r>
        <w:rPr>
          <w:rFonts w:hint="eastAsia" w:ascii="宋体" w:hAnsi="宋体" w:cs="宋体"/>
          <w:b/>
          <w:bCs/>
          <w:szCs w:val="21"/>
          <w:highlight w:val="none"/>
        </w:rPr>
        <w:t>按评审后得分由高到低顺序确定1名中标人。</w:t>
      </w:r>
    </w:p>
    <w:p w14:paraId="18A63F2E">
      <w:pPr>
        <w:pStyle w:val="134"/>
        <w:keepNext w:val="0"/>
        <w:keepLines w:val="0"/>
        <w:pageBreakBefore w:val="0"/>
        <w:kinsoku/>
        <w:wordWrap/>
        <w:overflowPunct/>
        <w:topLinePunct w:val="0"/>
        <w:bidi w:val="0"/>
        <w:snapToGrid w:val="0"/>
        <w:spacing w:before="0" w:line="336" w:lineRule="auto"/>
        <w:ind w:firstLine="0" w:firstLineChars="0"/>
        <w:textAlignment w:val="auto"/>
        <w:rPr>
          <w:rFonts w:ascii="宋体" w:hAnsi="宋体" w:cs="宋体"/>
          <w:b/>
          <w:szCs w:val="24"/>
          <w:highlight w:val="none"/>
        </w:rPr>
      </w:pPr>
      <w:r>
        <w:rPr>
          <w:rFonts w:hint="eastAsia" w:ascii="宋体" w:hAnsi="宋体" w:cs="宋体"/>
          <w:b/>
          <w:szCs w:val="24"/>
          <w:highlight w:val="none"/>
        </w:rPr>
        <w:t>23. 中标通知与中标结果公告</w:t>
      </w:r>
    </w:p>
    <w:p w14:paraId="113F0971">
      <w:pPr>
        <w:keepNext w:val="0"/>
        <w:keepLines w:val="0"/>
        <w:pageBreakBefore w:val="0"/>
        <w:widowControl/>
        <w:kinsoku/>
        <w:wordWrap/>
        <w:overflowPunct/>
        <w:topLinePunct w:val="0"/>
        <w:bidi w:val="0"/>
        <w:spacing w:line="336" w:lineRule="auto"/>
        <w:ind w:firstLine="480"/>
        <w:jc w:val="left"/>
        <w:textAlignment w:val="auto"/>
        <w:rPr>
          <w:rFonts w:ascii="宋体" w:hAnsi="宋体" w:cs="宋体"/>
          <w:sz w:val="24"/>
          <w:highlight w:val="none"/>
        </w:rPr>
      </w:pPr>
      <w:r>
        <w:rPr>
          <w:rFonts w:hint="eastAsia" w:ascii="宋体" w:hAnsi="宋体" w:cs="宋体"/>
          <w:sz w:val="24"/>
          <w:highlight w:val="none"/>
        </w:rPr>
        <w:t>23.1自中标人确定之日起2个工作日内，采购代理机构通过电子交易平台向中标人发出中标通知书，同时编制发布采购结果公告。采购代理机构也可以以纸质形式进行中标通知。</w:t>
      </w:r>
    </w:p>
    <w:p w14:paraId="16A59723">
      <w:pPr>
        <w:keepNext w:val="0"/>
        <w:keepLines w:val="0"/>
        <w:pageBreakBefore w:val="0"/>
        <w:widowControl/>
        <w:kinsoku/>
        <w:wordWrap/>
        <w:overflowPunct/>
        <w:topLinePunct w:val="0"/>
        <w:bidi w:val="0"/>
        <w:spacing w:line="336" w:lineRule="auto"/>
        <w:ind w:firstLine="480"/>
        <w:jc w:val="left"/>
        <w:textAlignment w:val="auto"/>
        <w:rPr>
          <w:rFonts w:ascii="宋体" w:hAnsi="宋体" w:cs="宋体"/>
          <w:sz w:val="24"/>
          <w:highlight w:val="none"/>
        </w:rPr>
      </w:pPr>
      <w:r>
        <w:rPr>
          <w:rFonts w:hint="eastAsia" w:ascii="宋体" w:hAnsi="宋体" w:cs="宋体"/>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695CB26">
      <w:pPr>
        <w:keepNext w:val="0"/>
        <w:keepLines w:val="0"/>
        <w:pageBreakBefore w:val="0"/>
        <w:widowControl/>
        <w:kinsoku/>
        <w:wordWrap/>
        <w:overflowPunct/>
        <w:topLinePunct w:val="0"/>
        <w:bidi w:val="0"/>
        <w:spacing w:line="336" w:lineRule="auto"/>
        <w:ind w:firstLine="480"/>
        <w:jc w:val="left"/>
        <w:textAlignment w:val="auto"/>
        <w:rPr>
          <w:rFonts w:ascii="宋体" w:hAnsi="宋体" w:cs="宋体"/>
          <w:sz w:val="24"/>
          <w:highlight w:val="none"/>
        </w:rPr>
      </w:pPr>
      <w:r>
        <w:rPr>
          <w:rFonts w:hint="eastAsia" w:ascii="宋体" w:hAnsi="宋体" w:cs="宋体"/>
          <w:sz w:val="24"/>
          <w:highlight w:val="none"/>
        </w:rPr>
        <w:t>23.3公告期限为1个工作日。</w:t>
      </w:r>
    </w:p>
    <w:p w14:paraId="0B366276">
      <w:pPr>
        <w:keepNext w:val="0"/>
        <w:keepLines w:val="0"/>
        <w:pageBreakBefore w:val="0"/>
        <w:kinsoku/>
        <w:wordWrap/>
        <w:overflowPunct/>
        <w:topLinePunct w:val="0"/>
        <w:bidi w:val="0"/>
        <w:snapToGrid w:val="0"/>
        <w:spacing w:line="336" w:lineRule="auto"/>
        <w:ind w:left="120" w:leftChars="57" w:firstLine="482" w:firstLineChars="150"/>
        <w:jc w:val="center"/>
        <w:textAlignment w:val="auto"/>
        <w:rPr>
          <w:rFonts w:ascii="宋体" w:hAnsi="宋体" w:cs="宋体"/>
          <w:b/>
          <w:sz w:val="32"/>
          <w:highlight w:val="none"/>
        </w:rPr>
      </w:pPr>
      <w:r>
        <w:rPr>
          <w:rFonts w:hint="eastAsia" w:ascii="宋体" w:hAnsi="宋体" w:cs="宋体"/>
          <w:b/>
          <w:sz w:val="32"/>
          <w:highlight w:val="none"/>
        </w:rPr>
        <w:t>七、合同授予</w:t>
      </w:r>
    </w:p>
    <w:p w14:paraId="12176FDC">
      <w:pPr>
        <w:pStyle w:val="25"/>
        <w:keepNext w:val="0"/>
        <w:keepLines w:val="0"/>
        <w:pageBreakBefore w:val="0"/>
        <w:kinsoku/>
        <w:wordWrap/>
        <w:overflowPunct/>
        <w:topLinePunct w:val="0"/>
        <w:bidi w:val="0"/>
        <w:spacing w:line="336" w:lineRule="auto"/>
        <w:ind w:left="479" w:hanging="479" w:hangingChars="199"/>
        <w:textAlignment w:val="auto"/>
        <w:rPr>
          <w:rFonts w:cs="宋体"/>
          <w:b/>
          <w:highlight w:val="none"/>
        </w:rPr>
      </w:pPr>
      <w:r>
        <w:rPr>
          <w:rFonts w:hint="eastAsia" w:cs="宋体"/>
          <w:b/>
          <w:highlight w:val="none"/>
        </w:rPr>
        <w:t xml:space="preserve">24. </w:t>
      </w:r>
      <w:r>
        <w:rPr>
          <w:rFonts w:hint="eastAsia" w:cs="宋体"/>
          <w:highlight w:val="none"/>
        </w:rPr>
        <w:t>合同主要条款详见第五部分拟签订的合同文本。</w:t>
      </w:r>
    </w:p>
    <w:p w14:paraId="4AE03333">
      <w:pPr>
        <w:pStyle w:val="25"/>
        <w:keepNext w:val="0"/>
        <w:keepLines w:val="0"/>
        <w:pageBreakBefore w:val="0"/>
        <w:kinsoku/>
        <w:wordWrap/>
        <w:overflowPunct/>
        <w:topLinePunct w:val="0"/>
        <w:bidi w:val="0"/>
        <w:spacing w:line="336" w:lineRule="auto"/>
        <w:ind w:left="479" w:hanging="479" w:hangingChars="199"/>
        <w:textAlignment w:val="auto"/>
        <w:rPr>
          <w:rFonts w:cs="宋体"/>
          <w:b/>
          <w:highlight w:val="none"/>
        </w:rPr>
      </w:pPr>
      <w:r>
        <w:rPr>
          <w:rFonts w:hint="eastAsia" w:cs="宋体"/>
          <w:b/>
          <w:highlight w:val="none"/>
        </w:rPr>
        <w:t>25. 合同的签订</w:t>
      </w:r>
    </w:p>
    <w:p w14:paraId="5B5B0CD6">
      <w:pPr>
        <w:keepNext w:val="0"/>
        <w:keepLines w:val="0"/>
        <w:pageBreakBefore w:val="0"/>
        <w:widowControl/>
        <w:kinsoku/>
        <w:wordWrap/>
        <w:overflowPunct/>
        <w:topLinePunct w:val="0"/>
        <w:bidi w:val="0"/>
        <w:spacing w:line="336" w:lineRule="auto"/>
        <w:ind w:firstLine="480"/>
        <w:jc w:val="left"/>
        <w:textAlignment w:val="auto"/>
        <w:rPr>
          <w:rFonts w:ascii="宋体" w:hAnsi="宋体" w:cs="宋体"/>
          <w:kern w:val="0"/>
          <w:sz w:val="24"/>
          <w:highlight w:val="none"/>
        </w:rPr>
      </w:pPr>
      <w:r>
        <w:rPr>
          <w:rFonts w:hint="eastAsia" w:ascii="宋体" w:hAnsi="宋体" w:cs="宋体"/>
          <w:sz w:val="24"/>
          <w:highlight w:val="none"/>
        </w:rPr>
        <w:t>25.1</w:t>
      </w:r>
      <w:r>
        <w:rPr>
          <w:rFonts w:hint="eastAsia" w:ascii="宋体" w:hAnsi="宋体" w:cs="宋体"/>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w:t>
      </w:r>
      <w:r>
        <w:rPr>
          <w:rFonts w:hint="eastAsia" w:ascii="宋体" w:hAnsi="宋体" w:cs="宋体"/>
          <w:kern w:val="0"/>
          <w:sz w:val="24"/>
          <w:highlight w:val="none"/>
          <w:lang w:val="en-US" w:eastAsia="zh-CN"/>
        </w:rPr>
        <w:t>30</w:t>
      </w:r>
      <w:r>
        <w:rPr>
          <w:rFonts w:hint="eastAsia" w:ascii="宋体" w:hAnsi="宋体" w:cs="宋体"/>
          <w:kern w:val="0"/>
          <w:sz w:val="24"/>
          <w:highlight w:val="none"/>
        </w:rPr>
        <w:t>日内，与中标供应商按照采购文件确定的事项签订政府采购合同。</w:t>
      </w:r>
    </w:p>
    <w:p w14:paraId="58176BDC">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kern w:val="0"/>
          <w:highlight w:val="none"/>
        </w:rPr>
      </w:pPr>
      <w:r>
        <w:rPr>
          <w:rFonts w:hint="eastAsia" w:ascii="宋体" w:hAnsi="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58B37AD">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25.3如签订合同并生效后，供应商无故拒绝或延期，除按照合同条款处理外，列入不良行为记录一次，并给予通报。</w:t>
      </w:r>
    </w:p>
    <w:p w14:paraId="44353276">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25.4中标供应商拒绝与采购人签订合同的，采购人可以按照评审报告推荐的中标或者成交候选人名单排序，确定下一候选人为中标供应商，也可以重新开展政府采购活动。</w:t>
      </w:r>
    </w:p>
    <w:p w14:paraId="051062DD">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25.5采购合同由采购人与中标供应商根据招标文件、投标文件等内容通过政府采购电子交易平台在线签订，自动备案。</w:t>
      </w:r>
    </w:p>
    <w:p w14:paraId="78015505">
      <w:pPr>
        <w:pStyle w:val="25"/>
        <w:keepNext w:val="0"/>
        <w:keepLines w:val="0"/>
        <w:pageBreakBefore w:val="0"/>
        <w:kinsoku/>
        <w:wordWrap/>
        <w:overflowPunct/>
        <w:topLinePunct w:val="0"/>
        <w:bidi w:val="0"/>
        <w:spacing w:line="336" w:lineRule="auto"/>
        <w:ind w:left="479" w:hanging="479" w:hangingChars="199"/>
        <w:textAlignment w:val="auto"/>
        <w:rPr>
          <w:rFonts w:cs="宋体"/>
          <w:b/>
          <w:highlight w:val="none"/>
        </w:rPr>
      </w:pPr>
      <w:r>
        <w:rPr>
          <w:rFonts w:hint="eastAsia" w:cs="宋体"/>
          <w:b/>
          <w:highlight w:val="none"/>
        </w:rPr>
        <w:t>26. 履约保证金</w:t>
      </w:r>
    </w:p>
    <w:p w14:paraId="62583BA1">
      <w:pPr>
        <w:keepNext w:val="0"/>
        <w:keepLines w:val="0"/>
        <w:pageBreakBefore w:val="0"/>
        <w:tabs>
          <w:tab w:val="left" w:pos="0"/>
        </w:tabs>
        <w:kinsoku/>
        <w:wordWrap/>
        <w:overflowPunct/>
        <w:topLinePunct w:val="0"/>
        <w:bidi w:val="0"/>
        <w:spacing w:line="336" w:lineRule="auto"/>
        <w:ind w:firstLine="482"/>
        <w:textAlignment w:val="auto"/>
        <w:rPr>
          <w:rFonts w:ascii="宋体" w:hAnsi="宋体" w:cs="宋体"/>
          <w:sz w:val="24"/>
          <w:highlight w:val="none"/>
        </w:rPr>
      </w:pPr>
      <w:r>
        <w:rPr>
          <w:rFonts w:hint="eastAsia" w:ascii="宋体" w:hAnsi="宋体" w:cs="宋体"/>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sz w:val="24"/>
          <w:highlight w:val="none"/>
        </w:rPr>
        <w:t>。履约保证金的数额不得超过政府采购合同金额的</w:t>
      </w:r>
      <w:r>
        <w:rPr>
          <w:rFonts w:ascii="宋体" w:hAnsi="宋体" w:cs="宋体"/>
          <w:sz w:val="24"/>
          <w:highlight w:val="none"/>
        </w:rPr>
        <w:t>1</w:t>
      </w:r>
      <w:r>
        <w:rPr>
          <w:rFonts w:hint="eastAsia" w:ascii="宋体" w:hAnsi="宋体" w:cs="宋体"/>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highlight w:val="none"/>
        </w:rPr>
        <w:t>延迟退还的，应当按照合同约定和法律规定承担相应的赔偿责任</w:t>
      </w:r>
      <w:r>
        <w:rPr>
          <w:rFonts w:hint="eastAsia" w:ascii="宋体" w:hAnsi="宋体" w:cs="宋体"/>
          <w:sz w:val="24"/>
          <w:highlight w:val="none"/>
        </w:rPr>
        <w:t>。</w:t>
      </w:r>
    </w:p>
    <w:p w14:paraId="26319F93">
      <w:pPr>
        <w:keepNext w:val="0"/>
        <w:keepLines w:val="0"/>
        <w:pageBreakBefore w:val="0"/>
        <w:tabs>
          <w:tab w:val="left" w:pos="432"/>
        </w:tabs>
        <w:kinsoku/>
        <w:wordWrap/>
        <w:overflowPunct/>
        <w:topLinePunct w:val="0"/>
        <w:bidi w:val="0"/>
        <w:spacing w:line="336" w:lineRule="auto"/>
        <w:ind w:firstLine="480" w:firstLineChars="200"/>
        <w:textAlignment w:val="auto"/>
        <w:rPr>
          <w:rFonts w:ascii="宋体" w:hAnsi="宋体" w:cs="宋体"/>
          <w:snapToGrid w:val="0"/>
          <w:kern w:val="28"/>
          <w:sz w:val="24"/>
          <w:highlight w:val="none"/>
        </w:rPr>
      </w:pPr>
      <w:r>
        <w:rPr>
          <w:rFonts w:hint="eastAsia" w:ascii="宋体" w:hAnsi="宋体" w:cs="宋体"/>
          <w:snapToGrid w:val="0"/>
          <w:kern w:val="28"/>
          <w:sz w:val="24"/>
          <w:highlight w:val="none"/>
        </w:rPr>
        <w:t>供应商可登录</w:t>
      </w:r>
      <w:r>
        <w:rPr>
          <w:rFonts w:hint="eastAsia" w:ascii="宋体" w:hAnsi="宋体" w:cs="宋体"/>
          <w:snapToGrid w:val="0"/>
          <w:kern w:val="28"/>
          <w:sz w:val="24"/>
          <w:highlight w:val="none"/>
          <w:lang w:eastAsia="zh-CN"/>
        </w:rPr>
        <w:t>乐采云</w:t>
      </w:r>
      <w:r>
        <w:rPr>
          <w:rFonts w:hint="eastAsia" w:ascii="宋体" w:hAnsi="宋体" w:cs="宋体"/>
          <w:snapToGrid w:val="0"/>
          <w:kern w:val="28"/>
          <w:sz w:val="24"/>
          <w:highlight w:val="none"/>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ascii="宋体" w:hAnsi="宋体" w:cs="宋体"/>
          <w:snapToGrid w:val="0"/>
          <w:kern w:val="28"/>
          <w:sz w:val="24"/>
          <w:highlight w:val="none"/>
          <w:lang w:eastAsia="zh-CN"/>
        </w:rPr>
        <w:t>乐采云</w:t>
      </w:r>
      <w:r>
        <w:rPr>
          <w:rFonts w:hint="eastAsia" w:ascii="宋体" w:hAnsi="宋体" w:cs="宋体"/>
          <w:snapToGrid w:val="0"/>
          <w:kern w:val="28"/>
          <w:sz w:val="24"/>
          <w:highlight w:val="none"/>
        </w:rPr>
        <w:t>金融专线400-903-9583。</w:t>
      </w:r>
    </w:p>
    <w:p w14:paraId="5AD29A0A">
      <w:pPr>
        <w:keepNext w:val="0"/>
        <w:keepLines w:val="0"/>
        <w:pageBreakBefore w:val="0"/>
        <w:tabs>
          <w:tab w:val="left" w:pos="432"/>
        </w:tabs>
        <w:kinsoku/>
        <w:wordWrap/>
        <w:overflowPunct/>
        <w:topLinePunct w:val="0"/>
        <w:bidi w:val="0"/>
        <w:spacing w:line="336" w:lineRule="auto"/>
        <w:textAlignment w:val="auto"/>
        <w:rPr>
          <w:highlight w:val="none"/>
        </w:rPr>
      </w:pPr>
      <w:r>
        <w:rPr>
          <w:rFonts w:ascii="宋体" w:hAnsi="宋体"/>
          <w:b/>
          <w:bCs/>
          <w:sz w:val="24"/>
          <w:szCs w:val="32"/>
          <w:highlight w:val="none"/>
        </w:rPr>
        <w:t>27.预付款</w:t>
      </w:r>
    </w:p>
    <w:p w14:paraId="06815E68">
      <w:pPr>
        <w:keepNext w:val="0"/>
        <w:keepLines w:val="0"/>
        <w:pageBreakBefore w:val="0"/>
        <w:kinsoku/>
        <w:wordWrap/>
        <w:overflowPunct/>
        <w:topLinePunct w:val="0"/>
        <w:bidi w:val="0"/>
        <w:adjustRightInd/>
        <w:spacing w:line="336" w:lineRule="auto"/>
        <w:ind w:firstLine="480" w:firstLineChars="200"/>
        <w:textAlignment w:val="auto"/>
        <w:rPr>
          <w:highlight w:val="none"/>
        </w:rPr>
      </w:pPr>
      <w:r>
        <w:rPr>
          <w:rFonts w:hint="eastAsia" w:ascii="宋体" w:hAnsi="宋体"/>
          <w:sz w:val="24"/>
          <w:highlight w:val="none"/>
        </w:rPr>
        <w:t>采购单位应当在政府采购合同中约定预付款，对中小企业合同预付款比例原则上不低于合同金额的</w:t>
      </w:r>
      <w:r>
        <w:rPr>
          <w:rFonts w:ascii="宋体" w:hAnsi="宋体"/>
          <w:sz w:val="24"/>
          <w:highlight w:val="none"/>
        </w:rPr>
        <w:t>40％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highlight w:val="none"/>
        </w:rPr>
        <w:t>不低于</w:t>
      </w:r>
      <w:r>
        <w:rPr>
          <w:rFonts w:ascii="宋体" w:hAnsi="宋体"/>
          <w:sz w:val="24"/>
          <w:highlight w:val="none"/>
        </w:rPr>
        <w:t>项目年度计划支付资金额的40％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sz w:val="24"/>
          <w:highlight w:val="none"/>
        </w:rPr>
        <w:t>供应商</w:t>
      </w:r>
      <w:r>
        <w:rPr>
          <w:rFonts w:ascii="宋体" w:hAnsi="宋体"/>
          <w:sz w:val="24"/>
          <w:highlight w:val="none"/>
        </w:rPr>
        <w:t>明确表示无需预付款或者主动要求降低预付款比例的，</w:t>
      </w:r>
      <w:r>
        <w:rPr>
          <w:rFonts w:hint="eastAsia" w:ascii="宋体" w:hAnsi="宋体"/>
          <w:sz w:val="24"/>
          <w:highlight w:val="none"/>
        </w:rPr>
        <w:t>采购单位</w:t>
      </w:r>
      <w:r>
        <w:rPr>
          <w:rFonts w:ascii="宋体" w:hAnsi="宋体"/>
          <w:sz w:val="24"/>
          <w:highlight w:val="none"/>
        </w:rPr>
        <w:t>可不适用前述规定。</w:t>
      </w:r>
      <w:r>
        <w:rPr>
          <w:rFonts w:hint="eastAsia" w:ascii="宋体" w:hAnsi="宋体"/>
          <w:sz w:val="24"/>
          <w:highlight w:val="none"/>
        </w:rPr>
        <w:t>采购单位</w:t>
      </w:r>
      <w:r>
        <w:rPr>
          <w:rFonts w:ascii="宋体" w:hAnsi="宋体"/>
          <w:sz w:val="24"/>
          <w:highlight w:val="none"/>
        </w:rPr>
        <w:t>根据项目特点、供应商诚信等因素，可以要求</w:t>
      </w:r>
      <w:r>
        <w:rPr>
          <w:rFonts w:hint="eastAsia" w:ascii="宋体" w:hAnsi="宋体"/>
          <w:sz w:val="24"/>
          <w:highlight w:val="none"/>
        </w:rPr>
        <w:t>供应商</w:t>
      </w:r>
      <w:r>
        <w:rPr>
          <w:rFonts w:ascii="宋体" w:hAnsi="宋体"/>
          <w:sz w:val="24"/>
          <w:highlight w:val="none"/>
        </w:rPr>
        <w:t>提交银行、保险公司等金融机构出具的预付款保函或其他担保措施。政府采购预付款应在合同生效以及具备实施条件后</w:t>
      </w:r>
      <w:r>
        <w:rPr>
          <w:rFonts w:hint="eastAsia" w:ascii="宋体" w:hAnsi="宋体"/>
          <w:sz w:val="24"/>
          <w:highlight w:val="none"/>
        </w:rPr>
        <w:t>7个工作日内</w:t>
      </w:r>
      <w:r>
        <w:rPr>
          <w:rFonts w:ascii="宋体" w:hAnsi="宋体"/>
          <w:sz w:val="24"/>
          <w:highlight w:val="none"/>
        </w:rPr>
        <w:t>支付。</w:t>
      </w:r>
      <w:r>
        <w:rPr>
          <w:rFonts w:hint="eastAsia" w:ascii="宋体" w:hAnsi="宋体"/>
          <w:sz w:val="24"/>
          <w:highlight w:val="none"/>
        </w:rPr>
        <w:t>政府采购工程以及与工程建设有关的货物、服务，采用招标方式采购的，预付款从其相关规定。供应商可登录</w:t>
      </w:r>
      <w:r>
        <w:rPr>
          <w:rFonts w:hint="eastAsia" w:ascii="宋体" w:hAnsi="宋体"/>
          <w:sz w:val="24"/>
          <w:highlight w:val="none"/>
          <w:lang w:eastAsia="zh-CN"/>
        </w:rPr>
        <w:t>乐采云</w:t>
      </w:r>
      <w:r>
        <w:rPr>
          <w:rFonts w:hint="eastAsia" w:ascii="宋体" w:hAnsi="宋体"/>
          <w:sz w:val="24"/>
          <w:highlight w:val="none"/>
        </w:rPr>
        <w:t>前台大厅选择金融服务</w:t>
      </w:r>
      <w:r>
        <w:rPr>
          <w:rFonts w:ascii="宋体" w:hAnsi="宋体"/>
          <w:sz w:val="24"/>
          <w:highlight w:val="none"/>
        </w:rPr>
        <w:t xml:space="preserve"> - </w:t>
      </w:r>
      <w:r>
        <w:rPr>
          <w:rFonts w:hint="eastAsia" w:ascii="宋体" w:hAnsi="宋体"/>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w:t>
      </w:r>
      <w:r>
        <w:rPr>
          <w:rFonts w:hint="eastAsia" w:ascii="宋体" w:hAnsi="宋体"/>
          <w:sz w:val="24"/>
          <w:highlight w:val="none"/>
          <w:lang w:eastAsia="zh-CN"/>
        </w:rPr>
        <w:t>乐采云</w:t>
      </w:r>
      <w:r>
        <w:rPr>
          <w:rFonts w:hint="eastAsia" w:ascii="宋体" w:hAnsi="宋体"/>
          <w:sz w:val="24"/>
          <w:highlight w:val="none"/>
        </w:rPr>
        <w:t>金融专线</w:t>
      </w:r>
      <w:r>
        <w:rPr>
          <w:rFonts w:ascii="宋体" w:hAnsi="宋体"/>
          <w:sz w:val="24"/>
          <w:highlight w:val="none"/>
        </w:rPr>
        <w:t>400-903-9583。</w:t>
      </w:r>
    </w:p>
    <w:p w14:paraId="4B08367B">
      <w:pPr>
        <w:keepNext w:val="0"/>
        <w:keepLines w:val="0"/>
        <w:pageBreakBefore w:val="0"/>
        <w:kinsoku/>
        <w:wordWrap/>
        <w:overflowPunct/>
        <w:topLinePunct w:val="0"/>
        <w:bidi w:val="0"/>
        <w:snapToGrid w:val="0"/>
        <w:spacing w:line="336" w:lineRule="auto"/>
        <w:ind w:firstLine="3357" w:firstLineChars="1045"/>
        <w:textAlignment w:val="auto"/>
        <w:rPr>
          <w:rFonts w:ascii="宋体" w:hAnsi="宋体" w:cs="宋体"/>
          <w:b/>
          <w:sz w:val="24"/>
          <w:highlight w:val="none"/>
        </w:rPr>
      </w:pPr>
      <w:r>
        <w:rPr>
          <w:rFonts w:hint="eastAsia" w:ascii="宋体" w:hAnsi="宋体" w:cs="宋体"/>
          <w:b/>
          <w:sz w:val="32"/>
          <w:highlight w:val="none"/>
        </w:rPr>
        <w:t>八、电子交易活动的中止</w:t>
      </w:r>
    </w:p>
    <w:p w14:paraId="7B512F59">
      <w:pPr>
        <w:pStyle w:val="134"/>
        <w:keepNext w:val="0"/>
        <w:keepLines w:val="0"/>
        <w:pageBreakBefore w:val="0"/>
        <w:kinsoku/>
        <w:wordWrap/>
        <w:overflowPunct/>
        <w:topLinePunct w:val="0"/>
        <w:bidi w:val="0"/>
        <w:snapToGrid w:val="0"/>
        <w:spacing w:before="0" w:line="336" w:lineRule="auto"/>
        <w:ind w:firstLine="0" w:firstLineChars="0"/>
        <w:textAlignment w:val="auto"/>
        <w:rPr>
          <w:rFonts w:ascii="宋体" w:hAnsi="宋体" w:cs="宋体"/>
          <w:highlight w:val="none"/>
        </w:rPr>
      </w:pPr>
      <w:r>
        <w:rPr>
          <w:rFonts w:ascii="宋体" w:hAnsi="宋体" w:cs="宋体"/>
          <w:b/>
          <w:bCs/>
          <w:highlight w:val="none"/>
        </w:rPr>
        <w:t>2</w:t>
      </w:r>
      <w:r>
        <w:rPr>
          <w:rFonts w:ascii="宋体" w:hAnsi="宋体" w:cs="宋体"/>
          <w:b/>
          <w:bCs/>
          <w:szCs w:val="24"/>
          <w:highlight w:val="none"/>
        </w:rPr>
        <w:t>8</w:t>
      </w:r>
      <w:r>
        <w:rPr>
          <w:rFonts w:hint="eastAsia" w:ascii="宋体" w:hAnsi="宋体" w:cs="宋体"/>
          <w:b/>
          <w:szCs w:val="24"/>
          <w:highlight w:val="none"/>
        </w:rPr>
        <w:t>. 电子交易活动的中止。</w:t>
      </w:r>
      <w:r>
        <w:rPr>
          <w:rFonts w:hint="eastAsia" w:ascii="宋体" w:hAnsi="宋体" w:cs="宋体"/>
          <w:highlight w:val="none"/>
        </w:rPr>
        <w:t>采购过程中出现以下情形，导致电子交易平台无法正常运行，或者无法保证电子交易的公平、公正和安全时，采购代理机构可中止电子交易活动：</w:t>
      </w:r>
    </w:p>
    <w:p w14:paraId="32AD0AD4">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 xml:space="preserve">28.1电子交易平台发生故障而无法登录访问的； </w:t>
      </w:r>
    </w:p>
    <w:p w14:paraId="30C32815">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28.2电子交易平台应用或数据库出现错误，不能进行正常操作的；</w:t>
      </w:r>
    </w:p>
    <w:p w14:paraId="1BA33F54">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28.3电子交易平台发现严重安全漏洞，有潜在泄密危险的；</w:t>
      </w:r>
    </w:p>
    <w:p w14:paraId="37525579">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 xml:space="preserve">28.4病毒发作导致不能进行正常操作的； </w:t>
      </w:r>
    </w:p>
    <w:p w14:paraId="5AAEE15A">
      <w:pPr>
        <w:pStyle w:val="134"/>
        <w:keepNext w:val="0"/>
        <w:keepLines w:val="0"/>
        <w:pageBreakBefore w:val="0"/>
        <w:kinsoku/>
        <w:wordWrap/>
        <w:overflowPunct/>
        <w:topLinePunct w:val="0"/>
        <w:bidi w:val="0"/>
        <w:snapToGrid w:val="0"/>
        <w:spacing w:before="0" w:line="336" w:lineRule="auto"/>
        <w:ind w:firstLine="480"/>
        <w:textAlignment w:val="auto"/>
        <w:rPr>
          <w:rFonts w:ascii="宋体" w:hAnsi="宋体" w:cs="宋体"/>
          <w:highlight w:val="none"/>
        </w:rPr>
      </w:pPr>
      <w:r>
        <w:rPr>
          <w:rFonts w:hint="eastAsia" w:ascii="宋体" w:hAnsi="宋体" w:cs="宋体"/>
          <w:highlight w:val="none"/>
        </w:rPr>
        <w:t>28.5其他无法保证电子交易的公平、公正和安全的情况。</w:t>
      </w:r>
    </w:p>
    <w:p w14:paraId="6A82C9CF">
      <w:pPr>
        <w:pStyle w:val="134"/>
        <w:keepNext w:val="0"/>
        <w:keepLines w:val="0"/>
        <w:pageBreakBefore w:val="0"/>
        <w:kinsoku/>
        <w:wordWrap/>
        <w:overflowPunct/>
        <w:topLinePunct w:val="0"/>
        <w:bidi w:val="0"/>
        <w:snapToGrid w:val="0"/>
        <w:spacing w:before="0" w:line="336" w:lineRule="auto"/>
        <w:ind w:firstLine="0" w:firstLineChars="0"/>
        <w:textAlignment w:val="auto"/>
        <w:rPr>
          <w:rFonts w:ascii="宋体" w:hAnsi="宋体" w:cs="宋体"/>
          <w:highlight w:val="none"/>
        </w:rPr>
      </w:pPr>
      <w:r>
        <w:rPr>
          <w:rFonts w:hint="eastAsia" w:ascii="宋体" w:hAnsi="宋体" w:cs="宋体"/>
          <w:highlight w:val="none"/>
        </w:rPr>
        <w:t xml:space="preserve"> 29.出现以上情形，不影响采购公平、公正性的，采购组织机构可以待上述情形消除后继续组织电子交易活动；影响或可能影响采购公平、公正性的，应当重新采购。</w:t>
      </w:r>
    </w:p>
    <w:p w14:paraId="54D250C8">
      <w:pPr>
        <w:keepNext w:val="0"/>
        <w:keepLines w:val="0"/>
        <w:pageBreakBefore w:val="0"/>
        <w:kinsoku/>
        <w:wordWrap/>
        <w:overflowPunct/>
        <w:topLinePunct w:val="0"/>
        <w:bidi w:val="0"/>
        <w:snapToGrid w:val="0"/>
        <w:spacing w:line="336" w:lineRule="auto"/>
        <w:ind w:left="120" w:leftChars="57" w:firstLine="482" w:firstLineChars="150"/>
        <w:jc w:val="center"/>
        <w:textAlignment w:val="auto"/>
        <w:rPr>
          <w:rFonts w:ascii="宋体" w:hAnsi="宋体" w:cs="宋体"/>
          <w:b/>
          <w:sz w:val="32"/>
          <w:highlight w:val="none"/>
        </w:rPr>
      </w:pPr>
      <w:r>
        <w:rPr>
          <w:rFonts w:hint="eastAsia" w:ascii="宋体" w:hAnsi="宋体" w:cs="宋体"/>
          <w:b/>
          <w:sz w:val="32"/>
          <w:highlight w:val="none"/>
        </w:rPr>
        <w:t>九、验收</w:t>
      </w:r>
    </w:p>
    <w:p w14:paraId="4EF6E637">
      <w:pPr>
        <w:pStyle w:val="25"/>
        <w:keepNext w:val="0"/>
        <w:keepLines w:val="0"/>
        <w:pageBreakBefore w:val="0"/>
        <w:kinsoku/>
        <w:wordWrap/>
        <w:overflowPunct/>
        <w:topLinePunct w:val="0"/>
        <w:bidi w:val="0"/>
        <w:spacing w:line="336" w:lineRule="auto"/>
        <w:ind w:firstLine="0" w:firstLineChars="0"/>
        <w:textAlignment w:val="auto"/>
        <w:rPr>
          <w:rFonts w:cs="宋体"/>
          <w:b/>
          <w:highlight w:val="none"/>
        </w:rPr>
      </w:pPr>
      <w:r>
        <w:rPr>
          <w:rFonts w:hint="eastAsia" w:cs="宋体"/>
          <w:b/>
          <w:highlight w:val="none"/>
        </w:rPr>
        <w:t>30.验收</w:t>
      </w:r>
    </w:p>
    <w:p w14:paraId="7F3AC3CC">
      <w:pPr>
        <w:keepNext w:val="0"/>
        <w:keepLines w:val="0"/>
        <w:pageBreakBefore w:val="0"/>
        <w:tabs>
          <w:tab w:val="left" w:pos="0"/>
        </w:tabs>
        <w:kinsoku/>
        <w:wordWrap/>
        <w:overflowPunct/>
        <w:topLinePunct w:val="0"/>
        <w:bidi w:val="0"/>
        <w:spacing w:line="336" w:lineRule="auto"/>
        <w:ind w:firstLine="480"/>
        <w:textAlignment w:val="auto"/>
        <w:rPr>
          <w:rFonts w:ascii="宋体" w:hAnsi="宋体" w:cs="宋体"/>
          <w:kern w:val="0"/>
          <w:sz w:val="24"/>
          <w:highlight w:val="none"/>
        </w:rPr>
      </w:pPr>
      <w:r>
        <w:rPr>
          <w:rFonts w:hint="eastAsia" w:ascii="宋体" w:hAnsi="宋体" w:cs="宋体"/>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C74B54C">
      <w:pPr>
        <w:keepNext w:val="0"/>
        <w:keepLines w:val="0"/>
        <w:pageBreakBefore w:val="0"/>
        <w:tabs>
          <w:tab w:val="left" w:pos="0"/>
        </w:tabs>
        <w:kinsoku/>
        <w:wordWrap/>
        <w:overflowPunct/>
        <w:topLinePunct w:val="0"/>
        <w:bidi w:val="0"/>
        <w:spacing w:line="336" w:lineRule="auto"/>
        <w:ind w:firstLine="480"/>
        <w:textAlignment w:val="auto"/>
        <w:rPr>
          <w:rFonts w:ascii="宋体" w:hAnsi="宋体" w:cs="宋体"/>
          <w:kern w:val="0"/>
          <w:sz w:val="24"/>
          <w:highlight w:val="none"/>
        </w:rPr>
      </w:pPr>
      <w:r>
        <w:rPr>
          <w:rFonts w:hint="eastAsia" w:ascii="宋体" w:hAnsi="宋体" w:cs="宋体"/>
          <w:kern w:val="0"/>
          <w:sz w:val="24"/>
          <w:highlight w:val="none"/>
        </w:rPr>
        <w:t>30.2采购人可以邀请参加本项目的其他投标人或者第三方机构参与验收。参与验收的投标人或者第三方机构的意见作为验收书的参考资料一并存档。</w:t>
      </w:r>
    </w:p>
    <w:p w14:paraId="4ADCE6E5">
      <w:pPr>
        <w:keepNext w:val="0"/>
        <w:keepLines w:val="0"/>
        <w:pageBreakBefore w:val="0"/>
        <w:tabs>
          <w:tab w:val="left" w:pos="0"/>
        </w:tabs>
        <w:kinsoku/>
        <w:wordWrap/>
        <w:overflowPunct/>
        <w:topLinePunct w:val="0"/>
        <w:bidi w:val="0"/>
        <w:spacing w:line="336" w:lineRule="auto"/>
        <w:ind w:firstLine="480"/>
        <w:textAlignment w:val="auto"/>
        <w:rPr>
          <w:rFonts w:ascii="宋体" w:hAnsi="宋体" w:cs="宋体"/>
          <w:kern w:val="0"/>
          <w:sz w:val="24"/>
          <w:highlight w:val="none"/>
        </w:rPr>
      </w:pPr>
      <w:r>
        <w:rPr>
          <w:rFonts w:hint="eastAsia" w:ascii="宋体" w:hAnsi="宋体" w:cs="宋体"/>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7B72B35">
      <w:pPr>
        <w:keepNext w:val="0"/>
        <w:keepLines w:val="0"/>
        <w:pageBreakBefore w:val="0"/>
        <w:tabs>
          <w:tab w:val="left" w:pos="0"/>
        </w:tabs>
        <w:kinsoku/>
        <w:wordWrap/>
        <w:overflowPunct/>
        <w:topLinePunct w:val="0"/>
        <w:bidi w:val="0"/>
        <w:spacing w:line="336" w:lineRule="auto"/>
        <w:ind w:firstLine="480"/>
        <w:textAlignment w:val="auto"/>
        <w:rPr>
          <w:rFonts w:ascii="宋体" w:hAnsi="宋体" w:cs="宋体"/>
          <w:sz w:val="18"/>
          <w:szCs w:val="18"/>
          <w:highlight w:val="none"/>
        </w:rPr>
      </w:pPr>
      <w:r>
        <w:rPr>
          <w:rFonts w:hint="eastAsia" w:ascii="宋体" w:hAnsi="宋体" w:cs="宋体"/>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14:paraId="5D3F6A69">
      <w:pPr>
        <w:rPr>
          <w:rFonts w:ascii="宋体" w:hAnsi="宋体" w:cs="宋体"/>
          <w:kern w:val="0"/>
          <w:sz w:val="24"/>
          <w:highlight w:val="none"/>
        </w:rPr>
      </w:pPr>
      <w:bookmarkStart w:id="19" w:name="_Hlt74729768"/>
      <w:bookmarkEnd w:id="19"/>
      <w:bookmarkStart w:id="20" w:name="_Hlt68072990"/>
      <w:bookmarkEnd w:id="20"/>
      <w:bookmarkStart w:id="21" w:name="_Hlt74730295"/>
      <w:bookmarkEnd w:id="21"/>
      <w:bookmarkStart w:id="22" w:name="_Hlt75236290"/>
      <w:bookmarkEnd w:id="22"/>
      <w:bookmarkStart w:id="23" w:name="_Hlt74707468"/>
      <w:bookmarkEnd w:id="23"/>
      <w:bookmarkStart w:id="24" w:name="_Hlt68403820"/>
      <w:bookmarkEnd w:id="24"/>
      <w:bookmarkStart w:id="25" w:name="_Hlt75236011"/>
      <w:bookmarkEnd w:id="25"/>
      <w:bookmarkStart w:id="26" w:name="_Hlt75236101"/>
      <w:bookmarkEnd w:id="26"/>
      <w:bookmarkStart w:id="27" w:name="_Hlt68057669"/>
      <w:bookmarkEnd w:id="27"/>
      <w:bookmarkStart w:id="28" w:name="_Hlt74714665"/>
      <w:bookmarkEnd w:id="28"/>
      <w:bookmarkStart w:id="29" w:name="_Hlt68073093"/>
      <w:bookmarkEnd w:id="29"/>
      <w:bookmarkStart w:id="30" w:name="_Hlt68072998"/>
      <w:bookmarkEnd w:id="30"/>
    </w:p>
    <w:p w14:paraId="67FAFE24">
      <w:pPr>
        <w:rPr>
          <w:highlight w:val="none"/>
        </w:rPr>
        <w:sectPr>
          <w:footerReference r:id="rId6" w:type="first"/>
          <w:footerReference r:id="rId5" w:type="default"/>
          <w:pgSz w:w="11906" w:h="16838"/>
          <w:pgMar w:top="1440" w:right="1800" w:bottom="1440" w:left="1800" w:header="851" w:footer="992" w:gutter="0"/>
          <w:pgNumType w:fmt="decimal" w:start="1"/>
          <w:cols w:space="0" w:num="1"/>
          <w:titlePg/>
          <w:rtlGutter w:val="0"/>
          <w:docGrid w:linePitch="312" w:charSpace="0"/>
        </w:sectPr>
      </w:pPr>
    </w:p>
    <w:bookmarkEnd w:id="13"/>
    <w:bookmarkEnd w:id="14"/>
    <w:p w14:paraId="38241786">
      <w:pPr>
        <w:spacing w:line="360" w:lineRule="auto"/>
        <w:jc w:val="center"/>
        <w:outlineLvl w:val="0"/>
        <w:rPr>
          <w:rFonts w:ascii="宋体" w:hAnsi="宋体" w:cs="宋体"/>
          <w:b/>
          <w:sz w:val="36"/>
          <w:szCs w:val="36"/>
          <w:highlight w:val="none"/>
        </w:rPr>
      </w:pPr>
      <w:bookmarkStart w:id="31" w:name="_Toc29533"/>
      <w:bookmarkStart w:id="32" w:name="第四部分"/>
      <w:r>
        <w:rPr>
          <w:rFonts w:hint="eastAsia" w:ascii="宋体" w:hAnsi="宋体" w:cs="宋体"/>
          <w:b/>
          <w:sz w:val="36"/>
          <w:szCs w:val="36"/>
          <w:highlight w:val="none"/>
        </w:rPr>
        <w:t>第三部分   采购需求</w:t>
      </w:r>
      <w:bookmarkEnd w:id="31"/>
    </w:p>
    <w:p w14:paraId="5B573550">
      <w:pPr>
        <w:widowControl/>
        <w:adjustRightInd/>
        <w:spacing w:line="360" w:lineRule="auto"/>
        <w:jc w:val="left"/>
        <w:rPr>
          <w:rFonts w:ascii="宋体" w:hAnsi="宋体" w:cs="宋体"/>
          <w:b/>
          <w:kern w:val="0"/>
          <w:sz w:val="24"/>
          <w:highlight w:val="none"/>
        </w:rPr>
      </w:pPr>
      <w:bookmarkStart w:id="33" w:name="_Toc317685548"/>
      <w:bookmarkStart w:id="34" w:name="_Toc329697494"/>
      <w:r>
        <w:rPr>
          <w:rFonts w:hint="eastAsia" w:ascii="宋体" w:hAnsi="宋体" w:cs="宋体"/>
          <w:b/>
          <w:kern w:val="0"/>
          <w:sz w:val="24"/>
          <w:highlight w:val="none"/>
        </w:rPr>
        <w:t>一、重要商务要求一览表</w:t>
      </w:r>
    </w:p>
    <w:bookmarkEnd w:id="33"/>
    <w:bookmarkEnd w:id="34"/>
    <w:tbl>
      <w:tblPr>
        <w:tblStyle w:val="62"/>
        <w:tblW w:w="86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30"/>
        <w:gridCol w:w="6755"/>
      </w:tblGrid>
      <w:tr w14:paraId="612AE2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blHeader/>
          <w:jc w:val="center"/>
        </w:trPr>
        <w:tc>
          <w:tcPr>
            <w:tcW w:w="1930" w:type="dxa"/>
            <w:tcBorders>
              <w:top w:val="single" w:color="auto" w:sz="4" w:space="0"/>
              <w:left w:val="single" w:color="auto" w:sz="4" w:space="0"/>
              <w:bottom w:val="single" w:color="auto" w:sz="4" w:space="0"/>
              <w:right w:val="single" w:color="auto" w:sz="4" w:space="0"/>
            </w:tcBorders>
            <w:noWrap w:val="0"/>
            <w:vAlign w:val="center"/>
          </w:tcPr>
          <w:p w14:paraId="2922FB6B">
            <w:pPr>
              <w:keepNext w:val="0"/>
              <w:keepLines w:val="0"/>
              <w:pageBreakBefore w:val="0"/>
              <w:widowControl w:val="0"/>
              <w:kinsoku/>
              <w:wordWrap/>
              <w:overflowPunct/>
              <w:topLinePunct w:val="0"/>
              <w:autoSpaceDE/>
              <w:autoSpaceDN/>
              <w:bidi w:val="0"/>
              <w:adjustRightInd/>
              <w:snapToGrid/>
              <w:spacing w:line="360" w:lineRule="auto"/>
              <w:jc w:val="center"/>
              <w:textAlignment w:val="baseline"/>
              <w:rPr>
                <w:rFonts w:hint="eastAsia" w:ascii="宋体" w:hAnsi="宋体" w:eastAsia="宋体" w:cs="宋体"/>
                <w:b/>
                <w:bCs/>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rPr>
              <w:t>类别</w:t>
            </w:r>
          </w:p>
        </w:tc>
        <w:tc>
          <w:tcPr>
            <w:tcW w:w="6755" w:type="dxa"/>
            <w:tcBorders>
              <w:top w:val="single" w:color="auto" w:sz="4" w:space="0"/>
              <w:left w:val="single" w:color="auto" w:sz="4" w:space="0"/>
              <w:bottom w:val="single" w:color="auto" w:sz="4" w:space="0"/>
              <w:right w:val="single" w:color="auto" w:sz="4" w:space="0"/>
            </w:tcBorders>
            <w:noWrap w:val="0"/>
            <w:vAlign w:val="center"/>
          </w:tcPr>
          <w:p w14:paraId="65689547">
            <w:pPr>
              <w:keepNext w:val="0"/>
              <w:keepLines w:val="0"/>
              <w:pageBreakBefore w:val="0"/>
              <w:widowControl w:val="0"/>
              <w:kinsoku/>
              <w:wordWrap/>
              <w:overflowPunct/>
              <w:topLinePunct w:val="0"/>
              <w:autoSpaceDE/>
              <w:autoSpaceDN/>
              <w:bidi w:val="0"/>
              <w:adjustRightInd/>
              <w:snapToGrid/>
              <w:spacing w:line="360" w:lineRule="auto"/>
              <w:jc w:val="center"/>
              <w:textAlignment w:val="baseline"/>
              <w:rPr>
                <w:rFonts w:hint="eastAsia" w:ascii="宋体" w:hAnsi="宋体" w:eastAsia="宋体" w:cs="宋体"/>
                <w:b/>
                <w:bCs/>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rPr>
              <w:t>具体商务要求</w:t>
            </w:r>
          </w:p>
        </w:tc>
      </w:tr>
      <w:tr w14:paraId="68E4D2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noWrap w:val="0"/>
            <w:vAlign w:val="center"/>
          </w:tcPr>
          <w:p w14:paraId="2A6A4DEE">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hint="eastAsia" w:ascii="宋体" w:hAnsi="宋体" w:eastAsia="宋体" w:cs="宋体"/>
                <w:b/>
                <w:bCs/>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eastAsia="zh-CN"/>
              </w:rPr>
              <w:t>▲</w:t>
            </w:r>
            <w:r>
              <w:rPr>
                <w:rFonts w:hint="eastAsia" w:ascii="宋体" w:hAnsi="宋体" w:eastAsia="宋体" w:cs="宋体"/>
                <w:b/>
                <w:bCs/>
                <w:color w:val="auto"/>
                <w:kern w:val="2"/>
                <w:sz w:val="24"/>
                <w:szCs w:val="24"/>
                <w:highlight w:val="none"/>
              </w:rPr>
              <w:t>1、</w:t>
            </w:r>
            <w:r>
              <w:rPr>
                <w:rFonts w:hint="eastAsia" w:ascii="宋体" w:hAnsi="宋体" w:eastAsia="宋体" w:cs="宋体"/>
                <w:b/>
                <w:bCs/>
                <w:color w:val="auto"/>
                <w:kern w:val="2"/>
                <w:sz w:val="24"/>
                <w:szCs w:val="24"/>
                <w:highlight w:val="none"/>
                <w:lang w:val="en-US" w:eastAsia="zh-CN"/>
              </w:rPr>
              <w:t>合同履约期限（工期）</w:t>
            </w:r>
          </w:p>
        </w:tc>
        <w:tc>
          <w:tcPr>
            <w:tcW w:w="6755" w:type="dxa"/>
            <w:tcBorders>
              <w:top w:val="single" w:color="auto" w:sz="4" w:space="0"/>
              <w:left w:val="single" w:color="auto" w:sz="4" w:space="0"/>
              <w:bottom w:val="single" w:color="auto" w:sz="4" w:space="0"/>
              <w:right w:val="single" w:color="auto" w:sz="4" w:space="0"/>
            </w:tcBorders>
            <w:noWrap w:val="0"/>
            <w:vAlign w:val="center"/>
          </w:tcPr>
          <w:p w14:paraId="6286489E">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详见“第一部分  招标公告”</w:t>
            </w:r>
          </w:p>
        </w:tc>
      </w:tr>
      <w:tr w14:paraId="406D99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right w:val="single" w:color="auto" w:sz="4" w:space="0"/>
            </w:tcBorders>
            <w:noWrap w:val="0"/>
            <w:vAlign w:val="center"/>
          </w:tcPr>
          <w:p w14:paraId="1F7D6AFD">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lang w:eastAsia="zh-CN"/>
              </w:rPr>
              <w:t>▲</w:t>
            </w:r>
            <w:r>
              <w:rPr>
                <w:rFonts w:hint="eastAsia" w:ascii="宋体" w:hAnsi="宋体" w:eastAsia="宋体" w:cs="宋体"/>
                <w:b/>
                <w:bCs/>
                <w:color w:val="auto"/>
                <w:kern w:val="2"/>
                <w:sz w:val="24"/>
                <w:szCs w:val="24"/>
                <w:highlight w:val="none"/>
              </w:rPr>
              <w:t>2、交货地点</w:t>
            </w:r>
          </w:p>
        </w:tc>
        <w:tc>
          <w:tcPr>
            <w:tcW w:w="6755" w:type="dxa"/>
            <w:tcBorders>
              <w:top w:val="single" w:color="auto" w:sz="4" w:space="0"/>
              <w:left w:val="single" w:color="auto" w:sz="4" w:space="0"/>
              <w:bottom w:val="single" w:color="auto" w:sz="4" w:space="0"/>
              <w:right w:val="single" w:color="auto" w:sz="4" w:space="0"/>
            </w:tcBorders>
            <w:noWrap w:val="0"/>
            <w:vAlign w:val="center"/>
          </w:tcPr>
          <w:p w14:paraId="0682E89C">
            <w:pPr>
              <w:keepNext w:val="0"/>
              <w:keepLines w:val="0"/>
              <w:pageBreakBefore w:val="0"/>
              <w:widowControl w:val="0"/>
              <w:kinsoku/>
              <w:wordWrap/>
              <w:overflowPunct/>
              <w:topLinePunct w:val="0"/>
              <w:autoSpaceDE/>
              <w:autoSpaceDN/>
              <w:bidi w:val="0"/>
              <w:adjustRightInd/>
              <w:snapToGrid/>
              <w:spacing w:line="360" w:lineRule="auto"/>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采购人指定地点</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象山县范围内</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w:t>
            </w:r>
          </w:p>
        </w:tc>
      </w:tr>
      <w:tr w14:paraId="5C6A2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right w:val="single" w:color="auto" w:sz="4" w:space="0"/>
            </w:tcBorders>
            <w:noWrap w:val="0"/>
            <w:vAlign w:val="center"/>
          </w:tcPr>
          <w:p w14:paraId="58BE6E0F">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lang w:eastAsia="zh-CN"/>
              </w:rPr>
              <w:t>▲</w:t>
            </w:r>
            <w:r>
              <w:rPr>
                <w:rFonts w:hint="eastAsia" w:ascii="宋体" w:hAnsi="宋体" w:eastAsia="宋体" w:cs="宋体"/>
                <w:b/>
                <w:bCs/>
                <w:color w:val="auto"/>
                <w:kern w:val="2"/>
                <w:sz w:val="24"/>
                <w:szCs w:val="24"/>
                <w:highlight w:val="none"/>
              </w:rPr>
              <w:t>3、履约保证金</w:t>
            </w:r>
          </w:p>
        </w:tc>
        <w:tc>
          <w:tcPr>
            <w:tcW w:w="6755" w:type="dxa"/>
            <w:tcBorders>
              <w:top w:val="single" w:color="auto" w:sz="4" w:space="0"/>
              <w:left w:val="single" w:color="auto" w:sz="4" w:space="0"/>
              <w:bottom w:val="single" w:color="auto" w:sz="4" w:space="0"/>
              <w:right w:val="single" w:color="auto" w:sz="4" w:space="0"/>
            </w:tcBorders>
            <w:noWrap w:val="0"/>
            <w:vAlign w:val="center"/>
          </w:tcPr>
          <w:p w14:paraId="42688ADE">
            <w:pPr>
              <w:keepNext w:val="0"/>
              <w:keepLines w:val="0"/>
              <w:pageBreakBefore w:val="0"/>
              <w:widowControl w:val="0"/>
              <w:kinsoku/>
              <w:wordWrap/>
              <w:overflowPunct/>
              <w:topLinePunct w:val="0"/>
              <w:autoSpaceDE/>
              <w:autoSpaceDN/>
              <w:bidi w:val="0"/>
              <w:adjustRightInd/>
              <w:snapToGrid/>
              <w:spacing w:line="360" w:lineRule="auto"/>
              <w:jc w:val="both"/>
              <w:textAlignment w:val="baseline"/>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本项目不收取履约保证金。</w:t>
            </w:r>
          </w:p>
        </w:tc>
      </w:tr>
      <w:tr w14:paraId="239A4F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noWrap w:val="0"/>
            <w:vAlign w:val="center"/>
          </w:tcPr>
          <w:p w14:paraId="798BA440">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lang w:eastAsia="zh-CN"/>
              </w:rPr>
              <w:t>▲</w:t>
            </w:r>
            <w:r>
              <w:rPr>
                <w:rFonts w:hint="eastAsia" w:ascii="宋体" w:hAnsi="宋体" w:eastAsia="宋体" w:cs="宋体"/>
                <w:b/>
                <w:bCs/>
                <w:color w:val="auto"/>
                <w:kern w:val="2"/>
                <w:sz w:val="24"/>
                <w:szCs w:val="24"/>
                <w:highlight w:val="none"/>
              </w:rPr>
              <w:t>4、付款方式</w:t>
            </w:r>
          </w:p>
        </w:tc>
        <w:tc>
          <w:tcPr>
            <w:tcW w:w="6755" w:type="dxa"/>
            <w:tcBorders>
              <w:top w:val="single" w:color="auto" w:sz="4" w:space="0"/>
              <w:left w:val="single" w:color="auto" w:sz="4" w:space="0"/>
              <w:bottom w:val="single" w:color="auto" w:sz="4" w:space="0"/>
              <w:right w:val="single" w:color="auto" w:sz="4" w:space="0"/>
            </w:tcBorders>
            <w:noWrap w:val="0"/>
            <w:vAlign w:val="center"/>
          </w:tcPr>
          <w:p w14:paraId="6559D59B">
            <w:pPr>
              <w:keepNext w:val="0"/>
              <w:keepLines w:val="0"/>
              <w:pageBreakBefore w:val="0"/>
              <w:widowControl w:val="0"/>
              <w:numPr>
                <w:ilvl w:val="0"/>
                <w:numId w:val="2"/>
              </w:numPr>
              <w:kinsoku/>
              <w:wordWrap/>
              <w:overflowPunct/>
              <w:topLinePunct w:val="0"/>
              <w:autoSpaceDE/>
              <w:autoSpaceDN/>
              <w:bidi w:val="0"/>
              <w:adjustRightInd/>
              <w:snapToGrid/>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合同签订生效以及具备实施条件后7个工作日内支付合同金额的</w:t>
            </w:r>
            <w:r>
              <w:rPr>
                <w:rFonts w:hint="eastAsia" w:ascii="宋体" w:hAnsi="宋体" w:eastAsia="宋体" w:cs="宋体"/>
                <w:sz w:val="24"/>
                <w:szCs w:val="24"/>
                <w:highlight w:val="none"/>
                <w:lang w:val="en-US" w:eastAsia="zh-CN"/>
              </w:rPr>
              <w:t>40</w:t>
            </w:r>
            <w:r>
              <w:rPr>
                <w:rFonts w:hint="eastAsia" w:ascii="宋体" w:hAnsi="宋体" w:eastAsia="宋体" w:cs="宋体"/>
                <w:sz w:val="24"/>
                <w:szCs w:val="24"/>
                <w:highlight w:val="none"/>
              </w:rPr>
              <w:t>%（支付前，中标人需提交等额预付款保函且经采购人认可）；</w:t>
            </w:r>
          </w:p>
          <w:p w14:paraId="420C4229">
            <w:pPr>
              <w:keepNext w:val="0"/>
              <w:keepLines w:val="0"/>
              <w:pageBreakBefore w:val="0"/>
              <w:widowControl w:val="0"/>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（2）所供设备到场且经采购人初步验收合格后，采购人向中标人支付合同金额的30%。</w:t>
            </w:r>
          </w:p>
          <w:p w14:paraId="4A1D164C">
            <w:pPr>
              <w:keepNext w:val="0"/>
              <w:keepLines w:val="0"/>
              <w:pageBreakBefore w:val="0"/>
              <w:widowControl w:val="0"/>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）全部</w:t>
            </w:r>
            <w:r>
              <w:rPr>
                <w:rFonts w:hint="eastAsia" w:ascii="宋体" w:hAnsi="宋体" w:eastAsia="宋体" w:cs="宋体"/>
                <w:color w:val="auto"/>
                <w:sz w:val="24"/>
                <w:szCs w:val="24"/>
                <w:highlight w:val="none"/>
                <w:lang w:val="en-US" w:eastAsia="zh-CN"/>
              </w:rPr>
              <w:t>设备及系统</w:t>
            </w:r>
            <w:r>
              <w:rPr>
                <w:rFonts w:hint="eastAsia" w:ascii="宋体" w:hAnsi="宋体" w:eastAsia="宋体" w:cs="宋体"/>
                <w:color w:val="auto"/>
                <w:sz w:val="24"/>
                <w:szCs w:val="24"/>
                <w:highlight w:val="none"/>
              </w:rPr>
              <w:t>安装完成并通过验收后，</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支付至结算价的100%（</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扣回全额预付款，同时退回预付款保函），</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rPr>
              <w:t>同时向</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提供质量保证承诺书。</w:t>
            </w:r>
          </w:p>
          <w:p w14:paraId="1D8FECF1">
            <w:pPr>
              <w:keepNext w:val="0"/>
              <w:keepLines w:val="0"/>
              <w:pageBreakBefore w:val="0"/>
              <w:kinsoku/>
              <w:wordWrap/>
              <w:overflowPunct/>
              <w:topLinePunct w:val="0"/>
              <w:autoSpaceDE/>
              <w:autoSpaceDN/>
              <w:bidi w:val="0"/>
              <w:adjustRightInd/>
              <w:snapToGrid/>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z w:val="24"/>
                <w:szCs w:val="24"/>
                <w:highlight w:val="none"/>
              </w:rPr>
              <w:t>注：</w:t>
            </w:r>
            <w:r>
              <w:rPr>
                <w:rFonts w:hint="eastAsia" w:ascii="宋体" w:hAnsi="宋体" w:eastAsia="宋体" w:cs="宋体"/>
                <w:sz w:val="24"/>
                <w:szCs w:val="24"/>
                <w:highlight w:val="none"/>
                <w:lang w:val="en-US" w:eastAsia="zh-CN"/>
              </w:rPr>
              <w:t>中标人须</w:t>
            </w:r>
            <w:r>
              <w:rPr>
                <w:rFonts w:hint="eastAsia" w:ascii="宋体" w:hAnsi="宋体" w:eastAsia="宋体" w:cs="宋体"/>
                <w:sz w:val="24"/>
                <w:szCs w:val="24"/>
                <w:highlight w:val="none"/>
              </w:rPr>
              <w:t>按</w:t>
            </w:r>
            <w:r>
              <w:rPr>
                <w:rFonts w:hint="eastAsia" w:ascii="宋体" w:hAnsi="宋体" w:eastAsia="宋体" w:cs="宋体"/>
                <w:sz w:val="24"/>
                <w:szCs w:val="24"/>
                <w:highlight w:val="none"/>
                <w:lang w:val="en-US" w:eastAsia="zh-CN"/>
              </w:rPr>
              <w:t>采购人要求提供增值税专用发票</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中标人于合同签订前书面承诺放弃预付款或降低预付款支付比例的，以承诺内容为准。</w:t>
            </w:r>
          </w:p>
        </w:tc>
      </w:tr>
      <w:tr w14:paraId="4B991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noWrap w:val="0"/>
            <w:vAlign w:val="center"/>
          </w:tcPr>
          <w:p w14:paraId="33BF55C1">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5、</w:t>
            </w:r>
            <w:r>
              <w:rPr>
                <w:rFonts w:hint="eastAsia" w:ascii="宋体" w:hAnsi="宋体" w:eastAsia="宋体" w:cs="宋体"/>
                <w:b/>
                <w:bCs/>
                <w:sz w:val="24"/>
                <w:szCs w:val="24"/>
                <w:highlight w:val="none"/>
              </w:rPr>
              <w:t>质保期</w:t>
            </w:r>
          </w:p>
        </w:tc>
        <w:tc>
          <w:tcPr>
            <w:tcW w:w="67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D271CA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left"/>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质保期</w:t>
            </w:r>
            <w:r>
              <w:rPr>
                <w:rFonts w:hint="eastAsia" w:ascii="宋体" w:hAnsi="宋体" w:eastAsia="宋体" w:cs="宋体"/>
                <w:sz w:val="24"/>
                <w:szCs w:val="24"/>
                <w:highlight w:val="none"/>
                <w:lang w:val="en-US" w:eastAsia="zh-CN"/>
              </w:rPr>
              <w:t>为项目验收之日起</w:t>
            </w:r>
            <w:r>
              <w:rPr>
                <w:rFonts w:hint="eastAsia" w:ascii="宋体" w:hAnsi="宋体" w:cs="宋体"/>
                <w:sz w:val="24"/>
                <w:szCs w:val="24"/>
                <w:highlight w:val="none"/>
                <w:lang w:val="en-US" w:eastAsia="zh-CN"/>
              </w:rPr>
              <w:t>1.5</w:t>
            </w:r>
            <w:r>
              <w:rPr>
                <w:rFonts w:hint="eastAsia" w:ascii="宋体" w:hAnsi="宋体" w:eastAsia="宋体" w:cs="宋体"/>
                <w:sz w:val="24"/>
                <w:szCs w:val="24"/>
                <w:highlight w:val="none"/>
              </w:rPr>
              <w:t>年（若有部分设备原厂商提供更长质保期，则按最长的质保期执行），时间从采购人验收（终验）合格之日起计算。</w:t>
            </w:r>
          </w:p>
          <w:p w14:paraId="39CDA12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left"/>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质保期内供应商须免费负责修理和替换任何由于配件自身的质量问题造成的损坏。</w:t>
            </w:r>
          </w:p>
        </w:tc>
      </w:tr>
      <w:tr w14:paraId="679E10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0678B12">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6、免费维修的响应期限</w:t>
            </w:r>
          </w:p>
        </w:tc>
        <w:tc>
          <w:tcPr>
            <w:tcW w:w="67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27D2F9">
            <w:pPr>
              <w:keepNext w:val="0"/>
              <w:keepLines w:val="0"/>
              <w:pageBreakBefore w:val="0"/>
              <w:widowControl w:val="0"/>
              <w:kinsoku/>
              <w:wordWrap/>
              <w:overflowPunct/>
              <w:topLinePunct w:val="0"/>
              <w:autoSpaceDE/>
              <w:autoSpaceDN/>
              <w:bidi w:val="0"/>
              <w:adjustRightInd/>
              <w:snapToGrid/>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在质保期内，一旦发生质量问题，供应商保证在接到通知后</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小时</w:t>
            </w:r>
            <w:r>
              <w:rPr>
                <w:rFonts w:hint="eastAsia" w:ascii="宋体" w:hAnsi="宋体" w:eastAsia="宋体" w:cs="宋体"/>
                <w:sz w:val="24"/>
                <w:szCs w:val="24"/>
                <w:highlight w:val="none"/>
              </w:rPr>
              <w:t>内作出响应，</w:t>
            </w:r>
            <w:r>
              <w:rPr>
                <w:rFonts w:hint="eastAsia" w:ascii="宋体" w:hAnsi="宋体" w:cs="宋体"/>
                <w:sz w:val="24"/>
                <w:szCs w:val="24"/>
                <w:highlight w:val="none"/>
                <w:lang w:val="en-US" w:eastAsia="zh-CN"/>
              </w:rPr>
              <w:t>24</w:t>
            </w:r>
            <w:r>
              <w:rPr>
                <w:rFonts w:hint="eastAsia" w:ascii="宋体" w:hAnsi="宋体" w:eastAsia="宋体" w:cs="宋体"/>
                <w:sz w:val="24"/>
                <w:szCs w:val="24"/>
                <w:highlight w:val="none"/>
              </w:rPr>
              <w:t>小时内到现场进行维修、更换或退货，费用由供应商负责。如供应商在接到通知的</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小时内没有答复或处理问题，则视为供应商承认质量问题并承担由此而发生的一切费用。保修期间产品的一切质量问题，更换部件及产品本身质量原因造成的直接经济损失应全部由供应商自行负责，更换时间不得超过24小时。</w:t>
            </w:r>
          </w:p>
        </w:tc>
      </w:tr>
      <w:tr w14:paraId="1C8DA5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42855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left"/>
              <w:textAlignment w:val="baseline"/>
              <w:outlineLvl w:val="9"/>
              <w:rPr>
                <w:rFonts w:hint="eastAsia" w:ascii="宋体" w:hAnsi="宋体" w:eastAsia="宋体" w:cs="宋体"/>
                <w:b/>
                <w:bCs/>
                <w:kern w:val="2"/>
                <w:sz w:val="24"/>
                <w:szCs w:val="24"/>
                <w:lang w:val="en-US" w:eastAsia="zh-CN" w:bidi="ar-SA"/>
              </w:rPr>
            </w:pPr>
            <w:r>
              <w:rPr>
                <w:rFonts w:hint="eastAsia" w:ascii="宋体" w:hAnsi="宋体" w:eastAsia="宋体" w:cs="宋体"/>
                <w:b/>
                <w:bCs/>
                <w:sz w:val="24"/>
                <w:szCs w:val="24"/>
              </w:rPr>
              <w:t>▲</w:t>
            </w:r>
            <w:r>
              <w:rPr>
                <w:rFonts w:hint="eastAsia" w:ascii="宋体" w:hAnsi="宋体" w:eastAsia="宋体" w:cs="宋体"/>
                <w:b/>
                <w:bCs/>
                <w:sz w:val="24"/>
                <w:szCs w:val="24"/>
                <w:lang w:val="en-US" w:eastAsia="zh-CN"/>
              </w:rPr>
              <w:t>7</w:t>
            </w:r>
            <w:r>
              <w:rPr>
                <w:rFonts w:hint="eastAsia" w:ascii="宋体" w:hAnsi="宋体" w:eastAsia="宋体" w:cs="宋体"/>
                <w:b/>
                <w:bCs/>
                <w:sz w:val="24"/>
                <w:szCs w:val="24"/>
              </w:rPr>
              <w:t>、产品及质量保证</w:t>
            </w:r>
          </w:p>
        </w:tc>
        <w:tc>
          <w:tcPr>
            <w:tcW w:w="67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2D376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outlineLvl w:val="9"/>
              <w:rPr>
                <w:rFonts w:hint="eastAsia" w:ascii="宋体" w:hAnsi="宋体" w:eastAsia="宋体" w:cs="宋体"/>
                <w:sz w:val="24"/>
                <w:szCs w:val="24"/>
              </w:rPr>
            </w:pPr>
            <w:r>
              <w:rPr>
                <w:rFonts w:hint="eastAsia" w:ascii="宋体" w:hAnsi="宋体" w:eastAsia="宋体" w:cs="宋体"/>
                <w:sz w:val="24"/>
                <w:szCs w:val="24"/>
              </w:rPr>
              <w:t>1、供应商保证所供的商品必须是出厂原装合格产品,如发生所供的商品与合同不符，采购人有权拒收或退货，由此产生的一切责任和后果由供应商承担。</w:t>
            </w:r>
          </w:p>
          <w:p w14:paraId="4B81C79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outlineLvl w:val="9"/>
              <w:rPr>
                <w:rFonts w:hint="eastAsia" w:ascii="宋体" w:hAnsi="宋体" w:eastAsia="宋体" w:cs="宋体"/>
                <w:sz w:val="24"/>
                <w:szCs w:val="24"/>
              </w:rPr>
            </w:pPr>
            <w:r>
              <w:rPr>
                <w:rFonts w:hint="eastAsia" w:ascii="宋体" w:hAnsi="宋体" w:eastAsia="宋体" w:cs="宋体"/>
                <w:sz w:val="24"/>
                <w:szCs w:val="24"/>
              </w:rPr>
              <w:t>2、在所供商品交付时，供应商必须向采购人提供产品说明书、</w:t>
            </w:r>
            <w:r>
              <w:rPr>
                <w:rFonts w:hint="eastAsia" w:ascii="宋体" w:hAnsi="宋体" w:cs="宋体"/>
                <w:sz w:val="24"/>
                <w:szCs w:val="24"/>
                <w:lang w:val="en-US" w:eastAsia="zh-CN"/>
              </w:rPr>
              <w:t>合格证</w:t>
            </w:r>
            <w:r>
              <w:rPr>
                <w:rFonts w:hint="eastAsia" w:ascii="宋体" w:hAnsi="宋体" w:eastAsia="宋体" w:cs="宋体"/>
                <w:sz w:val="24"/>
                <w:szCs w:val="24"/>
              </w:rPr>
              <w:t>、</w:t>
            </w:r>
            <w:r>
              <w:rPr>
                <w:rFonts w:hint="eastAsia" w:ascii="宋体" w:hAnsi="宋体" w:cs="宋体"/>
                <w:sz w:val="24"/>
                <w:szCs w:val="24"/>
                <w:lang w:val="en-US" w:eastAsia="zh-CN"/>
              </w:rPr>
              <w:t>出厂检验报告</w:t>
            </w:r>
            <w:r>
              <w:rPr>
                <w:rFonts w:hint="eastAsia" w:ascii="宋体" w:hAnsi="宋体" w:eastAsia="宋体" w:cs="宋体"/>
                <w:sz w:val="24"/>
                <w:szCs w:val="24"/>
              </w:rPr>
              <w:t>等必须具备的相关资料和必备附件。</w:t>
            </w:r>
          </w:p>
          <w:p w14:paraId="1669A23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outlineLvl w:val="9"/>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3、符合现行国家、地方和行业标准、规范要求。</w:t>
            </w:r>
          </w:p>
        </w:tc>
      </w:tr>
      <w:tr w14:paraId="187E7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noWrap w:val="0"/>
            <w:vAlign w:val="center"/>
          </w:tcPr>
          <w:p w14:paraId="6AC1F38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left"/>
              <w:textAlignment w:val="baseline"/>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lang w:val="en-US" w:eastAsia="zh-CN"/>
              </w:rPr>
              <w:t>8、</w:t>
            </w:r>
            <w:r>
              <w:rPr>
                <w:rFonts w:hint="eastAsia" w:ascii="宋体" w:hAnsi="宋体" w:eastAsia="宋体" w:cs="宋体"/>
                <w:b/>
                <w:bCs/>
                <w:sz w:val="24"/>
                <w:szCs w:val="24"/>
              </w:rPr>
              <w:t>备品备件及材料等要求</w:t>
            </w:r>
          </w:p>
        </w:tc>
        <w:tc>
          <w:tcPr>
            <w:tcW w:w="6755" w:type="dxa"/>
            <w:tcBorders>
              <w:top w:val="single" w:color="auto" w:sz="4" w:space="0"/>
              <w:left w:val="single" w:color="auto" w:sz="4" w:space="0"/>
              <w:bottom w:val="single" w:color="auto" w:sz="4" w:space="0"/>
              <w:right w:val="single" w:color="auto" w:sz="4" w:space="0"/>
            </w:tcBorders>
            <w:noWrap w:val="0"/>
            <w:vAlign w:val="center"/>
          </w:tcPr>
          <w:p w14:paraId="7825146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rPr>
              <w:t>供应商对主要设备须提供足够的备品备件、附件和耗材并保证是原厂生产，以满足设备正常运行的需要。</w:t>
            </w:r>
          </w:p>
        </w:tc>
      </w:tr>
      <w:tr w14:paraId="546CE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FF0DD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left"/>
              <w:textAlignment w:val="baseline"/>
              <w:outlineLvl w:val="9"/>
              <w:rPr>
                <w:rFonts w:hint="eastAsia" w:ascii="宋体" w:hAnsi="宋体" w:eastAsia="宋体" w:cs="宋体"/>
                <w:b/>
                <w:bCs/>
                <w:kern w:val="2"/>
                <w:sz w:val="24"/>
                <w:szCs w:val="24"/>
                <w:lang w:val="en-US" w:eastAsia="zh-CN" w:bidi="ar-SA"/>
              </w:rPr>
            </w:pPr>
            <w:r>
              <w:rPr>
                <w:rFonts w:hint="eastAsia" w:ascii="宋体" w:hAnsi="宋体" w:eastAsia="宋体" w:cs="宋体"/>
                <w:b/>
                <w:bCs/>
                <w:sz w:val="24"/>
                <w:szCs w:val="24"/>
                <w:lang w:val="en-US" w:eastAsia="zh-CN"/>
              </w:rPr>
              <w:t>9</w:t>
            </w:r>
            <w:r>
              <w:rPr>
                <w:rFonts w:hint="eastAsia" w:ascii="宋体" w:hAnsi="宋体" w:eastAsia="宋体" w:cs="宋体"/>
                <w:b/>
                <w:bCs/>
                <w:sz w:val="24"/>
                <w:szCs w:val="24"/>
              </w:rPr>
              <w:t>、售后技术服务要求</w:t>
            </w:r>
          </w:p>
        </w:tc>
        <w:tc>
          <w:tcPr>
            <w:tcW w:w="67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50F977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baseline"/>
              <w:outlineLvl w:val="9"/>
              <w:rPr>
                <w:rFonts w:hint="eastAsia" w:ascii="宋体" w:hAnsi="宋体" w:eastAsia="宋体" w:cs="宋体"/>
                <w:kern w:val="2"/>
                <w:sz w:val="24"/>
                <w:szCs w:val="24"/>
                <w:lang w:val="en-US" w:eastAsia="zh-CN" w:bidi="ar-SA"/>
              </w:rPr>
            </w:pPr>
            <w:r>
              <w:rPr>
                <w:rFonts w:hint="eastAsia" w:ascii="宋体" w:hAnsi="宋体" w:eastAsia="宋体" w:cs="宋体"/>
                <w:sz w:val="24"/>
                <w:szCs w:val="24"/>
              </w:rPr>
              <w:t>供应商应根据采购人的需求，对所提供的设备保证全面、有效、及时的售后维护服务。</w:t>
            </w:r>
          </w:p>
        </w:tc>
      </w:tr>
      <w:tr w14:paraId="40EAC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1930" w:type="dxa"/>
            <w:tcBorders>
              <w:top w:val="single" w:color="auto" w:sz="4" w:space="0"/>
              <w:left w:val="single" w:color="auto" w:sz="4" w:space="0"/>
              <w:bottom w:val="single" w:color="auto" w:sz="4" w:space="0"/>
              <w:right w:val="single" w:color="auto" w:sz="4" w:space="0"/>
            </w:tcBorders>
            <w:noWrap w:val="0"/>
            <w:vAlign w:val="center"/>
          </w:tcPr>
          <w:p w14:paraId="14513FDF">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▲10、其他说明</w:t>
            </w:r>
          </w:p>
        </w:tc>
        <w:tc>
          <w:tcPr>
            <w:tcW w:w="6755" w:type="dxa"/>
            <w:tcBorders>
              <w:top w:val="single" w:color="auto" w:sz="4" w:space="0"/>
              <w:left w:val="single" w:color="auto" w:sz="4" w:space="0"/>
              <w:bottom w:val="single" w:color="auto" w:sz="4" w:space="0"/>
              <w:right w:val="single" w:color="auto" w:sz="4" w:space="0"/>
            </w:tcBorders>
            <w:noWrap w:val="0"/>
            <w:vAlign w:val="center"/>
          </w:tcPr>
          <w:p w14:paraId="359CC43E">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1、本招标所提的要求仅为主要要求，不应作为完整的详细的要求；</w:t>
            </w:r>
          </w:p>
          <w:p w14:paraId="737743FC">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2、供应商应对投标材料的一切专利承担责任，并负责保护采购人的利益不受损害；一切由于文字、商标和技术专利侵权引起的法律裁决、诉讼及其费用均与采购人无关。</w:t>
            </w:r>
          </w:p>
        </w:tc>
      </w:tr>
    </w:tbl>
    <w:p w14:paraId="20FE2966">
      <w:pPr>
        <w:rPr>
          <w:rFonts w:hint="eastAsia" w:ascii="宋体" w:hAnsi="宋体" w:eastAsia="宋体" w:cs="宋体"/>
          <w:b/>
          <w:sz w:val="24"/>
          <w:szCs w:val="24"/>
        </w:rPr>
      </w:pPr>
    </w:p>
    <w:p w14:paraId="66A1C5F1">
      <w:pPr>
        <w:rPr>
          <w:rFonts w:hint="eastAsia" w:ascii="宋体" w:hAnsi="宋体" w:eastAsia="宋体" w:cs="宋体"/>
          <w:b/>
          <w:sz w:val="24"/>
          <w:szCs w:val="24"/>
        </w:rPr>
      </w:pPr>
      <w:r>
        <w:rPr>
          <w:rFonts w:hint="eastAsia" w:ascii="宋体" w:hAnsi="宋体" w:eastAsia="宋体" w:cs="宋体"/>
          <w:b/>
          <w:sz w:val="24"/>
          <w:szCs w:val="24"/>
        </w:rPr>
        <w:br w:type="page"/>
      </w:r>
    </w:p>
    <w:p w14:paraId="578EC3AF">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b/>
          <w:sz w:val="24"/>
          <w:szCs w:val="24"/>
          <w:lang w:val="en-US" w:eastAsia="zh-CN"/>
        </w:rPr>
      </w:pPr>
      <w:r>
        <w:rPr>
          <w:rFonts w:hint="eastAsia" w:ascii="宋体" w:hAnsi="宋体" w:eastAsia="宋体" w:cs="宋体"/>
          <w:b/>
          <w:sz w:val="24"/>
          <w:szCs w:val="24"/>
        </w:rPr>
        <w:t>二、</w:t>
      </w:r>
      <w:r>
        <w:rPr>
          <w:rFonts w:hint="eastAsia" w:ascii="宋体" w:hAnsi="宋体" w:cs="宋体"/>
          <w:b/>
          <w:sz w:val="24"/>
          <w:szCs w:val="24"/>
          <w:lang w:val="en-US" w:eastAsia="zh-CN"/>
        </w:rPr>
        <w:t>项目概况</w:t>
      </w:r>
    </w:p>
    <w:p w14:paraId="3950D01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lang w:val="en-US" w:eastAsia="zh-CN"/>
        </w:rPr>
      </w:pPr>
      <w:bookmarkStart w:id="35" w:name="_Hlk136867519"/>
      <w:bookmarkStart w:id="36" w:name="OLE_LINK21"/>
      <w:bookmarkStart w:id="37" w:name="_Hlk107329112"/>
      <w:r>
        <w:rPr>
          <w:rFonts w:hint="eastAsia" w:ascii="宋体" w:hAnsi="宋体" w:eastAsia="宋体" w:cs="宋体"/>
          <w:b w:val="0"/>
          <w:bCs/>
          <w:color w:val="auto"/>
          <w:sz w:val="24"/>
          <w:szCs w:val="24"/>
          <w:highlight w:val="none"/>
          <w:lang w:val="en-US" w:eastAsia="zh-CN"/>
        </w:rPr>
        <w:t>象山经济开发区投资有限公司根据浙东表面处理产业园区未来产线发展规划需要，结合环保部门最新要求，提出对现有迁建污水站进行非电镀废水技改。由于非电镀废水占用原有电镀废水的总量指标，将原混入电镀水中的其他酸洗磷化、电泳、阳极氧化镀线等非电镀线工序产生废水单独分出，均归为非电镀废水范畴。针对各类非电镀废水，明确需单独分类收集、分质处理、监控达标，</w:t>
      </w:r>
      <w:bookmarkEnd w:id="35"/>
      <w:r>
        <w:rPr>
          <w:rFonts w:hint="eastAsia" w:ascii="宋体" w:hAnsi="宋体" w:eastAsia="宋体" w:cs="宋体"/>
          <w:b w:val="0"/>
          <w:bCs/>
          <w:color w:val="auto"/>
          <w:sz w:val="24"/>
          <w:szCs w:val="24"/>
          <w:highlight w:val="none"/>
          <w:lang w:val="en-US" w:eastAsia="zh-CN"/>
        </w:rPr>
        <w:t>以上调整内容作为非电镀废水技改项目范畴。</w:t>
      </w:r>
    </w:p>
    <w:bookmarkEnd w:id="36"/>
    <w:p w14:paraId="01E4992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由于新建项目从立项到落地至少2年以上时间，为满足新建项目落地前的环保政策要求，结合现有污水站情况，需做技改项目过渡期工程的处理设施。</w:t>
      </w:r>
      <w:bookmarkEnd w:id="37"/>
    </w:p>
    <w:p w14:paraId="4B4C68B1">
      <w:pPr>
        <w:adjustRightInd/>
        <w:spacing w:line="360" w:lineRule="auto"/>
        <w:rPr>
          <w:rFonts w:hint="eastAsia" w:ascii="宋体" w:hAnsi="宋体" w:cs="宋体"/>
          <w:b/>
          <w:sz w:val="24"/>
          <w:highlight w:val="none"/>
          <w:lang w:val="en-US" w:eastAsia="zh-CN"/>
        </w:rPr>
      </w:pPr>
    </w:p>
    <w:p w14:paraId="7181B579">
      <w:pPr>
        <w:adjustRightInd/>
        <w:spacing w:line="360" w:lineRule="auto"/>
        <w:rPr>
          <w:rFonts w:hint="default" w:ascii="宋体" w:hAnsi="宋体" w:cs="宋体"/>
          <w:b/>
          <w:sz w:val="24"/>
          <w:highlight w:val="none"/>
          <w:lang w:val="en-US" w:eastAsia="zh-CN"/>
        </w:rPr>
      </w:pPr>
      <w:r>
        <w:rPr>
          <w:rFonts w:hint="eastAsia" w:ascii="宋体" w:hAnsi="宋体" w:cs="宋体"/>
          <w:b/>
          <w:sz w:val="24"/>
          <w:highlight w:val="none"/>
          <w:lang w:val="en-US" w:eastAsia="zh-CN"/>
        </w:rPr>
        <w:t>三、服务范围</w:t>
      </w:r>
    </w:p>
    <w:p w14:paraId="17E8C60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本项目服务范围包括非电镀废水处理工艺设计、配套的污泥处理工艺设计、工艺相关新增设备选型、利旧设备的选型及改造提资、工艺相关电气自控设计等。</w:t>
      </w:r>
    </w:p>
    <w:p w14:paraId="58028EB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工艺界限：本项目新增及利旧设备均在污水处理中心厂界范围内就位，自浙东表面处理工业城污水处理中心各非电镀废水调节池后（不含进水管廊）至标准排放口（需接入外排管）为界。</w:t>
      </w:r>
    </w:p>
    <w:p w14:paraId="752A63A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电气界限：工艺电气、自控部分（工艺电气以污水处理中心内各低配间的工艺低压配电柜总断路器上端为界，不含无功功率补偿柜）。</w:t>
      </w:r>
    </w:p>
    <w:p w14:paraId="117808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工程实施完成后，对设备工程、电气系统及工艺系统进行调试，确保设备和电气系统能稳定正常工作，并通过工艺指导调试保证污水处理工程在符合设计分水及进水水质合理波动范围内的情况下，出水指标满足《电镀水污染物排放标准》(DB33/2260-2020)间接排放要求及下游污水站纳管标准。</w:t>
      </w:r>
    </w:p>
    <w:p w14:paraId="2A698F0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 w:val="24"/>
          <w:szCs w:val="24"/>
          <w:highlight w:val="none"/>
          <w:lang w:val="en-US" w:eastAsia="zh-CN"/>
        </w:rPr>
      </w:pPr>
    </w:p>
    <w:p w14:paraId="0A1E4363">
      <w:pPr>
        <w:adjustRightInd/>
        <w:spacing w:line="360" w:lineRule="auto"/>
        <w:rPr>
          <w:rFonts w:hint="default" w:ascii="宋体" w:hAnsi="宋体" w:cs="宋体"/>
          <w:b/>
          <w:sz w:val="24"/>
          <w:highlight w:val="none"/>
          <w:lang w:val="en-US" w:eastAsia="zh-CN"/>
        </w:rPr>
      </w:pPr>
      <w:r>
        <w:rPr>
          <w:rFonts w:hint="eastAsia" w:ascii="宋体" w:hAnsi="宋体" w:cs="宋体"/>
          <w:b/>
          <w:sz w:val="24"/>
          <w:highlight w:val="none"/>
          <w:lang w:val="en-US" w:eastAsia="zh-CN"/>
        </w:rPr>
        <w:t>四、</w:t>
      </w:r>
      <w:bookmarkStart w:id="38" w:name="_Toc15247"/>
      <w:r>
        <w:rPr>
          <w:rFonts w:hint="eastAsia" w:ascii="宋体" w:hAnsi="宋体" w:cs="宋体"/>
          <w:b/>
          <w:sz w:val="24"/>
          <w:highlight w:val="none"/>
          <w:lang w:val="en-US" w:eastAsia="zh-CN"/>
        </w:rPr>
        <w:t>项目</w:t>
      </w:r>
      <w:r>
        <w:rPr>
          <w:rFonts w:hint="eastAsia"/>
          <w:b/>
          <w:bCs/>
          <w:color w:val="000000"/>
          <w:sz w:val="24"/>
        </w:rPr>
        <w:t>规模及内容</w:t>
      </w:r>
      <w:bookmarkEnd w:id="38"/>
    </w:p>
    <w:p w14:paraId="16D6F4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非电镀废水总设计处理能力为400 m³/d，其中非电镀综合废水330m³/d，非电镀含镍废水40m³/d，非电镀含铬废水30m³/d，物化预处理系统日运行时间为16小时/天，生化系统日运行时间为24小时/天。本项目主要完成购置并安装非电镀废水调节池配套提升泵、反应及絮凝池配套耐腐型均质搅拌系统、沉淀池配套加强型刮泥机等废水处理工艺设备，完成站内工艺电气自控系统等配套设施建设；非电镀废水处理系统利旧现有土建或钢结构池体，不含废气处理系统、污水站外进排水管网、进户电缆、在线监控设备及配套在线监控室、标准排放口等公共及运营设施设备。</w:t>
      </w:r>
    </w:p>
    <w:p w14:paraId="36C28383">
      <w:pPr>
        <w:numPr>
          <w:ilvl w:val="-1"/>
          <w:numId w:val="0"/>
        </w:numPr>
        <w:tabs>
          <w:tab w:val="left" w:pos="284"/>
        </w:tabs>
        <w:adjustRightInd w:val="0"/>
        <w:snapToGrid w:val="0"/>
        <w:spacing w:line="360" w:lineRule="auto"/>
        <w:ind w:left="0" w:firstLine="0"/>
        <w:outlineLvl w:val="0"/>
        <w:rPr>
          <w:rFonts w:hint="eastAsia"/>
          <w:b/>
          <w:bCs/>
          <w:color w:val="000000" w:themeColor="text1"/>
          <w:sz w:val="24"/>
          <w:lang w:val="en-US" w:eastAsia="zh-CN"/>
          <w14:textFill>
            <w14:solidFill>
              <w14:schemeClr w14:val="tx1"/>
            </w14:solidFill>
          </w14:textFill>
        </w:rPr>
      </w:pPr>
      <w:bookmarkStart w:id="39" w:name="_Toc10984"/>
    </w:p>
    <w:p w14:paraId="1E9FE2ED">
      <w:pPr>
        <w:numPr>
          <w:ilvl w:val="-1"/>
          <w:numId w:val="0"/>
        </w:numPr>
        <w:tabs>
          <w:tab w:val="left" w:pos="284"/>
        </w:tabs>
        <w:adjustRightInd w:val="0"/>
        <w:snapToGrid w:val="0"/>
        <w:spacing w:line="360" w:lineRule="auto"/>
        <w:ind w:left="0" w:firstLine="0"/>
        <w:outlineLvl w:val="0"/>
        <w:rPr>
          <w:b/>
          <w:bCs/>
          <w:color w:val="000000" w:themeColor="text1"/>
          <w:sz w:val="24"/>
          <w14:textFill>
            <w14:solidFill>
              <w14:schemeClr w14:val="tx1"/>
            </w14:solidFill>
          </w14:textFill>
        </w:rPr>
      </w:pPr>
      <w:r>
        <w:rPr>
          <w:rFonts w:hint="eastAsia"/>
          <w:b/>
          <w:bCs/>
          <w:color w:val="000000" w:themeColor="text1"/>
          <w:sz w:val="24"/>
          <w:lang w:val="en-US" w:eastAsia="zh-CN"/>
          <w14:textFill>
            <w14:solidFill>
              <w14:schemeClr w14:val="tx1"/>
            </w14:solidFill>
          </w14:textFill>
        </w:rPr>
        <w:t>五、设计基础资料</w:t>
      </w:r>
      <w:bookmarkEnd w:id="39"/>
    </w:p>
    <w:p w14:paraId="7719E9D6">
      <w:pPr>
        <w:numPr>
          <w:ilvl w:val="-1"/>
          <w:numId w:val="0"/>
        </w:numPr>
        <w:tabs>
          <w:tab w:val="left" w:pos="284"/>
        </w:tabs>
        <w:adjustRightInd w:val="0"/>
        <w:snapToGrid w:val="0"/>
        <w:spacing w:line="360" w:lineRule="auto"/>
        <w:ind w:left="0" w:firstLine="0"/>
        <w:outlineLvl w:val="0"/>
        <w:rPr>
          <w:rFonts w:hint="eastAsia" w:eastAsia="宋体"/>
          <w:b/>
          <w:bCs/>
          <w:color w:val="000000" w:themeColor="text1"/>
          <w:sz w:val="24"/>
          <w:lang w:val="en-US" w:eastAsia="zh-CN"/>
          <w14:textFill>
            <w14:solidFill>
              <w14:schemeClr w14:val="tx1"/>
            </w14:solidFill>
          </w14:textFill>
        </w:rPr>
      </w:pPr>
      <w:bookmarkStart w:id="40" w:name="_Toc29803"/>
      <w:bookmarkStart w:id="41" w:name="_Toc5803"/>
      <w:r>
        <w:rPr>
          <w:rFonts w:hint="eastAsia" w:eastAsia="宋体"/>
          <w:b/>
          <w:bCs/>
          <w:color w:val="000000" w:themeColor="text1"/>
          <w:sz w:val="24"/>
          <w:lang w:val="en-US" w:eastAsia="zh-CN"/>
          <w14:textFill>
            <w14:solidFill>
              <w14:schemeClr w14:val="tx1"/>
            </w14:solidFill>
          </w14:textFill>
        </w:rPr>
        <w:t>1.废水分类及来源</w:t>
      </w:r>
      <w:bookmarkEnd w:id="40"/>
      <w:bookmarkEnd w:id="41"/>
    </w:p>
    <w:p w14:paraId="255313A6">
      <w:pPr>
        <w:tabs>
          <w:tab w:val="left" w:pos="284"/>
        </w:tabs>
        <w:adjustRightInd w:val="0"/>
        <w:snapToGrid w:val="0"/>
        <w:spacing w:line="360" w:lineRule="auto"/>
        <w:ind w:firstLine="480" w:firstLineChars="200"/>
        <w:rPr>
          <w:rFonts w:hint="eastAsia" w:ascii="宋体" w:hAnsi="宋体" w:eastAsia="宋体" w:cs="宋体"/>
          <w:snapToGrid w:val="0"/>
          <w:color w:val="000000" w:themeColor="text1"/>
          <w:sz w:val="24"/>
          <w14:textFill>
            <w14:solidFill>
              <w14:schemeClr w14:val="tx1"/>
            </w14:solidFill>
          </w14:textFill>
        </w:rPr>
      </w:pPr>
      <w:r>
        <w:rPr>
          <w:rFonts w:hint="eastAsia" w:ascii="宋体" w:hAnsi="宋体" w:eastAsia="宋体" w:cs="宋体"/>
          <w:snapToGrid w:val="0"/>
          <w:color w:val="000000" w:themeColor="text1"/>
          <w:sz w:val="24"/>
          <w14:textFill>
            <w14:solidFill>
              <w14:schemeClr w14:val="tx1"/>
            </w14:solidFill>
          </w14:textFill>
        </w:rPr>
        <w:t>本项目的非电镀废水采取分类收集、分质处理的方法，尤其关注第一类污染物（铬、镍）。非电镀废水设计共分3类，即非电镀含镍废水、非电镀含铬废水、非电镀综合废水。具体见下表。</w:t>
      </w:r>
    </w:p>
    <w:p w14:paraId="57DD3360">
      <w:pPr>
        <w:tabs>
          <w:tab w:val="left" w:pos="284"/>
        </w:tabs>
        <w:adjustRightInd w:val="0"/>
        <w:snapToGrid w:val="0"/>
        <w:spacing w:line="360" w:lineRule="auto"/>
        <w:jc w:val="center"/>
        <w:rPr>
          <w:b/>
          <w:bCs/>
          <w:snapToGrid w:val="0"/>
          <w:color w:val="000000" w:themeColor="text1"/>
          <w:sz w:val="24"/>
          <w14:textFill>
            <w14:solidFill>
              <w14:schemeClr w14:val="tx1"/>
            </w14:solidFill>
          </w14:textFill>
        </w:rPr>
      </w:pPr>
      <w:r>
        <w:rPr>
          <w:rFonts w:eastAsiaTheme="minorEastAsia"/>
          <w:b/>
          <w:bCs/>
          <w:color w:val="000000" w:themeColor="text1"/>
          <w14:textFill>
            <w14:solidFill>
              <w14:schemeClr w14:val="tx1"/>
            </w14:solidFill>
          </w14:textFill>
        </w:rPr>
        <w:t>表</w:t>
      </w:r>
      <w:r>
        <w:rPr>
          <w:rFonts w:hint="eastAsia" w:eastAsiaTheme="minorEastAsia"/>
          <w:b/>
          <w:bCs/>
          <w:color w:val="000000" w:themeColor="text1"/>
          <w:lang w:val="en-US" w:eastAsia="zh-CN"/>
          <w14:textFill>
            <w14:solidFill>
              <w14:schemeClr w14:val="tx1"/>
            </w14:solidFill>
          </w14:textFill>
        </w:rPr>
        <w:t>1</w:t>
      </w:r>
      <w:r>
        <w:rPr>
          <w:rFonts w:eastAsiaTheme="minorEastAsia"/>
          <w:b/>
          <w:bCs/>
          <w:color w:val="000000" w:themeColor="text1"/>
          <w14:textFill>
            <w14:solidFill>
              <w14:schemeClr w14:val="tx1"/>
            </w14:solidFill>
          </w14:textFill>
        </w:rPr>
        <w:t xml:space="preserve"> 废水</w:t>
      </w:r>
      <w:r>
        <w:rPr>
          <w:rStyle w:val="78"/>
          <w:b/>
          <w:bCs/>
          <w:color w:val="000000" w:themeColor="text1"/>
          <w14:textFill>
            <w14:solidFill>
              <w14:schemeClr w14:val="tx1"/>
            </w14:solidFill>
          </w14:textFill>
        </w:rPr>
        <w:t>分质</w:t>
      </w:r>
      <w:r>
        <w:rPr>
          <w:rFonts w:eastAsiaTheme="minorEastAsia"/>
          <w:b/>
          <w:bCs/>
          <w:color w:val="000000" w:themeColor="text1"/>
          <w14:textFill>
            <w14:solidFill>
              <w14:schemeClr w14:val="tx1"/>
            </w14:solidFill>
          </w14:textFill>
        </w:rPr>
        <w:t>分流情况</w:t>
      </w:r>
    </w:p>
    <w:tbl>
      <w:tblPr>
        <w:tblStyle w:val="62"/>
        <w:tblW w:w="4998" w:type="pct"/>
        <w:jc w:val="center"/>
        <w:tblLayout w:type="autofit"/>
        <w:tblCellMar>
          <w:top w:w="0" w:type="dxa"/>
          <w:left w:w="108" w:type="dxa"/>
          <w:bottom w:w="0" w:type="dxa"/>
          <w:right w:w="108" w:type="dxa"/>
        </w:tblCellMar>
      </w:tblPr>
      <w:tblGrid>
        <w:gridCol w:w="549"/>
        <w:gridCol w:w="1260"/>
        <w:gridCol w:w="4811"/>
        <w:gridCol w:w="1164"/>
        <w:gridCol w:w="735"/>
      </w:tblGrid>
      <w:tr w14:paraId="7B7F60B4">
        <w:tblPrEx>
          <w:tblCellMar>
            <w:top w:w="0" w:type="dxa"/>
            <w:left w:w="108" w:type="dxa"/>
            <w:bottom w:w="0" w:type="dxa"/>
            <w:right w:w="108" w:type="dxa"/>
          </w:tblCellMar>
        </w:tblPrEx>
        <w:trPr>
          <w:trHeight w:val="454" w:hRule="atLeast"/>
          <w:jc w:val="center"/>
        </w:trPr>
        <w:tc>
          <w:tcPr>
            <w:tcW w:w="322"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3C964663">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序号</w:t>
            </w:r>
          </w:p>
        </w:tc>
        <w:tc>
          <w:tcPr>
            <w:tcW w:w="739"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2BBA2BDB">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废水种类</w:t>
            </w:r>
          </w:p>
        </w:tc>
        <w:tc>
          <w:tcPr>
            <w:tcW w:w="2822"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0F8C8569">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来源</w:t>
            </w:r>
          </w:p>
        </w:tc>
        <w:tc>
          <w:tcPr>
            <w:tcW w:w="683"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67605F7F">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设计水量（m</w:t>
            </w:r>
            <w:r>
              <w:rPr>
                <w:rFonts w:hint="eastAsia" w:ascii="宋体" w:hAnsi="宋体" w:eastAsia="宋体" w:cs="宋体"/>
                <w:b/>
                <w:bCs/>
                <w:color w:val="000000" w:themeColor="text1"/>
                <w:kern w:val="0"/>
                <w:szCs w:val="21"/>
                <w:vertAlign w:val="superscript"/>
                <w:lang w:bidi="ar"/>
                <w14:textFill>
                  <w14:solidFill>
                    <w14:schemeClr w14:val="tx1"/>
                  </w14:solidFill>
                </w14:textFill>
              </w:rPr>
              <w:t>3</w:t>
            </w:r>
            <w:r>
              <w:rPr>
                <w:rFonts w:hint="eastAsia" w:ascii="宋体" w:hAnsi="宋体" w:eastAsia="宋体" w:cs="宋体"/>
                <w:b/>
                <w:bCs/>
                <w:color w:val="000000" w:themeColor="text1"/>
                <w:kern w:val="0"/>
                <w:szCs w:val="21"/>
                <w:lang w:bidi="ar"/>
                <w14:textFill>
                  <w14:solidFill>
                    <w14:schemeClr w14:val="tx1"/>
                  </w14:solidFill>
                </w14:textFill>
              </w:rPr>
              <w:t>/d）</w:t>
            </w:r>
          </w:p>
        </w:tc>
        <w:tc>
          <w:tcPr>
            <w:tcW w:w="431"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2D0D32C4">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比例</w:t>
            </w:r>
          </w:p>
        </w:tc>
      </w:tr>
      <w:tr w14:paraId="3714C10F">
        <w:tblPrEx>
          <w:tblCellMar>
            <w:top w:w="0" w:type="dxa"/>
            <w:left w:w="108" w:type="dxa"/>
            <w:bottom w:w="0" w:type="dxa"/>
            <w:right w:w="108" w:type="dxa"/>
          </w:tblCellMar>
        </w:tblPrEx>
        <w:trPr>
          <w:trHeight w:val="454" w:hRule="atLeast"/>
          <w:jc w:val="center"/>
        </w:trPr>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6356E">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D0B8B">
            <w:pPr>
              <w:widowControl/>
              <w:jc w:val="center"/>
              <w:textAlignment w:val="center"/>
              <w:rPr>
                <w:rFonts w:hint="eastAsia" w:ascii="宋体" w:hAnsi="宋体" w:eastAsia="宋体" w:cs="宋体"/>
                <w:color w:val="000000" w:themeColor="text1"/>
                <w:kern w:val="0"/>
                <w:szCs w:val="21"/>
                <w:lang w:bidi="ar"/>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非电镀</w:t>
            </w:r>
          </w:p>
          <w:p w14:paraId="315D2BEA">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综合废水</w:t>
            </w:r>
          </w:p>
        </w:tc>
        <w:tc>
          <w:tcPr>
            <w:tcW w:w="28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1B8F65">
            <w:pPr>
              <w:widowControl/>
              <w:jc w:val="left"/>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阳极氧化、表面处理酸洗、磷化、电泳等漂洗废水</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4F6D7">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330</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DB4DA">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83%</w:t>
            </w:r>
          </w:p>
        </w:tc>
      </w:tr>
      <w:tr w14:paraId="47F4029A">
        <w:tblPrEx>
          <w:tblCellMar>
            <w:top w:w="0" w:type="dxa"/>
            <w:left w:w="108" w:type="dxa"/>
            <w:bottom w:w="0" w:type="dxa"/>
            <w:right w:w="108" w:type="dxa"/>
          </w:tblCellMar>
        </w:tblPrEx>
        <w:trPr>
          <w:trHeight w:val="454" w:hRule="atLeast"/>
          <w:jc w:val="center"/>
        </w:trPr>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41608">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2</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1BA20B">
            <w:pPr>
              <w:widowControl/>
              <w:jc w:val="center"/>
              <w:textAlignment w:val="center"/>
              <w:rPr>
                <w:rFonts w:hint="eastAsia" w:ascii="宋体" w:hAnsi="宋体" w:eastAsia="宋体" w:cs="宋体"/>
                <w:color w:val="000000" w:themeColor="text1"/>
                <w:kern w:val="0"/>
                <w:szCs w:val="21"/>
                <w:lang w:bidi="ar"/>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非电镀</w:t>
            </w:r>
          </w:p>
          <w:p w14:paraId="2B4E75C8">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含铬废水</w:t>
            </w:r>
          </w:p>
        </w:tc>
        <w:tc>
          <w:tcPr>
            <w:tcW w:w="28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6F396">
            <w:pPr>
              <w:widowControl/>
              <w:jc w:val="left"/>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非电镀工序过程中钝化工艺产生的漂洗废水等</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656FA0">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 xml:space="preserve">30 </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C26C0A">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8%</w:t>
            </w:r>
          </w:p>
        </w:tc>
      </w:tr>
      <w:tr w14:paraId="4225810E">
        <w:tblPrEx>
          <w:tblCellMar>
            <w:top w:w="0" w:type="dxa"/>
            <w:left w:w="108" w:type="dxa"/>
            <w:bottom w:w="0" w:type="dxa"/>
            <w:right w:w="108" w:type="dxa"/>
          </w:tblCellMar>
        </w:tblPrEx>
        <w:trPr>
          <w:trHeight w:val="454" w:hRule="atLeast"/>
          <w:jc w:val="center"/>
        </w:trPr>
        <w:tc>
          <w:tcPr>
            <w:tcW w:w="3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F0217">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3</w:t>
            </w: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9C9E1">
            <w:pPr>
              <w:widowControl/>
              <w:jc w:val="center"/>
              <w:textAlignment w:val="center"/>
              <w:rPr>
                <w:rFonts w:hint="eastAsia" w:ascii="宋体" w:hAnsi="宋体" w:eastAsia="宋体" w:cs="宋体"/>
                <w:color w:val="000000" w:themeColor="text1"/>
                <w:kern w:val="0"/>
                <w:szCs w:val="21"/>
                <w:lang w:bidi="ar"/>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非电镀</w:t>
            </w:r>
          </w:p>
          <w:p w14:paraId="1B85EA21">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含镍废水</w:t>
            </w:r>
          </w:p>
        </w:tc>
        <w:tc>
          <w:tcPr>
            <w:tcW w:w="282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9AC16">
            <w:pPr>
              <w:widowControl/>
              <w:jc w:val="left"/>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阳极氧化封孔工序多采用镍盐型氧化膜封闭剂，此工序产生的漂洗废水</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86F24">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40</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F7351">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10%</w:t>
            </w:r>
          </w:p>
        </w:tc>
      </w:tr>
      <w:tr w14:paraId="2991CA44">
        <w:tblPrEx>
          <w:tblCellMar>
            <w:top w:w="0" w:type="dxa"/>
            <w:left w:w="108" w:type="dxa"/>
            <w:bottom w:w="0" w:type="dxa"/>
            <w:right w:w="108" w:type="dxa"/>
          </w:tblCellMar>
        </w:tblPrEx>
        <w:trPr>
          <w:trHeight w:val="454" w:hRule="atLeast"/>
          <w:jc w:val="center"/>
        </w:trPr>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B66F28">
            <w:pPr>
              <w:rPr>
                <w:rFonts w:hint="eastAsia" w:ascii="宋体" w:hAnsi="宋体" w:eastAsia="宋体" w:cs="宋体"/>
                <w:color w:val="000000" w:themeColor="text1"/>
                <w:sz w:val="22"/>
                <w:szCs w:val="22"/>
                <w14:textFill>
                  <w14:solidFill>
                    <w14:schemeClr w14:val="tx1"/>
                  </w14:solidFill>
                </w14:textFill>
              </w:rPr>
            </w:pPr>
          </w:p>
        </w:tc>
        <w:tc>
          <w:tcPr>
            <w:tcW w:w="7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9DED6">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合计</w:t>
            </w:r>
          </w:p>
        </w:tc>
        <w:tc>
          <w:tcPr>
            <w:tcW w:w="2822"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FC5C7E">
            <w:pPr>
              <w:rPr>
                <w:rFonts w:hint="eastAsia" w:ascii="宋体" w:hAnsi="宋体" w:eastAsia="宋体" w:cs="宋体"/>
                <w:color w:val="000000" w:themeColor="text1"/>
                <w:sz w:val="22"/>
                <w:szCs w:val="22"/>
                <w14:textFill>
                  <w14:solidFill>
                    <w14:schemeClr w14:val="tx1"/>
                  </w14:solidFill>
                </w14:textFill>
              </w:rPr>
            </w:pP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82315">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400</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21C86">
            <w:pPr>
              <w:widowControl/>
              <w:jc w:val="center"/>
              <w:textAlignment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kern w:val="0"/>
                <w:szCs w:val="21"/>
                <w:lang w:bidi="ar"/>
                <w14:textFill>
                  <w14:solidFill>
                    <w14:schemeClr w14:val="tx1"/>
                  </w14:solidFill>
                </w14:textFill>
              </w:rPr>
              <w:t>100%</w:t>
            </w:r>
          </w:p>
        </w:tc>
      </w:tr>
    </w:tbl>
    <w:p w14:paraId="592A8ED0">
      <w:pPr>
        <w:tabs>
          <w:tab w:val="left" w:pos="284"/>
        </w:tabs>
        <w:adjustRightInd w:val="0"/>
        <w:snapToGrid w:val="0"/>
        <w:spacing w:line="276" w:lineRule="auto"/>
        <w:ind w:firstLine="480" w:firstLineChars="200"/>
        <w:rPr>
          <w:snapToGrid w:val="0"/>
          <w:color w:val="000000" w:themeColor="text1"/>
          <w:sz w:val="24"/>
          <w14:textFill>
            <w14:solidFill>
              <w14:schemeClr w14:val="tx1"/>
            </w14:solidFill>
          </w14:textFill>
        </w:rPr>
      </w:pPr>
    </w:p>
    <w:p w14:paraId="38622081">
      <w:pPr>
        <w:tabs>
          <w:tab w:val="left" w:pos="284"/>
        </w:tabs>
        <w:adjustRightInd w:val="0"/>
        <w:snapToGrid w:val="0"/>
        <w:spacing w:line="360" w:lineRule="auto"/>
        <w:jc w:val="center"/>
        <w:rPr>
          <w:snapToGrid w:val="0"/>
          <w:color w:val="000000" w:themeColor="text1"/>
          <w:sz w:val="24"/>
          <w14:textFill>
            <w14:solidFill>
              <w14:schemeClr w14:val="tx1"/>
            </w14:solidFill>
          </w14:textFill>
        </w:rPr>
        <w:sectPr>
          <w:pgSz w:w="11906" w:h="16838"/>
          <w:pgMar w:top="1440" w:right="1800" w:bottom="1440" w:left="1800" w:header="851" w:footer="992" w:gutter="0"/>
          <w:pgNumType w:fmt="decimal"/>
          <w:cols w:space="425" w:num="1"/>
          <w:docGrid w:type="lines" w:linePitch="312" w:charSpace="0"/>
        </w:sectPr>
      </w:pPr>
    </w:p>
    <w:p w14:paraId="34802869">
      <w:pPr>
        <w:numPr>
          <w:ilvl w:val="-1"/>
          <w:numId w:val="0"/>
        </w:numPr>
        <w:adjustRightInd w:val="0"/>
        <w:snapToGrid w:val="0"/>
        <w:spacing w:line="360" w:lineRule="auto"/>
        <w:ind w:left="0" w:firstLine="0"/>
        <w:jc w:val="left"/>
        <w:outlineLvl w:val="1"/>
        <w:rPr>
          <w:b/>
          <w:bCs/>
          <w:snapToGrid w:val="0"/>
          <w:color w:val="000000" w:themeColor="text1"/>
          <w:sz w:val="24"/>
          <w14:textFill>
            <w14:solidFill>
              <w14:schemeClr w14:val="tx1"/>
            </w14:solidFill>
          </w14:textFill>
        </w:rPr>
      </w:pPr>
      <w:bookmarkStart w:id="42" w:name="_Toc19369"/>
      <w:bookmarkStart w:id="43" w:name="_Toc11140"/>
      <w:r>
        <w:rPr>
          <w:rFonts w:hint="eastAsia"/>
          <w:b/>
          <w:bCs/>
          <w:snapToGrid w:val="0"/>
          <w:color w:val="000000" w:themeColor="text1"/>
          <w:sz w:val="24"/>
          <w:lang w:val="en-US" w:eastAsia="zh-CN"/>
          <w14:textFill>
            <w14:solidFill>
              <w14:schemeClr w14:val="tx1"/>
            </w14:solidFill>
          </w14:textFill>
        </w:rPr>
        <w:t>2.</w:t>
      </w:r>
      <w:r>
        <w:rPr>
          <w:b/>
          <w:bCs/>
          <w:snapToGrid w:val="0"/>
          <w:color w:val="000000" w:themeColor="text1"/>
          <w:sz w:val="24"/>
          <w14:textFill>
            <w14:solidFill>
              <w14:schemeClr w14:val="tx1"/>
            </w14:solidFill>
          </w14:textFill>
        </w:rPr>
        <w:t>设计进水水质</w:t>
      </w:r>
      <w:bookmarkEnd w:id="42"/>
      <w:bookmarkEnd w:id="43"/>
    </w:p>
    <w:p w14:paraId="2C01B423">
      <w:pPr>
        <w:adjustRightInd w:val="0"/>
        <w:snapToGrid w:val="0"/>
        <w:spacing w:line="360" w:lineRule="auto"/>
        <w:ind w:firstLine="480" w:firstLineChars="200"/>
        <w:jc w:val="left"/>
        <w:rPr>
          <w:snapToGrid w:val="0"/>
          <w:color w:val="000000" w:themeColor="text1"/>
          <w:sz w:val="24"/>
          <w14:textFill>
            <w14:solidFill>
              <w14:schemeClr w14:val="tx1"/>
            </w14:solidFill>
          </w14:textFill>
        </w:rPr>
      </w:pPr>
      <w:r>
        <w:rPr>
          <w:snapToGrid w:val="0"/>
          <w:color w:val="000000" w:themeColor="text1"/>
          <w:sz w:val="24"/>
          <w14:textFill>
            <w14:solidFill>
              <w14:schemeClr w14:val="tx1"/>
            </w14:solidFill>
          </w14:textFill>
        </w:rPr>
        <w:t>设计进水水质限值具体指标如下表所示。</w:t>
      </w:r>
    </w:p>
    <w:p w14:paraId="2EFD5807">
      <w:pPr>
        <w:adjustRightInd w:val="0"/>
        <w:snapToGrid w:val="0"/>
        <w:spacing w:line="360" w:lineRule="auto"/>
        <w:ind w:firstLine="422" w:firstLineChars="200"/>
        <w:jc w:val="center"/>
        <w:rPr>
          <w:b/>
          <w:bCs/>
          <w:snapToGrid w:val="0"/>
          <w:color w:val="000000" w:themeColor="text1"/>
          <w:kern w:val="0"/>
          <w:szCs w:val="21"/>
          <w:highlight w:val="none"/>
          <w14:textFill>
            <w14:solidFill>
              <w14:schemeClr w14:val="tx1"/>
            </w14:solidFill>
          </w14:textFill>
        </w:rPr>
      </w:pPr>
      <w:r>
        <w:rPr>
          <w:b/>
          <w:bCs/>
          <w:snapToGrid w:val="0"/>
          <w:color w:val="000000" w:themeColor="text1"/>
          <w:kern w:val="0"/>
          <w:szCs w:val="21"/>
          <w:highlight w:val="none"/>
          <w14:textFill>
            <w14:solidFill>
              <w14:schemeClr w14:val="tx1"/>
            </w14:solidFill>
          </w14:textFill>
        </w:rPr>
        <w:t>表</w:t>
      </w:r>
      <w:r>
        <w:rPr>
          <w:rFonts w:hint="eastAsia"/>
          <w:b/>
          <w:bCs/>
          <w:snapToGrid w:val="0"/>
          <w:color w:val="000000" w:themeColor="text1"/>
          <w:kern w:val="0"/>
          <w:szCs w:val="21"/>
          <w:highlight w:val="none"/>
          <w:lang w:val="en-US" w:eastAsia="zh-CN"/>
          <w14:textFill>
            <w14:solidFill>
              <w14:schemeClr w14:val="tx1"/>
            </w14:solidFill>
          </w14:textFill>
        </w:rPr>
        <w:t>2</w:t>
      </w:r>
      <w:r>
        <w:rPr>
          <w:b/>
          <w:bCs/>
          <w:snapToGrid w:val="0"/>
          <w:color w:val="000000" w:themeColor="text1"/>
          <w:kern w:val="0"/>
          <w:szCs w:val="21"/>
          <w:highlight w:val="none"/>
          <w14:textFill>
            <w14:solidFill>
              <w14:schemeClr w14:val="tx1"/>
            </w14:solidFill>
          </w14:textFill>
        </w:rPr>
        <w:t xml:space="preserve"> 设计进水水质</w:t>
      </w:r>
    </w:p>
    <w:tbl>
      <w:tblPr>
        <w:tblStyle w:val="62"/>
        <w:tblW w:w="4998" w:type="pct"/>
        <w:jc w:val="center"/>
        <w:tblLayout w:type="fixed"/>
        <w:tblCellMar>
          <w:top w:w="0" w:type="dxa"/>
          <w:left w:w="108" w:type="dxa"/>
          <w:bottom w:w="0" w:type="dxa"/>
          <w:right w:w="108" w:type="dxa"/>
        </w:tblCellMar>
      </w:tblPr>
      <w:tblGrid>
        <w:gridCol w:w="431"/>
        <w:gridCol w:w="1106"/>
        <w:gridCol w:w="921"/>
        <w:gridCol w:w="836"/>
        <w:gridCol w:w="565"/>
        <w:gridCol w:w="565"/>
        <w:gridCol w:w="565"/>
        <w:gridCol w:w="565"/>
        <w:gridCol w:w="565"/>
        <w:gridCol w:w="565"/>
        <w:gridCol w:w="565"/>
        <w:gridCol w:w="565"/>
        <w:gridCol w:w="565"/>
        <w:gridCol w:w="565"/>
        <w:gridCol w:w="748"/>
        <w:gridCol w:w="678"/>
        <w:gridCol w:w="708"/>
        <w:gridCol w:w="708"/>
        <w:gridCol w:w="708"/>
        <w:gridCol w:w="955"/>
      </w:tblGrid>
      <w:tr w14:paraId="4DC85207">
        <w:tblPrEx>
          <w:tblCellMar>
            <w:top w:w="0" w:type="dxa"/>
            <w:left w:w="108" w:type="dxa"/>
            <w:bottom w:w="0" w:type="dxa"/>
            <w:right w:w="108" w:type="dxa"/>
          </w:tblCellMar>
        </w:tblPrEx>
        <w:trPr>
          <w:trHeight w:val="534" w:hRule="atLeast"/>
          <w:jc w:val="center"/>
        </w:trPr>
        <w:tc>
          <w:tcPr>
            <w:tcW w:w="160" w:type="pct"/>
            <w:vMerge w:val="restart"/>
            <w:tcBorders>
              <w:top w:val="single" w:color="000000" w:sz="8" w:space="0"/>
              <w:left w:val="single" w:color="000000" w:sz="8" w:space="0"/>
              <w:bottom w:val="single" w:color="000000" w:sz="4" w:space="0"/>
              <w:right w:val="single" w:color="000000" w:sz="4" w:space="0"/>
            </w:tcBorders>
            <w:shd w:val="clear" w:color="auto" w:fill="D7D7D7"/>
            <w:vAlign w:val="center"/>
          </w:tcPr>
          <w:p w14:paraId="48554E0D">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序号</w:t>
            </w:r>
          </w:p>
        </w:tc>
        <w:tc>
          <w:tcPr>
            <w:tcW w:w="411" w:type="pct"/>
            <w:vMerge w:val="restart"/>
            <w:tcBorders>
              <w:top w:val="single" w:color="000000" w:sz="8" w:space="0"/>
              <w:left w:val="single" w:color="000000" w:sz="4" w:space="0"/>
              <w:bottom w:val="single" w:color="000000" w:sz="4" w:space="0"/>
              <w:right w:val="single" w:color="000000" w:sz="4" w:space="0"/>
            </w:tcBorders>
            <w:shd w:val="clear" w:color="auto" w:fill="D7D7D7"/>
            <w:vAlign w:val="center"/>
          </w:tcPr>
          <w:p w14:paraId="58B70B1F">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废水种类</w:t>
            </w:r>
          </w:p>
        </w:tc>
        <w:tc>
          <w:tcPr>
            <w:tcW w:w="342" w:type="pct"/>
            <w:vMerge w:val="restart"/>
            <w:tcBorders>
              <w:top w:val="single" w:color="000000" w:sz="8" w:space="0"/>
              <w:left w:val="single" w:color="000000" w:sz="4" w:space="0"/>
              <w:bottom w:val="single" w:color="000000" w:sz="4" w:space="0"/>
              <w:right w:val="single" w:color="000000" w:sz="4" w:space="0"/>
            </w:tcBorders>
            <w:shd w:val="clear" w:color="auto" w:fill="D7D7D7"/>
            <w:vAlign w:val="center"/>
          </w:tcPr>
          <w:p w14:paraId="0E4F2850">
            <w:pPr>
              <w:widowControl/>
              <w:jc w:val="center"/>
              <w:textAlignment w:val="center"/>
              <w:rPr>
                <w:rFonts w:hint="eastAsia" w:ascii="宋体" w:hAnsi="宋体" w:cs="宋体"/>
                <w:b/>
                <w:bCs/>
                <w:color w:val="000000" w:themeColor="text1"/>
                <w:kern w:val="0"/>
                <w:szCs w:val="21"/>
                <w:highlight w:val="none"/>
                <w:lang w:bidi="ar"/>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水量</w:t>
            </w:r>
          </w:p>
          <w:p w14:paraId="0AD8D379">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（m³/d）</w:t>
            </w:r>
          </w:p>
        </w:tc>
        <w:tc>
          <w:tcPr>
            <w:tcW w:w="4086" w:type="pct"/>
            <w:gridSpan w:val="17"/>
            <w:tcBorders>
              <w:top w:val="single" w:color="000000" w:sz="8" w:space="0"/>
              <w:left w:val="single" w:color="000000" w:sz="4" w:space="0"/>
              <w:bottom w:val="single" w:color="000000" w:sz="4" w:space="0"/>
              <w:right w:val="single" w:color="000000" w:sz="4" w:space="0"/>
            </w:tcBorders>
            <w:shd w:val="clear" w:color="auto" w:fill="D9D9D9"/>
            <w:noWrap/>
            <w:vAlign w:val="center"/>
          </w:tcPr>
          <w:p w14:paraId="53EB37F0">
            <w:pPr>
              <w:widowControl/>
              <w:jc w:val="center"/>
              <w:textAlignment w:val="center"/>
              <w:rPr>
                <w:rFonts w:hint="eastAsia" w:ascii="宋体" w:hAnsi="宋体" w:cs="宋体"/>
                <w:b/>
                <w:bCs/>
                <w:color w:val="000000" w:themeColor="text1"/>
                <w:kern w:val="0"/>
                <w:szCs w:val="21"/>
                <w:highlight w:val="none"/>
                <w:lang w:bidi="ar"/>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进水水质指标</w:t>
            </w:r>
            <w:r>
              <w:rPr>
                <w:b/>
                <w:bCs/>
                <w:color w:val="000000" w:themeColor="text1"/>
                <w:kern w:val="0"/>
                <w:szCs w:val="21"/>
                <w:highlight w:val="none"/>
                <w:lang w:bidi="ar"/>
                <w14:textFill>
                  <w14:solidFill>
                    <w14:schemeClr w14:val="tx1"/>
                  </w14:solidFill>
                </w14:textFill>
              </w:rPr>
              <w:t>(</w:t>
            </w:r>
            <w:r>
              <w:rPr>
                <w:rFonts w:hint="eastAsia" w:ascii="宋体" w:hAnsi="宋体" w:cs="宋体"/>
                <w:b/>
                <w:bCs/>
                <w:color w:val="000000" w:themeColor="text1"/>
                <w:kern w:val="0"/>
                <w:szCs w:val="21"/>
                <w:highlight w:val="none"/>
                <w:lang w:bidi="ar"/>
                <w14:textFill>
                  <w14:solidFill>
                    <w14:schemeClr w14:val="tx1"/>
                  </w14:solidFill>
                </w14:textFill>
              </w:rPr>
              <w:t>单位：除</w:t>
            </w:r>
            <w:r>
              <w:rPr>
                <w:b/>
                <w:bCs/>
                <w:color w:val="000000" w:themeColor="text1"/>
                <w:kern w:val="0"/>
                <w:szCs w:val="21"/>
                <w:highlight w:val="none"/>
                <w:lang w:bidi="ar"/>
                <w14:textFill>
                  <w14:solidFill>
                    <w14:schemeClr w14:val="tx1"/>
                  </w14:solidFill>
                </w14:textFill>
              </w:rPr>
              <w:t>pH</w:t>
            </w:r>
            <w:r>
              <w:rPr>
                <w:rFonts w:hint="eastAsia" w:ascii="宋体" w:hAnsi="宋体" w:cs="宋体"/>
                <w:b/>
                <w:bCs/>
                <w:color w:val="000000" w:themeColor="text1"/>
                <w:kern w:val="0"/>
                <w:szCs w:val="21"/>
                <w:highlight w:val="none"/>
                <w:lang w:bidi="ar"/>
                <w14:textFill>
                  <w14:solidFill>
                    <w14:schemeClr w14:val="tx1"/>
                  </w14:solidFill>
                </w14:textFill>
              </w:rPr>
              <w:t>，均为</w:t>
            </w:r>
            <w:r>
              <w:rPr>
                <w:b/>
                <w:bCs/>
                <w:color w:val="000000" w:themeColor="text1"/>
                <w:kern w:val="0"/>
                <w:szCs w:val="21"/>
                <w:highlight w:val="none"/>
                <w:lang w:bidi="ar"/>
                <w14:textFill>
                  <w14:solidFill>
                    <w14:schemeClr w14:val="tx1"/>
                  </w14:solidFill>
                </w14:textFill>
              </w:rPr>
              <w:t>mg/L)</w:t>
            </w:r>
          </w:p>
        </w:tc>
      </w:tr>
      <w:tr w14:paraId="60C8029A">
        <w:tblPrEx>
          <w:tblCellMar>
            <w:top w:w="0" w:type="dxa"/>
            <w:left w:w="108" w:type="dxa"/>
            <w:bottom w:w="0" w:type="dxa"/>
            <w:right w:w="108" w:type="dxa"/>
          </w:tblCellMar>
        </w:tblPrEx>
        <w:trPr>
          <w:trHeight w:val="643" w:hRule="atLeast"/>
          <w:jc w:val="center"/>
        </w:trPr>
        <w:tc>
          <w:tcPr>
            <w:tcW w:w="160" w:type="pct"/>
            <w:vMerge w:val="continue"/>
            <w:tcBorders>
              <w:top w:val="single" w:color="000000" w:sz="8" w:space="0"/>
              <w:left w:val="single" w:color="000000" w:sz="8" w:space="0"/>
              <w:bottom w:val="single" w:color="000000" w:sz="4" w:space="0"/>
              <w:right w:val="single" w:color="000000" w:sz="4" w:space="0"/>
            </w:tcBorders>
            <w:shd w:val="clear" w:color="auto" w:fill="D7D7D7"/>
            <w:vAlign w:val="center"/>
          </w:tcPr>
          <w:p w14:paraId="25167155">
            <w:pPr>
              <w:jc w:val="center"/>
              <w:rPr>
                <w:rFonts w:ascii="宋体" w:hAnsi="宋体" w:cs="宋体"/>
                <w:b/>
                <w:bCs/>
                <w:color w:val="000000" w:themeColor="text1"/>
                <w:szCs w:val="21"/>
                <w:highlight w:val="none"/>
                <w14:textFill>
                  <w14:solidFill>
                    <w14:schemeClr w14:val="tx1"/>
                  </w14:solidFill>
                </w14:textFill>
              </w:rPr>
            </w:pPr>
          </w:p>
        </w:tc>
        <w:tc>
          <w:tcPr>
            <w:tcW w:w="411" w:type="pct"/>
            <w:vMerge w:val="continue"/>
            <w:tcBorders>
              <w:top w:val="single" w:color="000000" w:sz="8" w:space="0"/>
              <w:left w:val="single" w:color="000000" w:sz="4" w:space="0"/>
              <w:bottom w:val="single" w:color="000000" w:sz="4" w:space="0"/>
              <w:right w:val="single" w:color="000000" w:sz="4" w:space="0"/>
            </w:tcBorders>
            <w:shd w:val="clear" w:color="auto" w:fill="D7D7D7"/>
            <w:vAlign w:val="center"/>
          </w:tcPr>
          <w:p w14:paraId="39A84467">
            <w:pPr>
              <w:jc w:val="center"/>
              <w:rPr>
                <w:rFonts w:ascii="宋体" w:hAnsi="宋体" w:cs="宋体"/>
                <w:b/>
                <w:bCs/>
                <w:color w:val="000000" w:themeColor="text1"/>
                <w:szCs w:val="21"/>
                <w:highlight w:val="none"/>
                <w14:textFill>
                  <w14:solidFill>
                    <w14:schemeClr w14:val="tx1"/>
                  </w14:solidFill>
                </w14:textFill>
              </w:rPr>
            </w:pPr>
          </w:p>
        </w:tc>
        <w:tc>
          <w:tcPr>
            <w:tcW w:w="342" w:type="pct"/>
            <w:vMerge w:val="continue"/>
            <w:tcBorders>
              <w:top w:val="single" w:color="000000" w:sz="8" w:space="0"/>
              <w:left w:val="single" w:color="000000" w:sz="4" w:space="0"/>
              <w:bottom w:val="single" w:color="000000" w:sz="4" w:space="0"/>
              <w:right w:val="single" w:color="000000" w:sz="4" w:space="0"/>
            </w:tcBorders>
            <w:shd w:val="clear" w:color="auto" w:fill="D7D7D7"/>
            <w:vAlign w:val="center"/>
          </w:tcPr>
          <w:p w14:paraId="08DCEE8C">
            <w:pPr>
              <w:jc w:val="center"/>
              <w:rPr>
                <w:rFonts w:ascii="宋体" w:hAnsi="宋体" w:cs="宋体"/>
                <w:b/>
                <w:bCs/>
                <w:color w:val="000000" w:themeColor="text1"/>
                <w:szCs w:val="21"/>
                <w:highlight w:val="none"/>
                <w14:textFill>
                  <w14:solidFill>
                    <w14:schemeClr w14:val="tx1"/>
                  </w14:solidFill>
                </w14:textFill>
              </w:rPr>
            </w:pPr>
          </w:p>
        </w:tc>
        <w:tc>
          <w:tcPr>
            <w:tcW w:w="3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61C53C78">
            <w:pPr>
              <w:widowControl/>
              <w:jc w:val="center"/>
              <w:textAlignment w:val="center"/>
              <w:rPr>
                <w:rFonts w:eastAsia="等线"/>
                <w:b/>
                <w:bCs/>
                <w:color w:val="000000" w:themeColor="text1"/>
                <w:szCs w:val="21"/>
                <w:highlight w:val="none"/>
                <w14:textFill>
                  <w14:solidFill>
                    <w14:schemeClr w14:val="tx1"/>
                  </w14:solidFill>
                </w14:textFill>
              </w:rPr>
            </w:pPr>
            <w:r>
              <w:rPr>
                <w:rFonts w:eastAsia="等线"/>
                <w:b/>
                <w:bCs/>
                <w:color w:val="000000" w:themeColor="text1"/>
                <w:kern w:val="0"/>
                <w:szCs w:val="21"/>
                <w:highlight w:val="none"/>
                <w:lang w:bidi="ar"/>
                <w14:textFill>
                  <w14:solidFill>
                    <w14:schemeClr w14:val="tx1"/>
                  </w14:solidFill>
                </w14:textFill>
              </w:rPr>
              <w:t>pH</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7D4A619F">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总铬</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695C9414">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六价铬</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55A82499">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总镍</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5CFD2EA3">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总银</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787F36A8">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总铜</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54E8A707">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总锌</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22254264">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总铁</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70AF9C95">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总铝</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4D994291">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氟化物</w:t>
            </w:r>
          </w:p>
        </w:tc>
        <w:tc>
          <w:tcPr>
            <w:tcW w:w="210"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5225500F">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CN</w:t>
            </w:r>
            <w:r>
              <w:rPr>
                <w:rFonts w:hint="eastAsia" w:ascii="宋体" w:hAnsi="宋体" w:cs="宋体"/>
                <w:b/>
                <w:bCs/>
                <w:color w:val="000000" w:themeColor="text1"/>
                <w:kern w:val="0"/>
                <w:szCs w:val="21"/>
                <w:highlight w:val="none"/>
                <w:vertAlign w:val="superscript"/>
                <w:lang w:bidi="ar"/>
                <w14:textFill>
                  <w14:solidFill>
                    <w14:schemeClr w14:val="tx1"/>
                  </w14:solidFill>
                </w14:textFill>
              </w:rPr>
              <w:t>-</w:t>
            </w:r>
          </w:p>
        </w:tc>
        <w:tc>
          <w:tcPr>
            <w:tcW w:w="278"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1D5EC4D1">
            <w:pPr>
              <w:widowControl/>
              <w:jc w:val="center"/>
              <w:textAlignment w:val="center"/>
              <w:rPr>
                <w:rFonts w:eastAsia="等线"/>
                <w:b/>
                <w:bCs/>
                <w:color w:val="000000" w:themeColor="text1"/>
                <w:szCs w:val="21"/>
                <w:highlight w:val="none"/>
                <w14:textFill>
                  <w14:solidFill>
                    <w14:schemeClr w14:val="tx1"/>
                  </w14:solidFill>
                </w14:textFill>
              </w:rPr>
            </w:pPr>
            <w:r>
              <w:rPr>
                <w:rFonts w:eastAsia="等线"/>
                <w:b/>
                <w:bCs/>
                <w:color w:val="000000" w:themeColor="text1"/>
                <w:kern w:val="0"/>
                <w:szCs w:val="21"/>
                <w:highlight w:val="none"/>
                <w:lang w:bidi="ar"/>
                <w14:textFill>
                  <w14:solidFill>
                    <w14:schemeClr w14:val="tx1"/>
                  </w14:solidFill>
                </w14:textFill>
              </w:rPr>
              <w:t>COD</w:t>
            </w:r>
          </w:p>
        </w:tc>
        <w:tc>
          <w:tcPr>
            <w:tcW w:w="252"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0F5E9D9B">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氨氮</w:t>
            </w:r>
          </w:p>
        </w:tc>
        <w:tc>
          <w:tcPr>
            <w:tcW w:w="263"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24480F88">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TP</w:t>
            </w:r>
          </w:p>
        </w:tc>
        <w:tc>
          <w:tcPr>
            <w:tcW w:w="263"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6572F45B">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总氮</w:t>
            </w:r>
          </w:p>
        </w:tc>
        <w:tc>
          <w:tcPr>
            <w:tcW w:w="263" w:type="pct"/>
            <w:tcBorders>
              <w:top w:val="single" w:color="000000" w:sz="4" w:space="0"/>
              <w:left w:val="single" w:color="000000" w:sz="4" w:space="0"/>
              <w:bottom w:val="single" w:color="000000" w:sz="4" w:space="0"/>
              <w:right w:val="single" w:color="000000" w:sz="4" w:space="0"/>
            </w:tcBorders>
            <w:shd w:val="clear" w:color="auto" w:fill="D7D7D7"/>
            <w:vAlign w:val="center"/>
          </w:tcPr>
          <w:p w14:paraId="6675C13A">
            <w:pPr>
              <w:widowControl/>
              <w:jc w:val="center"/>
              <w:textAlignment w:val="center"/>
              <w:rPr>
                <w:rFonts w:eastAsia="等线"/>
                <w:b/>
                <w:bCs/>
                <w:color w:val="000000" w:themeColor="text1"/>
                <w:szCs w:val="21"/>
                <w:highlight w:val="none"/>
                <w14:textFill>
                  <w14:solidFill>
                    <w14:schemeClr w14:val="tx1"/>
                  </w14:solidFill>
                </w14:textFill>
              </w:rPr>
            </w:pPr>
            <w:r>
              <w:rPr>
                <w:rFonts w:eastAsia="等线"/>
                <w:b/>
                <w:bCs/>
                <w:color w:val="000000" w:themeColor="text1"/>
                <w:kern w:val="0"/>
                <w:szCs w:val="21"/>
                <w:highlight w:val="none"/>
                <w:lang w:bidi="ar"/>
                <w14:textFill>
                  <w14:solidFill>
                    <w14:schemeClr w14:val="tx1"/>
                  </w14:solidFill>
                </w14:textFill>
              </w:rPr>
              <w:t>SS</w:t>
            </w:r>
          </w:p>
        </w:tc>
        <w:tc>
          <w:tcPr>
            <w:tcW w:w="355" w:type="pct"/>
            <w:tcBorders>
              <w:top w:val="single" w:color="000000" w:sz="4" w:space="0"/>
              <w:left w:val="single" w:color="000000" w:sz="4" w:space="0"/>
              <w:bottom w:val="single" w:color="000000" w:sz="4" w:space="0"/>
              <w:right w:val="single" w:color="000000" w:sz="8" w:space="0"/>
            </w:tcBorders>
            <w:shd w:val="clear" w:color="auto" w:fill="D7D7D7"/>
            <w:vAlign w:val="center"/>
          </w:tcPr>
          <w:p w14:paraId="70E058E2">
            <w:pPr>
              <w:widowControl/>
              <w:jc w:val="center"/>
              <w:textAlignment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lang w:bidi="ar"/>
                <w14:textFill>
                  <w14:solidFill>
                    <w14:schemeClr w14:val="tx1"/>
                  </w14:solidFill>
                </w14:textFill>
              </w:rPr>
              <w:t>酸度</w:t>
            </w:r>
          </w:p>
        </w:tc>
      </w:tr>
      <w:tr w14:paraId="4AE4FEE2">
        <w:tblPrEx>
          <w:tblCellMar>
            <w:top w:w="0" w:type="dxa"/>
            <w:left w:w="108" w:type="dxa"/>
            <w:bottom w:w="0" w:type="dxa"/>
            <w:right w:w="108" w:type="dxa"/>
          </w:tblCellMar>
        </w:tblPrEx>
        <w:trPr>
          <w:trHeight w:val="781" w:hRule="atLeast"/>
          <w:jc w:val="center"/>
        </w:trPr>
        <w:tc>
          <w:tcPr>
            <w:tcW w:w="160" w:type="pct"/>
            <w:tcBorders>
              <w:top w:val="single" w:color="000000" w:sz="4" w:space="0"/>
              <w:left w:val="single" w:color="000000" w:sz="8" w:space="0"/>
              <w:bottom w:val="single" w:color="000000" w:sz="4" w:space="0"/>
              <w:right w:val="single" w:color="000000" w:sz="4" w:space="0"/>
            </w:tcBorders>
            <w:shd w:val="clear" w:color="auto" w:fill="auto"/>
            <w:vAlign w:val="center"/>
          </w:tcPr>
          <w:p w14:paraId="5466C21F">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1</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89CFA">
            <w:pPr>
              <w:widowControl/>
              <w:jc w:val="center"/>
              <w:textAlignment w:val="center"/>
              <w:rPr>
                <w:rFonts w:eastAsia="等线"/>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lang w:bidi="ar"/>
                <w14:textFill>
                  <w14:solidFill>
                    <w14:schemeClr w14:val="tx1"/>
                  </w14:solidFill>
                </w14:textFill>
              </w:rPr>
              <w:t>非电镀综合废水</w:t>
            </w:r>
          </w:p>
        </w:tc>
        <w:tc>
          <w:tcPr>
            <w:tcW w:w="3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1B53A">
            <w:pPr>
              <w:widowControl/>
              <w:jc w:val="center"/>
              <w:textAlignment w:val="center"/>
              <w:rPr>
                <w:rFonts w:eastAsia="等线"/>
                <w:color w:val="000000" w:themeColor="text1"/>
                <w:szCs w:val="21"/>
                <w:highlight w:val="none"/>
                <w14:textFill>
                  <w14:solidFill>
                    <w14:schemeClr w14:val="tx1"/>
                  </w14:solidFill>
                </w14:textFill>
              </w:rPr>
            </w:pPr>
            <w:r>
              <w:rPr>
                <w:rFonts w:hint="eastAsia" w:eastAsia="等线"/>
                <w:color w:val="000000" w:themeColor="text1"/>
                <w:kern w:val="0"/>
                <w:szCs w:val="21"/>
                <w:highlight w:val="none"/>
                <w:lang w:bidi="ar"/>
                <w14:textFill>
                  <w14:solidFill>
                    <w14:schemeClr w14:val="tx1"/>
                  </w14:solidFill>
                </w14:textFill>
              </w:rPr>
              <w:t>330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13AC74">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1~5</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C39C4A">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49CE84">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7EA070">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467202">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BA8E68">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8600D7">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82CB08">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≤50</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7AC2E">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≤50</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5713D">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≤30</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478A10">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59957">
            <w:pPr>
              <w:widowControl/>
              <w:jc w:val="center"/>
              <w:textAlignment w:val="center"/>
              <w:rPr>
                <w:rFonts w:ascii="宋体" w:hAnsi="宋体" w:cs="宋体"/>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r>
              <w:rPr>
                <w:rFonts w:hint="eastAsia" w:eastAsia="等线"/>
                <w:color w:val="000000" w:themeColor="text1"/>
                <w:kern w:val="0"/>
                <w:szCs w:val="21"/>
                <w:highlight w:val="none"/>
                <w:lang w:val="en-US" w:eastAsia="zh-CN" w:bidi="ar"/>
                <w14:textFill>
                  <w14:solidFill>
                    <w14:schemeClr w14:val="tx1"/>
                  </w14:solidFill>
                </w14:textFill>
              </w:rPr>
              <w:t>5</w:t>
            </w:r>
            <w:r>
              <w:rPr>
                <w:color w:val="000000" w:themeColor="text1"/>
                <w:kern w:val="0"/>
                <w:szCs w:val="21"/>
                <w:highlight w:val="none"/>
                <w:lang w:bidi="ar"/>
                <w14:textFill>
                  <w14:solidFill>
                    <w14:schemeClr w14:val="tx1"/>
                  </w14:solidFill>
                </w14:textFill>
              </w:rPr>
              <w:t>00</w:t>
            </w:r>
          </w:p>
        </w:tc>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37FAB9">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r>
              <w:rPr>
                <w:rFonts w:hint="eastAsia" w:eastAsia="等线"/>
                <w:color w:val="000000" w:themeColor="text1"/>
                <w:kern w:val="0"/>
                <w:szCs w:val="21"/>
                <w:highlight w:val="none"/>
                <w:lang w:bidi="ar"/>
                <w14:textFill>
                  <w14:solidFill>
                    <w14:schemeClr w14:val="tx1"/>
                  </w14:solidFill>
                </w14:textFill>
              </w:rPr>
              <w:t>2</w:t>
            </w:r>
            <w:r>
              <w:rPr>
                <w:rFonts w:eastAsia="等线"/>
                <w:color w:val="000000" w:themeColor="text1"/>
                <w:kern w:val="0"/>
                <w:szCs w:val="21"/>
                <w:highlight w:val="none"/>
                <w:lang w:bidi="ar"/>
                <w14:textFill>
                  <w14:solidFill>
                    <w14:schemeClr w14:val="tx1"/>
                  </w14:solidFill>
                </w14:textFill>
              </w:rPr>
              <w:t>0</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D0F79">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shd w:val="clear"/>
                <w:lang w:bidi="ar"/>
                <w14:textFill>
                  <w14:solidFill>
                    <w14:schemeClr w14:val="tx1"/>
                  </w14:solidFill>
                </w14:textFill>
              </w:rPr>
              <w:t>≤500</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02727">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≤1</w:t>
            </w:r>
            <w:r>
              <w:rPr>
                <w:rFonts w:hint="eastAsia" w:eastAsia="等线"/>
                <w:color w:val="000000" w:themeColor="text1"/>
                <w:kern w:val="0"/>
                <w:szCs w:val="21"/>
                <w:highlight w:val="none"/>
                <w:lang w:val="en-US" w:eastAsia="zh-CN" w:bidi="ar"/>
                <w14:textFill>
                  <w14:solidFill>
                    <w14:schemeClr w14:val="tx1"/>
                  </w14:solidFill>
                </w14:textFill>
              </w:rPr>
              <w:t>5</w:t>
            </w:r>
            <w:r>
              <w:rPr>
                <w:rFonts w:eastAsia="等线"/>
                <w:color w:val="000000" w:themeColor="text1"/>
                <w:kern w:val="0"/>
                <w:szCs w:val="21"/>
                <w:highlight w:val="none"/>
                <w:lang w:bidi="ar"/>
                <w14:textFill>
                  <w14:solidFill>
                    <w14:schemeClr w14:val="tx1"/>
                  </w14:solidFill>
                </w14:textFill>
              </w:rPr>
              <w:t>0</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4F926">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≤100</w:t>
            </w:r>
          </w:p>
        </w:tc>
        <w:tc>
          <w:tcPr>
            <w:tcW w:w="35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5BBC3BFE">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≤18000</w:t>
            </w:r>
          </w:p>
        </w:tc>
      </w:tr>
      <w:tr w14:paraId="66CBD3D7">
        <w:tblPrEx>
          <w:tblCellMar>
            <w:top w:w="0" w:type="dxa"/>
            <w:left w:w="108" w:type="dxa"/>
            <w:bottom w:w="0" w:type="dxa"/>
            <w:right w:w="108" w:type="dxa"/>
          </w:tblCellMar>
        </w:tblPrEx>
        <w:trPr>
          <w:trHeight w:val="634" w:hRule="atLeast"/>
          <w:jc w:val="center"/>
        </w:trPr>
        <w:tc>
          <w:tcPr>
            <w:tcW w:w="160" w:type="pct"/>
            <w:tcBorders>
              <w:top w:val="single" w:color="000000" w:sz="4" w:space="0"/>
              <w:left w:val="single" w:color="000000" w:sz="8" w:space="0"/>
              <w:bottom w:val="single" w:color="000000" w:sz="4" w:space="0"/>
              <w:right w:val="single" w:color="000000" w:sz="4" w:space="0"/>
            </w:tcBorders>
            <w:shd w:val="clear" w:color="auto" w:fill="auto"/>
            <w:vAlign w:val="center"/>
          </w:tcPr>
          <w:p w14:paraId="100842C9">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2</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6D05D">
            <w:pPr>
              <w:widowControl/>
              <w:jc w:val="center"/>
              <w:textAlignment w:val="center"/>
              <w:rPr>
                <w:rFonts w:eastAsia="等线"/>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lang w:bidi="ar"/>
                <w14:textFill>
                  <w14:solidFill>
                    <w14:schemeClr w14:val="tx1"/>
                  </w14:solidFill>
                </w14:textFill>
              </w:rPr>
              <w:t>非电镀含镍废水</w:t>
            </w:r>
          </w:p>
        </w:tc>
        <w:tc>
          <w:tcPr>
            <w:tcW w:w="3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BC5C02">
            <w:pPr>
              <w:widowControl/>
              <w:jc w:val="center"/>
              <w:textAlignment w:val="center"/>
              <w:rPr>
                <w:rFonts w:eastAsia="等线"/>
                <w:color w:val="000000" w:themeColor="text1"/>
                <w:szCs w:val="21"/>
                <w:highlight w:val="none"/>
                <w14:textFill>
                  <w14:solidFill>
                    <w14:schemeClr w14:val="tx1"/>
                  </w14:solidFill>
                </w14:textFill>
              </w:rPr>
            </w:pPr>
            <w:r>
              <w:rPr>
                <w:rFonts w:hint="eastAsia" w:eastAsia="等线"/>
                <w:color w:val="000000" w:themeColor="text1"/>
                <w:kern w:val="0"/>
                <w:szCs w:val="21"/>
                <w:highlight w:val="none"/>
                <w:lang w:bidi="ar"/>
                <w14:textFill>
                  <w14:solidFill>
                    <w14:schemeClr w14:val="tx1"/>
                  </w14:solidFill>
                </w14:textFill>
              </w:rPr>
              <w:t>40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BDD0E">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2~5</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C9A7AC">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072CDD">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89511">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≤50</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16B7E">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741E5C">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374033">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C7B287">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1B7561">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6ABEDF">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75DA3A">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9A8041">
            <w:pPr>
              <w:widowControl/>
              <w:jc w:val="center"/>
              <w:textAlignment w:val="center"/>
              <w:rPr>
                <w:rFonts w:ascii="宋体" w:hAnsi="宋体" w:cs="宋体"/>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r>
              <w:rPr>
                <w:color w:val="000000" w:themeColor="text1"/>
                <w:kern w:val="0"/>
                <w:szCs w:val="21"/>
                <w:highlight w:val="none"/>
                <w:lang w:bidi="ar"/>
                <w14:textFill>
                  <w14:solidFill>
                    <w14:schemeClr w14:val="tx1"/>
                  </w14:solidFill>
                </w14:textFill>
              </w:rPr>
              <w:t>200</w:t>
            </w:r>
          </w:p>
        </w:tc>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EEFB5">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≤20</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A9207">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3B5234">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≤50</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C7D822">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≤300</w:t>
            </w:r>
          </w:p>
        </w:tc>
        <w:tc>
          <w:tcPr>
            <w:tcW w:w="35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2590B76E">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≤1500</w:t>
            </w:r>
          </w:p>
        </w:tc>
      </w:tr>
      <w:tr w14:paraId="0C803C66">
        <w:tblPrEx>
          <w:tblCellMar>
            <w:top w:w="0" w:type="dxa"/>
            <w:left w:w="108" w:type="dxa"/>
            <w:bottom w:w="0" w:type="dxa"/>
            <w:right w:w="108" w:type="dxa"/>
          </w:tblCellMar>
        </w:tblPrEx>
        <w:trPr>
          <w:trHeight w:val="634" w:hRule="atLeast"/>
          <w:jc w:val="center"/>
        </w:trPr>
        <w:tc>
          <w:tcPr>
            <w:tcW w:w="160" w:type="pct"/>
            <w:tcBorders>
              <w:top w:val="single" w:color="000000" w:sz="4" w:space="0"/>
              <w:left w:val="single" w:color="000000" w:sz="8" w:space="0"/>
              <w:bottom w:val="single" w:color="000000" w:sz="4" w:space="0"/>
              <w:right w:val="single" w:color="000000" w:sz="4" w:space="0"/>
            </w:tcBorders>
            <w:shd w:val="clear" w:color="auto" w:fill="auto"/>
            <w:vAlign w:val="center"/>
          </w:tcPr>
          <w:p w14:paraId="022900E3">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3</w:t>
            </w:r>
          </w:p>
        </w:tc>
        <w:tc>
          <w:tcPr>
            <w:tcW w:w="4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E440F">
            <w:pPr>
              <w:widowControl/>
              <w:jc w:val="center"/>
              <w:textAlignment w:val="center"/>
              <w:rPr>
                <w:rFonts w:eastAsia="等线"/>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lang w:bidi="ar"/>
                <w14:textFill>
                  <w14:solidFill>
                    <w14:schemeClr w14:val="tx1"/>
                  </w14:solidFill>
                </w14:textFill>
              </w:rPr>
              <w:t>非电镀含铬废水</w:t>
            </w:r>
          </w:p>
        </w:tc>
        <w:tc>
          <w:tcPr>
            <w:tcW w:w="3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3C9E14">
            <w:pPr>
              <w:widowControl/>
              <w:jc w:val="center"/>
              <w:textAlignment w:val="center"/>
              <w:rPr>
                <w:rFonts w:eastAsia="等线"/>
                <w:color w:val="000000" w:themeColor="text1"/>
                <w:szCs w:val="21"/>
                <w:highlight w:val="none"/>
                <w14:textFill>
                  <w14:solidFill>
                    <w14:schemeClr w14:val="tx1"/>
                  </w14:solidFill>
                </w14:textFill>
              </w:rPr>
            </w:pPr>
            <w:r>
              <w:rPr>
                <w:rFonts w:hint="eastAsia" w:eastAsia="等线"/>
                <w:color w:val="000000" w:themeColor="text1"/>
                <w:kern w:val="0"/>
                <w:szCs w:val="21"/>
                <w:highlight w:val="none"/>
                <w:lang w:bidi="ar"/>
                <w14:textFill>
                  <w14:solidFill>
                    <w14:schemeClr w14:val="tx1"/>
                  </w14:solidFill>
                </w14:textFill>
              </w:rPr>
              <w:t>30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B9C047">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2~5</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C28D53">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≤50</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5D288C">
            <w:pPr>
              <w:widowControl/>
              <w:jc w:val="center"/>
              <w:textAlignment w:val="center"/>
              <w:rPr>
                <w:rFonts w:ascii="宋体" w:hAnsi="宋体" w:cs="宋体"/>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r>
              <w:rPr>
                <w:rFonts w:hint="eastAsia" w:eastAsia="等线"/>
                <w:color w:val="000000" w:themeColor="text1"/>
                <w:kern w:val="0"/>
                <w:szCs w:val="21"/>
                <w:highlight w:val="none"/>
                <w:lang w:bidi="ar"/>
                <w14:textFill>
                  <w14:solidFill>
                    <w14:schemeClr w14:val="tx1"/>
                  </w14:solidFill>
                </w14:textFill>
              </w:rPr>
              <w:t>2</w:t>
            </w:r>
            <w:r>
              <w:rPr>
                <w:rFonts w:eastAsia="等线"/>
                <w:color w:val="000000" w:themeColor="text1"/>
                <w:kern w:val="0"/>
                <w:szCs w:val="21"/>
                <w:highlight w:val="none"/>
                <w:lang w:bidi="ar"/>
                <w14:textFill>
                  <w14:solidFill>
                    <w14:schemeClr w14:val="tx1"/>
                  </w14:solidFill>
                </w14:textFill>
              </w:rPr>
              <w:t>0</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0DF9A">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858AC6">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4AA815">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EFE7F4">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C294F">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FDEAC">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EDABA">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87AB61">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62EDEC">
            <w:pPr>
              <w:widowControl/>
              <w:jc w:val="center"/>
              <w:textAlignment w:val="center"/>
              <w:rPr>
                <w:rFonts w:ascii="宋体" w:hAnsi="宋体" w:cs="宋体"/>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r>
              <w:rPr>
                <w:rFonts w:hint="eastAsia" w:eastAsia="等线"/>
                <w:color w:val="000000" w:themeColor="text1"/>
                <w:kern w:val="0"/>
                <w:szCs w:val="21"/>
                <w:highlight w:val="none"/>
                <w:lang w:val="en-US" w:eastAsia="zh-CN" w:bidi="ar"/>
                <w14:textFill>
                  <w14:solidFill>
                    <w14:schemeClr w14:val="tx1"/>
                  </w14:solidFill>
                </w14:textFill>
              </w:rPr>
              <w:t>2</w:t>
            </w:r>
            <w:r>
              <w:rPr>
                <w:color w:val="000000" w:themeColor="text1"/>
                <w:kern w:val="0"/>
                <w:szCs w:val="21"/>
                <w:highlight w:val="none"/>
                <w:lang w:bidi="ar"/>
                <w14:textFill>
                  <w14:solidFill>
                    <w14:schemeClr w14:val="tx1"/>
                  </w14:solidFill>
                </w14:textFill>
              </w:rPr>
              <w:t>00</w:t>
            </w:r>
          </w:p>
        </w:tc>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AA860">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≤20</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628FBD">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EB6C2A">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≤50</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C1927">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≤300</w:t>
            </w:r>
          </w:p>
        </w:tc>
        <w:tc>
          <w:tcPr>
            <w:tcW w:w="35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22B96A55">
            <w:pPr>
              <w:widowControl/>
              <w:jc w:val="center"/>
              <w:textAlignment w:val="center"/>
              <w:rPr>
                <w:rFonts w:eastAsia="等线"/>
                <w:color w:val="000000" w:themeColor="text1"/>
                <w:szCs w:val="21"/>
                <w:highlight w:val="none"/>
                <w14:textFill>
                  <w14:solidFill>
                    <w14:schemeClr w14:val="tx1"/>
                  </w14:solidFill>
                </w14:textFill>
              </w:rPr>
            </w:pPr>
            <w:r>
              <w:rPr>
                <w:rFonts w:eastAsia="等线"/>
                <w:color w:val="000000" w:themeColor="text1"/>
                <w:kern w:val="0"/>
                <w:szCs w:val="21"/>
                <w:highlight w:val="none"/>
                <w:lang w:bidi="ar"/>
                <w14:textFill>
                  <w14:solidFill>
                    <w14:schemeClr w14:val="tx1"/>
                  </w14:solidFill>
                </w14:textFill>
              </w:rPr>
              <w:t>≤1800</w:t>
            </w:r>
          </w:p>
        </w:tc>
      </w:tr>
      <w:tr w14:paraId="3FE271D4">
        <w:tblPrEx>
          <w:tblCellMar>
            <w:top w:w="0" w:type="dxa"/>
            <w:left w:w="108" w:type="dxa"/>
            <w:bottom w:w="0" w:type="dxa"/>
            <w:right w:w="108" w:type="dxa"/>
          </w:tblCellMar>
        </w:tblPrEx>
        <w:trPr>
          <w:trHeight w:val="529" w:hRule="atLeast"/>
          <w:jc w:val="center"/>
        </w:trPr>
        <w:tc>
          <w:tcPr>
            <w:tcW w:w="160" w:type="pct"/>
            <w:tcBorders>
              <w:top w:val="single" w:color="000000" w:sz="4" w:space="0"/>
              <w:left w:val="single" w:color="000000" w:sz="8" w:space="0"/>
              <w:bottom w:val="single" w:color="000000" w:sz="8" w:space="0"/>
              <w:right w:val="single" w:color="000000" w:sz="4" w:space="0"/>
            </w:tcBorders>
            <w:shd w:val="clear" w:color="auto" w:fill="auto"/>
            <w:vAlign w:val="center"/>
          </w:tcPr>
          <w:p w14:paraId="14935BCC">
            <w:pPr>
              <w:jc w:val="center"/>
              <w:rPr>
                <w:rFonts w:eastAsia="等线"/>
                <w:color w:val="000000" w:themeColor="text1"/>
                <w:szCs w:val="21"/>
                <w:highlight w:val="none"/>
                <w14:textFill>
                  <w14:solidFill>
                    <w14:schemeClr w14:val="tx1"/>
                  </w14:solidFill>
                </w14:textFill>
              </w:rPr>
            </w:pPr>
          </w:p>
        </w:tc>
        <w:tc>
          <w:tcPr>
            <w:tcW w:w="411" w:type="pct"/>
            <w:tcBorders>
              <w:top w:val="single" w:color="000000" w:sz="4" w:space="0"/>
              <w:left w:val="single" w:color="000000" w:sz="4" w:space="0"/>
              <w:bottom w:val="single" w:color="000000" w:sz="8" w:space="0"/>
              <w:right w:val="single" w:color="000000" w:sz="4" w:space="0"/>
            </w:tcBorders>
            <w:shd w:val="clear" w:color="auto" w:fill="auto"/>
            <w:vAlign w:val="center"/>
          </w:tcPr>
          <w:p w14:paraId="18869DDE">
            <w:pPr>
              <w:widowControl/>
              <w:jc w:val="center"/>
              <w:textAlignment w:val="center"/>
              <w:rPr>
                <w:rFonts w:eastAsia="等线"/>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lang w:bidi="ar"/>
                <w14:textFill>
                  <w14:solidFill>
                    <w14:schemeClr w14:val="tx1"/>
                  </w14:solidFill>
                </w14:textFill>
              </w:rPr>
              <w:t>合计</w:t>
            </w:r>
          </w:p>
        </w:tc>
        <w:tc>
          <w:tcPr>
            <w:tcW w:w="342" w:type="pct"/>
            <w:tcBorders>
              <w:top w:val="single" w:color="000000" w:sz="4" w:space="0"/>
              <w:left w:val="single" w:color="000000" w:sz="4" w:space="0"/>
              <w:bottom w:val="single" w:color="000000" w:sz="8" w:space="0"/>
              <w:right w:val="single" w:color="000000" w:sz="4" w:space="0"/>
            </w:tcBorders>
            <w:shd w:val="clear" w:color="auto" w:fill="auto"/>
            <w:vAlign w:val="center"/>
          </w:tcPr>
          <w:p w14:paraId="0B9C0303">
            <w:pPr>
              <w:widowControl/>
              <w:jc w:val="center"/>
              <w:textAlignment w:val="center"/>
              <w:rPr>
                <w:rFonts w:eastAsia="等线"/>
                <w:color w:val="000000" w:themeColor="text1"/>
                <w:szCs w:val="21"/>
                <w:highlight w:val="none"/>
                <w14:textFill>
                  <w14:solidFill>
                    <w14:schemeClr w14:val="tx1"/>
                  </w14:solidFill>
                </w14:textFill>
              </w:rPr>
            </w:pPr>
            <w:r>
              <w:rPr>
                <w:rFonts w:hint="eastAsia" w:eastAsia="等线"/>
                <w:color w:val="000000" w:themeColor="text1"/>
                <w:kern w:val="0"/>
                <w:szCs w:val="21"/>
                <w:highlight w:val="none"/>
                <w:lang w:bidi="ar"/>
                <w14:textFill>
                  <w14:solidFill>
                    <w14:schemeClr w14:val="tx1"/>
                  </w14:solidFill>
                </w14:textFill>
              </w:rPr>
              <w:t>400</w:t>
            </w:r>
          </w:p>
        </w:tc>
        <w:tc>
          <w:tcPr>
            <w:tcW w:w="3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3C5AADE4">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34CA8FA0">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3715BEF1">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6845C33E">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1A5C492D">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33989022">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62CFB19E">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372B369B">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7E3F9882">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21A9A341">
            <w:pPr>
              <w:jc w:val="center"/>
              <w:rPr>
                <w:rFonts w:eastAsia="等线"/>
                <w:color w:val="000000" w:themeColor="text1"/>
                <w:szCs w:val="21"/>
                <w:highlight w:val="none"/>
                <w14:textFill>
                  <w14:solidFill>
                    <w14:schemeClr w14:val="tx1"/>
                  </w14:solidFill>
                </w14:textFill>
              </w:rPr>
            </w:pPr>
          </w:p>
        </w:tc>
        <w:tc>
          <w:tcPr>
            <w:tcW w:w="210" w:type="pct"/>
            <w:tcBorders>
              <w:top w:val="single" w:color="000000" w:sz="4" w:space="0"/>
              <w:left w:val="single" w:color="000000" w:sz="4" w:space="0"/>
              <w:bottom w:val="single" w:color="000000" w:sz="8" w:space="0"/>
              <w:right w:val="single" w:color="000000" w:sz="4" w:space="0"/>
            </w:tcBorders>
            <w:shd w:val="clear" w:color="auto" w:fill="auto"/>
            <w:vAlign w:val="center"/>
          </w:tcPr>
          <w:p w14:paraId="3587CEE8">
            <w:pPr>
              <w:jc w:val="center"/>
              <w:rPr>
                <w:rFonts w:eastAsia="等线"/>
                <w:color w:val="000000" w:themeColor="text1"/>
                <w:szCs w:val="21"/>
                <w:highlight w:val="none"/>
                <w14:textFill>
                  <w14:solidFill>
                    <w14:schemeClr w14:val="tx1"/>
                  </w14:solidFill>
                </w14:textFill>
              </w:rPr>
            </w:pPr>
          </w:p>
        </w:tc>
        <w:tc>
          <w:tcPr>
            <w:tcW w:w="278" w:type="pct"/>
            <w:tcBorders>
              <w:top w:val="single" w:color="000000" w:sz="4" w:space="0"/>
              <w:left w:val="single" w:color="000000" w:sz="4" w:space="0"/>
              <w:bottom w:val="single" w:color="000000" w:sz="8" w:space="0"/>
              <w:right w:val="single" w:color="000000" w:sz="4" w:space="0"/>
            </w:tcBorders>
            <w:shd w:val="clear" w:color="auto" w:fill="auto"/>
            <w:vAlign w:val="center"/>
          </w:tcPr>
          <w:p w14:paraId="3FEE28AC">
            <w:pPr>
              <w:jc w:val="center"/>
              <w:rPr>
                <w:rFonts w:eastAsia="等线"/>
                <w:color w:val="000000" w:themeColor="text1"/>
                <w:szCs w:val="21"/>
                <w:highlight w:val="none"/>
                <w14:textFill>
                  <w14:solidFill>
                    <w14:schemeClr w14:val="tx1"/>
                  </w14:solidFill>
                </w14:textFill>
              </w:rPr>
            </w:pPr>
          </w:p>
        </w:tc>
        <w:tc>
          <w:tcPr>
            <w:tcW w:w="252" w:type="pct"/>
            <w:tcBorders>
              <w:top w:val="single" w:color="000000" w:sz="4" w:space="0"/>
              <w:left w:val="single" w:color="000000" w:sz="4" w:space="0"/>
              <w:bottom w:val="single" w:color="000000" w:sz="8" w:space="0"/>
              <w:right w:val="single" w:color="000000" w:sz="4" w:space="0"/>
            </w:tcBorders>
            <w:shd w:val="clear" w:color="auto" w:fill="auto"/>
            <w:vAlign w:val="center"/>
          </w:tcPr>
          <w:p w14:paraId="65C5F892">
            <w:pPr>
              <w:jc w:val="center"/>
              <w:rPr>
                <w:rFonts w:eastAsia="等线"/>
                <w:color w:val="000000" w:themeColor="text1"/>
                <w:szCs w:val="21"/>
                <w:highlight w:val="none"/>
                <w14:textFill>
                  <w14:solidFill>
                    <w14:schemeClr w14:val="tx1"/>
                  </w14:solidFill>
                </w14:textFill>
              </w:rPr>
            </w:pPr>
          </w:p>
        </w:tc>
        <w:tc>
          <w:tcPr>
            <w:tcW w:w="263" w:type="pct"/>
            <w:tcBorders>
              <w:top w:val="single" w:color="000000" w:sz="4" w:space="0"/>
              <w:left w:val="single" w:color="000000" w:sz="4" w:space="0"/>
              <w:bottom w:val="single" w:color="000000" w:sz="8" w:space="0"/>
              <w:right w:val="single" w:color="000000" w:sz="4" w:space="0"/>
            </w:tcBorders>
            <w:shd w:val="clear" w:color="auto" w:fill="auto"/>
            <w:vAlign w:val="center"/>
          </w:tcPr>
          <w:p w14:paraId="79AAF2BA">
            <w:pPr>
              <w:jc w:val="center"/>
              <w:rPr>
                <w:rFonts w:eastAsia="等线"/>
                <w:color w:val="000000" w:themeColor="text1"/>
                <w:szCs w:val="21"/>
                <w:highlight w:val="none"/>
                <w14:textFill>
                  <w14:solidFill>
                    <w14:schemeClr w14:val="tx1"/>
                  </w14:solidFill>
                </w14:textFill>
              </w:rPr>
            </w:pPr>
          </w:p>
        </w:tc>
        <w:tc>
          <w:tcPr>
            <w:tcW w:w="263" w:type="pct"/>
            <w:tcBorders>
              <w:top w:val="single" w:color="000000" w:sz="4" w:space="0"/>
              <w:left w:val="single" w:color="000000" w:sz="4" w:space="0"/>
              <w:bottom w:val="single" w:color="000000" w:sz="8" w:space="0"/>
              <w:right w:val="single" w:color="000000" w:sz="4" w:space="0"/>
            </w:tcBorders>
            <w:shd w:val="clear" w:color="auto" w:fill="auto"/>
            <w:vAlign w:val="center"/>
          </w:tcPr>
          <w:p w14:paraId="0FE3CAC8">
            <w:pPr>
              <w:jc w:val="center"/>
              <w:rPr>
                <w:rFonts w:eastAsia="等线"/>
                <w:color w:val="000000" w:themeColor="text1"/>
                <w:szCs w:val="21"/>
                <w:highlight w:val="none"/>
                <w14:textFill>
                  <w14:solidFill>
                    <w14:schemeClr w14:val="tx1"/>
                  </w14:solidFill>
                </w14:textFill>
              </w:rPr>
            </w:pPr>
          </w:p>
        </w:tc>
        <w:tc>
          <w:tcPr>
            <w:tcW w:w="263" w:type="pct"/>
            <w:tcBorders>
              <w:top w:val="single" w:color="000000" w:sz="4" w:space="0"/>
              <w:left w:val="single" w:color="000000" w:sz="4" w:space="0"/>
              <w:bottom w:val="single" w:color="000000" w:sz="8" w:space="0"/>
              <w:right w:val="single" w:color="000000" w:sz="4" w:space="0"/>
            </w:tcBorders>
            <w:shd w:val="clear" w:color="auto" w:fill="auto"/>
            <w:vAlign w:val="center"/>
          </w:tcPr>
          <w:p w14:paraId="727F402C">
            <w:pPr>
              <w:jc w:val="center"/>
              <w:rPr>
                <w:rFonts w:eastAsia="等线"/>
                <w:color w:val="000000" w:themeColor="text1"/>
                <w:szCs w:val="21"/>
                <w:highlight w:val="none"/>
                <w14:textFill>
                  <w14:solidFill>
                    <w14:schemeClr w14:val="tx1"/>
                  </w14:solidFill>
                </w14:textFill>
              </w:rPr>
            </w:pPr>
          </w:p>
        </w:tc>
        <w:tc>
          <w:tcPr>
            <w:tcW w:w="355" w:type="pct"/>
            <w:tcBorders>
              <w:top w:val="single" w:color="000000" w:sz="4" w:space="0"/>
              <w:left w:val="single" w:color="000000" w:sz="4" w:space="0"/>
              <w:bottom w:val="single" w:color="000000" w:sz="8" w:space="0"/>
              <w:right w:val="single" w:color="000000" w:sz="8" w:space="0"/>
            </w:tcBorders>
            <w:shd w:val="clear" w:color="auto" w:fill="auto"/>
            <w:noWrap/>
            <w:vAlign w:val="center"/>
          </w:tcPr>
          <w:p w14:paraId="0C330AF5">
            <w:pPr>
              <w:rPr>
                <w:rFonts w:eastAsia="等线"/>
                <w:color w:val="000000" w:themeColor="text1"/>
                <w:sz w:val="22"/>
                <w:szCs w:val="22"/>
                <w:highlight w:val="none"/>
                <w14:textFill>
                  <w14:solidFill>
                    <w14:schemeClr w14:val="tx1"/>
                  </w14:solidFill>
                </w14:textFill>
              </w:rPr>
            </w:pPr>
          </w:p>
        </w:tc>
      </w:tr>
    </w:tbl>
    <w:p w14:paraId="72D18311">
      <w:pPr>
        <w:adjustRightInd w:val="0"/>
        <w:snapToGrid w:val="0"/>
        <w:spacing w:line="360" w:lineRule="auto"/>
        <w:jc w:val="left"/>
        <w:rPr>
          <w:rFonts w:hint="eastAsia"/>
          <w:b/>
          <w:bCs/>
          <w:snapToGrid w:val="0"/>
          <w:color w:val="auto"/>
          <w:sz w:val="21"/>
          <w:szCs w:val="21"/>
          <w:lang w:val="en-US" w:eastAsia="zh-CN"/>
        </w:rPr>
      </w:pPr>
      <w:r>
        <w:rPr>
          <w:rFonts w:hint="eastAsia"/>
          <w:b/>
          <w:bCs/>
          <w:snapToGrid w:val="0"/>
          <w:color w:val="auto"/>
          <w:sz w:val="21"/>
          <w:szCs w:val="21"/>
          <w:lang w:val="en-US" w:eastAsia="zh-CN"/>
        </w:rPr>
        <w:t>说明：</w:t>
      </w:r>
    </w:p>
    <w:p w14:paraId="2E199D1A">
      <w:pPr>
        <w:adjustRightInd w:val="0"/>
        <w:snapToGrid w:val="0"/>
        <w:spacing w:line="360" w:lineRule="auto"/>
        <w:jc w:val="left"/>
        <w:rPr>
          <w:rFonts w:hint="eastAsia" w:eastAsia="宋体"/>
          <w:b/>
          <w:bCs/>
          <w:snapToGrid w:val="0"/>
          <w:color w:val="auto"/>
          <w:sz w:val="21"/>
          <w:szCs w:val="21"/>
          <w:lang w:eastAsia="zh-CN"/>
        </w:rPr>
      </w:pPr>
      <w:r>
        <w:rPr>
          <w:rFonts w:hint="eastAsia"/>
          <w:b/>
          <w:bCs/>
          <w:snapToGrid w:val="0"/>
          <w:color w:val="auto"/>
          <w:sz w:val="21"/>
          <w:szCs w:val="21"/>
          <w:lang w:val="en-US" w:eastAsia="zh-CN"/>
        </w:rPr>
        <w:t>1、</w:t>
      </w:r>
      <w:r>
        <w:rPr>
          <w:b/>
          <w:bCs/>
          <w:snapToGrid w:val="0"/>
          <w:color w:val="auto"/>
          <w:sz w:val="21"/>
          <w:szCs w:val="21"/>
        </w:rPr>
        <w:t>“/”表示低于检测下限</w:t>
      </w:r>
      <w:r>
        <w:rPr>
          <w:rFonts w:hint="eastAsia"/>
          <w:b/>
          <w:bCs/>
          <w:snapToGrid w:val="0"/>
          <w:color w:val="auto"/>
          <w:sz w:val="21"/>
          <w:szCs w:val="21"/>
          <w:lang w:eastAsia="zh-CN"/>
        </w:rPr>
        <w:t>；</w:t>
      </w:r>
    </w:p>
    <w:p w14:paraId="41C6D25E">
      <w:pPr>
        <w:adjustRightInd w:val="0"/>
        <w:snapToGrid w:val="0"/>
        <w:spacing w:line="360" w:lineRule="auto"/>
        <w:jc w:val="left"/>
        <w:rPr>
          <w:rFonts w:hint="eastAsia"/>
          <w:b/>
          <w:bCs/>
          <w:snapToGrid w:val="0"/>
          <w:color w:val="000000" w:themeColor="text1"/>
          <w:sz w:val="21"/>
          <w:szCs w:val="21"/>
          <w:lang w:val="en-US" w:eastAsia="zh-CN"/>
          <w14:textFill>
            <w14:solidFill>
              <w14:schemeClr w14:val="tx1"/>
            </w14:solidFill>
          </w14:textFill>
        </w:rPr>
      </w:pPr>
      <w:r>
        <w:rPr>
          <w:rFonts w:hint="eastAsia"/>
          <w:b/>
          <w:bCs/>
          <w:snapToGrid w:val="0"/>
          <w:color w:val="000000" w:themeColor="text1"/>
          <w:sz w:val="21"/>
          <w:szCs w:val="21"/>
          <w:lang w:val="en-US" w:eastAsia="zh-CN"/>
          <w14:textFill>
            <w14:solidFill>
              <w14:schemeClr w14:val="tx1"/>
            </w14:solidFill>
          </w14:textFill>
        </w:rPr>
        <w:t>2、以上进水水质为设计参考均值，实际可能存在来水超出上述表格范围情况，工程设计需考虑一定设计余量及工程系统保障性。</w:t>
      </w:r>
    </w:p>
    <w:p w14:paraId="0FAA1E39">
      <w:pPr>
        <w:adjustRightInd w:val="0"/>
        <w:snapToGrid w:val="0"/>
        <w:spacing w:line="360" w:lineRule="auto"/>
        <w:jc w:val="left"/>
        <w:rPr>
          <w:rFonts w:hint="eastAsia"/>
          <w:b/>
          <w:bCs/>
          <w:snapToGrid w:val="0"/>
          <w:color w:val="000000" w:themeColor="text1"/>
          <w:sz w:val="21"/>
          <w:szCs w:val="21"/>
          <w:lang w:val="en-US" w:eastAsia="zh-CN"/>
          <w14:textFill>
            <w14:solidFill>
              <w14:schemeClr w14:val="tx1"/>
            </w14:solidFill>
          </w14:textFill>
        </w:rPr>
      </w:pPr>
    </w:p>
    <w:p w14:paraId="6EB54DE9">
      <w:pPr>
        <w:adjustRightInd w:val="0"/>
        <w:snapToGrid w:val="0"/>
        <w:spacing w:line="360" w:lineRule="auto"/>
        <w:jc w:val="left"/>
        <w:rPr>
          <w:rFonts w:hint="default"/>
          <w:b/>
          <w:bCs/>
          <w:snapToGrid w:val="0"/>
          <w:color w:val="000000" w:themeColor="text1"/>
          <w:sz w:val="21"/>
          <w:szCs w:val="21"/>
          <w:lang w:val="en-US" w:eastAsia="zh-CN"/>
          <w14:textFill>
            <w14:solidFill>
              <w14:schemeClr w14:val="tx1"/>
            </w14:solidFill>
          </w14:textFill>
        </w:rPr>
        <w:sectPr>
          <w:headerReference r:id="rId7" w:type="default"/>
          <w:footerReference r:id="rId8" w:type="default"/>
          <w:pgSz w:w="16838" w:h="11906" w:orient="landscape"/>
          <w:pgMar w:top="1701" w:right="1800" w:bottom="1440" w:left="1800" w:header="964" w:footer="992" w:gutter="0"/>
          <w:pgNumType w:fmt="decimal"/>
          <w:cols w:space="720" w:num="1"/>
          <w:docGrid w:type="lines" w:linePitch="312" w:charSpace="0"/>
        </w:sectPr>
      </w:pPr>
    </w:p>
    <w:p w14:paraId="61C559CE">
      <w:pPr>
        <w:numPr>
          <w:ilvl w:val="-1"/>
          <w:numId w:val="0"/>
        </w:numPr>
        <w:adjustRightInd w:val="0"/>
        <w:snapToGrid w:val="0"/>
        <w:spacing w:line="360" w:lineRule="auto"/>
        <w:ind w:left="0" w:firstLine="0"/>
        <w:jc w:val="left"/>
        <w:outlineLvl w:val="1"/>
        <w:rPr>
          <w:b/>
          <w:bCs/>
          <w:snapToGrid w:val="0"/>
          <w:color w:val="000000" w:themeColor="text1"/>
          <w:sz w:val="24"/>
          <w14:textFill>
            <w14:solidFill>
              <w14:schemeClr w14:val="tx1"/>
            </w14:solidFill>
          </w14:textFill>
        </w:rPr>
      </w:pPr>
      <w:bookmarkStart w:id="44" w:name="_Toc31997"/>
      <w:bookmarkStart w:id="45" w:name="_Toc4811"/>
      <w:r>
        <w:rPr>
          <w:rFonts w:hint="eastAsia"/>
          <w:b/>
          <w:bCs/>
          <w:snapToGrid w:val="0"/>
          <w:color w:val="000000" w:themeColor="text1"/>
          <w:sz w:val="24"/>
          <w:lang w:val="en-US" w:eastAsia="zh-CN"/>
          <w14:textFill>
            <w14:solidFill>
              <w14:schemeClr w14:val="tx1"/>
            </w14:solidFill>
          </w14:textFill>
        </w:rPr>
        <w:t>3.</w:t>
      </w:r>
      <w:r>
        <w:rPr>
          <w:b/>
          <w:bCs/>
          <w:snapToGrid w:val="0"/>
          <w:color w:val="000000" w:themeColor="text1"/>
          <w:sz w:val="24"/>
          <w14:textFill>
            <w14:solidFill>
              <w14:schemeClr w14:val="tx1"/>
            </w14:solidFill>
          </w14:textFill>
        </w:rPr>
        <w:t>设计出水水质</w:t>
      </w:r>
      <w:bookmarkEnd w:id="44"/>
      <w:bookmarkEnd w:id="45"/>
    </w:p>
    <w:p w14:paraId="79A15BBE">
      <w:pPr>
        <w:spacing w:line="360" w:lineRule="auto"/>
        <w:ind w:firstLine="482"/>
        <w:jc w:val="left"/>
        <w:rPr>
          <w:rFonts w:hint="eastAsia" w:ascii="宋体" w:hAnsi="宋体" w:eastAsia="宋体" w:cs="宋体"/>
          <w:snapToGrid w:val="0"/>
          <w:color w:val="000000" w:themeColor="text1"/>
          <w:kern w:val="0"/>
          <w:sz w:val="24"/>
          <w14:textFill>
            <w14:solidFill>
              <w14:schemeClr w14:val="tx1"/>
            </w14:solidFill>
          </w14:textFill>
        </w:rPr>
      </w:pPr>
      <w:r>
        <w:rPr>
          <w:rFonts w:hint="eastAsia" w:ascii="宋体" w:hAnsi="宋体" w:eastAsia="宋体" w:cs="宋体"/>
          <w:snapToGrid w:val="0"/>
          <w:color w:val="000000" w:themeColor="text1"/>
          <w:kern w:val="0"/>
          <w:sz w:val="24"/>
          <w14:textFill>
            <w14:solidFill>
              <w14:schemeClr w14:val="tx1"/>
            </w14:solidFill>
          </w14:textFill>
        </w:rPr>
        <w:t>根据现有污水站环评排放标准，非电镀废水重金属指标执行《电镀水污染物排放标准》(DB33/2260-2020)间接排放要求，氨氮、总磷执行《工业企业废水氮、磷污染物间接排放限值》（DB33/887-2013），总氮执行《污水排入城镇下水道水质标准》(GB/T31962-2015)B级标准，COD等生化指标执行《污水综合排放标准》(GB8978-1996)中三级标准；具体指标详见下表，没有的指标表示不做要求：</w:t>
      </w:r>
    </w:p>
    <w:p w14:paraId="3FA91FCF">
      <w:pPr>
        <w:adjustRightInd w:val="0"/>
        <w:snapToGrid w:val="0"/>
        <w:spacing w:line="360" w:lineRule="auto"/>
        <w:jc w:val="center"/>
        <w:rPr>
          <w:b/>
          <w:bCs/>
          <w:color w:val="000000" w:themeColor="text1"/>
          <w:kern w:val="0"/>
          <w:szCs w:val="21"/>
          <w14:textFill>
            <w14:solidFill>
              <w14:schemeClr w14:val="tx1"/>
            </w14:solidFill>
          </w14:textFill>
        </w:rPr>
      </w:pPr>
      <w:r>
        <w:rPr>
          <w:b/>
          <w:bCs/>
          <w:color w:val="000000" w:themeColor="text1"/>
          <w:kern w:val="0"/>
          <w:szCs w:val="21"/>
          <w14:textFill>
            <w14:solidFill>
              <w14:schemeClr w14:val="tx1"/>
            </w14:solidFill>
          </w14:textFill>
        </w:rPr>
        <w:t>表</w:t>
      </w:r>
      <w:r>
        <w:rPr>
          <w:rFonts w:hint="eastAsia"/>
          <w:b/>
          <w:bCs/>
          <w:color w:val="000000" w:themeColor="text1"/>
          <w:kern w:val="0"/>
          <w:szCs w:val="21"/>
          <w:lang w:val="en-US" w:eastAsia="zh-CN"/>
          <w14:textFill>
            <w14:solidFill>
              <w14:schemeClr w14:val="tx1"/>
            </w14:solidFill>
          </w14:textFill>
        </w:rPr>
        <w:t>3</w:t>
      </w:r>
      <w:r>
        <w:rPr>
          <w:b/>
          <w:bCs/>
          <w:color w:val="000000" w:themeColor="text1"/>
          <w:kern w:val="0"/>
          <w:szCs w:val="21"/>
          <w14:textFill>
            <w14:solidFill>
              <w14:schemeClr w14:val="tx1"/>
            </w14:solidFill>
          </w14:textFill>
        </w:rPr>
        <w:t xml:space="preserve"> 设计排放标准（mg/L，pH无量纲）</w:t>
      </w:r>
    </w:p>
    <w:tbl>
      <w:tblPr>
        <w:tblStyle w:val="62"/>
        <w:tblW w:w="8010" w:type="dxa"/>
        <w:tblInd w:w="91" w:type="dxa"/>
        <w:tblLayout w:type="fixed"/>
        <w:tblCellMar>
          <w:top w:w="0" w:type="dxa"/>
          <w:left w:w="108" w:type="dxa"/>
          <w:bottom w:w="0" w:type="dxa"/>
          <w:right w:w="108" w:type="dxa"/>
        </w:tblCellMar>
      </w:tblPr>
      <w:tblGrid>
        <w:gridCol w:w="885"/>
        <w:gridCol w:w="1910"/>
        <w:gridCol w:w="1410"/>
        <w:gridCol w:w="3805"/>
      </w:tblGrid>
      <w:tr w14:paraId="42682612">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D7D7D7"/>
            <w:vAlign w:val="center"/>
          </w:tcPr>
          <w:p w14:paraId="00F68736">
            <w:pPr>
              <w:widowControl/>
              <w:jc w:val="center"/>
              <w:textAlignment w:val="center"/>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序号</w:t>
            </w:r>
          </w:p>
        </w:tc>
        <w:tc>
          <w:tcPr>
            <w:tcW w:w="1910" w:type="dxa"/>
            <w:tcBorders>
              <w:top w:val="single" w:color="000000" w:sz="4" w:space="0"/>
              <w:left w:val="single" w:color="000000" w:sz="4" w:space="0"/>
              <w:bottom w:val="single" w:color="000000" w:sz="4" w:space="0"/>
              <w:right w:val="single" w:color="000000" w:sz="4" w:space="0"/>
            </w:tcBorders>
            <w:shd w:val="clear" w:color="auto" w:fill="D7D7D7"/>
            <w:vAlign w:val="center"/>
          </w:tcPr>
          <w:p w14:paraId="214E3AB2">
            <w:pPr>
              <w:widowControl/>
              <w:jc w:val="center"/>
              <w:textAlignment w:val="center"/>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污染物</w:t>
            </w:r>
          </w:p>
        </w:tc>
        <w:tc>
          <w:tcPr>
            <w:tcW w:w="1410" w:type="dxa"/>
            <w:tcBorders>
              <w:top w:val="single" w:color="000000" w:sz="4" w:space="0"/>
              <w:left w:val="single" w:color="000000" w:sz="4" w:space="0"/>
              <w:bottom w:val="single" w:color="000000" w:sz="4" w:space="0"/>
              <w:right w:val="single" w:color="000000" w:sz="4" w:space="0"/>
            </w:tcBorders>
            <w:shd w:val="clear" w:color="auto" w:fill="D7D7D7"/>
            <w:vAlign w:val="center"/>
          </w:tcPr>
          <w:p w14:paraId="2C4EB5F9">
            <w:pPr>
              <w:widowControl/>
              <w:jc w:val="center"/>
              <w:textAlignment w:val="center"/>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排放标准</w:t>
            </w:r>
          </w:p>
        </w:tc>
        <w:tc>
          <w:tcPr>
            <w:tcW w:w="3805"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14:paraId="7E6A32AE">
            <w:pPr>
              <w:widowControl/>
              <w:jc w:val="center"/>
              <w:textAlignment w:val="center"/>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排放依据</w:t>
            </w:r>
          </w:p>
        </w:tc>
      </w:tr>
      <w:tr w14:paraId="4AB18E58">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C6436">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848B4">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总铬</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3884C">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0.5</w:t>
            </w:r>
          </w:p>
        </w:tc>
        <w:tc>
          <w:tcPr>
            <w:tcW w:w="38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2F33A8">
            <w:pPr>
              <w:widowControl/>
              <w:jc w:val="center"/>
              <w:textAlignment w:val="center"/>
              <w:rPr>
                <w:rFonts w:hint="eastAsia" w:ascii="宋体" w:hAnsi="宋体" w:eastAsia="宋体" w:cs="宋体"/>
                <w:color w:val="000000" w:themeColor="text1"/>
                <w:szCs w:val="21"/>
                <w14:textFill>
                  <w14:solidFill>
                    <w14:schemeClr w14:val="tx1"/>
                  </w14:solidFill>
                </w14:textFill>
              </w:rPr>
            </w:pPr>
            <w:bookmarkStart w:id="46" w:name="OLE_LINK4"/>
            <w:r>
              <w:rPr>
                <w:rFonts w:hint="eastAsia" w:ascii="宋体" w:hAnsi="宋体" w:eastAsia="宋体" w:cs="宋体"/>
                <w:color w:val="000000" w:themeColor="text1"/>
                <w:kern w:val="0"/>
                <w:szCs w:val="21"/>
                <w:lang w:bidi="ar"/>
                <w14:textFill>
                  <w14:solidFill>
                    <w14:schemeClr w14:val="tx1"/>
                  </w14:solidFill>
                </w14:textFill>
              </w:rPr>
              <w:t>电镀水污染物间接排放要求(DB33/2260-2020)</w:t>
            </w:r>
            <w:bookmarkEnd w:id="46"/>
            <w:r>
              <w:rPr>
                <w:rFonts w:hint="eastAsia" w:ascii="宋体" w:hAnsi="宋体" w:eastAsia="宋体" w:cs="宋体"/>
                <w:color w:val="000000" w:themeColor="text1"/>
                <w:kern w:val="0"/>
                <w:szCs w:val="21"/>
                <w:lang w:bidi="ar"/>
                <w14:textFill>
                  <w14:solidFill>
                    <w14:schemeClr w14:val="tx1"/>
                  </w14:solidFill>
                </w14:textFill>
              </w:rPr>
              <w:t>其他地区排放限值</w:t>
            </w:r>
          </w:p>
        </w:tc>
      </w:tr>
      <w:tr w14:paraId="48A12BD0">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49E3C">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2</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53E05">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六价铬</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8C884">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0.1</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C0423">
            <w:pPr>
              <w:jc w:val="center"/>
              <w:rPr>
                <w:rFonts w:hint="eastAsia" w:ascii="宋体" w:hAnsi="宋体" w:eastAsia="宋体" w:cs="宋体"/>
                <w:color w:val="000000" w:themeColor="text1"/>
                <w:szCs w:val="21"/>
                <w14:textFill>
                  <w14:solidFill>
                    <w14:schemeClr w14:val="tx1"/>
                  </w14:solidFill>
                </w14:textFill>
              </w:rPr>
            </w:pPr>
          </w:p>
        </w:tc>
      </w:tr>
      <w:tr w14:paraId="51A86601">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36808">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3</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F9CA5">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总镍</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64C33">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0.3</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920CC8">
            <w:pPr>
              <w:jc w:val="center"/>
              <w:rPr>
                <w:rFonts w:hint="eastAsia" w:ascii="宋体" w:hAnsi="宋体" w:eastAsia="宋体" w:cs="宋体"/>
                <w:color w:val="000000" w:themeColor="text1"/>
                <w:szCs w:val="21"/>
                <w14:textFill>
                  <w14:solidFill>
                    <w14:schemeClr w14:val="tx1"/>
                  </w14:solidFill>
                </w14:textFill>
              </w:rPr>
            </w:pPr>
          </w:p>
        </w:tc>
      </w:tr>
      <w:tr w14:paraId="6862FDA3">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2FD78">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4</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81FA5">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总银</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D503C">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0.1</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04FDA8">
            <w:pPr>
              <w:jc w:val="center"/>
              <w:rPr>
                <w:rFonts w:hint="eastAsia" w:ascii="宋体" w:hAnsi="宋体" w:eastAsia="宋体" w:cs="宋体"/>
                <w:color w:val="000000" w:themeColor="text1"/>
                <w:szCs w:val="21"/>
                <w14:textFill>
                  <w14:solidFill>
                    <w14:schemeClr w14:val="tx1"/>
                  </w14:solidFill>
                </w14:textFill>
              </w:rPr>
            </w:pPr>
          </w:p>
        </w:tc>
      </w:tr>
      <w:tr w14:paraId="6F424D25">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8FEF6">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5</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D3F59">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总铜</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DD124">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1.5</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08F18">
            <w:pPr>
              <w:jc w:val="center"/>
              <w:rPr>
                <w:rFonts w:hint="eastAsia" w:ascii="宋体" w:hAnsi="宋体" w:eastAsia="宋体" w:cs="宋体"/>
                <w:color w:val="000000" w:themeColor="text1"/>
                <w:szCs w:val="21"/>
                <w14:textFill>
                  <w14:solidFill>
                    <w14:schemeClr w14:val="tx1"/>
                  </w14:solidFill>
                </w14:textFill>
              </w:rPr>
            </w:pPr>
          </w:p>
        </w:tc>
      </w:tr>
      <w:tr w14:paraId="5CD5B249">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F9FE1">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6</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BDE32">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总锌</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84C68">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4</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BD5AA1">
            <w:pPr>
              <w:jc w:val="center"/>
              <w:rPr>
                <w:rFonts w:hint="eastAsia" w:ascii="宋体" w:hAnsi="宋体" w:eastAsia="宋体" w:cs="宋体"/>
                <w:color w:val="000000" w:themeColor="text1"/>
                <w:szCs w:val="21"/>
                <w14:textFill>
                  <w14:solidFill>
                    <w14:schemeClr w14:val="tx1"/>
                  </w14:solidFill>
                </w14:textFill>
              </w:rPr>
            </w:pPr>
          </w:p>
        </w:tc>
      </w:tr>
      <w:tr w14:paraId="05AF24D3">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3A725">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7</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7C2A1">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总铁</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46755">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10</w:t>
            </w:r>
          </w:p>
        </w:tc>
        <w:tc>
          <w:tcPr>
            <w:tcW w:w="38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0E2CE">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《酸洗废水排放总铁浓度</w:t>
            </w:r>
            <w:r>
              <w:rPr>
                <w:rFonts w:hint="eastAsia" w:ascii="宋体" w:hAnsi="宋体" w:eastAsia="宋体" w:cs="宋体"/>
                <w:color w:val="000000" w:themeColor="text1"/>
                <w:kern w:val="0"/>
                <w:szCs w:val="21"/>
                <w:lang w:bidi="ar"/>
                <w14:textFill>
                  <w14:solidFill>
                    <w14:schemeClr w14:val="tx1"/>
                  </w14:solidFill>
                </w14:textFill>
              </w:rPr>
              <w:br w:type="textWrapping"/>
            </w:r>
            <w:r>
              <w:rPr>
                <w:rFonts w:hint="eastAsia" w:ascii="宋体" w:hAnsi="宋体" w:eastAsia="宋体" w:cs="宋体"/>
                <w:color w:val="000000" w:themeColor="text1"/>
                <w:kern w:val="0"/>
                <w:szCs w:val="21"/>
                <w:lang w:bidi="ar"/>
                <w14:textFill>
                  <w14:solidFill>
                    <w14:schemeClr w14:val="tx1"/>
                  </w14:solidFill>
                </w14:textFill>
              </w:rPr>
              <w:t>限值》(DB33/844-2011)中</w:t>
            </w:r>
            <w:r>
              <w:rPr>
                <w:rFonts w:hint="eastAsia" w:ascii="宋体" w:hAnsi="宋体" w:eastAsia="宋体" w:cs="宋体"/>
                <w:color w:val="000000" w:themeColor="text1"/>
                <w:kern w:val="0"/>
                <w:szCs w:val="21"/>
                <w:lang w:bidi="ar"/>
                <w14:textFill>
                  <w14:solidFill>
                    <w14:schemeClr w14:val="tx1"/>
                  </w14:solidFill>
                </w14:textFill>
              </w:rPr>
              <w:br w:type="textWrapping"/>
            </w:r>
            <w:r>
              <w:rPr>
                <w:rFonts w:hint="eastAsia" w:ascii="宋体" w:hAnsi="宋体" w:eastAsia="宋体" w:cs="宋体"/>
                <w:color w:val="000000" w:themeColor="text1"/>
                <w:kern w:val="0"/>
                <w:szCs w:val="21"/>
                <w:lang w:bidi="ar"/>
                <w14:textFill>
                  <w14:solidFill>
                    <w14:schemeClr w14:val="tx1"/>
                  </w14:solidFill>
                </w14:textFill>
              </w:rPr>
              <w:t>的二级排放浓度限值</w:t>
            </w:r>
          </w:p>
        </w:tc>
      </w:tr>
      <w:tr w14:paraId="64A8F584">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EEB2A">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8</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8342C">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总铝</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3166B">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2</w:t>
            </w:r>
          </w:p>
        </w:tc>
        <w:tc>
          <w:tcPr>
            <w:tcW w:w="38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7EB423">
            <w:pPr>
              <w:widowControl/>
              <w:jc w:val="center"/>
              <w:textAlignment w:val="center"/>
              <w:rPr>
                <w:rFonts w:hint="eastAsia" w:ascii="宋体" w:hAnsi="宋体" w:eastAsia="宋体" w:cs="宋体"/>
                <w:color w:val="000000" w:themeColor="text1"/>
                <w:szCs w:val="21"/>
                <w14:textFill>
                  <w14:solidFill>
                    <w14:schemeClr w14:val="tx1"/>
                  </w14:solidFill>
                </w14:textFill>
              </w:rPr>
            </w:pPr>
            <w:bookmarkStart w:id="47" w:name="OLE_LINK20"/>
            <w:r>
              <w:rPr>
                <w:rFonts w:hint="eastAsia" w:ascii="宋体" w:hAnsi="宋体" w:eastAsia="宋体" w:cs="宋体"/>
                <w:color w:val="000000" w:themeColor="text1"/>
                <w:kern w:val="0"/>
                <w:szCs w:val="21"/>
                <w:lang w:bidi="ar"/>
                <w14:textFill>
                  <w14:solidFill>
                    <w14:schemeClr w14:val="tx1"/>
                  </w14:solidFill>
                </w14:textFill>
              </w:rPr>
              <w:t>电镀水污染物间接排放要求(DB33/2260-2020)</w:t>
            </w:r>
            <w:bookmarkEnd w:id="47"/>
            <w:r>
              <w:rPr>
                <w:rFonts w:hint="eastAsia" w:ascii="宋体" w:hAnsi="宋体" w:eastAsia="宋体" w:cs="宋体"/>
                <w:color w:val="000000" w:themeColor="text1"/>
                <w:kern w:val="0"/>
                <w:szCs w:val="21"/>
                <w:lang w:bidi="ar"/>
                <w14:textFill>
                  <w14:solidFill>
                    <w14:schemeClr w14:val="tx1"/>
                  </w14:solidFill>
                </w14:textFill>
              </w:rPr>
              <w:t>太湖流域排放限值</w:t>
            </w:r>
          </w:p>
        </w:tc>
      </w:tr>
      <w:tr w14:paraId="1CB4897E">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465C0">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9</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49CAD">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氟化物</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82062">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20</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5AA5A2">
            <w:pPr>
              <w:jc w:val="center"/>
              <w:rPr>
                <w:rFonts w:hint="eastAsia" w:ascii="宋体" w:hAnsi="宋体" w:eastAsia="宋体" w:cs="宋体"/>
                <w:color w:val="000000" w:themeColor="text1"/>
                <w:szCs w:val="21"/>
                <w14:textFill>
                  <w14:solidFill>
                    <w14:schemeClr w14:val="tx1"/>
                  </w14:solidFill>
                </w14:textFill>
              </w:rPr>
            </w:pPr>
          </w:p>
        </w:tc>
      </w:tr>
      <w:tr w14:paraId="24F87268">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68E90">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10</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6E8F5">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总氰化物（以 CN</w:t>
            </w:r>
            <w:r>
              <w:rPr>
                <w:rFonts w:hint="eastAsia" w:ascii="宋体" w:hAnsi="宋体" w:eastAsia="宋体" w:cs="宋体"/>
                <w:color w:val="000000" w:themeColor="text1"/>
                <w:kern w:val="0"/>
                <w:szCs w:val="21"/>
                <w:vertAlign w:val="superscript"/>
                <w:lang w:bidi="ar"/>
                <w14:textFill>
                  <w14:solidFill>
                    <w14:schemeClr w14:val="tx1"/>
                  </w14:solidFill>
                </w14:textFill>
              </w:rPr>
              <w:t>-</w:t>
            </w:r>
            <w:r>
              <w:rPr>
                <w:rFonts w:hint="eastAsia" w:ascii="宋体" w:hAnsi="宋体" w:eastAsia="宋体" w:cs="宋体"/>
                <w:color w:val="000000" w:themeColor="text1"/>
                <w:kern w:val="0"/>
                <w:szCs w:val="21"/>
                <w:lang w:bidi="ar"/>
                <w14:textFill>
                  <w14:solidFill>
                    <w14:schemeClr w14:val="tx1"/>
                  </w14:solidFill>
                </w14:textFill>
              </w:rPr>
              <w:t>）</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C7878">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0.5</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76D105">
            <w:pPr>
              <w:jc w:val="center"/>
              <w:rPr>
                <w:rFonts w:hint="eastAsia" w:ascii="宋体" w:hAnsi="宋体" w:eastAsia="宋体" w:cs="宋体"/>
                <w:color w:val="000000" w:themeColor="text1"/>
                <w:szCs w:val="21"/>
                <w14:textFill>
                  <w14:solidFill>
                    <w14:schemeClr w14:val="tx1"/>
                  </w14:solidFill>
                </w14:textFill>
              </w:rPr>
            </w:pPr>
          </w:p>
        </w:tc>
      </w:tr>
      <w:tr w14:paraId="4BEAD661">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AFEB1">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11</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1B361">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pH</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1A094">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6~9</w:t>
            </w:r>
          </w:p>
        </w:tc>
        <w:tc>
          <w:tcPr>
            <w:tcW w:w="38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A203A9">
            <w:pPr>
              <w:widowControl/>
              <w:jc w:val="center"/>
              <w:textAlignment w:val="center"/>
              <w:rPr>
                <w:rFonts w:hint="eastAsia" w:ascii="宋体" w:hAnsi="宋体" w:eastAsia="宋体" w:cs="宋体"/>
                <w:color w:val="000000" w:themeColor="text1"/>
                <w:szCs w:val="21"/>
                <w14:textFill>
                  <w14:solidFill>
                    <w14:schemeClr w14:val="tx1"/>
                  </w14:solidFill>
                </w14:textFill>
              </w:rPr>
            </w:pPr>
            <w:bookmarkStart w:id="48" w:name="OLE_LINK16"/>
            <w:r>
              <w:rPr>
                <w:rFonts w:hint="eastAsia" w:ascii="宋体" w:hAnsi="宋体" w:eastAsia="宋体" w:cs="宋体"/>
                <w:color w:val="000000" w:themeColor="text1"/>
                <w:kern w:val="0"/>
                <w:szCs w:val="21"/>
                <w:lang w:bidi="ar"/>
                <w14:textFill>
                  <w14:solidFill>
                    <w14:schemeClr w14:val="tx1"/>
                  </w14:solidFill>
                </w14:textFill>
              </w:rPr>
              <w:t>《污水综合排放标准》(GB8978-1996)中三级标准</w:t>
            </w:r>
            <w:bookmarkEnd w:id="48"/>
          </w:p>
        </w:tc>
      </w:tr>
      <w:tr w14:paraId="5BD99945">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9E3B1">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12</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E29FD">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COD</w:t>
            </w:r>
            <w:r>
              <w:rPr>
                <w:rFonts w:hint="eastAsia" w:ascii="宋体" w:hAnsi="宋体" w:eastAsia="宋体" w:cs="宋体"/>
                <w:color w:val="000000" w:themeColor="text1"/>
                <w:kern w:val="0"/>
                <w:szCs w:val="21"/>
                <w:vertAlign w:val="subscript"/>
                <w:lang w:bidi="ar"/>
                <w14:textFill>
                  <w14:solidFill>
                    <w14:schemeClr w14:val="tx1"/>
                  </w14:solidFill>
                </w14:textFill>
              </w:rPr>
              <w:t>Cr</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74C05">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500</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C7DBC4">
            <w:pPr>
              <w:jc w:val="center"/>
              <w:rPr>
                <w:rFonts w:hint="eastAsia" w:ascii="宋体" w:hAnsi="宋体" w:eastAsia="宋体" w:cs="宋体"/>
                <w:color w:val="000000" w:themeColor="text1"/>
                <w:szCs w:val="21"/>
                <w14:textFill>
                  <w14:solidFill>
                    <w14:schemeClr w14:val="tx1"/>
                  </w14:solidFill>
                </w14:textFill>
              </w:rPr>
            </w:pPr>
          </w:p>
        </w:tc>
      </w:tr>
      <w:tr w14:paraId="1E69221D">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FCA9A">
            <w:pPr>
              <w:widowControl/>
              <w:jc w:val="center"/>
              <w:textAlignment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w:t>
            </w:r>
            <w:r>
              <w:rPr>
                <w:rFonts w:hint="eastAsia" w:ascii="宋体" w:hAnsi="宋体" w:eastAsia="宋体" w:cs="宋体"/>
                <w:color w:val="000000" w:themeColor="text1"/>
                <w:kern w:val="0"/>
                <w:szCs w:val="21"/>
                <w:lang w:val="en-US" w:eastAsia="zh-CN" w:bidi="ar"/>
                <w14:textFill>
                  <w14:solidFill>
                    <w14:schemeClr w14:val="tx1"/>
                  </w14:solidFill>
                </w14:textFill>
              </w:rPr>
              <w:t>3</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C0C8B">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氨氮</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50F4D">
            <w:pPr>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35</w:t>
            </w:r>
          </w:p>
        </w:tc>
        <w:tc>
          <w:tcPr>
            <w:tcW w:w="38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47BFDE">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《工业企业废水氮、磷污染物间接排放限值》（DB33/887-2013）</w:t>
            </w:r>
          </w:p>
        </w:tc>
      </w:tr>
      <w:tr w14:paraId="2F48F3A0">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F886E">
            <w:pPr>
              <w:widowControl/>
              <w:jc w:val="center"/>
              <w:textAlignment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w:t>
            </w:r>
            <w:r>
              <w:rPr>
                <w:rFonts w:hint="eastAsia" w:ascii="宋体" w:hAnsi="宋体" w:eastAsia="宋体" w:cs="宋体"/>
                <w:color w:val="000000" w:themeColor="text1"/>
                <w:kern w:val="0"/>
                <w:szCs w:val="21"/>
                <w:lang w:val="en-US" w:eastAsia="zh-CN" w:bidi="ar"/>
                <w14:textFill>
                  <w14:solidFill>
                    <w14:schemeClr w14:val="tx1"/>
                  </w14:solidFill>
                </w14:textFill>
              </w:rPr>
              <w:t>4</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C73FF">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总磷（TP）</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FD15A">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8</w:t>
            </w:r>
          </w:p>
        </w:tc>
        <w:tc>
          <w:tcPr>
            <w:tcW w:w="38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AFC466">
            <w:pPr>
              <w:jc w:val="center"/>
              <w:rPr>
                <w:rFonts w:hint="eastAsia" w:ascii="宋体" w:hAnsi="宋体" w:eastAsia="宋体" w:cs="宋体"/>
                <w:color w:val="000000" w:themeColor="text1"/>
                <w:szCs w:val="21"/>
                <w14:textFill>
                  <w14:solidFill>
                    <w14:schemeClr w14:val="tx1"/>
                  </w14:solidFill>
                </w14:textFill>
              </w:rPr>
            </w:pPr>
          </w:p>
        </w:tc>
      </w:tr>
      <w:tr w14:paraId="41DD19D9">
        <w:tblPrEx>
          <w:tblCellMar>
            <w:top w:w="0" w:type="dxa"/>
            <w:left w:w="108" w:type="dxa"/>
            <w:bottom w:w="0" w:type="dxa"/>
            <w:right w:w="108" w:type="dxa"/>
          </w:tblCellMar>
        </w:tblPrEx>
        <w:trPr>
          <w:trHeight w:val="45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65D38">
            <w:pPr>
              <w:widowControl/>
              <w:jc w:val="center"/>
              <w:textAlignment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1</w:t>
            </w:r>
            <w:r>
              <w:rPr>
                <w:rFonts w:hint="eastAsia" w:ascii="宋体" w:hAnsi="宋体" w:eastAsia="宋体" w:cs="宋体"/>
                <w:color w:val="000000" w:themeColor="text1"/>
                <w:kern w:val="0"/>
                <w:szCs w:val="21"/>
                <w:lang w:val="en-US" w:eastAsia="zh-CN" w:bidi="ar"/>
                <w14:textFill>
                  <w14:solidFill>
                    <w14:schemeClr w14:val="tx1"/>
                  </w14:solidFill>
                </w14:textFill>
              </w:rPr>
              <w:t>5</w:t>
            </w: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02526">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总氮（TN）</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CDA57">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70</w:t>
            </w:r>
          </w:p>
        </w:tc>
        <w:tc>
          <w:tcPr>
            <w:tcW w:w="38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199A6">
            <w:pPr>
              <w:widowControl/>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0"/>
                <w:szCs w:val="21"/>
                <w:lang w:bidi="ar"/>
                <w14:textFill>
                  <w14:solidFill>
                    <w14:schemeClr w14:val="tx1"/>
                  </w14:solidFill>
                </w14:textFill>
              </w:rPr>
              <w:t>《污水排入城镇下水道水质标准》(GB/T31962-2015)B级标准</w:t>
            </w:r>
          </w:p>
        </w:tc>
      </w:tr>
    </w:tbl>
    <w:p w14:paraId="477B05B8">
      <w:pPr>
        <w:numPr>
          <w:ilvl w:val="-1"/>
          <w:numId w:val="0"/>
        </w:numPr>
        <w:tabs>
          <w:tab w:val="left" w:pos="0"/>
        </w:tabs>
        <w:adjustRightInd w:val="0"/>
        <w:snapToGrid w:val="0"/>
        <w:spacing w:line="360" w:lineRule="auto"/>
        <w:ind w:left="0" w:firstLine="0"/>
        <w:jc w:val="left"/>
        <w:outlineLvl w:val="1"/>
        <w:rPr>
          <w:b/>
          <w:bCs/>
          <w:color w:val="000000" w:themeColor="text1"/>
          <w:sz w:val="24"/>
          <w:highlight w:val="none"/>
          <w14:textFill>
            <w14:solidFill>
              <w14:schemeClr w14:val="tx1"/>
            </w14:solidFill>
          </w14:textFill>
        </w:rPr>
      </w:pPr>
      <w:bookmarkStart w:id="49" w:name="_Toc10644"/>
      <w:bookmarkStart w:id="50" w:name="_Toc19839"/>
    </w:p>
    <w:p w14:paraId="7F2A1BDE">
      <w:pPr>
        <w:numPr>
          <w:ilvl w:val="-1"/>
          <w:numId w:val="0"/>
        </w:numPr>
        <w:adjustRightInd/>
        <w:snapToGrid/>
        <w:spacing w:line="240" w:lineRule="auto"/>
        <w:ind w:left="0" w:firstLine="0"/>
        <w:jc w:val="left"/>
        <w:outlineLvl w:val="9"/>
        <w:rPr>
          <w:rFonts w:hint="eastAsia"/>
          <w:b/>
          <w:bCs/>
          <w:color w:val="000000" w:themeColor="text1"/>
          <w:sz w:val="24"/>
          <w:highlight w:val="none"/>
          <w:lang w:val="en-US" w:eastAsia="zh-CN"/>
          <w14:textFill>
            <w14:solidFill>
              <w14:schemeClr w14:val="tx1"/>
            </w14:solidFill>
          </w14:textFill>
        </w:rPr>
      </w:pPr>
      <w:r>
        <w:rPr>
          <w:rFonts w:hint="eastAsia"/>
          <w:b/>
          <w:bCs/>
          <w:color w:val="000000" w:themeColor="text1"/>
          <w:sz w:val="24"/>
          <w:highlight w:val="none"/>
          <w:lang w:val="en-US" w:eastAsia="zh-CN"/>
          <w14:textFill>
            <w14:solidFill>
              <w14:schemeClr w14:val="tx1"/>
            </w14:solidFill>
          </w14:textFill>
        </w:rPr>
        <w:br w:type="page"/>
      </w:r>
    </w:p>
    <w:p w14:paraId="58C5C65C">
      <w:pPr>
        <w:numPr>
          <w:ilvl w:val="-1"/>
          <w:numId w:val="0"/>
        </w:numPr>
        <w:tabs>
          <w:tab w:val="left" w:pos="0"/>
        </w:tabs>
        <w:adjustRightInd w:val="0"/>
        <w:snapToGrid w:val="0"/>
        <w:spacing w:line="360" w:lineRule="auto"/>
        <w:ind w:left="0" w:firstLine="0"/>
        <w:jc w:val="left"/>
        <w:outlineLvl w:val="1"/>
        <w:rPr>
          <w:rFonts w:hint="eastAsia" w:eastAsia="宋体"/>
          <w:b/>
          <w:bCs/>
          <w:color w:val="000000" w:themeColor="text1"/>
          <w:sz w:val="24"/>
          <w:highlight w:val="none"/>
          <w:lang w:eastAsia="zh-CN"/>
          <w14:textFill>
            <w14:solidFill>
              <w14:schemeClr w14:val="tx1"/>
            </w14:solidFill>
          </w14:textFill>
        </w:rPr>
      </w:pPr>
      <w:r>
        <w:rPr>
          <w:rFonts w:hint="eastAsia"/>
          <w:b/>
          <w:bCs/>
          <w:color w:val="000000" w:themeColor="text1"/>
          <w:sz w:val="24"/>
          <w:highlight w:val="none"/>
          <w:lang w:val="en-US" w:eastAsia="zh-CN"/>
          <w14:textFill>
            <w14:solidFill>
              <w14:schemeClr w14:val="tx1"/>
            </w14:solidFill>
          </w14:textFill>
        </w:rPr>
        <w:t>4.参考</w:t>
      </w:r>
      <w:r>
        <w:rPr>
          <w:b/>
          <w:bCs/>
          <w:color w:val="000000" w:themeColor="text1"/>
          <w:sz w:val="24"/>
          <w:highlight w:val="none"/>
          <w14:textFill>
            <w14:solidFill>
              <w14:schemeClr w14:val="tx1"/>
            </w14:solidFill>
          </w14:textFill>
        </w:rPr>
        <w:t>设计工艺</w:t>
      </w:r>
      <w:bookmarkEnd w:id="49"/>
      <w:r>
        <w:rPr>
          <w:b/>
          <w:bCs/>
          <w:color w:val="000000" w:themeColor="text1"/>
          <w:sz w:val="24"/>
          <w:highlight w:val="none"/>
          <w14:textFill>
            <w14:solidFill>
              <w14:schemeClr w14:val="tx1"/>
            </w14:solidFill>
          </w14:textFill>
        </w:rPr>
        <w:t>流程</w:t>
      </w:r>
      <w:bookmarkEnd w:id="50"/>
    </w:p>
    <w:p w14:paraId="54B64327">
      <w:pPr>
        <w:adjustRightInd w:val="0"/>
        <w:snapToGrid w:val="0"/>
        <w:spacing w:line="360" w:lineRule="auto"/>
        <w:jc w:val="center"/>
        <w:rPr>
          <w:b/>
          <w:bCs/>
          <w:color w:val="000000" w:themeColor="text1"/>
          <w:kern w:val="0"/>
          <w:szCs w:val="21"/>
          <w14:textFill>
            <w14:solidFill>
              <w14:schemeClr w14:val="tx1"/>
            </w14:solidFill>
          </w14:textFill>
        </w:rPr>
      </w:pPr>
      <w:r>
        <w:drawing>
          <wp:inline distT="0" distB="0" distL="114300" distR="114300">
            <wp:extent cx="5756910" cy="3784600"/>
            <wp:effectExtent l="0" t="0" r="0" b="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27"/>
                    <a:srcRect l="1820" r="3347"/>
                    <a:stretch>
                      <a:fillRect/>
                    </a:stretch>
                  </pic:blipFill>
                  <pic:spPr>
                    <a:xfrm>
                      <a:off x="0" y="0"/>
                      <a:ext cx="5756910" cy="3784600"/>
                    </a:xfrm>
                    <a:prstGeom prst="rect">
                      <a:avLst/>
                    </a:prstGeom>
                    <a:noFill/>
                    <a:ln>
                      <a:noFill/>
                    </a:ln>
                  </pic:spPr>
                </pic:pic>
              </a:graphicData>
            </a:graphic>
          </wp:inline>
        </w:drawing>
      </w:r>
    </w:p>
    <w:p w14:paraId="7CECAB71">
      <w:pPr>
        <w:adjustRightInd/>
        <w:spacing w:line="360" w:lineRule="auto"/>
        <w:rPr>
          <w:rFonts w:hint="eastAsia" w:ascii="宋体" w:hAnsi="宋体" w:cs="宋体"/>
          <w:b/>
          <w:sz w:val="24"/>
          <w:highlight w:val="none"/>
          <w:lang w:val="en-US" w:eastAsia="zh-CN"/>
        </w:rPr>
      </w:pPr>
    </w:p>
    <w:p w14:paraId="5451A026">
      <w:pPr>
        <w:adjustRightInd/>
        <w:spacing w:line="360" w:lineRule="auto"/>
        <w:rPr>
          <w:rFonts w:hint="default" w:ascii="宋体" w:hAnsi="宋体" w:cs="宋体"/>
          <w:b/>
          <w:sz w:val="24"/>
          <w:highlight w:val="none"/>
          <w:lang w:val="en-US" w:eastAsia="zh-CN"/>
        </w:rPr>
      </w:pPr>
      <w:r>
        <w:rPr>
          <w:rFonts w:hint="eastAsia" w:ascii="宋体" w:hAnsi="宋体" w:cs="宋体"/>
          <w:b/>
          <w:sz w:val="24"/>
          <w:highlight w:val="none"/>
          <w:lang w:val="en-US" w:eastAsia="zh-CN"/>
        </w:rPr>
        <w:t>六、设备清单</w:t>
      </w:r>
    </w:p>
    <w:p w14:paraId="3CEB47F5">
      <w:pPr>
        <w:adjustRightInd/>
        <w:spacing w:line="360" w:lineRule="auto"/>
        <w:rPr>
          <w:rFonts w:hint="default" w:ascii="宋体" w:hAnsi="宋体" w:cs="宋体"/>
          <w:b/>
          <w:sz w:val="24"/>
          <w:highlight w:val="none"/>
          <w:lang w:val="en-US" w:eastAsia="zh-CN"/>
        </w:rPr>
      </w:pPr>
      <w:r>
        <w:rPr>
          <w:rFonts w:hint="eastAsia" w:ascii="宋体" w:hAnsi="宋体" w:cs="宋体"/>
          <w:b/>
          <w:sz w:val="24"/>
          <w:highlight w:val="none"/>
          <w:lang w:val="en-US" w:eastAsia="zh-CN"/>
        </w:rPr>
        <w:t>1、新增设备清单</w:t>
      </w:r>
    </w:p>
    <w:tbl>
      <w:tblPr>
        <w:tblStyle w:val="62"/>
        <w:tblW w:w="8692" w:type="dxa"/>
        <w:jc w:val="center"/>
        <w:tblLayout w:type="fixed"/>
        <w:tblCellMar>
          <w:top w:w="0" w:type="dxa"/>
          <w:left w:w="108" w:type="dxa"/>
          <w:bottom w:w="0" w:type="dxa"/>
          <w:right w:w="108" w:type="dxa"/>
        </w:tblCellMar>
      </w:tblPr>
      <w:tblGrid>
        <w:gridCol w:w="464"/>
        <w:gridCol w:w="1716"/>
        <w:gridCol w:w="3380"/>
        <w:gridCol w:w="1166"/>
        <w:gridCol w:w="464"/>
        <w:gridCol w:w="464"/>
        <w:gridCol w:w="1038"/>
      </w:tblGrid>
      <w:tr w14:paraId="36AF6BBD">
        <w:tblPrEx>
          <w:tblCellMar>
            <w:top w:w="0" w:type="dxa"/>
            <w:left w:w="108" w:type="dxa"/>
            <w:bottom w:w="0" w:type="dxa"/>
            <w:right w:w="108" w:type="dxa"/>
          </w:tblCellMar>
        </w:tblPrEx>
        <w:trPr>
          <w:trHeight w:val="23" w:hRule="atLeast"/>
          <w:tblHeader/>
          <w:jc w:val="center"/>
        </w:trPr>
        <w:tc>
          <w:tcPr>
            <w:tcW w:w="464" w:type="dxa"/>
            <w:tcBorders>
              <w:top w:val="single" w:color="000000" w:sz="8" w:space="0"/>
              <w:left w:val="single" w:color="000000" w:sz="8" w:space="0"/>
              <w:bottom w:val="single" w:color="000000" w:sz="4" w:space="0"/>
              <w:right w:val="single" w:color="000000" w:sz="4" w:space="0"/>
            </w:tcBorders>
            <w:shd w:val="clear" w:color="auto" w:fill="D9D9D9"/>
            <w:noWrap/>
            <w:vAlign w:val="center"/>
          </w:tcPr>
          <w:p w14:paraId="31D44E72">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序号</w:t>
            </w:r>
          </w:p>
        </w:tc>
        <w:tc>
          <w:tcPr>
            <w:tcW w:w="1716" w:type="dxa"/>
            <w:tcBorders>
              <w:top w:val="single" w:color="000000" w:sz="8" w:space="0"/>
              <w:left w:val="single" w:color="000000" w:sz="4" w:space="0"/>
              <w:bottom w:val="single" w:color="000000" w:sz="4" w:space="0"/>
              <w:right w:val="single" w:color="000000" w:sz="4" w:space="0"/>
            </w:tcBorders>
            <w:shd w:val="clear" w:color="auto" w:fill="D9D9D9"/>
            <w:vAlign w:val="center"/>
          </w:tcPr>
          <w:p w14:paraId="732B02F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设备名称</w:t>
            </w:r>
          </w:p>
        </w:tc>
        <w:tc>
          <w:tcPr>
            <w:tcW w:w="3380" w:type="dxa"/>
            <w:tcBorders>
              <w:top w:val="single" w:color="000000" w:sz="8" w:space="0"/>
              <w:left w:val="single" w:color="000000" w:sz="4" w:space="0"/>
              <w:bottom w:val="single" w:color="000000" w:sz="4" w:space="0"/>
              <w:right w:val="single" w:color="000000" w:sz="4" w:space="0"/>
            </w:tcBorders>
            <w:shd w:val="clear" w:color="auto" w:fill="D9D9D9"/>
            <w:vAlign w:val="center"/>
          </w:tcPr>
          <w:p w14:paraId="5DF8938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规格参数</w:t>
            </w:r>
          </w:p>
        </w:tc>
        <w:tc>
          <w:tcPr>
            <w:tcW w:w="1166" w:type="dxa"/>
            <w:tcBorders>
              <w:top w:val="single" w:color="000000" w:sz="8" w:space="0"/>
              <w:left w:val="single" w:color="000000" w:sz="4" w:space="0"/>
              <w:bottom w:val="single" w:color="000000" w:sz="4" w:space="0"/>
              <w:right w:val="single" w:color="000000" w:sz="4" w:space="0"/>
            </w:tcBorders>
            <w:shd w:val="clear" w:color="auto" w:fill="D9D9D9"/>
            <w:vAlign w:val="center"/>
          </w:tcPr>
          <w:p w14:paraId="6A03E20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材质</w:t>
            </w:r>
          </w:p>
        </w:tc>
        <w:tc>
          <w:tcPr>
            <w:tcW w:w="464" w:type="dxa"/>
            <w:tcBorders>
              <w:top w:val="single" w:color="000000" w:sz="8" w:space="0"/>
              <w:left w:val="single" w:color="000000" w:sz="4" w:space="0"/>
              <w:bottom w:val="single" w:color="000000" w:sz="4" w:space="0"/>
              <w:right w:val="single" w:color="000000" w:sz="4" w:space="0"/>
            </w:tcBorders>
            <w:shd w:val="clear" w:color="auto" w:fill="D9D9D9"/>
            <w:noWrap/>
            <w:vAlign w:val="center"/>
          </w:tcPr>
          <w:p w14:paraId="3252C44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464" w:type="dxa"/>
            <w:tcBorders>
              <w:top w:val="single" w:color="000000" w:sz="8" w:space="0"/>
              <w:left w:val="single" w:color="000000" w:sz="4" w:space="0"/>
              <w:bottom w:val="single" w:color="000000" w:sz="4" w:space="0"/>
              <w:right w:val="single" w:color="000000" w:sz="4" w:space="0"/>
            </w:tcBorders>
            <w:shd w:val="clear" w:color="auto" w:fill="D9D9D9"/>
            <w:noWrap/>
            <w:vAlign w:val="center"/>
          </w:tcPr>
          <w:p w14:paraId="61EEEE0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单位</w:t>
            </w:r>
          </w:p>
        </w:tc>
        <w:tc>
          <w:tcPr>
            <w:tcW w:w="1038" w:type="dxa"/>
            <w:tcBorders>
              <w:top w:val="single" w:color="000000" w:sz="8" w:space="0"/>
              <w:left w:val="single" w:color="000000" w:sz="4" w:space="0"/>
              <w:bottom w:val="single" w:color="000000" w:sz="4" w:space="0"/>
              <w:right w:val="single" w:color="000000" w:sz="8" w:space="0"/>
            </w:tcBorders>
            <w:shd w:val="clear" w:color="auto" w:fill="D9D9D9"/>
            <w:vAlign w:val="center"/>
          </w:tcPr>
          <w:p w14:paraId="7DFB473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r>
      <w:tr w14:paraId="0A4315B1">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0A6731C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1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1F6C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提升泵2</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F25CD">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Q=33m³/h，H=13m，卧式离心泵，功率：4kw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9A41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过流SUS304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DA739">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8898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2B6F2E4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1用1备</w:t>
            </w:r>
          </w:p>
        </w:tc>
      </w:tr>
      <w:tr w14:paraId="4289DF35">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413A9B1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4F52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提升泵3</w:t>
            </w:r>
          </w:p>
        </w:tc>
        <w:tc>
          <w:tcPr>
            <w:tcW w:w="3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7EAC4">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Q=40m³/h，H=13m，卧式离心泵，功率：4kw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62C98">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过流SUS304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1D3B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9EF2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728C20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1用1备</w:t>
            </w:r>
          </w:p>
        </w:tc>
      </w:tr>
      <w:tr w14:paraId="73EC5192">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57E484F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w:t>
            </w:r>
          </w:p>
        </w:tc>
        <w:tc>
          <w:tcPr>
            <w:tcW w:w="1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A9BD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提升泵4</w:t>
            </w:r>
          </w:p>
        </w:tc>
        <w:tc>
          <w:tcPr>
            <w:tcW w:w="3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4794A">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Q=40m³/h，H=13m，卧式离心泵，功率：4kw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FFCE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过流SUS304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97FC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C225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25AADAF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1用1备</w:t>
            </w:r>
          </w:p>
        </w:tc>
      </w:tr>
      <w:tr w14:paraId="49083E81">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43DDE28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AB97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提升泵5</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8F5EB">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Q=21m³/h，H=15m，卧式离心泵，功率：1.5kw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968B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过流SUS304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DFAE7">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CFC7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7ABF680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1用1备</w:t>
            </w:r>
          </w:p>
        </w:tc>
      </w:tr>
      <w:tr w14:paraId="50CB89E9">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5232670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0EA5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提升泵6</w:t>
            </w:r>
          </w:p>
        </w:tc>
        <w:tc>
          <w:tcPr>
            <w:tcW w:w="3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22610">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Q=21m³/h，H=15m，卧式离心泵，功率：1.5kw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439C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过流SUS304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A530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E1D7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0D8B81C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1用1备</w:t>
            </w:r>
          </w:p>
        </w:tc>
      </w:tr>
      <w:tr w14:paraId="4297953F">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3A85948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6D24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超声波液位计5</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6CED6">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量程0~5m，一体式，4-20mA信号输出，配套数据显示</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4703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探头PP</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A2EE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B79D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1218D9DE">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022248C7">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1E66FF4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60BF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电磁流量计1</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DAE25">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测量口径：DN50，结构方式：分体式，带接地环，防水等级：IP65</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0EC9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电极材质钽电极</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7CAB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2AD0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E19174D">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7C1B9BAC">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63B8EFB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8</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A0BC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电磁流量计2</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2C6E6">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测量口径：DN50，结构方式：分体式，带接地环，防水等级：IP65</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1F7A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电极材质钽电极</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65258">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FA39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0007916B">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214F6B1C">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24CCA46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9</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17BF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非电镀镍处理系统</w:t>
            </w:r>
          </w:p>
        </w:tc>
        <w:tc>
          <w:tcPr>
            <w:tcW w:w="3380" w:type="dxa"/>
            <w:tcBorders>
              <w:top w:val="single" w:color="000000" w:sz="4" w:space="0"/>
              <w:left w:val="nil"/>
              <w:bottom w:val="single" w:color="000000" w:sz="4" w:space="0"/>
              <w:right w:val="single" w:color="000000" w:sz="4" w:space="0"/>
            </w:tcBorders>
            <w:shd w:val="clear" w:color="auto" w:fill="auto"/>
            <w:vAlign w:val="center"/>
          </w:tcPr>
          <w:p w14:paraId="407215F4">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系统处理能力40m³/d，配套均质系统安装支架、均质系统、爬梯、护栏等</w:t>
            </w:r>
          </w:p>
        </w:tc>
        <w:tc>
          <w:tcPr>
            <w:tcW w:w="1166" w:type="dxa"/>
            <w:tcBorders>
              <w:top w:val="single" w:color="000000" w:sz="4" w:space="0"/>
              <w:left w:val="nil"/>
              <w:bottom w:val="single" w:color="000000" w:sz="4" w:space="0"/>
              <w:right w:val="single" w:color="000000" w:sz="4" w:space="0"/>
            </w:tcBorders>
            <w:shd w:val="clear" w:color="auto" w:fill="auto"/>
            <w:vAlign w:val="center"/>
          </w:tcPr>
          <w:p w14:paraId="220C541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耐腐蚀</w:t>
            </w:r>
          </w:p>
        </w:tc>
        <w:tc>
          <w:tcPr>
            <w:tcW w:w="464" w:type="dxa"/>
            <w:tcBorders>
              <w:top w:val="single" w:color="000000" w:sz="4" w:space="0"/>
              <w:left w:val="nil"/>
              <w:bottom w:val="single" w:color="000000" w:sz="4" w:space="0"/>
              <w:right w:val="single" w:color="000000" w:sz="4" w:space="0"/>
            </w:tcBorders>
            <w:shd w:val="clear" w:color="auto" w:fill="auto"/>
            <w:noWrap/>
            <w:vAlign w:val="center"/>
          </w:tcPr>
          <w:p w14:paraId="42C61B4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1</w:t>
            </w:r>
          </w:p>
        </w:tc>
        <w:tc>
          <w:tcPr>
            <w:tcW w:w="464" w:type="dxa"/>
            <w:tcBorders>
              <w:top w:val="single" w:color="000000" w:sz="4" w:space="0"/>
              <w:left w:val="nil"/>
              <w:bottom w:val="single" w:color="000000" w:sz="4" w:space="0"/>
              <w:right w:val="single" w:color="000000" w:sz="4" w:space="0"/>
            </w:tcBorders>
            <w:shd w:val="clear" w:color="auto" w:fill="auto"/>
            <w:noWrap/>
            <w:vAlign w:val="center"/>
          </w:tcPr>
          <w:p w14:paraId="03FF732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5277AE39">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448FF377">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4B13131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10</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4AC0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非电镀铬处理系统</w:t>
            </w:r>
          </w:p>
        </w:tc>
        <w:tc>
          <w:tcPr>
            <w:tcW w:w="3380" w:type="dxa"/>
            <w:tcBorders>
              <w:top w:val="single" w:color="000000" w:sz="4" w:space="0"/>
              <w:left w:val="nil"/>
              <w:bottom w:val="single" w:color="000000" w:sz="4" w:space="0"/>
              <w:right w:val="single" w:color="000000" w:sz="4" w:space="0"/>
            </w:tcBorders>
            <w:shd w:val="clear" w:color="auto" w:fill="auto"/>
            <w:vAlign w:val="center"/>
          </w:tcPr>
          <w:p w14:paraId="3AB54B15">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系统处理能力30m³/d，配套均质系统安装支架、均质系统、爬梯、护栏等</w:t>
            </w:r>
          </w:p>
        </w:tc>
        <w:tc>
          <w:tcPr>
            <w:tcW w:w="1166" w:type="dxa"/>
            <w:tcBorders>
              <w:top w:val="single" w:color="000000" w:sz="4" w:space="0"/>
              <w:left w:val="nil"/>
              <w:bottom w:val="single" w:color="000000" w:sz="4" w:space="0"/>
              <w:right w:val="single" w:color="000000" w:sz="4" w:space="0"/>
            </w:tcBorders>
            <w:shd w:val="clear" w:color="auto" w:fill="auto"/>
            <w:vAlign w:val="center"/>
          </w:tcPr>
          <w:p w14:paraId="164E6BD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耐腐蚀</w:t>
            </w:r>
          </w:p>
        </w:tc>
        <w:tc>
          <w:tcPr>
            <w:tcW w:w="464" w:type="dxa"/>
            <w:tcBorders>
              <w:top w:val="single" w:color="000000" w:sz="4" w:space="0"/>
              <w:left w:val="nil"/>
              <w:bottom w:val="single" w:color="000000" w:sz="4" w:space="0"/>
              <w:right w:val="single" w:color="000000" w:sz="4" w:space="0"/>
            </w:tcBorders>
            <w:shd w:val="clear" w:color="auto" w:fill="auto"/>
            <w:noWrap/>
            <w:vAlign w:val="center"/>
          </w:tcPr>
          <w:p w14:paraId="3A579AF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1</w:t>
            </w:r>
          </w:p>
        </w:tc>
        <w:tc>
          <w:tcPr>
            <w:tcW w:w="464" w:type="dxa"/>
            <w:tcBorders>
              <w:top w:val="single" w:color="000000" w:sz="4" w:space="0"/>
              <w:left w:val="nil"/>
              <w:bottom w:val="single" w:color="000000" w:sz="4" w:space="0"/>
              <w:right w:val="single" w:color="000000" w:sz="4" w:space="0"/>
            </w:tcBorders>
            <w:shd w:val="clear" w:color="auto" w:fill="auto"/>
            <w:noWrap/>
            <w:vAlign w:val="center"/>
          </w:tcPr>
          <w:p w14:paraId="2035A0A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F43A79B">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06FF0EFF">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0AA53BC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11</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B043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反应均质系统3</w:t>
            </w:r>
          </w:p>
        </w:tc>
        <w:tc>
          <w:tcPr>
            <w:tcW w:w="3380" w:type="dxa"/>
            <w:tcBorders>
              <w:top w:val="single" w:color="000000" w:sz="4" w:space="0"/>
              <w:left w:val="nil"/>
              <w:bottom w:val="single" w:color="000000" w:sz="4" w:space="0"/>
              <w:right w:val="single" w:color="000000" w:sz="4" w:space="0"/>
            </w:tcBorders>
            <w:shd w:val="clear" w:color="auto" w:fill="auto"/>
            <w:vAlign w:val="center"/>
          </w:tcPr>
          <w:p w14:paraId="2C5376CF">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非标设备，配套低噪SEW齿轮减速机及电机，功率：2.2kw</w:t>
            </w:r>
          </w:p>
        </w:tc>
        <w:tc>
          <w:tcPr>
            <w:tcW w:w="1166" w:type="dxa"/>
            <w:tcBorders>
              <w:top w:val="single" w:color="000000" w:sz="4" w:space="0"/>
              <w:left w:val="nil"/>
              <w:bottom w:val="single" w:color="000000" w:sz="4" w:space="0"/>
              <w:right w:val="single" w:color="000000" w:sz="4" w:space="0"/>
            </w:tcBorders>
            <w:shd w:val="clear" w:color="auto" w:fill="auto"/>
            <w:vAlign w:val="center"/>
          </w:tcPr>
          <w:p w14:paraId="2C206927">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碳钢衬塑</w:t>
            </w:r>
          </w:p>
        </w:tc>
        <w:tc>
          <w:tcPr>
            <w:tcW w:w="464" w:type="dxa"/>
            <w:tcBorders>
              <w:top w:val="single" w:color="000000" w:sz="4" w:space="0"/>
              <w:left w:val="nil"/>
              <w:bottom w:val="single" w:color="000000" w:sz="4" w:space="0"/>
              <w:right w:val="single" w:color="000000" w:sz="4" w:space="0"/>
            </w:tcBorders>
            <w:shd w:val="clear" w:color="auto" w:fill="auto"/>
            <w:noWrap/>
            <w:vAlign w:val="center"/>
          </w:tcPr>
          <w:p w14:paraId="6C1259F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w:t>
            </w:r>
          </w:p>
        </w:tc>
        <w:tc>
          <w:tcPr>
            <w:tcW w:w="464" w:type="dxa"/>
            <w:tcBorders>
              <w:top w:val="single" w:color="000000" w:sz="4" w:space="0"/>
              <w:left w:val="nil"/>
              <w:bottom w:val="single" w:color="000000" w:sz="4" w:space="0"/>
              <w:right w:val="single" w:color="000000" w:sz="4" w:space="0"/>
            </w:tcBorders>
            <w:shd w:val="clear" w:color="auto" w:fill="auto"/>
            <w:noWrap/>
            <w:vAlign w:val="center"/>
          </w:tcPr>
          <w:p w14:paraId="58FD641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78202C44">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2FBB65C3">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669ED77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27B1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絮凝均质系统3</w:t>
            </w:r>
          </w:p>
        </w:tc>
        <w:tc>
          <w:tcPr>
            <w:tcW w:w="3380" w:type="dxa"/>
            <w:tcBorders>
              <w:top w:val="nil"/>
              <w:left w:val="nil"/>
              <w:bottom w:val="single" w:color="000000" w:sz="4" w:space="0"/>
              <w:right w:val="single" w:color="000000" w:sz="4" w:space="0"/>
            </w:tcBorders>
            <w:shd w:val="clear" w:color="auto" w:fill="auto"/>
            <w:vAlign w:val="center"/>
          </w:tcPr>
          <w:p w14:paraId="71518B51">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非标设备，配套低噪SEW齿轮减速机及电机，功率：1.5kw</w:t>
            </w:r>
          </w:p>
        </w:tc>
        <w:tc>
          <w:tcPr>
            <w:tcW w:w="1166" w:type="dxa"/>
            <w:tcBorders>
              <w:top w:val="nil"/>
              <w:left w:val="nil"/>
              <w:bottom w:val="single" w:color="000000" w:sz="4" w:space="0"/>
              <w:right w:val="single" w:color="000000" w:sz="4" w:space="0"/>
            </w:tcBorders>
            <w:shd w:val="clear" w:color="auto" w:fill="auto"/>
            <w:vAlign w:val="center"/>
          </w:tcPr>
          <w:p w14:paraId="24D771B9">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碳钢衬塑</w:t>
            </w:r>
          </w:p>
        </w:tc>
        <w:tc>
          <w:tcPr>
            <w:tcW w:w="464" w:type="dxa"/>
            <w:tcBorders>
              <w:top w:val="nil"/>
              <w:left w:val="nil"/>
              <w:bottom w:val="single" w:color="000000" w:sz="4" w:space="0"/>
              <w:right w:val="single" w:color="000000" w:sz="4" w:space="0"/>
            </w:tcBorders>
            <w:shd w:val="clear" w:color="auto" w:fill="auto"/>
            <w:noWrap/>
            <w:vAlign w:val="center"/>
          </w:tcPr>
          <w:p w14:paraId="60883A3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nil"/>
              <w:left w:val="nil"/>
              <w:bottom w:val="single" w:color="000000" w:sz="4" w:space="0"/>
              <w:right w:val="single" w:color="000000" w:sz="4" w:space="0"/>
            </w:tcBorders>
            <w:shd w:val="clear" w:color="auto" w:fill="auto"/>
            <w:noWrap/>
            <w:vAlign w:val="center"/>
          </w:tcPr>
          <w:p w14:paraId="6C065B8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968D5B9">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05B59B22">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65EC7BC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13</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36E1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生沉池沉淀配水系统</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85F4F">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处理能力：400m³/d，成品，非标定制</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2483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D195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660C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313FD1E1">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1C6B1A02">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75A0900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14</w:t>
            </w:r>
          </w:p>
        </w:tc>
        <w:tc>
          <w:tcPr>
            <w:tcW w:w="1716" w:type="dxa"/>
            <w:tcBorders>
              <w:top w:val="nil"/>
              <w:left w:val="single" w:color="000000" w:sz="4" w:space="0"/>
              <w:bottom w:val="single" w:color="000000" w:sz="4" w:space="0"/>
              <w:right w:val="single" w:color="000000" w:sz="4" w:space="0"/>
            </w:tcBorders>
            <w:shd w:val="clear" w:color="auto" w:fill="auto"/>
            <w:vAlign w:val="center"/>
          </w:tcPr>
          <w:p w14:paraId="67285B7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保障沉淀配水系统</w:t>
            </w:r>
          </w:p>
        </w:tc>
        <w:tc>
          <w:tcPr>
            <w:tcW w:w="3380" w:type="dxa"/>
            <w:tcBorders>
              <w:top w:val="nil"/>
              <w:left w:val="nil"/>
              <w:bottom w:val="single" w:color="000000" w:sz="4" w:space="0"/>
              <w:right w:val="single" w:color="000000" w:sz="4" w:space="0"/>
            </w:tcBorders>
            <w:shd w:val="clear" w:color="auto" w:fill="auto"/>
            <w:vAlign w:val="center"/>
          </w:tcPr>
          <w:p w14:paraId="3F598695">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处理能力：400m³/d，成品，非标定制</w:t>
            </w:r>
          </w:p>
        </w:tc>
        <w:tc>
          <w:tcPr>
            <w:tcW w:w="1166" w:type="dxa"/>
            <w:tcBorders>
              <w:top w:val="nil"/>
              <w:left w:val="nil"/>
              <w:bottom w:val="single" w:color="000000" w:sz="4" w:space="0"/>
              <w:right w:val="single" w:color="000000" w:sz="4" w:space="0"/>
            </w:tcBorders>
            <w:shd w:val="clear" w:color="auto" w:fill="auto"/>
            <w:vAlign w:val="center"/>
          </w:tcPr>
          <w:p w14:paraId="5542E2F9">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SUS304</w:t>
            </w:r>
          </w:p>
        </w:tc>
        <w:tc>
          <w:tcPr>
            <w:tcW w:w="464" w:type="dxa"/>
            <w:tcBorders>
              <w:top w:val="nil"/>
              <w:left w:val="nil"/>
              <w:bottom w:val="single" w:color="000000" w:sz="4" w:space="0"/>
              <w:right w:val="single" w:color="000000" w:sz="4" w:space="0"/>
            </w:tcBorders>
            <w:shd w:val="clear" w:color="auto" w:fill="auto"/>
            <w:noWrap/>
            <w:vAlign w:val="center"/>
          </w:tcPr>
          <w:p w14:paraId="3CF7B8B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nil"/>
              <w:left w:val="nil"/>
              <w:bottom w:val="single" w:color="000000" w:sz="4" w:space="0"/>
              <w:right w:val="single" w:color="000000" w:sz="4" w:space="0"/>
            </w:tcBorders>
            <w:shd w:val="clear" w:color="auto" w:fill="auto"/>
            <w:noWrap/>
            <w:vAlign w:val="center"/>
          </w:tcPr>
          <w:p w14:paraId="460B74F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01A03022">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2AB4F79F">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011CE50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15</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DDBE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加强型刮泥机2</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FD819">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池体尺寸7.2m*7.2m*6.6m，介质为含水率9</w:t>
            </w:r>
            <w:r>
              <w:rPr>
                <w:rFonts w:hint="eastAsia" w:ascii="宋体" w:hAnsi="宋体" w:cs="宋体"/>
                <w:color w:val="000000"/>
                <w:kern w:val="0"/>
                <w:sz w:val="21"/>
                <w:szCs w:val="21"/>
                <w:lang w:val="en-US" w:eastAsia="zh-CN" w:bidi="ar"/>
              </w:rPr>
              <w:t>5</w:t>
            </w:r>
            <w:r>
              <w:rPr>
                <w:rFonts w:hint="eastAsia" w:ascii="宋体" w:hAnsi="宋体" w:eastAsia="宋体" w:cs="宋体"/>
                <w:color w:val="000000"/>
                <w:kern w:val="0"/>
                <w:sz w:val="21"/>
                <w:szCs w:val="21"/>
                <w:lang w:bidi="ar"/>
              </w:rPr>
              <w:t>~99%生化高钙污泥，带自控箱，设计扭矩≥5000Nm</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0D2E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水下SUS304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A480E">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78CE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7295646">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31AE7D6C">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13D0C57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16</w:t>
            </w:r>
          </w:p>
        </w:tc>
        <w:tc>
          <w:tcPr>
            <w:tcW w:w="1716" w:type="dxa"/>
            <w:tcBorders>
              <w:top w:val="nil"/>
              <w:left w:val="single" w:color="000000" w:sz="4" w:space="0"/>
              <w:bottom w:val="single" w:color="000000" w:sz="4" w:space="0"/>
              <w:right w:val="single" w:color="000000" w:sz="4" w:space="0"/>
            </w:tcBorders>
            <w:shd w:val="clear" w:color="auto" w:fill="auto"/>
            <w:vAlign w:val="center"/>
          </w:tcPr>
          <w:p w14:paraId="4B8BA7B7">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加强型刮泥机3</w:t>
            </w:r>
          </w:p>
        </w:tc>
        <w:tc>
          <w:tcPr>
            <w:tcW w:w="3380" w:type="dxa"/>
            <w:tcBorders>
              <w:top w:val="nil"/>
              <w:left w:val="nil"/>
              <w:bottom w:val="single" w:color="000000" w:sz="4" w:space="0"/>
              <w:right w:val="single" w:color="000000" w:sz="4" w:space="0"/>
            </w:tcBorders>
            <w:shd w:val="clear" w:color="auto" w:fill="auto"/>
            <w:vAlign w:val="center"/>
          </w:tcPr>
          <w:p w14:paraId="0B7A8D5B">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池体尺寸7.2m*7.2m*6.6m，介质为含水率95~98%物化高钙污泥，带自控箱</w:t>
            </w:r>
            <w:r>
              <w:rPr>
                <w:rFonts w:hint="eastAsia" w:ascii="宋体" w:hAnsi="宋体" w:cs="宋体"/>
                <w:color w:val="000000"/>
                <w:kern w:val="0"/>
                <w:sz w:val="21"/>
                <w:szCs w:val="21"/>
                <w:lang w:eastAsia="zh-CN" w:bidi="ar"/>
              </w:rPr>
              <w:t>，</w:t>
            </w:r>
            <w:r>
              <w:rPr>
                <w:rFonts w:hint="eastAsia" w:ascii="宋体" w:hAnsi="宋体" w:eastAsia="宋体" w:cs="宋体"/>
                <w:color w:val="000000"/>
                <w:kern w:val="0"/>
                <w:sz w:val="21"/>
                <w:szCs w:val="21"/>
                <w:lang w:bidi="ar"/>
              </w:rPr>
              <w:t>设计扭矩≥5000Nm</w:t>
            </w:r>
          </w:p>
        </w:tc>
        <w:tc>
          <w:tcPr>
            <w:tcW w:w="1166" w:type="dxa"/>
            <w:tcBorders>
              <w:top w:val="nil"/>
              <w:left w:val="nil"/>
              <w:bottom w:val="single" w:color="000000" w:sz="4" w:space="0"/>
              <w:right w:val="single" w:color="000000" w:sz="4" w:space="0"/>
            </w:tcBorders>
            <w:shd w:val="clear" w:color="auto" w:fill="auto"/>
            <w:vAlign w:val="center"/>
          </w:tcPr>
          <w:p w14:paraId="5C75971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水下SUS304</w:t>
            </w:r>
          </w:p>
        </w:tc>
        <w:tc>
          <w:tcPr>
            <w:tcW w:w="464" w:type="dxa"/>
            <w:tcBorders>
              <w:top w:val="nil"/>
              <w:left w:val="nil"/>
              <w:bottom w:val="single" w:color="000000" w:sz="4" w:space="0"/>
              <w:right w:val="single" w:color="000000" w:sz="4" w:space="0"/>
            </w:tcBorders>
            <w:shd w:val="clear" w:color="auto" w:fill="auto"/>
            <w:noWrap/>
            <w:vAlign w:val="center"/>
          </w:tcPr>
          <w:p w14:paraId="00E20432">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nil"/>
              <w:left w:val="nil"/>
              <w:bottom w:val="single" w:color="000000" w:sz="4" w:space="0"/>
              <w:right w:val="single" w:color="000000" w:sz="4" w:space="0"/>
            </w:tcBorders>
            <w:shd w:val="clear" w:color="auto" w:fill="auto"/>
            <w:noWrap/>
            <w:vAlign w:val="center"/>
          </w:tcPr>
          <w:p w14:paraId="36FC59E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23BFC05D">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782371E5">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19B0EB5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17</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E447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A/SCBR池潜水搅拌机</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31B0D">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水池尺寸：7*4.8*6.6m，具备超温保护，油室漏水保护，过载保护，免维护轴承，配起吊装置，带控制箱，功率：≥4kw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033EE">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水下SUS304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3EAA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F56D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4098E23C">
            <w:pPr>
              <w:keepNext w:val="0"/>
              <w:keepLines w:val="0"/>
              <w:pageBreakBefore w:val="0"/>
              <w:kinsoku/>
              <w:wordWrap/>
              <w:overflowPunct/>
              <w:topLinePunct w:val="0"/>
              <w:autoSpaceDE/>
              <w:autoSpaceDN/>
              <w:bidi w:val="0"/>
              <w:adjustRightInd/>
              <w:snapToGrid/>
              <w:jc w:val="left"/>
              <w:rPr>
                <w:rFonts w:hint="eastAsia" w:ascii="宋体" w:hAnsi="宋体" w:eastAsia="宋体" w:cs="宋体"/>
                <w:color w:val="000000"/>
                <w:sz w:val="21"/>
                <w:szCs w:val="21"/>
              </w:rPr>
            </w:pPr>
          </w:p>
        </w:tc>
      </w:tr>
      <w:tr w14:paraId="4A6214A1">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31AF619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18</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1209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生沉池出水装置</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9BA2C">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水池尺寸7.2m*7.2m*6.6m，非标定制，配套密封设施、高度可调节装置</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315C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SUS304+PVC</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389B8">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1AD3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59981A52">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2F020E63">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6F9568F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19</w:t>
            </w:r>
          </w:p>
        </w:tc>
        <w:tc>
          <w:tcPr>
            <w:tcW w:w="1716" w:type="dxa"/>
            <w:tcBorders>
              <w:top w:val="nil"/>
              <w:left w:val="single" w:color="000000" w:sz="4" w:space="0"/>
              <w:bottom w:val="single" w:color="000000" w:sz="4" w:space="0"/>
              <w:right w:val="single" w:color="000000" w:sz="4" w:space="0"/>
            </w:tcBorders>
            <w:shd w:val="clear" w:color="auto" w:fill="auto"/>
            <w:vAlign w:val="center"/>
          </w:tcPr>
          <w:p w14:paraId="32C8B94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保沉池出水装置</w:t>
            </w:r>
          </w:p>
        </w:tc>
        <w:tc>
          <w:tcPr>
            <w:tcW w:w="3380" w:type="dxa"/>
            <w:tcBorders>
              <w:top w:val="nil"/>
              <w:left w:val="nil"/>
              <w:bottom w:val="single" w:color="000000" w:sz="4" w:space="0"/>
              <w:right w:val="single" w:color="000000" w:sz="4" w:space="0"/>
            </w:tcBorders>
            <w:shd w:val="clear" w:color="auto" w:fill="auto"/>
            <w:vAlign w:val="center"/>
          </w:tcPr>
          <w:p w14:paraId="3D58A80A">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水池尺寸7.2m*7.2m*6.6m，非标定制，配套密封设施、高度可调节装置</w:t>
            </w:r>
          </w:p>
        </w:tc>
        <w:tc>
          <w:tcPr>
            <w:tcW w:w="1166" w:type="dxa"/>
            <w:tcBorders>
              <w:top w:val="nil"/>
              <w:left w:val="nil"/>
              <w:bottom w:val="single" w:color="000000" w:sz="4" w:space="0"/>
              <w:right w:val="single" w:color="000000" w:sz="4" w:space="0"/>
            </w:tcBorders>
            <w:shd w:val="clear" w:color="auto" w:fill="auto"/>
            <w:vAlign w:val="center"/>
          </w:tcPr>
          <w:p w14:paraId="15DFF3D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SUS304+PVC</w:t>
            </w:r>
          </w:p>
        </w:tc>
        <w:tc>
          <w:tcPr>
            <w:tcW w:w="464" w:type="dxa"/>
            <w:tcBorders>
              <w:top w:val="nil"/>
              <w:left w:val="nil"/>
              <w:bottom w:val="single" w:color="000000" w:sz="4" w:space="0"/>
              <w:right w:val="single" w:color="000000" w:sz="4" w:space="0"/>
            </w:tcBorders>
            <w:shd w:val="clear" w:color="auto" w:fill="auto"/>
            <w:noWrap/>
            <w:vAlign w:val="center"/>
          </w:tcPr>
          <w:p w14:paraId="7DBE727E">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nil"/>
              <w:left w:val="nil"/>
              <w:bottom w:val="single" w:color="000000" w:sz="4" w:space="0"/>
              <w:right w:val="single" w:color="000000" w:sz="4" w:space="0"/>
            </w:tcBorders>
            <w:shd w:val="clear" w:color="auto" w:fill="auto"/>
            <w:noWrap/>
            <w:vAlign w:val="center"/>
          </w:tcPr>
          <w:p w14:paraId="2D69B60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0A024636">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4DC5C5C0">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462A87D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20</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8D267">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监控桶</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43C6">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容积1000L锥底桶，可排空，带底座</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D0728">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PE，加厚</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367F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6A63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005034C8">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FF0000"/>
                <w:sz w:val="21"/>
                <w:szCs w:val="21"/>
              </w:rPr>
            </w:pPr>
          </w:p>
        </w:tc>
      </w:tr>
      <w:tr w14:paraId="6A175374">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36FA93C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21</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093C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pH仪表1</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B076F">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量程：0~14，4~20mA信号输出，配套数据显示，含10m线长pH电极，沉入式安装支架</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30697">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E52C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0005E">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329AB21B">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6B992A22">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565B7E88">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22</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1987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pH仪表3</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AADF5">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量程：0~14，4~20mA信号输出，配套数据显示，含10m线长pH电极，沉入式安装支架</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BE698">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7F58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6BD6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13969999">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27972673">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1F1BC287">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23</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BE54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pH仪表4</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B377B">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量程：0~14，4~20mA信号输出，配套数据显示，含10m线长pH电极，沉入式安装支架</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49D4B">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70C87">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388C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2C32FD35">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3003D2BD">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47BBB7F9">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24</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5A1A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pH仪表5</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99FEC">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量程：0~14，4~20mA信号输出，配套数据显示，含10m线长pH电极，沉入式安装支架</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D9309">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2AF3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FA87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3A8C8872">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5D9BBF74">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346E82E7">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25</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7554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pH仪表6</w:t>
            </w:r>
          </w:p>
        </w:tc>
        <w:tc>
          <w:tcPr>
            <w:tcW w:w="3380" w:type="dxa"/>
            <w:tcBorders>
              <w:top w:val="nil"/>
              <w:left w:val="nil"/>
              <w:bottom w:val="single" w:color="000000" w:sz="4" w:space="0"/>
              <w:right w:val="single" w:color="000000" w:sz="4" w:space="0"/>
            </w:tcBorders>
            <w:shd w:val="clear" w:color="auto" w:fill="auto"/>
            <w:vAlign w:val="center"/>
          </w:tcPr>
          <w:p w14:paraId="6BD87894">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量程：0~14，4~20mA信号输出，配套数据显示，含10m线长pH电极，沉入式安装支架</w:t>
            </w:r>
          </w:p>
        </w:tc>
        <w:tc>
          <w:tcPr>
            <w:tcW w:w="1166" w:type="dxa"/>
            <w:tcBorders>
              <w:top w:val="nil"/>
              <w:left w:val="nil"/>
              <w:bottom w:val="single" w:color="000000" w:sz="4" w:space="0"/>
              <w:right w:val="single" w:color="000000" w:sz="4" w:space="0"/>
            </w:tcBorders>
            <w:shd w:val="clear" w:color="auto" w:fill="auto"/>
            <w:vAlign w:val="center"/>
          </w:tcPr>
          <w:p w14:paraId="438BD371">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w:t>
            </w:r>
          </w:p>
        </w:tc>
        <w:tc>
          <w:tcPr>
            <w:tcW w:w="464" w:type="dxa"/>
            <w:tcBorders>
              <w:top w:val="nil"/>
              <w:left w:val="nil"/>
              <w:bottom w:val="single" w:color="000000" w:sz="4" w:space="0"/>
              <w:right w:val="single" w:color="000000" w:sz="4" w:space="0"/>
            </w:tcBorders>
            <w:shd w:val="clear" w:color="auto" w:fill="auto"/>
            <w:noWrap/>
            <w:vAlign w:val="center"/>
          </w:tcPr>
          <w:p w14:paraId="7C766CB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64" w:type="dxa"/>
            <w:tcBorders>
              <w:top w:val="nil"/>
              <w:left w:val="nil"/>
              <w:bottom w:val="single" w:color="000000" w:sz="4" w:space="0"/>
              <w:right w:val="single" w:color="000000" w:sz="4" w:space="0"/>
            </w:tcBorders>
            <w:shd w:val="clear" w:color="auto" w:fill="auto"/>
            <w:noWrap/>
            <w:vAlign w:val="center"/>
          </w:tcPr>
          <w:p w14:paraId="5855236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7F450F8F">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6EEA766F">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7E9F1CF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26</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1F66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pH仪表7</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21BCE">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量程：0~14，4~20mA信号输出，配套数据显示，含10m线长pH电极，沉入式安装支架</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39ACF">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D21A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4EE5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17F303AE">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2C0FE818">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4C89738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27</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98D8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ORP仪表</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32A0">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量程：-2000~2000mv，4~20mA，配套数据显示，含10m线长ORP电极，沉入式安装支架</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20F44">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BF2F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CA7CE">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388D082">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00C70153">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1D9918E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28</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A1AA6">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空气搅拌系统4</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A88D2">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水池尺寸4.8m*27.5m*4.2m，非标定制，穿孔曝气，防堵塞设计，介质为强酸碱性、高盐分、高氯根废水</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0ACE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强耐腐</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C2B7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0BAE2">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0087640">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42988BEC">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59BA4F02">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29</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63153">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A/SCBR池曝气搅拌系统</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AB3EE">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水池尺寸4.8m*7m*6.6m，非标定制，盘式微孔曝气器</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B17B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膜片材质EPDM</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FF58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4BF8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5DB8F29D">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53C30693">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39113D0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30</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FE12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加药泵1</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F37BB">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Q=2m³/h，H=15m，磁力泵，功率：0.75kw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A88A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PVDF</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9939B">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FA09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4712BAFD">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632FC4D4">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2337A1FA">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31</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CCB8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石灰泵</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67FC5">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Q=8m³/h，H=15m，潜污泵，功率：1.1kw</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DB6C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铸铁</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51E95">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F02F4">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center"/>
          </w:tcPr>
          <w:p w14:paraId="658283D1">
            <w:pPr>
              <w:keepNext w:val="0"/>
              <w:keepLines w:val="0"/>
              <w:pageBreakBefore w:val="0"/>
              <w:kinsoku/>
              <w:wordWrap/>
              <w:overflowPunct/>
              <w:topLinePunct w:val="0"/>
              <w:autoSpaceDE/>
              <w:autoSpaceDN/>
              <w:bidi w:val="0"/>
              <w:adjustRightInd/>
              <w:snapToGrid/>
              <w:jc w:val="center"/>
              <w:rPr>
                <w:rFonts w:hint="eastAsia" w:ascii="宋体" w:hAnsi="宋体" w:eastAsia="宋体" w:cs="宋体"/>
                <w:color w:val="000000"/>
                <w:sz w:val="21"/>
                <w:szCs w:val="21"/>
              </w:rPr>
            </w:pPr>
          </w:p>
        </w:tc>
      </w:tr>
      <w:tr w14:paraId="6B084824">
        <w:tblPrEx>
          <w:tblCellMar>
            <w:top w:w="0" w:type="dxa"/>
            <w:left w:w="108" w:type="dxa"/>
            <w:bottom w:w="0" w:type="dxa"/>
            <w:right w:w="108" w:type="dxa"/>
          </w:tblCellMar>
        </w:tblPrEx>
        <w:trPr>
          <w:trHeight w:val="23" w:hRule="atLeast"/>
          <w:jc w:val="center"/>
        </w:trPr>
        <w:tc>
          <w:tcPr>
            <w:tcW w:w="464" w:type="dxa"/>
            <w:tcBorders>
              <w:top w:val="single" w:color="000000" w:sz="4" w:space="0"/>
              <w:left w:val="single" w:color="000000" w:sz="8" w:space="0"/>
              <w:bottom w:val="single" w:color="000000" w:sz="4" w:space="0"/>
              <w:right w:val="single" w:color="000000" w:sz="4" w:space="0"/>
            </w:tcBorders>
            <w:shd w:val="clear" w:color="auto" w:fill="auto"/>
            <w:noWrap/>
            <w:vAlign w:val="center"/>
          </w:tcPr>
          <w:p w14:paraId="12C56841">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32</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BDA9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电气自控系统</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701D4">
            <w:pPr>
              <w:keepNext w:val="0"/>
              <w:keepLines w:val="0"/>
              <w:pageBreakBefore w:val="0"/>
              <w:widowControl/>
              <w:kinsoku/>
              <w:wordWrap/>
              <w:overflowPunct/>
              <w:topLinePunct w:val="0"/>
              <w:autoSpaceDE/>
              <w:autoSpaceDN/>
              <w:bidi w:val="0"/>
              <w:adjustRightInd/>
              <w:snapToGri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含配电柜、控制柜、PLC柜、仪表柜、按钮箱柜以及电缆、桥架，相关上位机组态、上下位机开发等</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73160">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碳钢喷塑/强耐腐</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C7E4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564AE">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bottom"/>
          </w:tcPr>
          <w:p w14:paraId="25E1D9DD">
            <w:pPr>
              <w:keepNext w:val="0"/>
              <w:keepLines w:val="0"/>
              <w:pageBreakBefore w:val="0"/>
              <w:kinsoku/>
              <w:wordWrap/>
              <w:overflowPunct/>
              <w:topLinePunct w:val="0"/>
              <w:autoSpaceDE/>
              <w:autoSpaceDN/>
              <w:bidi w:val="0"/>
              <w:adjustRightInd/>
              <w:snapToGrid/>
              <w:rPr>
                <w:rFonts w:hint="eastAsia" w:ascii="宋体" w:hAnsi="宋体" w:eastAsia="宋体" w:cs="宋体"/>
                <w:color w:val="000000"/>
                <w:sz w:val="21"/>
                <w:szCs w:val="21"/>
              </w:rPr>
            </w:pPr>
          </w:p>
        </w:tc>
      </w:tr>
      <w:tr w14:paraId="314E2E28">
        <w:tblPrEx>
          <w:tblCellMar>
            <w:top w:w="0" w:type="dxa"/>
            <w:left w:w="108" w:type="dxa"/>
            <w:bottom w:w="0" w:type="dxa"/>
            <w:right w:w="108" w:type="dxa"/>
          </w:tblCellMar>
        </w:tblPrEx>
        <w:trPr>
          <w:trHeight w:val="23" w:hRule="atLeast"/>
          <w:jc w:val="center"/>
        </w:trPr>
        <w:tc>
          <w:tcPr>
            <w:tcW w:w="464" w:type="dxa"/>
            <w:tcBorders>
              <w:top w:val="nil"/>
              <w:left w:val="single" w:color="000000" w:sz="8" w:space="0"/>
              <w:bottom w:val="single" w:color="000000" w:sz="4" w:space="0"/>
              <w:right w:val="single" w:color="000000" w:sz="4" w:space="0"/>
            </w:tcBorders>
            <w:shd w:val="clear" w:color="auto" w:fill="auto"/>
            <w:noWrap/>
            <w:vAlign w:val="center"/>
          </w:tcPr>
          <w:p w14:paraId="0AAAADF9">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33</w:t>
            </w:r>
          </w:p>
        </w:tc>
        <w:tc>
          <w:tcPr>
            <w:tcW w:w="1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37D6F">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管道阀门\配件及管支架、钢设备基础</w:t>
            </w:r>
          </w:p>
        </w:tc>
        <w:tc>
          <w:tcPr>
            <w:tcW w:w="3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6B3DD">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按需配置</w:t>
            </w:r>
          </w:p>
        </w:tc>
        <w:tc>
          <w:tcPr>
            <w:tcW w:w="11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EC89C">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UPVC/金属</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61E52">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E0749">
            <w:pPr>
              <w:keepNext w:val="0"/>
              <w:keepLines w:val="0"/>
              <w:pageBreakBefore w:val="0"/>
              <w:widowControl/>
              <w:kinsoku/>
              <w:wordWrap/>
              <w:overflowPunct/>
              <w:topLinePunct w:val="0"/>
              <w:autoSpaceDE/>
              <w:autoSpaceDN/>
              <w:bidi w:val="0"/>
              <w:adjustRightInd/>
              <w:snapToGri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1038" w:type="dxa"/>
            <w:tcBorders>
              <w:top w:val="single" w:color="000000" w:sz="4" w:space="0"/>
              <w:left w:val="single" w:color="000000" w:sz="4" w:space="0"/>
              <w:bottom w:val="single" w:color="000000" w:sz="4" w:space="0"/>
              <w:right w:val="single" w:color="000000" w:sz="8" w:space="0"/>
            </w:tcBorders>
            <w:shd w:val="clear" w:color="auto" w:fill="auto"/>
            <w:vAlign w:val="bottom"/>
          </w:tcPr>
          <w:p w14:paraId="440DC237">
            <w:pPr>
              <w:keepNext w:val="0"/>
              <w:keepLines w:val="0"/>
              <w:pageBreakBefore w:val="0"/>
              <w:kinsoku/>
              <w:wordWrap/>
              <w:overflowPunct/>
              <w:topLinePunct w:val="0"/>
              <w:autoSpaceDE/>
              <w:autoSpaceDN/>
              <w:bidi w:val="0"/>
              <w:adjustRightInd/>
              <w:snapToGrid/>
              <w:rPr>
                <w:rFonts w:hint="eastAsia" w:ascii="宋体" w:hAnsi="宋体" w:eastAsia="宋体" w:cs="宋体"/>
                <w:color w:val="000000"/>
                <w:sz w:val="21"/>
                <w:szCs w:val="21"/>
              </w:rPr>
            </w:pPr>
          </w:p>
        </w:tc>
      </w:tr>
    </w:tbl>
    <w:p w14:paraId="2B88315B">
      <w:pPr>
        <w:adjustRightInd/>
        <w:spacing w:line="360" w:lineRule="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备注：上述功率为参考功率，最终以供应商选型为准，≥的功率不得小于规格参数中提到的功率。</w:t>
      </w:r>
    </w:p>
    <w:p w14:paraId="55A40E47">
      <w:pPr>
        <w:adjustRightInd/>
        <w:spacing w:line="360" w:lineRule="auto"/>
        <w:rPr>
          <w:rFonts w:hint="default" w:ascii="宋体" w:hAnsi="宋体" w:cs="宋体"/>
          <w:b/>
          <w:sz w:val="24"/>
          <w:highlight w:val="none"/>
          <w:lang w:val="en-US" w:eastAsia="zh-CN"/>
        </w:rPr>
      </w:pPr>
      <w:r>
        <w:rPr>
          <w:rFonts w:hint="eastAsia" w:ascii="宋体" w:hAnsi="宋体" w:cs="宋体"/>
          <w:b/>
          <w:sz w:val="24"/>
          <w:highlight w:val="none"/>
          <w:lang w:val="en-US" w:eastAsia="zh-CN"/>
        </w:rPr>
        <w:t>2、利旧范畴设备清单</w:t>
      </w:r>
    </w:p>
    <w:tbl>
      <w:tblPr>
        <w:tblStyle w:val="62"/>
        <w:tblW w:w="5220" w:type="pct"/>
        <w:jc w:val="center"/>
        <w:tblLayout w:type="fixed"/>
        <w:tblCellMar>
          <w:top w:w="0" w:type="dxa"/>
          <w:left w:w="108" w:type="dxa"/>
          <w:bottom w:w="0" w:type="dxa"/>
          <w:right w:w="108" w:type="dxa"/>
        </w:tblCellMar>
      </w:tblPr>
      <w:tblGrid>
        <w:gridCol w:w="574"/>
        <w:gridCol w:w="1423"/>
        <w:gridCol w:w="3781"/>
        <w:gridCol w:w="1215"/>
        <w:gridCol w:w="574"/>
        <w:gridCol w:w="574"/>
        <w:gridCol w:w="751"/>
      </w:tblGrid>
      <w:tr w14:paraId="17BE6BF4">
        <w:tblPrEx>
          <w:tblCellMar>
            <w:top w:w="0" w:type="dxa"/>
            <w:left w:w="108" w:type="dxa"/>
            <w:bottom w:w="0" w:type="dxa"/>
            <w:right w:w="108" w:type="dxa"/>
          </w:tblCellMar>
        </w:tblPrEx>
        <w:trPr>
          <w:trHeight w:val="573" w:hRule="atLeast"/>
          <w:tblHeader/>
          <w:jc w:val="center"/>
        </w:trPr>
        <w:tc>
          <w:tcPr>
            <w:tcW w:w="322" w:type="pct"/>
            <w:tcBorders>
              <w:top w:val="single" w:color="000000" w:sz="8" w:space="0"/>
              <w:left w:val="single" w:color="000000" w:sz="8" w:space="0"/>
              <w:bottom w:val="single" w:color="000000" w:sz="4" w:space="0"/>
              <w:right w:val="single" w:color="000000" w:sz="4" w:space="0"/>
            </w:tcBorders>
            <w:shd w:val="clear" w:color="auto" w:fill="D9D9D9"/>
            <w:noWrap/>
            <w:vAlign w:val="center"/>
          </w:tcPr>
          <w:p w14:paraId="7CFAD241">
            <w:pPr>
              <w:widowControl/>
              <w:adjustRightInd/>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序号</w:t>
            </w:r>
          </w:p>
        </w:tc>
        <w:tc>
          <w:tcPr>
            <w:tcW w:w="800" w:type="pct"/>
            <w:tcBorders>
              <w:top w:val="single" w:color="000000" w:sz="8" w:space="0"/>
              <w:left w:val="single" w:color="000000" w:sz="4" w:space="0"/>
              <w:bottom w:val="single" w:color="000000" w:sz="4" w:space="0"/>
              <w:right w:val="single" w:color="000000" w:sz="4" w:space="0"/>
            </w:tcBorders>
            <w:shd w:val="clear" w:color="auto" w:fill="D9D9D9"/>
            <w:vAlign w:val="center"/>
          </w:tcPr>
          <w:p w14:paraId="3D610FAF">
            <w:pPr>
              <w:widowControl/>
              <w:adjustRightInd/>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设备名称</w:t>
            </w:r>
          </w:p>
        </w:tc>
        <w:tc>
          <w:tcPr>
            <w:tcW w:w="2126" w:type="pct"/>
            <w:tcBorders>
              <w:top w:val="single" w:color="000000" w:sz="8" w:space="0"/>
              <w:left w:val="single" w:color="000000" w:sz="4" w:space="0"/>
              <w:bottom w:val="single" w:color="000000" w:sz="4" w:space="0"/>
              <w:right w:val="single" w:color="000000" w:sz="4" w:space="0"/>
            </w:tcBorders>
            <w:shd w:val="clear" w:color="auto" w:fill="D9D9D9"/>
            <w:vAlign w:val="center"/>
          </w:tcPr>
          <w:p w14:paraId="4FA38105">
            <w:pPr>
              <w:widowControl/>
              <w:adjustRightInd/>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规格参数</w:t>
            </w:r>
          </w:p>
        </w:tc>
        <w:tc>
          <w:tcPr>
            <w:tcW w:w="683" w:type="pct"/>
            <w:tcBorders>
              <w:top w:val="single" w:color="000000" w:sz="8" w:space="0"/>
              <w:left w:val="single" w:color="000000" w:sz="4" w:space="0"/>
              <w:bottom w:val="single" w:color="000000" w:sz="4" w:space="0"/>
              <w:right w:val="single" w:color="000000" w:sz="4" w:space="0"/>
            </w:tcBorders>
            <w:shd w:val="clear" w:color="auto" w:fill="D9D9D9"/>
            <w:vAlign w:val="center"/>
          </w:tcPr>
          <w:p w14:paraId="4E996B7E">
            <w:pPr>
              <w:widowControl/>
              <w:adjustRightInd/>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材质</w:t>
            </w:r>
          </w:p>
        </w:tc>
        <w:tc>
          <w:tcPr>
            <w:tcW w:w="322" w:type="pct"/>
            <w:tcBorders>
              <w:top w:val="single" w:color="000000" w:sz="8" w:space="0"/>
              <w:left w:val="single" w:color="000000" w:sz="4" w:space="0"/>
              <w:bottom w:val="single" w:color="000000" w:sz="4" w:space="0"/>
              <w:right w:val="single" w:color="000000" w:sz="4" w:space="0"/>
            </w:tcBorders>
            <w:shd w:val="clear" w:color="auto" w:fill="D9D9D9"/>
            <w:noWrap/>
            <w:vAlign w:val="center"/>
          </w:tcPr>
          <w:p w14:paraId="6EBD8FF8">
            <w:pPr>
              <w:widowControl/>
              <w:adjustRightInd/>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数量</w:t>
            </w:r>
          </w:p>
        </w:tc>
        <w:tc>
          <w:tcPr>
            <w:tcW w:w="322" w:type="pct"/>
            <w:tcBorders>
              <w:top w:val="single" w:color="000000" w:sz="8" w:space="0"/>
              <w:left w:val="single" w:color="000000" w:sz="4" w:space="0"/>
              <w:bottom w:val="single" w:color="000000" w:sz="4" w:space="0"/>
              <w:right w:val="single" w:color="000000" w:sz="4" w:space="0"/>
            </w:tcBorders>
            <w:shd w:val="clear" w:color="auto" w:fill="D9D9D9"/>
            <w:noWrap/>
            <w:vAlign w:val="center"/>
          </w:tcPr>
          <w:p w14:paraId="79491D11">
            <w:pPr>
              <w:widowControl/>
              <w:adjustRightInd/>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单位</w:t>
            </w:r>
          </w:p>
        </w:tc>
        <w:tc>
          <w:tcPr>
            <w:tcW w:w="422" w:type="pct"/>
            <w:tcBorders>
              <w:top w:val="single" w:color="000000" w:sz="8" w:space="0"/>
              <w:left w:val="single" w:color="000000" w:sz="4" w:space="0"/>
              <w:bottom w:val="single" w:color="000000" w:sz="4" w:space="0"/>
              <w:right w:val="single" w:color="000000" w:sz="8" w:space="0"/>
            </w:tcBorders>
            <w:shd w:val="clear" w:color="auto" w:fill="D9D9D9"/>
            <w:vAlign w:val="center"/>
          </w:tcPr>
          <w:p w14:paraId="04ED1EAC">
            <w:pPr>
              <w:widowControl/>
              <w:adjustRightInd/>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备注</w:t>
            </w:r>
          </w:p>
        </w:tc>
      </w:tr>
      <w:tr w14:paraId="26B890C5">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7F401D5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2B18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提升泵1</w:t>
            </w:r>
          </w:p>
        </w:tc>
        <w:tc>
          <w:tcPr>
            <w:tcW w:w="21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16BEC">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Q=33m³/h，H=13m，卧式离心泵，功率：4kw</w:t>
            </w:r>
          </w:p>
        </w:tc>
        <w:tc>
          <w:tcPr>
            <w:tcW w:w="6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61B7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过流SUS304</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7AEA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4B02E">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5D97E1A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5F8CE98D">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1196ABE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CE08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超声波液位计1</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4E9CAC">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一体式，4-20mA信号输出，配套数据显示</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DD2F1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探头PVDF</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4D04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66FAF">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3A47622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5BE7BF55">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3BE8A45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5301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超声波液位计2</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39D34">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一体式，4-20mA信号输出，配套数据显示</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F2B779">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探头PVDF</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55FC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8C97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5786729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51486EA3">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64A418F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E839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超声波液位计3</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AF2BF">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一体式，4-20mA信号输出，配套数据显示</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F80C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探头PVDF</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B06D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32034">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0267558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4C249619">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62C93A3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AEFA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超声波液位计4</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99351">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一体式，4-20mA信号输出，配套数据显示</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5719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探头PVDF</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3FF6E">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AFAA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2F2F7EE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0F399F13">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329F14A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8F14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电磁流量计1</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D5F73">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测量口径：DN125，结构方式：分体式，带接地环，防水等级：IP65</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3A821">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电极材质铂铱电极</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5BC4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5A64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6C2980A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42E10937">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3098611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D06F6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电磁流量计4</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4E1B3B">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测量口径：DN150，结构方式：分体式，带接地环，防水等级：IP65</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778059">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电极材质哈氏合金C</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3AEF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C5BBB">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2BB7BD2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793FE034">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4E2B60B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8</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2A2F3C">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反应均质系统2</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2FA11">
            <w:pPr>
              <w:widowControl/>
              <w:adjustRightInd/>
              <w:jc w:val="left"/>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非标设备，配套原有系统池体，功率：1.1kw</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206652">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碳钢衬塑</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23346">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3</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5FC51">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台</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0C5D7AE2">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利旧</w:t>
            </w:r>
          </w:p>
        </w:tc>
      </w:tr>
      <w:tr w14:paraId="0EB436EC">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22891C4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9</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DE314">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絮凝均质系统2</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D143E">
            <w:pPr>
              <w:widowControl/>
              <w:adjustRightInd/>
              <w:jc w:val="left"/>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非标设备，配套原有系统池体，功率：0.75kw</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E34D0">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碳钢衬塑</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CEDF0">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0CE43">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台</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3745E022">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利旧</w:t>
            </w:r>
          </w:p>
        </w:tc>
      </w:tr>
      <w:tr w14:paraId="30BE0ED5">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32ABA28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10</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87B224">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沉淀配水系统1</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CA14C0">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处理能力：330m³/d，成品，非标定制</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AE56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SUS304</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EE66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AA6CF">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6B4E2A6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52F8FAEB">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064BD1A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11</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5D59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加强型刮泥机1</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CF11D6">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池体尺寸7.2m*7.2m*6.6m，介质为含水率95~98%物化高钙污泥，带自控箱，配套扭矩保护及扭矩显示装置，配套可提升装置，设计扭矩≥12000Nm</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EC29B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水下SUS304</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A203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193D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6510DCF1">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282402D6">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34BEDC6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9CC0F">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出水装置1</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B62C3A">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水池尺寸7.2m*7.2m*6.6m，非标定制，配套密封设施、高度可调节装置</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B593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SUS304+PVC</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9F93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A2D8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3DC0CA7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23730308">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088D89C9">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13</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EBA6C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pH仪表2</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6A1A6D">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量程：0~14，4~20mA信号输出，配套数据显示</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4A448">
            <w:pPr>
              <w:adjustRightInd/>
              <w:jc w:val="center"/>
              <w:rPr>
                <w:rFonts w:hint="eastAsia" w:ascii="宋体" w:hAnsi="宋体" w:eastAsia="宋体" w:cs="宋体"/>
                <w:color w:val="000000"/>
                <w:sz w:val="21"/>
                <w:szCs w:val="21"/>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F5271">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AB5A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7B87CA9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6A9826C3">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0E48022E">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14</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8861FE">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空气搅拌系统1</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451D3">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水池尺寸7.2m*34m*4.2m，非标定制，穿孔曝气，防堵塞设计，介质为强酸碱性、高盐分、高氯根废水</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63CB9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强耐腐</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5513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8A4A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1320C0FB">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1A89A512">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6A13EEE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15</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C16C5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空气搅拌系统2</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6502B8">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水池尺寸3.6m*34m*4.2m，非标定制，穿孔曝气，防堵塞设计，介质为强酸碱性、高盐分、高氯根废水</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6158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强耐腐</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496D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C665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6A1DF69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3F6DC1BE">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2D8E6F71">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16</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61BF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空气搅拌系统3</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BAB5F">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水池尺寸3.6m*34m*4.2m，非标定制，穿孔曝气，防堵塞设计，介质为强酸碱性、高盐分、高氯根废水</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A30C9">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强耐腐</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E3741">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AA734">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批</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66ED79F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1B40C731">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70AE5FE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17</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A1FE8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加药泵2</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AD6FC2">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Q=2m³/h，H=15m，磁力泵，功率：0.75kw</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537A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PP</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5A54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2DFA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4339CB8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5F7EBE8B">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1F26668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18</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38776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生化风机</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977E5">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空气悬浮风机，7.7m</w:t>
            </w:r>
            <w:r>
              <w:rPr>
                <w:rFonts w:hint="eastAsia" w:ascii="宋体" w:hAnsi="宋体" w:eastAsia="宋体" w:cs="宋体"/>
                <w:color w:val="000000"/>
                <w:kern w:val="0"/>
                <w:sz w:val="21"/>
                <w:szCs w:val="21"/>
                <w:vertAlign w:val="superscript"/>
                <w:lang w:bidi="ar"/>
              </w:rPr>
              <w:t>3</w:t>
            </w:r>
            <w:r>
              <w:rPr>
                <w:rFonts w:hint="eastAsia" w:ascii="宋体" w:hAnsi="宋体" w:eastAsia="宋体" w:cs="宋体"/>
                <w:color w:val="000000"/>
                <w:kern w:val="0"/>
                <w:sz w:val="21"/>
                <w:szCs w:val="21"/>
                <w:lang w:bidi="ar"/>
              </w:rPr>
              <w:t>/min，8m</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95EFD">
            <w:pPr>
              <w:adjustRightInd/>
              <w:jc w:val="center"/>
              <w:rPr>
                <w:rFonts w:hint="eastAsia" w:ascii="宋体" w:hAnsi="宋体" w:eastAsia="宋体" w:cs="宋体"/>
                <w:color w:val="000000"/>
                <w:sz w:val="21"/>
                <w:szCs w:val="21"/>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DDEB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6AF6E">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182506B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05806A9E">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1C60B93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19</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DF08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空压机</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0854A">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0.5m</w:t>
            </w:r>
            <w:r>
              <w:rPr>
                <w:rFonts w:hint="eastAsia" w:ascii="宋体" w:hAnsi="宋体" w:eastAsia="宋体" w:cs="宋体"/>
                <w:color w:val="000000"/>
                <w:kern w:val="0"/>
                <w:sz w:val="21"/>
                <w:szCs w:val="21"/>
                <w:vertAlign w:val="superscript"/>
                <w:lang w:bidi="ar"/>
              </w:rPr>
              <w:t>3</w:t>
            </w:r>
            <w:r>
              <w:rPr>
                <w:rFonts w:hint="eastAsia" w:ascii="宋体" w:hAnsi="宋体" w:eastAsia="宋体" w:cs="宋体"/>
                <w:color w:val="000000"/>
                <w:kern w:val="0"/>
                <w:sz w:val="21"/>
                <w:szCs w:val="21"/>
                <w:lang w:bidi="ar"/>
              </w:rPr>
              <w:t>/min</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364E75">
            <w:pPr>
              <w:adjustRightInd/>
              <w:jc w:val="center"/>
              <w:rPr>
                <w:rFonts w:hint="eastAsia" w:ascii="宋体" w:hAnsi="宋体" w:eastAsia="宋体" w:cs="宋体"/>
                <w:color w:val="000000"/>
                <w:sz w:val="21"/>
                <w:szCs w:val="21"/>
              </w:rPr>
            </w:pPr>
          </w:p>
        </w:tc>
        <w:tc>
          <w:tcPr>
            <w:tcW w:w="32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CD1E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D0D8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vMerge w:val="restart"/>
            <w:tcBorders>
              <w:top w:val="single" w:color="000000" w:sz="4" w:space="0"/>
              <w:left w:val="single" w:color="000000" w:sz="4" w:space="0"/>
              <w:bottom w:val="single" w:color="000000" w:sz="4" w:space="0"/>
              <w:right w:val="single" w:color="000000" w:sz="8" w:space="0"/>
            </w:tcBorders>
            <w:shd w:val="clear" w:color="auto" w:fill="auto"/>
            <w:vAlign w:val="center"/>
          </w:tcPr>
          <w:p w14:paraId="7CBD4EAE">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097689C8">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2A86D73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20</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A113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冷干机</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387CE">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配套空压机</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DCA59">
            <w:pPr>
              <w:adjustRightInd/>
              <w:jc w:val="center"/>
              <w:rPr>
                <w:rFonts w:hint="eastAsia" w:ascii="宋体" w:hAnsi="宋体" w:eastAsia="宋体" w:cs="宋体"/>
                <w:color w:val="000000"/>
                <w:sz w:val="21"/>
                <w:szCs w:val="21"/>
              </w:rPr>
            </w:pPr>
          </w:p>
        </w:tc>
        <w:tc>
          <w:tcPr>
            <w:tcW w:w="3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86A02">
            <w:pPr>
              <w:adjustRightInd/>
              <w:jc w:val="center"/>
              <w:rPr>
                <w:rFonts w:hint="eastAsia" w:ascii="宋体" w:hAnsi="宋体" w:eastAsia="宋体" w:cs="宋体"/>
                <w:color w:val="000000"/>
                <w:sz w:val="21"/>
                <w:szCs w:val="21"/>
              </w:rPr>
            </w:pPr>
          </w:p>
        </w:tc>
        <w:tc>
          <w:tcPr>
            <w:tcW w:w="3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7B8FA">
            <w:pPr>
              <w:adjustRightInd/>
              <w:jc w:val="center"/>
              <w:rPr>
                <w:rFonts w:hint="eastAsia" w:ascii="宋体" w:hAnsi="宋体" w:eastAsia="宋体" w:cs="宋体"/>
                <w:color w:val="000000"/>
                <w:sz w:val="21"/>
                <w:szCs w:val="21"/>
              </w:rPr>
            </w:pPr>
          </w:p>
        </w:tc>
        <w:tc>
          <w:tcPr>
            <w:tcW w:w="422" w:type="pct"/>
            <w:vMerge w:val="continue"/>
            <w:tcBorders>
              <w:top w:val="single" w:color="000000" w:sz="4" w:space="0"/>
              <w:left w:val="single" w:color="000000" w:sz="4" w:space="0"/>
              <w:bottom w:val="single" w:color="000000" w:sz="4" w:space="0"/>
              <w:right w:val="single" w:color="000000" w:sz="8" w:space="0"/>
            </w:tcBorders>
            <w:shd w:val="clear" w:color="auto" w:fill="auto"/>
            <w:vAlign w:val="center"/>
          </w:tcPr>
          <w:p w14:paraId="49101806">
            <w:pPr>
              <w:adjustRightInd/>
              <w:jc w:val="center"/>
              <w:rPr>
                <w:rFonts w:hint="eastAsia" w:ascii="宋体" w:hAnsi="宋体" w:eastAsia="宋体" w:cs="宋体"/>
                <w:color w:val="000000"/>
                <w:sz w:val="21"/>
                <w:szCs w:val="21"/>
              </w:rPr>
            </w:pPr>
          </w:p>
        </w:tc>
      </w:tr>
      <w:tr w14:paraId="4031ECE5">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23906AD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21</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F81E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储气罐</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06BBC1">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0.5m</w:t>
            </w:r>
            <w:r>
              <w:rPr>
                <w:rFonts w:hint="eastAsia" w:ascii="宋体" w:hAnsi="宋体" w:eastAsia="宋体" w:cs="宋体"/>
                <w:color w:val="000000"/>
                <w:kern w:val="0"/>
                <w:sz w:val="21"/>
                <w:szCs w:val="21"/>
                <w:vertAlign w:val="superscript"/>
                <w:lang w:bidi="ar"/>
              </w:rPr>
              <w:t>3</w:t>
            </w:r>
            <w:r>
              <w:rPr>
                <w:rFonts w:hint="eastAsia" w:ascii="宋体" w:hAnsi="宋体" w:eastAsia="宋体" w:cs="宋体"/>
                <w:color w:val="000000"/>
                <w:kern w:val="0"/>
                <w:sz w:val="21"/>
                <w:szCs w:val="21"/>
                <w:lang w:bidi="ar"/>
              </w:rPr>
              <w:t>,0.8MPa</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5DB04F">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碳钢防腐</w:t>
            </w:r>
          </w:p>
        </w:tc>
        <w:tc>
          <w:tcPr>
            <w:tcW w:w="3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18E54">
            <w:pPr>
              <w:adjustRightInd/>
              <w:jc w:val="center"/>
              <w:rPr>
                <w:rFonts w:hint="eastAsia" w:ascii="宋体" w:hAnsi="宋体" w:eastAsia="宋体" w:cs="宋体"/>
                <w:color w:val="000000"/>
                <w:sz w:val="21"/>
                <w:szCs w:val="21"/>
              </w:rPr>
            </w:pPr>
          </w:p>
        </w:tc>
        <w:tc>
          <w:tcPr>
            <w:tcW w:w="32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E1F3C">
            <w:pPr>
              <w:adjustRightInd/>
              <w:jc w:val="center"/>
              <w:rPr>
                <w:rFonts w:hint="eastAsia" w:ascii="宋体" w:hAnsi="宋体" w:eastAsia="宋体" w:cs="宋体"/>
                <w:color w:val="000000"/>
                <w:sz w:val="21"/>
                <w:szCs w:val="21"/>
              </w:rPr>
            </w:pPr>
          </w:p>
        </w:tc>
        <w:tc>
          <w:tcPr>
            <w:tcW w:w="422" w:type="pct"/>
            <w:vMerge w:val="continue"/>
            <w:tcBorders>
              <w:top w:val="single" w:color="000000" w:sz="4" w:space="0"/>
              <w:left w:val="single" w:color="000000" w:sz="4" w:space="0"/>
              <w:bottom w:val="single" w:color="000000" w:sz="4" w:space="0"/>
              <w:right w:val="single" w:color="000000" w:sz="8" w:space="0"/>
            </w:tcBorders>
            <w:shd w:val="clear" w:color="auto" w:fill="auto"/>
            <w:vAlign w:val="center"/>
          </w:tcPr>
          <w:p w14:paraId="0000F7E0">
            <w:pPr>
              <w:adjustRightInd/>
              <w:jc w:val="center"/>
              <w:rPr>
                <w:rFonts w:hint="eastAsia" w:ascii="宋体" w:hAnsi="宋体" w:eastAsia="宋体" w:cs="宋体"/>
                <w:color w:val="000000"/>
                <w:sz w:val="21"/>
                <w:szCs w:val="21"/>
              </w:rPr>
            </w:pPr>
          </w:p>
        </w:tc>
      </w:tr>
      <w:tr w14:paraId="37A2AE74">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5659E09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22</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9C89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板框进料泵</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600FA1">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Q=40m</w:t>
            </w:r>
            <w:r>
              <w:rPr>
                <w:rFonts w:hint="eastAsia" w:ascii="宋体" w:hAnsi="宋体" w:eastAsia="宋体" w:cs="宋体"/>
                <w:color w:val="000000"/>
                <w:kern w:val="0"/>
                <w:sz w:val="21"/>
                <w:szCs w:val="21"/>
                <w:vertAlign w:val="superscript"/>
                <w:lang w:bidi="ar"/>
              </w:rPr>
              <w:t>3</w:t>
            </w:r>
            <w:r>
              <w:rPr>
                <w:rFonts w:hint="eastAsia" w:ascii="宋体" w:hAnsi="宋体" w:eastAsia="宋体" w:cs="宋体"/>
                <w:color w:val="000000"/>
                <w:kern w:val="0"/>
                <w:sz w:val="21"/>
                <w:szCs w:val="21"/>
                <w:lang w:bidi="ar"/>
              </w:rPr>
              <w:t>/h，H=60m，功率：15kw</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4931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工程塑料</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BC01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4C09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74AD4E5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727377F5">
        <w:tblPrEx>
          <w:tblCellMar>
            <w:top w:w="0" w:type="dxa"/>
            <w:left w:w="108" w:type="dxa"/>
            <w:bottom w:w="0" w:type="dxa"/>
            <w:right w:w="108" w:type="dxa"/>
          </w:tblCellMar>
        </w:tblPrEx>
        <w:trPr>
          <w:trHeight w:val="573" w:hRule="atLeast"/>
          <w:jc w:val="center"/>
        </w:trPr>
        <w:tc>
          <w:tcPr>
            <w:tcW w:w="322" w:type="pct"/>
            <w:tcBorders>
              <w:top w:val="single" w:color="000000" w:sz="4" w:space="0"/>
              <w:left w:val="single" w:color="000000" w:sz="8" w:space="0"/>
              <w:bottom w:val="single" w:color="000000" w:sz="4" w:space="0"/>
              <w:right w:val="single" w:color="000000" w:sz="4" w:space="0"/>
            </w:tcBorders>
            <w:shd w:val="clear" w:color="auto" w:fill="auto"/>
            <w:noWrap/>
            <w:vAlign w:val="center"/>
          </w:tcPr>
          <w:p w14:paraId="770B6BFB">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23</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A8634">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板框压滤机</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3B42D8">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200平，双油缸16kg压力，配套自动拉板，带翻板，反吹系统，功率：14kw</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03D06">
            <w:pPr>
              <w:adjustRightInd/>
              <w:jc w:val="center"/>
              <w:rPr>
                <w:rFonts w:hint="eastAsia" w:ascii="宋体" w:hAnsi="宋体" w:eastAsia="宋体" w:cs="宋体"/>
                <w:color w:val="000000"/>
                <w:sz w:val="21"/>
                <w:szCs w:val="21"/>
              </w:rPr>
            </w:pP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1DFE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6864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6AB9BC2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0DE40F86">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000000" w:sz="4" w:space="0"/>
              <w:right w:val="single" w:color="000000" w:sz="4" w:space="0"/>
            </w:tcBorders>
            <w:shd w:val="clear" w:color="auto" w:fill="auto"/>
            <w:noWrap/>
            <w:vAlign w:val="center"/>
          </w:tcPr>
          <w:p w14:paraId="52CDEBC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24</w:t>
            </w:r>
          </w:p>
        </w:tc>
        <w:tc>
          <w:tcPr>
            <w:tcW w:w="8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A781F">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高压泵</w:t>
            </w:r>
          </w:p>
        </w:tc>
        <w:tc>
          <w:tcPr>
            <w:tcW w:w="21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F26C3">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Q=5m</w:t>
            </w:r>
            <w:r>
              <w:rPr>
                <w:rFonts w:hint="eastAsia" w:ascii="宋体" w:hAnsi="宋体" w:eastAsia="宋体" w:cs="宋体"/>
                <w:color w:val="000000"/>
                <w:kern w:val="0"/>
                <w:sz w:val="21"/>
                <w:szCs w:val="21"/>
                <w:vertAlign w:val="superscript"/>
                <w:lang w:bidi="ar"/>
              </w:rPr>
              <w:t>3</w:t>
            </w:r>
            <w:r>
              <w:rPr>
                <w:rFonts w:hint="eastAsia" w:ascii="宋体" w:hAnsi="宋体" w:eastAsia="宋体" w:cs="宋体"/>
                <w:color w:val="000000"/>
                <w:kern w:val="0"/>
                <w:sz w:val="21"/>
                <w:szCs w:val="21"/>
                <w:lang w:bidi="ar"/>
              </w:rPr>
              <w:t>/h，H=160m，功率：4kw</w:t>
            </w:r>
          </w:p>
        </w:tc>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BED71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SUS304</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E557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3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0797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22" w:type="pct"/>
            <w:tcBorders>
              <w:top w:val="single" w:color="000000" w:sz="4" w:space="0"/>
              <w:left w:val="single" w:color="000000" w:sz="4" w:space="0"/>
              <w:bottom w:val="single" w:color="000000" w:sz="4" w:space="0"/>
              <w:right w:val="single" w:color="000000" w:sz="8" w:space="0"/>
            </w:tcBorders>
            <w:shd w:val="clear" w:color="auto" w:fill="auto"/>
            <w:vAlign w:val="center"/>
          </w:tcPr>
          <w:p w14:paraId="17B1750C">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5CCA8E4E">
        <w:tblPrEx>
          <w:tblCellMar>
            <w:top w:w="0" w:type="dxa"/>
            <w:left w:w="108" w:type="dxa"/>
            <w:bottom w:w="0" w:type="dxa"/>
            <w:right w:w="108" w:type="dxa"/>
          </w:tblCellMar>
        </w:tblPrEx>
        <w:trPr>
          <w:trHeight w:val="573" w:hRule="atLeast"/>
          <w:jc w:val="center"/>
        </w:trPr>
        <w:tc>
          <w:tcPr>
            <w:tcW w:w="322" w:type="pct"/>
            <w:tcBorders>
              <w:top w:val="nil"/>
              <w:left w:val="single" w:color="000000" w:sz="8" w:space="0"/>
              <w:bottom w:val="single" w:color="auto" w:sz="4" w:space="0"/>
              <w:right w:val="single" w:color="000000" w:sz="4" w:space="0"/>
            </w:tcBorders>
            <w:shd w:val="clear" w:color="auto" w:fill="auto"/>
            <w:noWrap/>
            <w:vAlign w:val="center"/>
          </w:tcPr>
          <w:p w14:paraId="01344A1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25</w:t>
            </w:r>
          </w:p>
        </w:tc>
        <w:tc>
          <w:tcPr>
            <w:tcW w:w="800" w:type="pct"/>
            <w:tcBorders>
              <w:top w:val="single" w:color="000000" w:sz="4" w:space="0"/>
              <w:left w:val="single" w:color="000000" w:sz="4" w:space="0"/>
              <w:bottom w:val="single" w:color="auto" w:sz="4" w:space="0"/>
              <w:right w:val="single" w:color="000000" w:sz="4" w:space="0"/>
            </w:tcBorders>
            <w:shd w:val="clear" w:color="auto" w:fill="auto"/>
            <w:vAlign w:val="center"/>
          </w:tcPr>
          <w:p w14:paraId="4E0A4577">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压滤水箱</w:t>
            </w:r>
          </w:p>
        </w:tc>
        <w:tc>
          <w:tcPr>
            <w:tcW w:w="2126" w:type="pct"/>
            <w:tcBorders>
              <w:top w:val="single" w:color="000000" w:sz="4" w:space="0"/>
              <w:left w:val="nil"/>
              <w:bottom w:val="single" w:color="auto" w:sz="4" w:space="0"/>
              <w:right w:val="single" w:color="000000" w:sz="4" w:space="0"/>
            </w:tcBorders>
            <w:shd w:val="clear" w:color="auto" w:fill="auto"/>
            <w:vAlign w:val="center"/>
          </w:tcPr>
          <w:p w14:paraId="7B17D785">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容积10000L</w:t>
            </w:r>
          </w:p>
        </w:tc>
        <w:tc>
          <w:tcPr>
            <w:tcW w:w="683" w:type="pct"/>
            <w:tcBorders>
              <w:top w:val="single" w:color="000000" w:sz="4" w:space="0"/>
              <w:left w:val="single" w:color="000000" w:sz="4" w:space="0"/>
              <w:bottom w:val="single" w:color="auto" w:sz="4" w:space="0"/>
              <w:right w:val="single" w:color="000000" w:sz="4" w:space="0"/>
            </w:tcBorders>
            <w:shd w:val="clear" w:color="auto" w:fill="auto"/>
            <w:vAlign w:val="center"/>
          </w:tcPr>
          <w:p w14:paraId="5CB40732">
            <w:pPr>
              <w:adjustRightInd/>
              <w:jc w:val="center"/>
              <w:rPr>
                <w:rFonts w:hint="eastAsia" w:ascii="宋体" w:hAnsi="宋体" w:eastAsia="宋体" w:cs="宋体"/>
                <w:color w:val="000000"/>
                <w:sz w:val="21"/>
                <w:szCs w:val="21"/>
              </w:rPr>
            </w:pPr>
          </w:p>
        </w:tc>
        <w:tc>
          <w:tcPr>
            <w:tcW w:w="322" w:type="pct"/>
            <w:tcBorders>
              <w:top w:val="single" w:color="000000" w:sz="4" w:space="0"/>
              <w:left w:val="single" w:color="000000" w:sz="4" w:space="0"/>
              <w:bottom w:val="single" w:color="auto" w:sz="4" w:space="0"/>
              <w:right w:val="single" w:color="000000" w:sz="4" w:space="0"/>
            </w:tcBorders>
            <w:shd w:val="clear" w:color="auto" w:fill="auto"/>
            <w:noWrap/>
            <w:vAlign w:val="center"/>
          </w:tcPr>
          <w:p w14:paraId="0184E90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000000" w:sz="4" w:space="0"/>
              <w:left w:val="single" w:color="000000" w:sz="4" w:space="0"/>
              <w:bottom w:val="single" w:color="auto" w:sz="4" w:space="0"/>
              <w:right w:val="single" w:color="000000" w:sz="4" w:space="0"/>
            </w:tcBorders>
            <w:shd w:val="clear" w:color="auto" w:fill="auto"/>
            <w:noWrap/>
            <w:vAlign w:val="center"/>
          </w:tcPr>
          <w:p w14:paraId="62EB64B0">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000000" w:sz="4" w:space="0"/>
              <w:left w:val="single" w:color="000000" w:sz="4" w:space="0"/>
              <w:bottom w:val="single" w:color="auto" w:sz="4" w:space="0"/>
              <w:right w:val="single" w:color="000000" w:sz="8" w:space="0"/>
            </w:tcBorders>
            <w:shd w:val="clear" w:color="auto" w:fill="auto"/>
            <w:vAlign w:val="center"/>
          </w:tcPr>
          <w:p w14:paraId="7B829CE9">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6980CA1B">
        <w:tblPrEx>
          <w:tblCellMar>
            <w:top w:w="0" w:type="dxa"/>
            <w:left w:w="108" w:type="dxa"/>
            <w:bottom w:w="0" w:type="dxa"/>
            <w:right w:w="108" w:type="dxa"/>
          </w:tblCellMar>
        </w:tblPrEx>
        <w:trPr>
          <w:trHeight w:val="454" w:hRule="atLeast"/>
          <w:jc w:val="center"/>
        </w:trPr>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1C22352">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26</w:t>
            </w:r>
          </w:p>
        </w:tc>
        <w:tc>
          <w:tcPr>
            <w:tcW w:w="800" w:type="pct"/>
            <w:tcBorders>
              <w:top w:val="single" w:color="auto" w:sz="4" w:space="0"/>
              <w:left w:val="single" w:color="auto" w:sz="4" w:space="0"/>
              <w:bottom w:val="single" w:color="auto" w:sz="4" w:space="0"/>
              <w:right w:val="single" w:color="auto" w:sz="4" w:space="0"/>
            </w:tcBorders>
            <w:shd w:val="clear" w:color="auto" w:fill="auto"/>
            <w:vAlign w:val="center"/>
          </w:tcPr>
          <w:p w14:paraId="6FD1EA96">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非电镀综合处理系统</w:t>
            </w:r>
          </w:p>
        </w:tc>
        <w:tc>
          <w:tcPr>
            <w:tcW w:w="2126" w:type="pct"/>
            <w:tcBorders>
              <w:top w:val="single" w:color="auto" w:sz="4" w:space="0"/>
              <w:left w:val="single" w:color="auto" w:sz="4" w:space="0"/>
              <w:bottom w:val="single" w:color="auto" w:sz="4" w:space="0"/>
              <w:right w:val="single" w:color="auto" w:sz="4" w:space="0"/>
            </w:tcBorders>
            <w:shd w:val="clear" w:color="auto" w:fill="auto"/>
            <w:vAlign w:val="center"/>
          </w:tcPr>
          <w:p w14:paraId="6321689D">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利旧改造原池体系统，处理能力330t/d，含原有反应池体、搅拌支架、电控系统、走道围栏等</w:t>
            </w:r>
          </w:p>
        </w:tc>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13B72D13">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碳钢防腐</w:t>
            </w:r>
          </w:p>
        </w:tc>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548E3C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8582EA1">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套</w:t>
            </w:r>
          </w:p>
        </w:tc>
        <w:tc>
          <w:tcPr>
            <w:tcW w:w="422" w:type="pct"/>
            <w:tcBorders>
              <w:top w:val="single" w:color="auto" w:sz="4" w:space="0"/>
              <w:left w:val="single" w:color="auto" w:sz="4" w:space="0"/>
              <w:bottom w:val="single" w:color="auto" w:sz="4" w:space="0"/>
              <w:right w:val="single" w:color="auto" w:sz="4" w:space="0"/>
            </w:tcBorders>
            <w:shd w:val="clear" w:color="auto" w:fill="auto"/>
            <w:vAlign w:val="center"/>
          </w:tcPr>
          <w:p w14:paraId="3A019368">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76D4FE2E">
        <w:tblPrEx>
          <w:tblCellMar>
            <w:top w:w="0" w:type="dxa"/>
            <w:left w:w="108" w:type="dxa"/>
            <w:bottom w:w="0" w:type="dxa"/>
            <w:right w:w="108" w:type="dxa"/>
          </w:tblCellMar>
        </w:tblPrEx>
        <w:trPr>
          <w:trHeight w:val="573" w:hRule="atLeast"/>
          <w:jc w:val="center"/>
        </w:trPr>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CD65909">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27</w:t>
            </w:r>
          </w:p>
        </w:tc>
        <w:tc>
          <w:tcPr>
            <w:tcW w:w="800" w:type="pct"/>
            <w:tcBorders>
              <w:top w:val="single" w:color="auto" w:sz="4" w:space="0"/>
              <w:left w:val="single" w:color="auto" w:sz="4" w:space="0"/>
              <w:bottom w:val="single" w:color="auto" w:sz="4" w:space="0"/>
              <w:right w:val="single" w:color="auto" w:sz="4" w:space="0"/>
            </w:tcBorders>
            <w:shd w:val="clear" w:color="auto" w:fill="auto"/>
            <w:vAlign w:val="center"/>
          </w:tcPr>
          <w:p w14:paraId="16225EFA">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反应均质系统1</w:t>
            </w:r>
          </w:p>
        </w:tc>
        <w:tc>
          <w:tcPr>
            <w:tcW w:w="2126" w:type="pct"/>
            <w:tcBorders>
              <w:top w:val="single" w:color="auto" w:sz="4" w:space="0"/>
              <w:left w:val="single" w:color="auto" w:sz="4" w:space="0"/>
              <w:bottom w:val="single" w:color="auto" w:sz="4" w:space="0"/>
              <w:right w:val="single" w:color="auto" w:sz="4" w:space="0"/>
            </w:tcBorders>
            <w:shd w:val="clear" w:color="auto" w:fill="auto"/>
            <w:vAlign w:val="center"/>
          </w:tcPr>
          <w:p w14:paraId="3FA252D8">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非标设备，配套原有系统池体，功率：1.1kw</w:t>
            </w:r>
          </w:p>
        </w:tc>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515100E2">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强耐腐</w:t>
            </w:r>
          </w:p>
        </w:tc>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B9BC4D4">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11DAD3FB">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22" w:type="pct"/>
            <w:tcBorders>
              <w:top w:val="single" w:color="auto" w:sz="4" w:space="0"/>
              <w:left w:val="single" w:color="auto" w:sz="4" w:space="0"/>
              <w:bottom w:val="single" w:color="auto" w:sz="4" w:space="0"/>
              <w:right w:val="single" w:color="auto" w:sz="4" w:space="0"/>
            </w:tcBorders>
            <w:shd w:val="clear" w:color="auto" w:fill="auto"/>
            <w:vAlign w:val="center"/>
          </w:tcPr>
          <w:p w14:paraId="13030B4B">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r w14:paraId="78EA4DA4">
        <w:tblPrEx>
          <w:tblCellMar>
            <w:top w:w="0" w:type="dxa"/>
            <w:left w:w="108" w:type="dxa"/>
            <w:bottom w:w="0" w:type="dxa"/>
            <w:right w:w="108" w:type="dxa"/>
          </w:tblCellMar>
        </w:tblPrEx>
        <w:trPr>
          <w:trHeight w:val="573" w:hRule="atLeast"/>
          <w:jc w:val="center"/>
        </w:trPr>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42824EB">
            <w:pPr>
              <w:widowControl/>
              <w:adjustRightInd/>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28</w:t>
            </w:r>
          </w:p>
        </w:tc>
        <w:tc>
          <w:tcPr>
            <w:tcW w:w="800" w:type="pct"/>
            <w:tcBorders>
              <w:top w:val="single" w:color="auto" w:sz="4" w:space="0"/>
              <w:left w:val="single" w:color="auto" w:sz="4" w:space="0"/>
              <w:bottom w:val="single" w:color="auto" w:sz="4" w:space="0"/>
              <w:right w:val="single" w:color="auto" w:sz="4" w:space="0"/>
            </w:tcBorders>
            <w:shd w:val="clear" w:color="auto" w:fill="auto"/>
            <w:vAlign w:val="center"/>
          </w:tcPr>
          <w:p w14:paraId="731D2F19">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絮凝均质系统1</w:t>
            </w:r>
          </w:p>
        </w:tc>
        <w:tc>
          <w:tcPr>
            <w:tcW w:w="2126" w:type="pct"/>
            <w:tcBorders>
              <w:top w:val="single" w:color="auto" w:sz="4" w:space="0"/>
              <w:left w:val="single" w:color="auto" w:sz="4" w:space="0"/>
              <w:bottom w:val="single" w:color="auto" w:sz="4" w:space="0"/>
              <w:right w:val="single" w:color="auto" w:sz="4" w:space="0"/>
            </w:tcBorders>
            <w:shd w:val="clear" w:color="auto" w:fill="auto"/>
            <w:vAlign w:val="center"/>
          </w:tcPr>
          <w:p w14:paraId="41A4C938">
            <w:pPr>
              <w:widowControl/>
              <w:adjustRightInd/>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非标设备，配套原有系统池体，功率：0.75kw</w:t>
            </w:r>
          </w:p>
        </w:tc>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69C83BFD">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强耐腐</w:t>
            </w:r>
          </w:p>
        </w:tc>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41B24029">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2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E544A45">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22" w:type="pct"/>
            <w:tcBorders>
              <w:top w:val="single" w:color="auto" w:sz="4" w:space="0"/>
              <w:left w:val="single" w:color="auto" w:sz="4" w:space="0"/>
              <w:bottom w:val="single" w:color="auto" w:sz="4" w:space="0"/>
              <w:right w:val="single" w:color="auto" w:sz="4" w:space="0"/>
            </w:tcBorders>
            <w:shd w:val="clear" w:color="auto" w:fill="auto"/>
            <w:vAlign w:val="center"/>
          </w:tcPr>
          <w:p w14:paraId="32B2300E">
            <w:pPr>
              <w:widowControl/>
              <w:adjustRightInd/>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利旧</w:t>
            </w:r>
          </w:p>
        </w:tc>
      </w:tr>
    </w:tbl>
    <w:p w14:paraId="5C48CD62">
      <w:pPr>
        <w:adjustRightInd/>
        <w:spacing w:line="360" w:lineRule="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备注：</w:t>
      </w:r>
    </w:p>
    <w:p w14:paraId="55A516EF">
      <w:pPr>
        <w:adjustRightInd/>
        <w:spacing w:line="360" w:lineRule="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1、以上利旧设备均默认设备完好，功能齐全，能满足工艺改造的使用要求，无需对设备再次进行加工改造或由采购人按方案改造完成后满足工艺要求。</w:t>
      </w:r>
    </w:p>
    <w:p w14:paraId="22FAAC72">
      <w:pPr>
        <w:adjustRightInd/>
        <w:spacing w:line="360" w:lineRule="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2、供应商应根据项目需求结合上述“1、新增设备清单”和“2、利旧范畴设备清单”进行深化设计且保证最终处理系统达标性以及应对园区来水一定程度水质水量的波动情况。</w:t>
      </w:r>
    </w:p>
    <w:p w14:paraId="0D47F3F1">
      <w:pPr>
        <w:adjustRightInd/>
        <w:spacing w:line="360" w:lineRule="auto"/>
        <w:rPr>
          <w:rFonts w:hint="default" w:ascii="宋体" w:hAnsi="宋体" w:cs="宋体"/>
          <w:b/>
          <w:sz w:val="24"/>
          <w:highlight w:val="none"/>
          <w:lang w:val="en-US" w:eastAsia="zh-CN"/>
        </w:rPr>
      </w:pPr>
      <w:r>
        <w:rPr>
          <w:rFonts w:hint="eastAsia" w:ascii="宋体" w:hAnsi="宋体" w:cs="宋体"/>
          <w:b w:val="0"/>
          <w:bCs/>
          <w:sz w:val="24"/>
          <w:highlight w:val="none"/>
          <w:lang w:val="en-US" w:eastAsia="zh-CN"/>
        </w:rPr>
        <w:t>3、本部分利旧设备由中标人负责拆卸、运输、安装。</w:t>
      </w:r>
    </w:p>
    <w:p w14:paraId="2ADF83C8">
      <w:pPr>
        <w:adjustRightInd/>
        <w:spacing w:line="360" w:lineRule="auto"/>
        <w:rPr>
          <w:rFonts w:hint="eastAsia" w:ascii="宋体" w:hAnsi="宋体" w:cs="宋体"/>
          <w:b/>
          <w:sz w:val="24"/>
          <w:highlight w:val="none"/>
          <w:lang w:val="en-US" w:eastAsia="zh-CN"/>
        </w:rPr>
      </w:pPr>
    </w:p>
    <w:p w14:paraId="256BFD80">
      <w:pPr>
        <w:adjustRightInd/>
        <w:spacing w:line="360" w:lineRule="auto"/>
        <w:rPr>
          <w:rFonts w:hint="default" w:ascii="宋体" w:hAnsi="宋体" w:eastAsia="宋体" w:cs="宋体"/>
          <w:b/>
          <w:sz w:val="24"/>
          <w:highlight w:val="none"/>
          <w:lang w:val="en-US" w:eastAsia="zh-CN"/>
        </w:rPr>
      </w:pPr>
      <w:r>
        <w:rPr>
          <w:rFonts w:hint="eastAsia" w:ascii="宋体" w:hAnsi="宋体" w:cs="宋体"/>
          <w:b/>
          <w:sz w:val="24"/>
          <w:highlight w:val="none"/>
          <w:lang w:val="en-US" w:eastAsia="zh-CN"/>
        </w:rPr>
        <w:t>七、投标要求</w:t>
      </w:r>
    </w:p>
    <w:p w14:paraId="579FAC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供应商需在投标文件中对本项目的技术的响应情况进行说明；根据本项目实施要求制定完善的</w:t>
      </w:r>
      <w:r>
        <w:rPr>
          <w:rFonts w:hint="eastAsia" w:ascii="宋体" w:hAnsi="宋体" w:cs="宋体"/>
          <w:b w:val="0"/>
          <w:bCs/>
          <w:color w:val="auto"/>
          <w:sz w:val="24"/>
          <w:szCs w:val="24"/>
          <w:highlight w:val="none"/>
          <w:lang w:val="en-US" w:eastAsia="zh-CN"/>
        </w:rPr>
        <w:t>深化设计方案及图纸（工艺设计、平面布局、自控水平等内容）；</w:t>
      </w:r>
      <w:r>
        <w:rPr>
          <w:rFonts w:hint="eastAsia" w:ascii="宋体" w:hAnsi="宋体" w:eastAsia="宋体" w:cs="宋体"/>
          <w:b w:val="0"/>
          <w:bCs/>
          <w:color w:val="auto"/>
          <w:sz w:val="24"/>
          <w:szCs w:val="24"/>
          <w:highlight w:val="none"/>
          <w:lang w:val="en-US" w:eastAsia="zh-CN"/>
        </w:rPr>
        <w:t>供货方案（交货方式、供货保障</w:t>
      </w:r>
      <w:r>
        <w:rPr>
          <w:rFonts w:hint="eastAsia" w:ascii="宋体" w:hAnsi="宋体" w:cs="宋体"/>
          <w:b w:val="0"/>
          <w:bCs/>
          <w:color w:val="auto"/>
          <w:sz w:val="24"/>
          <w:szCs w:val="24"/>
          <w:highlight w:val="none"/>
          <w:lang w:val="en-US" w:eastAsia="zh-CN"/>
        </w:rPr>
        <w:t>方案</w:t>
      </w:r>
      <w:r>
        <w:rPr>
          <w:rFonts w:hint="eastAsia" w:ascii="宋体" w:hAnsi="宋体" w:eastAsia="宋体" w:cs="宋体"/>
          <w:b w:val="0"/>
          <w:bCs/>
          <w:color w:val="auto"/>
          <w:sz w:val="24"/>
          <w:szCs w:val="24"/>
          <w:highlight w:val="none"/>
          <w:lang w:val="en-US" w:eastAsia="zh-CN"/>
        </w:rPr>
        <w:t>）；施工组织设计（施工组织设计）；重难点的理解分析；售后服务方案（售后服务计划、日常维护保养、故障排除、保修期内外、快速维修响应时间、售后服务团队）；应急服务</w:t>
      </w:r>
      <w:r>
        <w:rPr>
          <w:rFonts w:hint="eastAsia" w:ascii="宋体" w:hAnsi="宋体" w:cs="宋体"/>
          <w:b w:val="0"/>
          <w:bCs/>
          <w:color w:val="auto"/>
          <w:sz w:val="24"/>
          <w:szCs w:val="24"/>
          <w:highlight w:val="none"/>
          <w:lang w:val="en-US" w:eastAsia="zh-CN"/>
        </w:rPr>
        <w:t>（</w:t>
      </w:r>
      <w:r>
        <w:rPr>
          <w:rFonts w:hint="eastAsia" w:ascii="宋体" w:hAnsi="宋体" w:cs="宋体"/>
          <w:bCs/>
          <w:color w:val="auto"/>
          <w:sz w:val="24"/>
          <w:highlight w:val="none"/>
        </w:rPr>
        <w:t>预防机制、应急措施、现场处置措施、人员储备</w:t>
      </w:r>
      <w:r>
        <w:rPr>
          <w:rFonts w:hint="eastAsia" w:ascii="宋体" w:hAnsi="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；培训服务方案（培训内容、培训形式、培训安排）。提供</w:t>
      </w:r>
      <w:r>
        <w:rPr>
          <w:rFonts w:hint="eastAsia" w:ascii="宋体" w:hAnsi="宋体" w:cs="宋体"/>
          <w:b w:val="0"/>
          <w:bCs/>
          <w:color w:val="auto"/>
          <w:sz w:val="24"/>
          <w:szCs w:val="24"/>
          <w:highlight w:val="none"/>
          <w:lang w:val="en-US" w:eastAsia="zh-CN"/>
        </w:rPr>
        <w:t>履约能力（如果有）和</w:t>
      </w:r>
      <w:r>
        <w:rPr>
          <w:rFonts w:hint="eastAsia" w:ascii="宋体" w:hAnsi="宋体" w:eastAsia="宋体" w:cs="宋体"/>
          <w:b w:val="0"/>
          <w:bCs/>
          <w:color w:val="auto"/>
          <w:sz w:val="24"/>
          <w:szCs w:val="24"/>
          <w:highlight w:val="none"/>
          <w:lang w:val="en-US" w:eastAsia="zh-CN"/>
        </w:rPr>
        <w:t>业绩</w:t>
      </w:r>
      <w:r>
        <w:rPr>
          <w:rFonts w:hint="eastAsia" w:ascii="宋体" w:hAnsi="宋体" w:cs="宋体"/>
          <w:b w:val="0"/>
          <w:bCs/>
          <w:color w:val="auto"/>
          <w:sz w:val="24"/>
          <w:szCs w:val="24"/>
          <w:highlight w:val="none"/>
          <w:lang w:val="en-US" w:eastAsia="zh-CN"/>
        </w:rPr>
        <w:t>（如果有）</w:t>
      </w:r>
      <w:r>
        <w:rPr>
          <w:rFonts w:hint="eastAsia" w:ascii="宋体" w:hAnsi="宋体" w:eastAsia="宋体" w:cs="宋体"/>
          <w:b w:val="0"/>
          <w:bCs/>
          <w:color w:val="auto"/>
          <w:sz w:val="24"/>
          <w:szCs w:val="24"/>
          <w:highlight w:val="none"/>
          <w:lang w:val="en-US" w:eastAsia="zh-CN"/>
        </w:rPr>
        <w:t>的相关证明材料，提供政策加分</w:t>
      </w:r>
      <w:r>
        <w:rPr>
          <w:rFonts w:hint="eastAsia" w:ascii="宋体" w:hAnsi="宋体" w:cs="宋体"/>
          <w:b w:val="0"/>
          <w:bCs/>
          <w:color w:val="auto"/>
          <w:sz w:val="24"/>
          <w:szCs w:val="24"/>
          <w:highlight w:val="none"/>
          <w:lang w:val="en-US" w:eastAsia="zh-CN"/>
        </w:rPr>
        <w:t>（如果有）</w:t>
      </w:r>
      <w:r>
        <w:rPr>
          <w:rFonts w:hint="eastAsia" w:ascii="宋体" w:hAnsi="宋体" w:eastAsia="宋体" w:cs="宋体"/>
          <w:b w:val="0"/>
          <w:bCs/>
          <w:color w:val="auto"/>
          <w:sz w:val="24"/>
          <w:szCs w:val="24"/>
          <w:highlight w:val="none"/>
          <w:lang w:val="en-US" w:eastAsia="zh-CN"/>
        </w:rPr>
        <w:t>的相关证明材料。</w:t>
      </w:r>
    </w:p>
    <w:p w14:paraId="79B29B1F">
      <w:pPr>
        <w:spacing w:line="360" w:lineRule="auto"/>
        <w:jc w:val="both"/>
        <w:outlineLvl w:val="0"/>
        <w:rPr>
          <w:rFonts w:hint="eastAsia" w:ascii="宋体" w:hAnsi="宋体" w:cs="宋体"/>
          <w:b/>
          <w:sz w:val="24"/>
          <w:highlight w:val="none"/>
        </w:rPr>
      </w:pPr>
    </w:p>
    <w:p w14:paraId="301C074C">
      <w:pPr>
        <w:spacing w:line="360" w:lineRule="auto"/>
        <w:jc w:val="center"/>
        <w:outlineLvl w:val="0"/>
        <w:rPr>
          <w:rFonts w:ascii="宋体" w:hAnsi="宋体" w:cs="宋体"/>
          <w:b/>
          <w:sz w:val="36"/>
          <w:szCs w:val="36"/>
          <w:highlight w:val="none"/>
        </w:rPr>
      </w:pPr>
      <w:r>
        <w:rPr>
          <w:rFonts w:hint="eastAsia" w:ascii="宋体" w:hAnsi="宋体" w:cs="宋体"/>
          <w:b/>
          <w:sz w:val="24"/>
          <w:highlight w:val="none"/>
        </w:rPr>
        <w:br w:type="page"/>
      </w:r>
      <w:bookmarkStart w:id="51" w:name="_Toc32512"/>
      <w:r>
        <w:rPr>
          <w:rFonts w:hint="eastAsia" w:ascii="宋体" w:hAnsi="宋体" w:cs="宋体"/>
          <w:b/>
          <w:sz w:val="36"/>
          <w:szCs w:val="36"/>
          <w:highlight w:val="none"/>
        </w:rPr>
        <w:t xml:space="preserve">第四部分   </w:t>
      </w:r>
      <w:bookmarkStart w:id="52" w:name="_Toc184314467"/>
      <w:bookmarkEnd w:id="52"/>
      <w:bookmarkStart w:id="53" w:name="_Toc184314456"/>
      <w:bookmarkEnd w:id="53"/>
      <w:bookmarkStart w:id="54" w:name="_Toc184313268"/>
      <w:bookmarkEnd w:id="54"/>
      <w:bookmarkStart w:id="55" w:name="_Toc184313303"/>
      <w:bookmarkEnd w:id="55"/>
      <w:bookmarkStart w:id="56" w:name="_Toc184313300"/>
      <w:bookmarkEnd w:id="56"/>
      <w:bookmarkStart w:id="57" w:name="_Toc184310313"/>
      <w:bookmarkEnd w:id="57"/>
      <w:bookmarkStart w:id="58" w:name="_Toc184310299"/>
      <w:bookmarkEnd w:id="58"/>
      <w:bookmarkStart w:id="59" w:name="_Toc184313295"/>
      <w:bookmarkEnd w:id="59"/>
      <w:bookmarkStart w:id="60" w:name="_Toc184310290"/>
      <w:bookmarkEnd w:id="60"/>
      <w:bookmarkStart w:id="61" w:name="_Toc184308061"/>
      <w:bookmarkEnd w:id="61"/>
      <w:bookmarkStart w:id="62" w:name="_Toc184314454"/>
      <w:bookmarkEnd w:id="62"/>
      <w:bookmarkStart w:id="63" w:name="_Toc184313274"/>
      <w:bookmarkEnd w:id="63"/>
      <w:bookmarkStart w:id="64" w:name="_Toc184308045"/>
      <w:bookmarkEnd w:id="64"/>
      <w:bookmarkStart w:id="65" w:name="_Toc184312103"/>
      <w:bookmarkEnd w:id="65"/>
      <w:bookmarkStart w:id="66" w:name="_Toc184313270"/>
      <w:bookmarkEnd w:id="66"/>
      <w:bookmarkStart w:id="67" w:name="_Toc184314418"/>
      <w:bookmarkEnd w:id="67"/>
      <w:bookmarkStart w:id="68" w:name="_Toc184310306"/>
      <w:bookmarkEnd w:id="68"/>
      <w:bookmarkStart w:id="69" w:name="_Toc184314458"/>
      <w:bookmarkEnd w:id="69"/>
      <w:bookmarkStart w:id="70" w:name="_Toc184310315"/>
      <w:bookmarkEnd w:id="70"/>
      <w:bookmarkStart w:id="71" w:name="_Toc184310293"/>
      <w:bookmarkEnd w:id="71"/>
      <w:bookmarkStart w:id="72" w:name="_Toc184314436"/>
      <w:bookmarkEnd w:id="72"/>
      <w:bookmarkStart w:id="73" w:name="_Toc184310304"/>
      <w:bookmarkEnd w:id="73"/>
      <w:bookmarkStart w:id="74" w:name="_Toc184314448"/>
      <w:bookmarkEnd w:id="74"/>
      <w:bookmarkStart w:id="75" w:name="_Toc184308060"/>
      <w:bookmarkEnd w:id="75"/>
      <w:bookmarkStart w:id="76" w:name="_Toc184312069"/>
      <w:bookmarkEnd w:id="76"/>
      <w:bookmarkStart w:id="77" w:name="_Toc184313306"/>
      <w:bookmarkEnd w:id="77"/>
      <w:bookmarkStart w:id="78" w:name="_Toc184308066"/>
      <w:bookmarkEnd w:id="78"/>
      <w:bookmarkStart w:id="79" w:name="_Toc184312088"/>
      <w:bookmarkEnd w:id="79"/>
      <w:bookmarkStart w:id="80" w:name="_Toc184312111"/>
      <w:bookmarkEnd w:id="80"/>
      <w:bookmarkStart w:id="81" w:name="_Toc184310321"/>
      <w:bookmarkEnd w:id="81"/>
      <w:bookmarkStart w:id="82" w:name="_Toc184313287"/>
      <w:bookmarkEnd w:id="82"/>
      <w:bookmarkStart w:id="83" w:name="_Toc184313262"/>
      <w:bookmarkEnd w:id="83"/>
      <w:bookmarkStart w:id="84" w:name="_Toc184310305"/>
      <w:bookmarkEnd w:id="84"/>
      <w:bookmarkStart w:id="85" w:name="_Toc184313296"/>
      <w:bookmarkEnd w:id="85"/>
      <w:bookmarkStart w:id="86" w:name="_Toc184314413"/>
      <w:bookmarkEnd w:id="86"/>
      <w:bookmarkStart w:id="87" w:name="_Toc184308071"/>
      <w:bookmarkEnd w:id="87"/>
      <w:bookmarkStart w:id="88" w:name="_Toc184314410"/>
      <w:bookmarkEnd w:id="88"/>
      <w:bookmarkStart w:id="89" w:name="_Toc184312119"/>
      <w:bookmarkEnd w:id="89"/>
      <w:bookmarkStart w:id="90" w:name="_Toc184312105"/>
      <w:bookmarkEnd w:id="90"/>
      <w:bookmarkStart w:id="91" w:name="_Toc184310274"/>
      <w:bookmarkEnd w:id="91"/>
      <w:bookmarkStart w:id="92" w:name="_Toc184310307"/>
      <w:bookmarkEnd w:id="92"/>
      <w:bookmarkStart w:id="93" w:name="_Toc184310318"/>
      <w:bookmarkEnd w:id="93"/>
      <w:bookmarkStart w:id="94" w:name="_Toc184312137"/>
      <w:bookmarkEnd w:id="94"/>
      <w:bookmarkStart w:id="95" w:name="_Toc184310309"/>
      <w:bookmarkEnd w:id="95"/>
      <w:bookmarkStart w:id="96" w:name="_Toc184308099"/>
      <w:bookmarkEnd w:id="96"/>
      <w:bookmarkStart w:id="97" w:name="_Toc184308081"/>
      <w:bookmarkEnd w:id="97"/>
      <w:bookmarkStart w:id="98" w:name="_Toc184310342"/>
      <w:bookmarkEnd w:id="98"/>
      <w:bookmarkStart w:id="99" w:name="_Toc184313252"/>
      <w:bookmarkEnd w:id="99"/>
      <w:bookmarkStart w:id="100" w:name="_Toc184314422"/>
      <w:bookmarkEnd w:id="100"/>
      <w:bookmarkStart w:id="101" w:name="_Toc184313298"/>
      <w:bookmarkEnd w:id="101"/>
      <w:bookmarkStart w:id="102" w:name="_Toc184313247"/>
      <w:bookmarkEnd w:id="102"/>
      <w:bookmarkStart w:id="103" w:name="_Toc184313309"/>
      <w:bookmarkEnd w:id="103"/>
      <w:bookmarkStart w:id="104" w:name="_Toc184313264"/>
      <w:bookmarkEnd w:id="104"/>
      <w:bookmarkStart w:id="105" w:name="_Toc184312101"/>
      <w:bookmarkEnd w:id="105"/>
      <w:bookmarkStart w:id="106" w:name="_Toc184314468"/>
      <w:bookmarkEnd w:id="106"/>
      <w:bookmarkStart w:id="107" w:name="_Toc184308046"/>
      <w:bookmarkEnd w:id="107"/>
      <w:bookmarkStart w:id="108" w:name="_Toc184310344"/>
      <w:bookmarkEnd w:id="108"/>
      <w:bookmarkStart w:id="109" w:name="_Toc184308040"/>
      <w:bookmarkEnd w:id="109"/>
      <w:bookmarkStart w:id="110" w:name="_Toc184308089"/>
      <w:bookmarkEnd w:id="110"/>
      <w:bookmarkStart w:id="111" w:name="_Toc184310282"/>
      <w:bookmarkEnd w:id="111"/>
      <w:bookmarkStart w:id="112" w:name="_Toc184314419"/>
      <w:bookmarkEnd w:id="112"/>
      <w:bookmarkStart w:id="113" w:name="_Toc184314465"/>
      <w:bookmarkEnd w:id="113"/>
      <w:bookmarkStart w:id="114" w:name="_Toc184314450"/>
      <w:bookmarkEnd w:id="114"/>
      <w:bookmarkStart w:id="115" w:name="_Toc184314442"/>
      <w:bookmarkEnd w:id="115"/>
      <w:bookmarkStart w:id="116" w:name="_Toc184314438"/>
      <w:bookmarkEnd w:id="116"/>
      <w:bookmarkStart w:id="117" w:name="_Toc184312124"/>
      <w:bookmarkEnd w:id="117"/>
      <w:bookmarkStart w:id="118" w:name="_Toc184310296"/>
      <w:bookmarkEnd w:id="118"/>
      <w:bookmarkStart w:id="119" w:name="_Toc184314466"/>
      <w:bookmarkEnd w:id="119"/>
      <w:bookmarkStart w:id="120" w:name="_Toc184310303"/>
      <w:bookmarkEnd w:id="120"/>
      <w:bookmarkStart w:id="121" w:name="_Toc184313301"/>
      <w:bookmarkEnd w:id="121"/>
      <w:bookmarkStart w:id="122" w:name="_Toc184312068"/>
      <w:bookmarkEnd w:id="122"/>
      <w:bookmarkStart w:id="123" w:name="_Toc184313253"/>
      <w:bookmarkEnd w:id="123"/>
      <w:bookmarkStart w:id="124" w:name="_Toc184312085"/>
      <w:bookmarkEnd w:id="124"/>
      <w:bookmarkStart w:id="125" w:name="_Toc184308090"/>
      <w:bookmarkEnd w:id="125"/>
      <w:bookmarkStart w:id="126" w:name="_Toc184308048"/>
      <w:bookmarkEnd w:id="126"/>
      <w:bookmarkStart w:id="127" w:name="_Toc184313284"/>
      <w:bookmarkEnd w:id="127"/>
      <w:bookmarkStart w:id="128" w:name="_Toc184314437"/>
      <w:bookmarkEnd w:id="128"/>
      <w:bookmarkStart w:id="129" w:name="_Toc184314428"/>
      <w:bookmarkEnd w:id="129"/>
      <w:bookmarkStart w:id="130" w:name="_Toc184313249"/>
      <w:bookmarkEnd w:id="130"/>
      <w:bookmarkStart w:id="131" w:name="_Toc184313256"/>
      <w:bookmarkEnd w:id="131"/>
      <w:bookmarkStart w:id="132" w:name="_Toc184314440"/>
      <w:bookmarkEnd w:id="132"/>
      <w:bookmarkStart w:id="133" w:name="_Toc184313310"/>
      <w:bookmarkEnd w:id="133"/>
      <w:bookmarkStart w:id="134" w:name="_Toc184310331"/>
      <w:bookmarkEnd w:id="134"/>
      <w:bookmarkStart w:id="135" w:name="_Toc184313261"/>
      <w:bookmarkEnd w:id="135"/>
      <w:bookmarkStart w:id="136" w:name="_Toc184314430"/>
      <w:bookmarkEnd w:id="136"/>
      <w:bookmarkStart w:id="137" w:name="_Toc184308047"/>
      <w:bookmarkEnd w:id="137"/>
      <w:bookmarkStart w:id="138" w:name="_Toc184314451"/>
      <w:bookmarkEnd w:id="138"/>
      <w:bookmarkStart w:id="139" w:name="_Toc184314411"/>
      <w:bookmarkEnd w:id="139"/>
      <w:bookmarkStart w:id="140" w:name="_Toc184312100"/>
      <w:bookmarkEnd w:id="140"/>
      <w:bookmarkStart w:id="141" w:name="_Toc184314471"/>
      <w:bookmarkEnd w:id="141"/>
      <w:bookmarkStart w:id="142" w:name="_Toc184313282"/>
      <w:bookmarkEnd w:id="142"/>
      <w:bookmarkStart w:id="143" w:name="_Toc184313276"/>
      <w:bookmarkEnd w:id="143"/>
      <w:bookmarkStart w:id="144" w:name="_Toc184310277"/>
      <w:bookmarkEnd w:id="144"/>
      <w:bookmarkStart w:id="145" w:name="_Toc184308105"/>
      <w:bookmarkEnd w:id="145"/>
      <w:bookmarkStart w:id="146" w:name="_Toc184310341"/>
      <w:bookmarkEnd w:id="146"/>
      <w:bookmarkStart w:id="147" w:name="_Toc184314427"/>
      <w:bookmarkEnd w:id="147"/>
      <w:bookmarkStart w:id="148" w:name="_Toc184310322"/>
      <w:bookmarkEnd w:id="148"/>
      <w:bookmarkStart w:id="149" w:name="_Toc184312108"/>
      <w:bookmarkEnd w:id="149"/>
      <w:bookmarkStart w:id="150" w:name="_Toc184310298"/>
      <w:bookmarkEnd w:id="150"/>
      <w:bookmarkStart w:id="151" w:name="_Toc184313278"/>
      <w:bookmarkEnd w:id="151"/>
      <w:bookmarkStart w:id="152" w:name="_Toc184312082"/>
      <w:bookmarkEnd w:id="152"/>
      <w:bookmarkStart w:id="153" w:name="_Toc184314460"/>
      <w:bookmarkEnd w:id="153"/>
      <w:bookmarkStart w:id="154" w:name="_Toc184313291"/>
      <w:bookmarkEnd w:id="154"/>
      <w:bookmarkStart w:id="155" w:name="_Toc184313273"/>
      <w:bookmarkEnd w:id="155"/>
      <w:bookmarkStart w:id="156" w:name="_Toc184312134"/>
      <w:bookmarkEnd w:id="156"/>
      <w:bookmarkStart w:id="157" w:name="_Toc184308062"/>
      <w:bookmarkEnd w:id="157"/>
      <w:bookmarkStart w:id="158" w:name="_Toc184308102"/>
      <w:bookmarkEnd w:id="158"/>
      <w:bookmarkStart w:id="159" w:name="_Toc184308067"/>
      <w:bookmarkEnd w:id="159"/>
      <w:bookmarkStart w:id="160" w:name="_Toc184308092"/>
      <w:bookmarkEnd w:id="160"/>
      <w:bookmarkStart w:id="161" w:name="_Toc184314416"/>
      <w:bookmarkEnd w:id="161"/>
      <w:bookmarkStart w:id="162" w:name="_Toc184313248"/>
      <w:bookmarkEnd w:id="162"/>
      <w:bookmarkStart w:id="163" w:name="_Toc184313308"/>
      <w:bookmarkEnd w:id="163"/>
      <w:bookmarkStart w:id="164" w:name="_Toc184313271"/>
      <w:bookmarkEnd w:id="164"/>
      <w:bookmarkStart w:id="165" w:name="_Toc184308097"/>
      <w:bookmarkEnd w:id="165"/>
      <w:bookmarkStart w:id="166" w:name="_Toc184314417"/>
      <w:bookmarkEnd w:id="166"/>
      <w:bookmarkStart w:id="167" w:name="_Toc184312073"/>
      <w:bookmarkEnd w:id="167"/>
      <w:bookmarkStart w:id="168" w:name="_Toc184312130"/>
      <w:bookmarkEnd w:id="168"/>
      <w:bookmarkStart w:id="169" w:name="_Toc184313244"/>
      <w:bookmarkEnd w:id="169"/>
      <w:bookmarkStart w:id="170" w:name="_Toc184312089"/>
      <w:bookmarkEnd w:id="170"/>
      <w:bookmarkStart w:id="171" w:name="_Toc184314423"/>
      <w:bookmarkEnd w:id="171"/>
      <w:bookmarkStart w:id="172" w:name="_Toc184308100"/>
      <w:bookmarkEnd w:id="172"/>
      <w:bookmarkStart w:id="173" w:name="_Toc184308063"/>
      <w:bookmarkEnd w:id="173"/>
      <w:bookmarkStart w:id="174" w:name="_Toc184313257"/>
      <w:bookmarkEnd w:id="174"/>
      <w:bookmarkStart w:id="175" w:name="_Toc184312115"/>
      <w:bookmarkEnd w:id="175"/>
      <w:bookmarkStart w:id="176" w:name="_Toc184312107"/>
      <w:bookmarkEnd w:id="176"/>
      <w:bookmarkStart w:id="177" w:name="_Toc184312070"/>
      <w:bookmarkEnd w:id="177"/>
      <w:bookmarkStart w:id="178" w:name="_Toc184314421"/>
      <w:bookmarkEnd w:id="178"/>
      <w:bookmarkStart w:id="179" w:name="_Toc184310297"/>
      <w:bookmarkEnd w:id="179"/>
      <w:bookmarkStart w:id="180" w:name="_Toc184313260"/>
      <w:bookmarkEnd w:id="180"/>
      <w:bookmarkStart w:id="181" w:name="_Toc184314482"/>
      <w:bookmarkEnd w:id="181"/>
      <w:bookmarkStart w:id="182" w:name="_Toc184308082"/>
      <w:bookmarkEnd w:id="182"/>
      <w:bookmarkStart w:id="183" w:name="_Toc184314431"/>
      <w:bookmarkEnd w:id="183"/>
      <w:bookmarkStart w:id="184" w:name="_Toc184308069"/>
      <w:bookmarkEnd w:id="184"/>
      <w:bookmarkStart w:id="185" w:name="_Toc184308074"/>
      <w:bookmarkEnd w:id="185"/>
      <w:bookmarkStart w:id="186" w:name="_Toc184314463"/>
      <w:bookmarkEnd w:id="186"/>
      <w:bookmarkStart w:id="187" w:name="_Toc184314476"/>
      <w:bookmarkEnd w:id="187"/>
      <w:bookmarkStart w:id="188" w:name="_Toc184312123"/>
      <w:bookmarkEnd w:id="188"/>
      <w:bookmarkStart w:id="189" w:name="_Toc184312067"/>
      <w:bookmarkEnd w:id="189"/>
      <w:bookmarkStart w:id="190" w:name="_Toc184313245"/>
      <w:bookmarkEnd w:id="190"/>
      <w:bookmarkStart w:id="191" w:name="_Toc184313304"/>
      <w:bookmarkEnd w:id="191"/>
      <w:bookmarkStart w:id="192" w:name="_Toc184313288"/>
      <w:bookmarkEnd w:id="192"/>
      <w:bookmarkStart w:id="193" w:name="_Toc184312078"/>
      <w:bookmarkEnd w:id="193"/>
      <w:bookmarkStart w:id="194" w:name="_Toc184313243"/>
      <w:bookmarkEnd w:id="194"/>
      <w:bookmarkStart w:id="195" w:name="_Toc184314455"/>
      <w:bookmarkEnd w:id="195"/>
      <w:bookmarkStart w:id="196" w:name="_Toc184308056"/>
      <w:bookmarkEnd w:id="196"/>
      <w:bookmarkStart w:id="197" w:name="_Toc184308095"/>
      <w:bookmarkEnd w:id="197"/>
      <w:bookmarkStart w:id="198" w:name="_Toc184313255"/>
      <w:bookmarkEnd w:id="198"/>
      <w:bookmarkStart w:id="199" w:name="_Toc184313246"/>
      <w:bookmarkEnd w:id="199"/>
      <w:bookmarkStart w:id="200" w:name="_Toc184310328"/>
      <w:bookmarkEnd w:id="200"/>
      <w:bookmarkStart w:id="201" w:name="_Toc184312126"/>
      <w:bookmarkEnd w:id="201"/>
      <w:bookmarkStart w:id="202" w:name="_Toc184312128"/>
      <w:bookmarkEnd w:id="202"/>
      <w:bookmarkStart w:id="203" w:name="_Toc184314447"/>
      <w:bookmarkEnd w:id="203"/>
      <w:bookmarkStart w:id="204" w:name="_Toc184312081"/>
      <w:bookmarkEnd w:id="204"/>
      <w:bookmarkStart w:id="205" w:name="_Toc184314429"/>
      <w:bookmarkEnd w:id="205"/>
      <w:bookmarkStart w:id="206" w:name="_Toc184314475"/>
      <w:bookmarkEnd w:id="206"/>
      <w:bookmarkStart w:id="207" w:name="_Toc184310294"/>
      <w:bookmarkEnd w:id="207"/>
      <w:bookmarkStart w:id="208" w:name="_Toc184312102"/>
      <w:bookmarkEnd w:id="208"/>
      <w:bookmarkStart w:id="209" w:name="_Toc184314452"/>
      <w:bookmarkEnd w:id="209"/>
      <w:bookmarkStart w:id="210" w:name="_Toc184312097"/>
      <w:bookmarkEnd w:id="210"/>
      <w:bookmarkStart w:id="211" w:name="_Toc184310336"/>
      <w:bookmarkEnd w:id="211"/>
      <w:bookmarkStart w:id="212" w:name="_Toc184312098"/>
      <w:bookmarkEnd w:id="212"/>
      <w:bookmarkStart w:id="213" w:name="_Toc184310337"/>
      <w:bookmarkEnd w:id="213"/>
      <w:bookmarkStart w:id="214" w:name="_Toc184308098"/>
      <w:bookmarkEnd w:id="214"/>
      <w:bookmarkStart w:id="215" w:name="_Toc184308085"/>
      <w:bookmarkEnd w:id="215"/>
      <w:bookmarkStart w:id="216" w:name="_Toc184314415"/>
      <w:bookmarkEnd w:id="216"/>
      <w:bookmarkStart w:id="217" w:name="_Toc184310302"/>
      <w:bookmarkEnd w:id="217"/>
      <w:bookmarkStart w:id="218" w:name="_Toc184313242"/>
      <w:bookmarkEnd w:id="218"/>
      <w:bookmarkStart w:id="219" w:name="_Toc184310317"/>
      <w:bookmarkEnd w:id="219"/>
      <w:bookmarkStart w:id="220" w:name="_Toc184310310"/>
      <w:bookmarkEnd w:id="220"/>
      <w:bookmarkStart w:id="221" w:name="_Toc184313266"/>
      <w:bookmarkEnd w:id="221"/>
      <w:bookmarkStart w:id="222" w:name="_Toc184314459"/>
      <w:bookmarkEnd w:id="222"/>
      <w:bookmarkStart w:id="223" w:name="_Toc184310287"/>
      <w:bookmarkEnd w:id="223"/>
      <w:bookmarkStart w:id="224" w:name="_Toc184310285"/>
      <w:bookmarkEnd w:id="224"/>
      <w:bookmarkStart w:id="225" w:name="_Toc184312090"/>
      <w:bookmarkEnd w:id="225"/>
      <w:bookmarkStart w:id="226" w:name="_Toc184308068"/>
      <w:bookmarkEnd w:id="226"/>
      <w:bookmarkStart w:id="227" w:name="_Toc184310325"/>
      <w:bookmarkEnd w:id="227"/>
      <w:bookmarkStart w:id="228" w:name="_Toc184314445"/>
      <w:bookmarkEnd w:id="228"/>
      <w:bookmarkStart w:id="229" w:name="_Toc184308065"/>
      <w:bookmarkEnd w:id="229"/>
      <w:bookmarkStart w:id="230" w:name="_Toc184312116"/>
      <w:bookmarkEnd w:id="230"/>
      <w:bookmarkStart w:id="231" w:name="_Toc184312086"/>
      <w:bookmarkEnd w:id="231"/>
      <w:bookmarkStart w:id="232" w:name="_Toc184313297"/>
      <w:bookmarkEnd w:id="232"/>
      <w:bookmarkStart w:id="233" w:name="_Toc184313290"/>
      <w:bookmarkEnd w:id="233"/>
      <w:bookmarkStart w:id="234" w:name="_Toc184312133"/>
      <w:bookmarkEnd w:id="234"/>
      <w:bookmarkStart w:id="235" w:name="_Toc184314470"/>
      <w:bookmarkEnd w:id="235"/>
      <w:bookmarkStart w:id="236" w:name="_Toc184312110"/>
      <w:bookmarkEnd w:id="236"/>
      <w:bookmarkStart w:id="237" w:name="_Toc184310314"/>
      <w:bookmarkEnd w:id="237"/>
      <w:bookmarkStart w:id="238" w:name="_Toc184313277"/>
      <w:bookmarkEnd w:id="238"/>
      <w:bookmarkStart w:id="239" w:name="_Toc184308053"/>
      <w:bookmarkEnd w:id="239"/>
      <w:bookmarkStart w:id="240" w:name="_Toc184313241"/>
      <w:bookmarkEnd w:id="240"/>
      <w:bookmarkStart w:id="241" w:name="_Toc184313286"/>
      <w:bookmarkEnd w:id="241"/>
      <w:bookmarkStart w:id="242" w:name="_Toc184308038"/>
      <w:bookmarkEnd w:id="242"/>
      <w:bookmarkStart w:id="243" w:name="_Toc184308070"/>
      <w:bookmarkEnd w:id="243"/>
      <w:bookmarkStart w:id="244" w:name="_Toc184313285"/>
      <w:bookmarkEnd w:id="244"/>
      <w:bookmarkStart w:id="245" w:name="_Toc184310319"/>
      <w:bookmarkEnd w:id="245"/>
      <w:bookmarkStart w:id="246" w:name="_Toc184314473"/>
      <w:bookmarkEnd w:id="246"/>
      <w:bookmarkStart w:id="247" w:name="_Toc184312117"/>
      <w:bookmarkEnd w:id="247"/>
      <w:bookmarkStart w:id="248" w:name="_Toc184312122"/>
      <w:bookmarkEnd w:id="248"/>
      <w:bookmarkStart w:id="249" w:name="_Toc184312093"/>
      <w:bookmarkEnd w:id="249"/>
      <w:bookmarkStart w:id="250" w:name="_Toc184314414"/>
      <w:bookmarkEnd w:id="250"/>
      <w:bookmarkStart w:id="251" w:name="_Toc184312131"/>
      <w:bookmarkEnd w:id="251"/>
      <w:bookmarkStart w:id="252" w:name="_Toc184312079"/>
      <w:bookmarkEnd w:id="252"/>
      <w:bookmarkStart w:id="253" w:name="_Toc184312099"/>
      <w:bookmarkEnd w:id="253"/>
      <w:bookmarkStart w:id="254" w:name="_Toc184313250"/>
      <w:bookmarkEnd w:id="254"/>
      <w:bookmarkStart w:id="255" w:name="_Toc184313307"/>
      <w:bookmarkEnd w:id="255"/>
      <w:bookmarkStart w:id="256" w:name="_Toc184310333"/>
      <w:bookmarkEnd w:id="256"/>
      <w:bookmarkStart w:id="257" w:name="_Toc184312138"/>
      <w:bookmarkEnd w:id="257"/>
      <w:bookmarkStart w:id="258" w:name="_Toc184314474"/>
      <w:bookmarkEnd w:id="258"/>
      <w:bookmarkStart w:id="259" w:name="_Toc184314420"/>
      <w:bookmarkEnd w:id="259"/>
      <w:bookmarkStart w:id="260" w:name="_Toc184308103"/>
      <w:bookmarkEnd w:id="260"/>
      <w:bookmarkStart w:id="261" w:name="_Toc184313258"/>
      <w:bookmarkEnd w:id="261"/>
      <w:bookmarkStart w:id="262" w:name="_Toc184314424"/>
      <w:bookmarkEnd w:id="262"/>
      <w:bookmarkStart w:id="263" w:name="_Toc184310332"/>
      <w:bookmarkEnd w:id="263"/>
      <w:bookmarkStart w:id="264" w:name="_Toc184310292"/>
      <w:bookmarkEnd w:id="264"/>
      <w:bookmarkStart w:id="265" w:name="_Toc184312083"/>
      <w:bookmarkEnd w:id="265"/>
      <w:bookmarkStart w:id="266" w:name="_Toc184310308"/>
      <w:bookmarkEnd w:id="266"/>
      <w:bookmarkStart w:id="267" w:name="_Toc184308086"/>
      <w:bookmarkEnd w:id="267"/>
      <w:bookmarkStart w:id="268" w:name="_Toc184308057"/>
      <w:bookmarkEnd w:id="268"/>
      <w:bookmarkStart w:id="269" w:name="_Toc184310343"/>
      <w:bookmarkEnd w:id="269"/>
      <w:bookmarkStart w:id="270" w:name="_Toc184308039"/>
      <w:bookmarkEnd w:id="270"/>
      <w:bookmarkStart w:id="271" w:name="_Toc184308041"/>
      <w:bookmarkEnd w:id="271"/>
      <w:bookmarkStart w:id="272" w:name="_Toc184314453"/>
      <w:bookmarkEnd w:id="272"/>
      <w:bookmarkStart w:id="273" w:name="_Toc184310300"/>
      <w:bookmarkEnd w:id="273"/>
      <w:bookmarkStart w:id="274" w:name="_Toc184312127"/>
      <w:bookmarkEnd w:id="274"/>
      <w:bookmarkStart w:id="275" w:name="_Toc184308075"/>
      <w:bookmarkEnd w:id="275"/>
      <w:bookmarkStart w:id="276" w:name="_Toc184308077"/>
      <w:bookmarkEnd w:id="276"/>
      <w:bookmarkStart w:id="277" w:name="_Toc184310316"/>
      <w:bookmarkEnd w:id="277"/>
      <w:bookmarkStart w:id="278" w:name="_Toc184308049"/>
      <w:bookmarkEnd w:id="278"/>
      <w:bookmarkStart w:id="279" w:name="_Toc184310289"/>
      <w:bookmarkEnd w:id="279"/>
      <w:bookmarkStart w:id="280" w:name="_Toc184314435"/>
      <w:bookmarkEnd w:id="280"/>
      <w:bookmarkStart w:id="281" w:name="_Toc184314433"/>
      <w:bookmarkEnd w:id="281"/>
      <w:bookmarkStart w:id="282" w:name="_Toc184312136"/>
      <w:bookmarkEnd w:id="282"/>
      <w:bookmarkStart w:id="283" w:name="_Toc184313275"/>
      <w:bookmarkEnd w:id="283"/>
      <w:bookmarkStart w:id="284" w:name="_Toc184308080"/>
      <w:bookmarkEnd w:id="284"/>
      <w:bookmarkStart w:id="285" w:name="_Toc184310272"/>
      <w:bookmarkEnd w:id="285"/>
      <w:bookmarkStart w:id="286" w:name="_Toc184312072"/>
      <w:bookmarkEnd w:id="286"/>
      <w:bookmarkStart w:id="287" w:name="_Toc184308054"/>
      <w:bookmarkEnd w:id="287"/>
      <w:bookmarkStart w:id="288" w:name="_Toc184308072"/>
      <w:bookmarkEnd w:id="288"/>
      <w:bookmarkStart w:id="289" w:name="_Toc184313289"/>
      <w:bookmarkEnd w:id="289"/>
      <w:bookmarkStart w:id="290" w:name="_Toc184308096"/>
      <w:bookmarkEnd w:id="290"/>
      <w:bookmarkStart w:id="291" w:name="_Toc184314481"/>
      <w:bookmarkEnd w:id="291"/>
      <w:bookmarkStart w:id="292" w:name="_Toc184312074"/>
      <w:bookmarkEnd w:id="292"/>
      <w:bookmarkStart w:id="293" w:name="_Toc184310335"/>
      <w:bookmarkEnd w:id="293"/>
      <w:bookmarkStart w:id="294" w:name="_Toc184310301"/>
      <w:bookmarkEnd w:id="294"/>
      <w:bookmarkStart w:id="295" w:name="_Toc184312095"/>
      <w:bookmarkEnd w:id="295"/>
      <w:bookmarkStart w:id="296" w:name="_Toc184312120"/>
      <w:bookmarkEnd w:id="296"/>
      <w:bookmarkStart w:id="297" w:name="_Toc184312076"/>
      <w:bookmarkEnd w:id="297"/>
      <w:bookmarkStart w:id="298" w:name="_Toc184313240"/>
      <w:bookmarkEnd w:id="298"/>
      <w:bookmarkStart w:id="299" w:name="_Toc184312091"/>
      <w:bookmarkEnd w:id="299"/>
      <w:bookmarkStart w:id="300" w:name="_Toc184308101"/>
      <w:bookmarkEnd w:id="300"/>
      <w:bookmarkStart w:id="301" w:name="_Toc184312114"/>
      <w:bookmarkEnd w:id="301"/>
      <w:bookmarkStart w:id="302" w:name="_Toc184313259"/>
      <w:bookmarkEnd w:id="302"/>
      <w:bookmarkStart w:id="303" w:name="_Toc184312080"/>
      <w:bookmarkEnd w:id="303"/>
      <w:bookmarkStart w:id="304" w:name="_Toc184313251"/>
      <w:bookmarkEnd w:id="304"/>
      <w:bookmarkStart w:id="305" w:name="_Toc184313254"/>
      <w:bookmarkEnd w:id="305"/>
      <w:bookmarkStart w:id="306" w:name="_Toc184314462"/>
      <w:bookmarkEnd w:id="306"/>
      <w:bookmarkStart w:id="307" w:name="_Toc184310323"/>
      <w:bookmarkEnd w:id="307"/>
      <w:bookmarkStart w:id="308" w:name="_Toc184313269"/>
      <w:bookmarkEnd w:id="308"/>
      <w:bookmarkStart w:id="309" w:name="_Toc184313280"/>
      <w:bookmarkEnd w:id="309"/>
      <w:bookmarkStart w:id="310" w:name="_Toc184308059"/>
      <w:bookmarkEnd w:id="310"/>
      <w:bookmarkStart w:id="311" w:name="_Toc184314469"/>
      <w:bookmarkEnd w:id="311"/>
      <w:bookmarkStart w:id="312" w:name="_Toc184312106"/>
      <w:bookmarkEnd w:id="312"/>
      <w:bookmarkStart w:id="313" w:name="_Toc184308044"/>
      <w:bookmarkEnd w:id="313"/>
      <w:bookmarkStart w:id="314" w:name="_Toc184310286"/>
      <w:bookmarkEnd w:id="314"/>
      <w:bookmarkStart w:id="315" w:name="_Toc184310311"/>
      <w:bookmarkEnd w:id="315"/>
      <w:bookmarkStart w:id="316" w:name="_Toc184308043"/>
      <w:bookmarkEnd w:id="316"/>
      <w:bookmarkStart w:id="317" w:name="_Toc184314478"/>
      <w:bookmarkEnd w:id="317"/>
      <w:bookmarkStart w:id="318" w:name="_Toc184308042"/>
      <w:bookmarkEnd w:id="318"/>
      <w:bookmarkStart w:id="319" w:name="_Toc184313305"/>
      <w:bookmarkEnd w:id="319"/>
      <w:bookmarkStart w:id="320" w:name="_Toc184310329"/>
      <w:bookmarkEnd w:id="320"/>
      <w:bookmarkStart w:id="321" w:name="_Toc184312121"/>
      <w:bookmarkEnd w:id="321"/>
      <w:bookmarkStart w:id="322" w:name="_Toc184308058"/>
      <w:bookmarkEnd w:id="322"/>
      <w:bookmarkStart w:id="323" w:name="_Toc184313279"/>
      <w:bookmarkEnd w:id="323"/>
      <w:bookmarkStart w:id="324" w:name="_Toc184312112"/>
      <w:bookmarkEnd w:id="324"/>
      <w:bookmarkStart w:id="325" w:name="_Toc184312132"/>
      <w:bookmarkEnd w:id="325"/>
      <w:bookmarkStart w:id="326" w:name="_Toc184314461"/>
      <w:bookmarkEnd w:id="326"/>
      <w:bookmarkStart w:id="327" w:name="_Toc184312118"/>
      <w:bookmarkEnd w:id="327"/>
      <w:bookmarkStart w:id="328" w:name="_Toc184308091"/>
      <w:bookmarkEnd w:id="328"/>
      <w:bookmarkStart w:id="329" w:name="_Toc184310320"/>
      <w:bookmarkEnd w:id="329"/>
      <w:bookmarkStart w:id="330" w:name="_Toc184314444"/>
      <w:bookmarkEnd w:id="330"/>
      <w:bookmarkStart w:id="331" w:name="_Toc184313238"/>
      <w:bookmarkEnd w:id="331"/>
      <w:bookmarkStart w:id="332" w:name="_Toc184312075"/>
      <w:bookmarkEnd w:id="332"/>
      <w:bookmarkStart w:id="333" w:name="_Toc184308050"/>
      <w:bookmarkEnd w:id="333"/>
      <w:bookmarkStart w:id="334" w:name="_Toc184313281"/>
      <w:bookmarkEnd w:id="334"/>
      <w:bookmarkStart w:id="335" w:name="_Toc184312084"/>
      <w:bookmarkEnd w:id="335"/>
      <w:bookmarkStart w:id="336" w:name="_Toc184313265"/>
      <w:bookmarkEnd w:id="336"/>
      <w:bookmarkStart w:id="337" w:name="_Toc184312094"/>
      <w:bookmarkEnd w:id="337"/>
      <w:bookmarkStart w:id="338" w:name="_Toc184313299"/>
      <w:bookmarkEnd w:id="338"/>
      <w:bookmarkStart w:id="339" w:name="_Toc184314439"/>
      <w:bookmarkEnd w:id="339"/>
      <w:bookmarkStart w:id="340" w:name="_Toc184314412"/>
      <w:bookmarkEnd w:id="340"/>
      <w:bookmarkStart w:id="341" w:name="_Toc184308107"/>
      <w:bookmarkEnd w:id="341"/>
      <w:bookmarkStart w:id="342" w:name="_Toc184314457"/>
      <w:bookmarkEnd w:id="342"/>
      <w:bookmarkStart w:id="343" w:name="_Toc184312104"/>
      <w:bookmarkEnd w:id="343"/>
      <w:bookmarkStart w:id="344" w:name="_Toc184308036"/>
      <w:bookmarkEnd w:id="344"/>
      <w:bookmarkStart w:id="345" w:name="_Toc184310312"/>
      <w:bookmarkEnd w:id="345"/>
      <w:bookmarkStart w:id="346" w:name="_Toc184310338"/>
      <w:bookmarkEnd w:id="346"/>
      <w:bookmarkStart w:id="347" w:name="_Toc184314425"/>
      <w:bookmarkEnd w:id="347"/>
      <w:bookmarkStart w:id="348" w:name="_Toc184310276"/>
      <w:bookmarkEnd w:id="348"/>
      <w:bookmarkStart w:id="349" w:name="_Toc184310295"/>
      <w:bookmarkEnd w:id="349"/>
      <w:bookmarkStart w:id="350" w:name="_Toc184308108"/>
      <w:bookmarkEnd w:id="350"/>
      <w:bookmarkStart w:id="351" w:name="_Toc184308064"/>
      <w:bookmarkEnd w:id="351"/>
      <w:bookmarkStart w:id="352" w:name="_Toc184313294"/>
      <w:bookmarkEnd w:id="352"/>
      <w:bookmarkStart w:id="353" w:name="_Toc184308094"/>
      <w:bookmarkEnd w:id="353"/>
      <w:bookmarkStart w:id="354" w:name="_Toc184312125"/>
      <w:bookmarkEnd w:id="354"/>
      <w:bookmarkStart w:id="355" w:name="_Toc184310326"/>
      <w:bookmarkEnd w:id="355"/>
      <w:bookmarkStart w:id="356" w:name="_Toc184314441"/>
      <w:bookmarkEnd w:id="356"/>
      <w:bookmarkStart w:id="357" w:name="_Toc184310280"/>
      <w:bookmarkEnd w:id="357"/>
      <w:bookmarkStart w:id="358" w:name="_Toc184312077"/>
      <w:bookmarkEnd w:id="358"/>
      <w:bookmarkStart w:id="359" w:name="_Toc184313239"/>
      <w:bookmarkEnd w:id="359"/>
      <w:bookmarkStart w:id="360" w:name="_Toc184314432"/>
      <w:bookmarkEnd w:id="360"/>
      <w:bookmarkStart w:id="361" w:name="_Toc184314479"/>
      <w:bookmarkEnd w:id="361"/>
      <w:bookmarkStart w:id="362" w:name="_Toc184312129"/>
      <w:bookmarkEnd w:id="362"/>
      <w:bookmarkStart w:id="363" w:name="_Toc184310324"/>
      <w:bookmarkEnd w:id="363"/>
      <w:bookmarkStart w:id="364" w:name="_Toc184310291"/>
      <w:bookmarkEnd w:id="364"/>
      <w:bookmarkStart w:id="365" w:name="_Toc184313283"/>
      <w:bookmarkEnd w:id="365"/>
      <w:bookmarkStart w:id="366" w:name="_Toc184312113"/>
      <w:bookmarkEnd w:id="366"/>
      <w:bookmarkStart w:id="367" w:name="_Toc184314477"/>
      <w:bookmarkEnd w:id="367"/>
      <w:bookmarkStart w:id="368" w:name="_Toc184314434"/>
      <w:bookmarkEnd w:id="368"/>
      <w:bookmarkStart w:id="369" w:name="_Toc184313293"/>
      <w:bookmarkEnd w:id="369"/>
      <w:bookmarkStart w:id="370" w:name="_Toc184310340"/>
      <w:bookmarkEnd w:id="370"/>
      <w:bookmarkStart w:id="371" w:name="_Toc184312087"/>
      <w:bookmarkEnd w:id="371"/>
      <w:bookmarkStart w:id="372" w:name="_Toc184310273"/>
      <w:bookmarkEnd w:id="372"/>
      <w:bookmarkStart w:id="373" w:name="_Toc184313267"/>
      <w:bookmarkEnd w:id="373"/>
      <w:bookmarkStart w:id="374" w:name="_Toc184308052"/>
      <w:bookmarkEnd w:id="374"/>
      <w:bookmarkStart w:id="375" w:name="_Toc184312096"/>
      <w:bookmarkEnd w:id="375"/>
      <w:bookmarkStart w:id="376" w:name="_Toc184310330"/>
      <w:bookmarkEnd w:id="376"/>
      <w:bookmarkStart w:id="377" w:name="_Toc184312071"/>
      <w:bookmarkEnd w:id="377"/>
      <w:bookmarkStart w:id="378" w:name="_Toc184310278"/>
      <w:bookmarkEnd w:id="378"/>
      <w:bookmarkStart w:id="379" w:name="_Toc184310334"/>
      <w:bookmarkEnd w:id="379"/>
      <w:bookmarkStart w:id="380" w:name="_Toc184314446"/>
      <w:bookmarkEnd w:id="380"/>
      <w:bookmarkStart w:id="381" w:name="_Toc184314480"/>
      <w:bookmarkEnd w:id="381"/>
      <w:bookmarkStart w:id="382" w:name="_Toc184313263"/>
      <w:bookmarkEnd w:id="382"/>
      <w:bookmarkStart w:id="383" w:name="_Toc184308084"/>
      <w:bookmarkEnd w:id="383"/>
      <w:bookmarkStart w:id="384" w:name="_Toc184310279"/>
      <w:bookmarkEnd w:id="384"/>
      <w:bookmarkStart w:id="385" w:name="_Toc184308083"/>
      <w:bookmarkEnd w:id="385"/>
      <w:bookmarkStart w:id="386" w:name="_Toc184308078"/>
      <w:bookmarkEnd w:id="386"/>
      <w:bookmarkStart w:id="387" w:name="_Toc184312139"/>
      <w:bookmarkEnd w:id="387"/>
      <w:bookmarkStart w:id="388" w:name="_Toc184308104"/>
      <w:bookmarkEnd w:id="388"/>
      <w:bookmarkStart w:id="389" w:name="_Toc184308051"/>
      <w:bookmarkEnd w:id="389"/>
      <w:bookmarkStart w:id="390" w:name="_Toc184308087"/>
      <w:bookmarkEnd w:id="390"/>
      <w:bookmarkStart w:id="391" w:name="_Toc184310284"/>
      <w:bookmarkEnd w:id="391"/>
      <w:bookmarkStart w:id="392" w:name="_Toc184310283"/>
      <w:bookmarkEnd w:id="392"/>
      <w:bookmarkStart w:id="393" w:name="_Toc184312092"/>
      <w:bookmarkEnd w:id="393"/>
      <w:bookmarkStart w:id="394" w:name="_Toc184310327"/>
      <w:bookmarkEnd w:id="394"/>
      <w:bookmarkStart w:id="395" w:name="_Toc184312109"/>
      <w:bookmarkEnd w:id="395"/>
      <w:bookmarkStart w:id="396" w:name="_Toc184308037"/>
      <w:bookmarkEnd w:id="396"/>
      <w:bookmarkStart w:id="397" w:name="_Toc184314472"/>
      <w:bookmarkEnd w:id="397"/>
      <w:bookmarkStart w:id="398" w:name="_Toc184308079"/>
      <w:bookmarkEnd w:id="398"/>
      <w:bookmarkStart w:id="399" w:name="_Toc184313292"/>
      <w:bookmarkEnd w:id="399"/>
      <w:bookmarkStart w:id="400" w:name="_Toc184308106"/>
      <w:bookmarkEnd w:id="400"/>
      <w:bookmarkStart w:id="401" w:name="_Toc184314464"/>
      <w:bookmarkEnd w:id="401"/>
      <w:bookmarkStart w:id="402" w:name="_Toc184310275"/>
      <w:bookmarkEnd w:id="402"/>
      <w:bookmarkStart w:id="403" w:name="_Toc184310281"/>
      <w:bookmarkEnd w:id="403"/>
      <w:bookmarkStart w:id="404" w:name="_Toc184308076"/>
      <w:bookmarkEnd w:id="404"/>
      <w:bookmarkStart w:id="405" w:name="_Toc184313302"/>
      <w:bookmarkEnd w:id="405"/>
      <w:bookmarkStart w:id="406" w:name="_Toc184308073"/>
      <w:bookmarkEnd w:id="406"/>
      <w:bookmarkStart w:id="407" w:name="_Toc184314449"/>
      <w:bookmarkEnd w:id="407"/>
      <w:bookmarkStart w:id="408" w:name="_Toc184308055"/>
      <w:bookmarkEnd w:id="408"/>
      <w:bookmarkStart w:id="409" w:name="_Toc184314443"/>
      <w:bookmarkEnd w:id="409"/>
      <w:bookmarkStart w:id="410" w:name="_Toc184308093"/>
      <w:bookmarkEnd w:id="410"/>
      <w:bookmarkStart w:id="411" w:name="_Toc184314426"/>
      <w:bookmarkEnd w:id="411"/>
      <w:bookmarkStart w:id="412" w:name="_Toc184310339"/>
      <w:bookmarkEnd w:id="412"/>
      <w:bookmarkStart w:id="413" w:name="_Toc184313272"/>
      <w:bookmarkEnd w:id="413"/>
      <w:bookmarkStart w:id="414" w:name="_Toc184310288"/>
      <w:bookmarkEnd w:id="414"/>
      <w:bookmarkStart w:id="415" w:name="_Toc184308088"/>
      <w:bookmarkEnd w:id="415"/>
      <w:bookmarkStart w:id="416" w:name="_Toc184312135"/>
      <w:bookmarkEnd w:id="416"/>
      <w:r>
        <w:rPr>
          <w:rFonts w:hint="eastAsia" w:ascii="宋体" w:hAnsi="宋体" w:cs="宋体"/>
          <w:b/>
          <w:sz w:val="36"/>
          <w:szCs w:val="36"/>
          <w:highlight w:val="none"/>
        </w:rPr>
        <w:t>评标办法</w:t>
      </w:r>
      <w:bookmarkEnd w:id="51"/>
    </w:p>
    <w:p w14:paraId="6B4ACB11">
      <w:pPr>
        <w:snapToGrid w:val="0"/>
        <w:spacing w:line="360" w:lineRule="auto"/>
        <w:jc w:val="center"/>
        <w:rPr>
          <w:rFonts w:ascii="宋体" w:hAnsi="宋体" w:cs="宋体"/>
          <w:b/>
          <w:sz w:val="32"/>
          <w:szCs w:val="20"/>
          <w:highlight w:val="none"/>
        </w:rPr>
      </w:pPr>
      <w:r>
        <w:rPr>
          <w:rFonts w:hint="eastAsia" w:ascii="宋体" w:hAnsi="宋体" w:cs="宋体"/>
          <w:b/>
          <w:sz w:val="32"/>
          <w:szCs w:val="20"/>
          <w:highlight w:val="none"/>
        </w:rPr>
        <w:t>评标办法前附表</w:t>
      </w:r>
    </w:p>
    <w:tbl>
      <w:tblPr>
        <w:tblStyle w:val="62"/>
        <w:tblW w:w="9099" w:type="dxa"/>
        <w:jc w:val="center"/>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220"/>
        <w:gridCol w:w="5541"/>
        <w:gridCol w:w="723"/>
        <w:gridCol w:w="799"/>
      </w:tblGrid>
      <w:tr w14:paraId="3F71A29A">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77" w:type="dxa"/>
            <w:gridSpan w:val="3"/>
            <w:tcBorders>
              <w:top w:val="single" w:color="auto" w:sz="2" w:space="0"/>
              <w:left w:val="single" w:color="auto" w:sz="2" w:space="0"/>
              <w:bottom w:val="single" w:color="auto" w:sz="4" w:space="0"/>
              <w:right w:val="single" w:color="auto" w:sz="4" w:space="0"/>
            </w:tcBorders>
            <w:noWrap w:val="0"/>
            <w:vAlign w:val="center"/>
          </w:tcPr>
          <w:p w14:paraId="27F71E13">
            <w:pPr>
              <w:keepNext w:val="0"/>
              <w:keepLines w:val="0"/>
              <w:pageBreakBefore w:val="0"/>
              <w:widowControl/>
              <w:suppressLineNumbers w:val="0"/>
              <w:kinsoku/>
              <w:wordWrap/>
              <w:overflowPunct/>
              <w:topLinePunct w:val="0"/>
              <w:autoSpaceDE w:val="0"/>
              <w:autoSpaceDN w:val="0"/>
              <w:bidi w:val="0"/>
              <w:spacing w:before="0" w:beforeAutospacing="0" w:after="0" w:afterAutospacing="0" w:line="240" w:lineRule="auto"/>
              <w:ind w:left="0" w:right="0"/>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lang w:val="en-US" w:eastAsia="zh-CN" w:bidi="ar"/>
              </w:rPr>
              <w:t>评分标准</w:t>
            </w:r>
          </w:p>
        </w:tc>
        <w:tc>
          <w:tcPr>
            <w:tcW w:w="723" w:type="dxa"/>
            <w:tcBorders>
              <w:top w:val="single" w:color="auto" w:sz="2" w:space="0"/>
              <w:left w:val="single" w:color="auto" w:sz="4" w:space="0"/>
              <w:bottom w:val="single" w:color="auto" w:sz="4" w:space="0"/>
              <w:right w:val="single" w:color="auto" w:sz="4" w:space="0"/>
            </w:tcBorders>
            <w:noWrap w:val="0"/>
            <w:vAlign w:val="center"/>
          </w:tcPr>
          <w:p w14:paraId="378E03AE">
            <w:pPr>
              <w:keepNext w:val="0"/>
              <w:keepLines w:val="0"/>
              <w:pageBreakBefore w:val="0"/>
              <w:widowControl/>
              <w:suppressLineNumbers w:val="0"/>
              <w:kinsoku/>
              <w:wordWrap/>
              <w:overflowPunct/>
              <w:topLinePunct w:val="0"/>
              <w:autoSpaceDE w:val="0"/>
              <w:autoSpaceDN w:val="0"/>
              <w:bidi w:val="0"/>
              <w:spacing w:before="0" w:beforeAutospacing="0" w:after="0" w:afterAutospacing="0" w:line="240" w:lineRule="auto"/>
              <w:ind w:left="0" w:right="0"/>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lang w:val="en-US" w:eastAsia="zh-CN" w:bidi="ar"/>
              </w:rPr>
              <w:t>分值</w:t>
            </w:r>
          </w:p>
        </w:tc>
        <w:tc>
          <w:tcPr>
            <w:tcW w:w="799" w:type="dxa"/>
            <w:tcBorders>
              <w:top w:val="single" w:color="auto" w:sz="2" w:space="0"/>
              <w:left w:val="single" w:color="auto" w:sz="4" w:space="0"/>
              <w:bottom w:val="single" w:color="auto" w:sz="4" w:space="0"/>
              <w:right w:val="single" w:color="auto" w:sz="2" w:space="0"/>
            </w:tcBorders>
            <w:noWrap w:val="0"/>
            <w:vAlign w:val="center"/>
          </w:tcPr>
          <w:p w14:paraId="710F5A3E">
            <w:pPr>
              <w:keepNext w:val="0"/>
              <w:keepLines w:val="0"/>
              <w:pageBreakBefore w:val="0"/>
              <w:widowControl/>
              <w:suppressLineNumbers w:val="0"/>
              <w:kinsoku/>
              <w:wordWrap/>
              <w:overflowPunct/>
              <w:topLinePunct w:val="0"/>
              <w:autoSpaceDE w:val="0"/>
              <w:autoSpaceDN w:val="0"/>
              <w:bidi w:val="0"/>
              <w:spacing w:before="0" w:beforeAutospacing="0" w:after="0" w:afterAutospacing="0" w:line="240" w:lineRule="auto"/>
              <w:ind w:left="0" w:right="0"/>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lang w:val="en-US" w:eastAsia="zh-CN" w:bidi="ar"/>
              </w:rPr>
              <w:t>备注</w:t>
            </w:r>
          </w:p>
        </w:tc>
      </w:tr>
      <w:tr w14:paraId="1C23001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tcBorders>
              <w:top w:val="single" w:color="auto" w:sz="4" w:space="0"/>
              <w:left w:val="single" w:color="auto" w:sz="2" w:space="0"/>
              <w:bottom w:val="single" w:color="auto" w:sz="4" w:space="0"/>
              <w:right w:val="single" w:color="auto" w:sz="4" w:space="0"/>
            </w:tcBorders>
            <w:noWrap w:val="0"/>
            <w:vAlign w:val="center"/>
          </w:tcPr>
          <w:p w14:paraId="697471F8">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价格</w:t>
            </w:r>
          </w:p>
          <w:p w14:paraId="70C4AC3E">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分</w:t>
            </w:r>
          </w:p>
          <w:p w14:paraId="1B28D99E">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40分</w:t>
            </w:r>
          </w:p>
        </w:tc>
        <w:tc>
          <w:tcPr>
            <w:tcW w:w="6761" w:type="dxa"/>
            <w:gridSpan w:val="2"/>
            <w:tcBorders>
              <w:top w:val="single" w:color="auto" w:sz="4" w:space="0"/>
              <w:left w:val="single" w:color="auto" w:sz="4" w:space="0"/>
              <w:bottom w:val="single" w:color="auto" w:sz="4" w:space="0"/>
              <w:right w:val="single" w:color="auto" w:sz="4" w:space="0"/>
            </w:tcBorders>
            <w:noWrap w:val="0"/>
            <w:vAlign w:val="center"/>
          </w:tcPr>
          <w:p w14:paraId="1A56FFE8">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评标基准价指的是满足招标文件要求且最低的参与评审的价格。</w:t>
            </w:r>
          </w:p>
          <w:p w14:paraId="3EAC852A">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参与评审的价格=投标报价-小微企业价格扣除优惠值（如有）。</w:t>
            </w:r>
          </w:p>
          <w:p w14:paraId="6AA66F0C">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参与评审的价格为评标基准价的其价格得分得满分40分。</w:t>
            </w:r>
          </w:p>
          <w:p w14:paraId="6960C0C6">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其他供应商价格得分按照下列公式计算：</w:t>
            </w:r>
          </w:p>
          <w:p w14:paraId="720D2354">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价格得分=（评标基准价/参与评审的价格）×40%×100。</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17B82AA2">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bCs/>
                <w:color w:val="auto"/>
                <w:kern w:val="0"/>
                <w:sz w:val="21"/>
                <w:szCs w:val="21"/>
                <w:highlight w:val="none"/>
                <w:lang w:val="en-US"/>
              </w:rPr>
            </w:pPr>
            <w:r>
              <w:rPr>
                <w:rFonts w:hint="eastAsia" w:ascii="宋体" w:hAnsi="宋体" w:eastAsia="宋体" w:cs="宋体"/>
                <w:bCs/>
                <w:color w:val="auto"/>
                <w:kern w:val="0"/>
                <w:sz w:val="21"/>
                <w:szCs w:val="21"/>
                <w:highlight w:val="none"/>
                <w:lang w:val="en-US" w:eastAsia="zh-CN" w:bidi="ar"/>
              </w:rPr>
              <w:t>40</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03FF87EB">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lang w:val="en-US" w:eastAsia="zh-CN" w:bidi="ar"/>
              </w:rPr>
              <w:t>客观评审</w:t>
            </w:r>
          </w:p>
        </w:tc>
      </w:tr>
      <w:tr w14:paraId="042CF76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restart"/>
            <w:tcBorders>
              <w:top w:val="single" w:color="auto" w:sz="4" w:space="0"/>
              <w:left w:val="single" w:color="auto" w:sz="2" w:space="0"/>
              <w:bottom w:val="single" w:color="auto" w:sz="4" w:space="0"/>
              <w:right w:val="single" w:color="auto" w:sz="4" w:space="0"/>
            </w:tcBorders>
            <w:noWrap w:val="0"/>
            <w:vAlign w:val="center"/>
          </w:tcPr>
          <w:p w14:paraId="2529228E">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bidi="ar"/>
              </w:rPr>
              <w:t>商务</w:t>
            </w:r>
          </w:p>
          <w:p w14:paraId="1B3881BF">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bidi="ar"/>
              </w:rPr>
              <w:t>技术</w:t>
            </w:r>
          </w:p>
          <w:p w14:paraId="6365D5B9">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bidi="ar"/>
              </w:rPr>
              <w:t>分</w:t>
            </w:r>
          </w:p>
          <w:p w14:paraId="31C3E69F">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bidi="ar"/>
              </w:rPr>
              <w:t>60分</w:t>
            </w:r>
          </w:p>
        </w:tc>
        <w:tc>
          <w:tcPr>
            <w:tcW w:w="1220" w:type="dxa"/>
            <w:tcBorders>
              <w:top w:val="single" w:color="auto" w:sz="4" w:space="0"/>
              <w:left w:val="single" w:color="auto" w:sz="4" w:space="0"/>
              <w:bottom w:val="single" w:color="auto" w:sz="4" w:space="0"/>
              <w:right w:val="single" w:color="auto" w:sz="4" w:space="0"/>
            </w:tcBorders>
            <w:noWrap w:val="0"/>
            <w:vAlign w:val="center"/>
          </w:tcPr>
          <w:p w14:paraId="72CDD3A8">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left"/>
              <w:textAlignment w:val="baseline"/>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val="0"/>
                <w:bCs w:val="0"/>
                <w:color w:val="auto"/>
                <w:kern w:val="0"/>
                <w:sz w:val="21"/>
                <w:szCs w:val="21"/>
                <w:highlight w:val="none"/>
                <w:lang w:val="en-US" w:eastAsia="zh-CN" w:bidi="ar"/>
              </w:rPr>
              <w:t>1、技术响应（15分）</w:t>
            </w:r>
          </w:p>
        </w:tc>
        <w:tc>
          <w:tcPr>
            <w:tcW w:w="5541" w:type="dxa"/>
            <w:tcBorders>
              <w:top w:val="single" w:color="auto" w:sz="4" w:space="0"/>
              <w:left w:val="single" w:color="auto" w:sz="4" w:space="0"/>
              <w:bottom w:val="single" w:color="auto" w:sz="4" w:space="0"/>
              <w:right w:val="single" w:color="auto" w:sz="4" w:space="0"/>
            </w:tcBorders>
            <w:noWrap w:val="0"/>
            <w:vAlign w:val="top"/>
          </w:tcPr>
          <w:p w14:paraId="56B6FD8D">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 xml:space="preserve">完全响应招标文件“第三部分   采购需求  </w:t>
            </w:r>
            <w:r>
              <w:rPr>
                <w:rFonts w:hint="eastAsia" w:ascii="宋体" w:hAnsi="宋体" w:eastAsia="宋体" w:cs="宋体"/>
                <w:bCs/>
                <w:color w:val="auto"/>
                <w:kern w:val="0"/>
                <w:sz w:val="21"/>
                <w:szCs w:val="21"/>
                <w:highlight w:val="none"/>
                <w:lang w:val="en-US" w:eastAsia="zh-CN"/>
              </w:rPr>
              <w:t xml:space="preserve"> </w:t>
            </w:r>
            <w:r>
              <w:rPr>
                <w:rFonts w:hint="eastAsia" w:ascii="宋体" w:hAnsi="宋体" w:cs="宋体"/>
                <w:bCs/>
                <w:color w:val="auto"/>
                <w:kern w:val="0"/>
                <w:sz w:val="21"/>
                <w:szCs w:val="21"/>
                <w:highlight w:val="none"/>
                <w:lang w:val="en-US" w:eastAsia="zh-CN"/>
              </w:rPr>
              <w:t>六</w:t>
            </w:r>
            <w:r>
              <w:rPr>
                <w:rFonts w:hint="eastAsia" w:ascii="宋体" w:hAnsi="宋体" w:eastAsia="宋体" w:cs="宋体"/>
                <w:bCs/>
                <w:color w:val="auto"/>
                <w:kern w:val="0"/>
                <w:sz w:val="21"/>
                <w:szCs w:val="21"/>
                <w:highlight w:val="none"/>
                <w:lang w:val="en-US" w:eastAsia="zh-CN"/>
              </w:rPr>
              <w:t>、设备清单  1、新增设备清单</w:t>
            </w:r>
            <w:r>
              <w:rPr>
                <w:rFonts w:hint="eastAsia" w:ascii="宋体" w:hAnsi="宋体" w:eastAsia="宋体" w:cs="宋体"/>
                <w:bCs/>
                <w:color w:val="auto"/>
                <w:kern w:val="0"/>
                <w:sz w:val="21"/>
                <w:szCs w:val="21"/>
                <w:highlight w:val="none"/>
              </w:rPr>
              <w:t>”中所有</w:t>
            </w:r>
            <w:r>
              <w:rPr>
                <w:rFonts w:hint="eastAsia" w:ascii="宋体" w:hAnsi="宋体" w:eastAsia="宋体" w:cs="宋体"/>
                <w:bCs/>
                <w:color w:val="auto"/>
                <w:kern w:val="0"/>
                <w:sz w:val="21"/>
                <w:szCs w:val="21"/>
                <w:highlight w:val="none"/>
                <w:lang w:val="en-US" w:eastAsia="zh-CN"/>
              </w:rPr>
              <w:t>参数要求</w:t>
            </w:r>
            <w:r>
              <w:rPr>
                <w:rFonts w:hint="eastAsia" w:ascii="宋体" w:hAnsi="宋体" w:eastAsia="宋体" w:cs="宋体"/>
                <w:bCs/>
                <w:color w:val="auto"/>
                <w:kern w:val="0"/>
                <w:sz w:val="21"/>
                <w:szCs w:val="21"/>
                <w:highlight w:val="none"/>
              </w:rPr>
              <w:t>的得</w:t>
            </w:r>
            <w:r>
              <w:rPr>
                <w:rFonts w:hint="eastAsia" w:ascii="宋体" w:hAnsi="宋体" w:eastAsia="宋体" w:cs="宋体"/>
                <w:bCs/>
                <w:color w:val="auto"/>
                <w:kern w:val="0"/>
                <w:sz w:val="21"/>
                <w:szCs w:val="21"/>
                <w:highlight w:val="none"/>
                <w:lang w:val="en-US" w:eastAsia="zh-CN"/>
              </w:rPr>
              <w:t>15</w:t>
            </w:r>
            <w:r>
              <w:rPr>
                <w:rFonts w:hint="eastAsia" w:ascii="宋体" w:hAnsi="宋体" w:eastAsia="宋体" w:cs="宋体"/>
                <w:bCs/>
                <w:color w:val="auto"/>
                <w:kern w:val="0"/>
                <w:sz w:val="21"/>
                <w:szCs w:val="21"/>
                <w:highlight w:val="none"/>
              </w:rPr>
              <w:t>分</w:t>
            </w:r>
            <w:r>
              <w:rPr>
                <w:rFonts w:hint="eastAsia" w:ascii="宋体" w:hAnsi="宋体" w:eastAsia="宋体" w:cs="宋体"/>
                <w:bCs/>
                <w:color w:val="auto"/>
                <w:kern w:val="0"/>
                <w:sz w:val="21"/>
                <w:szCs w:val="21"/>
                <w:highlight w:val="none"/>
                <w:lang w:eastAsia="zh-CN"/>
              </w:rPr>
              <w:t>，</w:t>
            </w:r>
            <w:r>
              <w:rPr>
                <w:rFonts w:hint="eastAsia" w:ascii="宋体" w:hAnsi="宋体" w:eastAsia="宋体" w:cs="宋体"/>
                <w:bCs/>
                <w:color w:val="auto"/>
                <w:kern w:val="0"/>
                <w:sz w:val="21"/>
                <w:szCs w:val="21"/>
                <w:highlight w:val="none"/>
              </w:rPr>
              <w:t>每负偏离一条扣</w:t>
            </w:r>
            <w:r>
              <w:rPr>
                <w:rFonts w:hint="eastAsia" w:ascii="宋体" w:hAnsi="宋体" w:eastAsia="宋体" w:cs="宋体"/>
                <w:bCs/>
                <w:color w:val="auto"/>
                <w:kern w:val="0"/>
                <w:sz w:val="21"/>
                <w:szCs w:val="21"/>
                <w:highlight w:val="none"/>
                <w:lang w:val="en-US" w:eastAsia="zh-CN"/>
              </w:rPr>
              <w:t>1</w:t>
            </w:r>
            <w:r>
              <w:rPr>
                <w:rFonts w:hint="eastAsia" w:ascii="宋体" w:hAnsi="宋体" w:eastAsia="宋体" w:cs="宋体"/>
                <w:bCs/>
                <w:color w:val="auto"/>
                <w:kern w:val="0"/>
                <w:sz w:val="21"/>
                <w:szCs w:val="21"/>
                <w:highlight w:val="none"/>
              </w:rPr>
              <w:t>分。</w:t>
            </w:r>
          </w:p>
          <w:p w14:paraId="1B53CF62">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rPr>
              <w:t>注：当有供应商此项分值扣减至0分时，该供应商投标将被拒绝，其</w:t>
            </w:r>
            <w:r>
              <w:rPr>
                <w:rFonts w:hint="eastAsia" w:ascii="宋体" w:hAnsi="宋体" w:eastAsia="宋体" w:cs="宋体"/>
                <w:bCs/>
                <w:color w:val="auto"/>
                <w:kern w:val="0"/>
                <w:sz w:val="21"/>
                <w:szCs w:val="21"/>
                <w:highlight w:val="none"/>
                <w:lang w:val="en-US" w:eastAsia="zh-CN"/>
              </w:rPr>
              <w:t>投标</w:t>
            </w:r>
            <w:r>
              <w:rPr>
                <w:rFonts w:hint="eastAsia" w:ascii="宋体" w:hAnsi="宋体" w:eastAsia="宋体" w:cs="宋体"/>
                <w:bCs/>
                <w:color w:val="auto"/>
                <w:kern w:val="0"/>
                <w:sz w:val="21"/>
                <w:szCs w:val="21"/>
                <w:highlight w:val="none"/>
              </w:rPr>
              <w:t>文件作无效标处理，不再进行评审。</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252B4501">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
              </w:rPr>
              <w:t>15</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73781591">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
              </w:rPr>
              <w:t>客观评审</w:t>
            </w:r>
          </w:p>
        </w:tc>
      </w:tr>
      <w:tr w14:paraId="0039C9F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285A5EBB">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tcBorders>
              <w:top w:val="single" w:color="auto" w:sz="4" w:space="0"/>
              <w:left w:val="single" w:color="auto" w:sz="4" w:space="0"/>
              <w:bottom w:val="single" w:color="auto" w:sz="4" w:space="0"/>
              <w:right w:val="single" w:color="auto" w:sz="4" w:space="0"/>
            </w:tcBorders>
            <w:noWrap w:val="0"/>
            <w:vAlign w:val="center"/>
          </w:tcPr>
          <w:p w14:paraId="4454D1F1">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left"/>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2、深化设计方案（5分）</w:t>
            </w:r>
          </w:p>
        </w:tc>
        <w:tc>
          <w:tcPr>
            <w:tcW w:w="5541" w:type="dxa"/>
            <w:tcBorders>
              <w:top w:val="single" w:color="auto" w:sz="4" w:space="0"/>
              <w:left w:val="single" w:color="auto" w:sz="4" w:space="0"/>
              <w:bottom w:val="single" w:color="auto" w:sz="4" w:space="0"/>
              <w:right w:val="single" w:color="auto" w:sz="4" w:space="0"/>
            </w:tcBorders>
            <w:noWrap w:val="0"/>
            <w:vAlign w:val="top"/>
          </w:tcPr>
          <w:p w14:paraId="3497A22D">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根据投标单位针对本项目制定的深化设计方案及图纸，包括工艺设计、平面布局、</w:t>
            </w:r>
            <w:r>
              <w:rPr>
                <w:rFonts w:hint="eastAsia" w:ascii="宋体" w:hAnsi="宋体" w:cs="宋体"/>
                <w:bCs/>
                <w:color w:val="auto"/>
                <w:kern w:val="0"/>
                <w:sz w:val="21"/>
                <w:szCs w:val="21"/>
                <w:highlight w:val="none"/>
                <w:lang w:val="en-US" w:eastAsia="zh-CN"/>
              </w:rPr>
              <w:t>电气自控</w:t>
            </w:r>
            <w:r>
              <w:rPr>
                <w:rFonts w:hint="eastAsia" w:ascii="宋体" w:hAnsi="宋体" w:eastAsia="宋体" w:cs="宋体"/>
                <w:bCs/>
                <w:color w:val="auto"/>
                <w:kern w:val="0"/>
                <w:sz w:val="21"/>
                <w:szCs w:val="21"/>
                <w:highlight w:val="none"/>
                <w:lang w:val="en-US" w:eastAsia="zh-CN"/>
              </w:rPr>
              <w:t>等内容进行评议。</w:t>
            </w:r>
          </w:p>
          <w:p w14:paraId="2A861025">
            <w:pPr>
              <w:keepNext w:val="0"/>
              <w:keepLines w:val="0"/>
              <w:pageBreakBefore w:val="0"/>
              <w:numPr>
                <w:ilvl w:val="0"/>
                <w:numId w:val="3"/>
              </w:numPr>
              <w:suppressLineNumbers w:val="0"/>
              <w:kinsoku/>
              <w:wordWrap/>
              <w:overflowPunct/>
              <w:topLinePunct w:val="0"/>
              <w:bidi w:val="0"/>
              <w:adjustRightInd/>
              <w:snapToGrid/>
              <w:spacing w:before="0" w:beforeAutospacing="0" w:after="0" w:afterAutospacing="0" w:line="240" w:lineRule="auto"/>
              <w:ind w:left="420" w:leftChars="0" w:right="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工艺契合项目，流程科学，处理效果稳，适应力强。布局高效，空间利用充分，操作便利。自动化水平高，自控调节到位。得5分。</w:t>
            </w:r>
          </w:p>
          <w:p w14:paraId="262C41E4">
            <w:pPr>
              <w:keepNext w:val="0"/>
              <w:keepLines w:val="0"/>
              <w:pageBreakBefore w:val="0"/>
              <w:numPr>
                <w:ilvl w:val="0"/>
                <w:numId w:val="3"/>
              </w:numPr>
              <w:suppressLineNumbers w:val="0"/>
              <w:kinsoku/>
              <w:wordWrap/>
              <w:overflowPunct/>
              <w:topLinePunct w:val="0"/>
              <w:bidi w:val="0"/>
              <w:adjustRightInd/>
              <w:snapToGrid/>
              <w:spacing w:before="0" w:beforeAutospacing="0" w:after="0" w:afterAutospacing="0" w:line="240" w:lineRule="auto"/>
              <w:ind w:left="420" w:leftChars="0" w:right="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工艺常规，逻辑有瑕疵，稳定性一般，仅满足基本要求</w:t>
            </w:r>
            <w:r>
              <w:rPr>
                <w:rFonts w:hint="eastAsia" w:ascii="宋体" w:hAnsi="宋体" w:cs="宋体"/>
                <w:bCs/>
                <w:color w:val="auto"/>
                <w:kern w:val="0"/>
                <w:sz w:val="21"/>
                <w:szCs w:val="21"/>
                <w:highlight w:val="none"/>
                <w:lang w:val="en-US" w:eastAsia="zh-CN"/>
              </w:rPr>
              <w:t>，</w:t>
            </w:r>
            <w:r>
              <w:rPr>
                <w:rFonts w:hint="eastAsia" w:ascii="宋体" w:hAnsi="宋体" w:eastAsia="宋体" w:cs="宋体"/>
                <w:bCs/>
                <w:color w:val="auto"/>
                <w:kern w:val="0"/>
                <w:sz w:val="21"/>
                <w:szCs w:val="21"/>
                <w:highlight w:val="none"/>
                <w:lang w:val="en-US" w:eastAsia="zh-CN"/>
              </w:rPr>
              <w:t>布局满足基础，空间利用尚可，环境细节待完善。自动化有部分功能，自控简单。得3分。</w:t>
            </w:r>
          </w:p>
          <w:p w14:paraId="2AEBD78A">
            <w:pPr>
              <w:keepNext w:val="0"/>
              <w:keepLines w:val="0"/>
              <w:pageBreakBefore w:val="0"/>
              <w:numPr>
                <w:ilvl w:val="0"/>
                <w:numId w:val="3"/>
              </w:numPr>
              <w:suppressLineNumbers w:val="0"/>
              <w:kinsoku/>
              <w:wordWrap/>
              <w:overflowPunct/>
              <w:topLinePunct w:val="0"/>
              <w:bidi w:val="0"/>
              <w:adjustRightInd/>
              <w:snapToGrid/>
              <w:spacing w:before="0" w:beforeAutospacing="0" w:after="0" w:afterAutospacing="0" w:line="240" w:lineRule="auto"/>
              <w:ind w:left="420" w:leftChars="0" w:right="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工艺混乱，不合需求，流程乱、缺关键环节，参数随意，处理失控。布局杂乱，操作维护不便，环境恶劣。自动化近乎无，无记录分析，全靠人工，劳动强度大、效率低</w:t>
            </w:r>
            <w:r>
              <w:rPr>
                <w:rFonts w:hint="eastAsia" w:ascii="宋体" w:hAnsi="宋体" w:cs="宋体"/>
                <w:bCs/>
                <w:color w:val="auto"/>
                <w:kern w:val="0"/>
                <w:sz w:val="21"/>
                <w:szCs w:val="21"/>
                <w:highlight w:val="none"/>
                <w:lang w:val="en-US" w:eastAsia="zh-CN"/>
              </w:rPr>
              <w:t>，</w:t>
            </w:r>
            <w:r>
              <w:rPr>
                <w:rFonts w:hint="eastAsia" w:ascii="宋体" w:hAnsi="宋体" w:eastAsia="宋体" w:cs="宋体"/>
                <w:bCs/>
                <w:color w:val="auto"/>
                <w:kern w:val="0"/>
                <w:sz w:val="21"/>
                <w:szCs w:val="21"/>
                <w:highlight w:val="none"/>
                <w:lang w:val="en-US" w:eastAsia="zh-CN"/>
              </w:rPr>
              <w:t>得1分。</w:t>
            </w:r>
          </w:p>
          <w:p w14:paraId="3DA0EDD1">
            <w:pPr>
              <w:keepNext w:val="0"/>
              <w:keepLines w:val="0"/>
              <w:pageBreakBefore w:val="0"/>
              <w:numPr>
                <w:ilvl w:val="0"/>
                <w:numId w:val="3"/>
              </w:numPr>
              <w:suppressLineNumbers w:val="0"/>
              <w:kinsoku/>
              <w:wordWrap/>
              <w:overflowPunct/>
              <w:topLinePunct w:val="0"/>
              <w:bidi w:val="0"/>
              <w:adjustRightInd/>
              <w:snapToGrid/>
              <w:spacing w:before="0" w:beforeAutospacing="0" w:after="0" w:afterAutospacing="0" w:line="240" w:lineRule="auto"/>
              <w:ind w:left="420" w:leftChars="0" w:right="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无相关内容不得分。</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13C5D1D5">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5</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151C0770">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主观评审</w:t>
            </w:r>
          </w:p>
        </w:tc>
      </w:tr>
      <w:tr w14:paraId="6608D80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451F5261">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1B804D">
            <w:pPr>
              <w:keepNext w:val="0"/>
              <w:keepLines w:val="0"/>
              <w:pageBreakBefore w:val="0"/>
              <w:numPr>
                <w:ilvl w:val="0"/>
                <w:numId w:val="0"/>
              </w:numPr>
              <w:suppressLineNumbers w:val="0"/>
              <w:kinsoku/>
              <w:wordWrap/>
              <w:overflowPunct/>
              <w:topLinePunct w:val="0"/>
              <w:bidi w:val="0"/>
              <w:spacing w:before="0" w:beforeAutospacing="0" w:after="0" w:afterAutospacing="0" w:line="240" w:lineRule="auto"/>
              <w:ind w:left="0" w:leftChars="0" w:right="0" w:rightChars="0" w:firstLine="0" w:firstLineChars="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3、供货方案（5分）</w:t>
            </w:r>
          </w:p>
        </w:tc>
        <w:tc>
          <w:tcPr>
            <w:tcW w:w="554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6D2C05">
            <w:pPr>
              <w:keepNext w:val="0"/>
              <w:keepLines w:val="0"/>
              <w:pageBreakBefore w:val="0"/>
              <w:widowControl w:val="0"/>
              <w:numPr>
                <w:ilvl w:val="0"/>
                <w:numId w:val="0"/>
              </w:numPr>
              <w:suppressLineNumbers w:val="0"/>
              <w:kinsoku/>
              <w:wordWrap/>
              <w:overflowPunct/>
              <w:topLinePunct w:val="0"/>
              <w:bidi w:val="0"/>
              <w:adjustRightInd/>
              <w:snapToGrid/>
              <w:spacing w:before="0" w:beforeAutospacing="0" w:after="0" w:afterAutospacing="0" w:line="240" w:lineRule="auto"/>
              <w:ind w:left="0" w:right="0" w:right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根据投标单位针对本项目制定的供货方案（交货方式、供货保障</w:t>
            </w:r>
            <w:r>
              <w:rPr>
                <w:rFonts w:hint="eastAsia" w:ascii="宋体" w:hAnsi="宋体" w:cs="宋体"/>
                <w:bCs/>
                <w:color w:val="auto"/>
                <w:kern w:val="0"/>
                <w:sz w:val="21"/>
                <w:szCs w:val="21"/>
                <w:highlight w:val="none"/>
                <w:lang w:val="en-US" w:eastAsia="zh-CN"/>
              </w:rPr>
              <w:t>方案</w:t>
            </w:r>
            <w:r>
              <w:rPr>
                <w:rFonts w:hint="eastAsia" w:ascii="宋体" w:hAnsi="宋体" w:eastAsia="宋体" w:cs="宋体"/>
                <w:bCs/>
                <w:color w:val="auto"/>
                <w:kern w:val="0"/>
                <w:sz w:val="21"/>
                <w:szCs w:val="21"/>
                <w:highlight w:val="none"/>
                <w:lang w:val="en-US" w:eastAsia="zh-CN"/>
              </w:rPr>
              <w:t>）进行评议：</w:t>
            </w:r>
          </w:p>
          <w:p w14:paraId="26F3D3D4">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交货方式便捷高效、供货保障</w:t>
            </w:r>
            <w:r>
              <w:rPr>
                <w:rFonts w:hint="eastAsia" w:ascii="宋体" w:hAnsi="宋体" w:cs="宋体"/>
                <w:bCs/>
                <w:color w:val="auto"/>
                <w:kern w:val="0"/>
                <w:sz w:val="21"/>
                <w:szCs w:val="21"/>
                <w:highlight w:val="none"/>
                <w:lang w:val="en-US" w:eastAsia="zh-CN"/>
              </w:rPr>
              <w:t>方案</w:t>
            </w:r>
            <w:r>
              <w:rPr>
                <w:rFonts w:hint="eastAsia" w:ascii="宋体" w:hAnsi="宋体" w:eastAsia="宋体" w:cs="宋体"/>
                <w:bCs/>
                <w:color w:val="auto"/>
                <w:kern w:val="0"/>
                <w:sz w:val="21"/>
                <w:szCs w:val="21"/>
                <w:highlight w:val="none"/>
                <w:lang w:val="en-US" w:eastAsia="zh-CN"/>
              </w:rPr>
              <w:t>完善可靠，各方面表现出色，确保供货及时准确的得5分；</w:t>
            </w:r>
          </w:p>
          <w:p w14:paraId="42E54E18">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交货方式较为便捷、供货保障</w:t>
            </w:r>
            <w:r>
              <w:rPr>
                <w:rFonts w:hint="eastAsia" w:ascii="宋体" w:hAnsi="宋体" w:cs="宋体"/>
                <w:bCs/>
                <w:color w:val="auto"/>
                <w:kern w:val="0"/>
                <w:sz w:val="21"/>
                <w:szCs w:val="21"/>
                <w:highlight w:val="none"/>
                <w:lang w:val="en-US" w:eastAsia="zh-CN"/>
              </w:rPr>
              <w:t>方案</w:t>
            </w:r>
            <w:r>
              <w:rPr>
                <w:rFonts w:hint="eastAsia" w:ascii="宋体" w:hAnsi="宋体" w:eastAsia="宋体" w:cs="宋体"/>
                <w:bCs/>
                <w:color w:val="auto"/>
                <w:kern w:val="0"/>
                <w:sz w:val="21"/>
                <w:szCs w:val="21"/>
                <w:highlight w:val="none"/>
                <w:lang w:val="en-US" w:eastAsia="zh-CN"/>
              </w:rPr>
              <w:t>基本完善，但在优化和细化方面有提升空间的得3分；</w:t>
            </w:r>
          </w:p>
          <w:p w14:paraId="40B8E6AB">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交货方式不够便捷、供货保障</w:t>
            </w:r>
            <w:r>
              <w:rPr>
                <w:rFonts w:hint="eastAsia" w:ascii="宋体" w:hAnsi="宋体" w:cs="宋体"/>
                <w:bCs/>
                <w:color w:val="auto"/>
                <w:kern w:val="0"/>
                <w:sz w:val="21"/>
                <w:szCs w:val="21"/>
                <w:highlight w:val="none"/>
                <w:lang w:val="en-US" w:eastAsia="zh-CN"/>
              </w:rPr>
              <w:t>方案</w:t>
            </w:r>
            <w:r>
              <w:rPr>
                <w:rFonts w:hint="eastAsia" w:ascii="宋体" w:hAnsi="宋体" w:eastAsia="宋体" w:cs="宋体"/>
                <w:bCs/>
                <w:color w:val="auto"/>
                <w:kern w:val="0"/>
                <w:sz w:val="21"/>
                <w:szCs w:val="21"/>
                <w:highlight w:val="none"/>
                <w:lang w:val="en-US" w:eastAsia="zh-CN"/>
              </w:rPr>
              <w:t>不够完善，可能影响供货效率和准确性的得1分；</w:t>
            </w:r>
          </w:p>
          <w:p w14:paraId="663E0BB6">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未提供相关内容的不得分。</w:t>
            </w:r>
          </w:p>
        </w:tc>
        <w:tc>
          <w:tcPr>
            <w:tcW w:w="72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101AF8">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5</w:t>
            </w:r>
          </w:p>
        </w:tc>
        <w:tc>
          <w:tcPr>
            <w:tcW w:w="799"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1A890355">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主观评审</w:t>
            </w:r>
          </w:p>
        </w:tc>
      </w:tr>
      <w:tr w14:paraId="755EEE2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06820BE9">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B0971D">
            <w:pPr>
              <w:keepNext w:val="0"/>
              <w:keepLines w:val="0"/>
              <w:pageBreakBefore w:val="0"/>
              <w:widowControl w:val="0"/>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4、</w:t>
            </w:r>
            <w:r>
              <w:rPr>
                <w:rFonts w:hint="eastAsia" w:ascii="宋体" w:hAnsi="宋体" w:cs="宋体"/>
                <w:bCs/>
                <w:color w:val="auto"/>
                <w:kern w:val="0"/>
                <w:sz w:val="21"/>
                <w:szCs w:val="21"/>
                <w:highlight w:val="none"/>
                <w:lang w:val="en-US" w:eastAsia="zh-CN"/>
              </w:rPr>
              <w:t>施工组织设计</w:t>
            </w:r>
            <w:r>
              <w:rPr>
                <w:rFonts w:hint="eastAsia" w:ascii="宋体" w:hAnsi="宋体" w:eastAsia="宋体" w:cs="宋体"/>
                <w:kern w:val="0"/>
                <w:sz w:val="21"/>
                <w:szCs w:val="21"/>
                <w:lang w:val="en-US" w:eastAsia="zh-CN" w:bidi="ar-SA"/>
              </w:rPr>
              <w:t>（5分）</w:t>
            </w:r>
          </w:p>
        </w:tc>
        <w:tc>
          <w:tcPr>
            <w:tcW w:w="554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8500289">
            <w:pPr>
              <w:keepNext w:val="0"/>
              <w:keepLines w:val="0"/>
              <w:pageBreakBefore w:val="0"/>
              <w:widowControl w:val="0"/>
              <w:numPr>
                <w:ilvl w:val="0"/>
                <w:numId w:val="0"/>
              </w:numPr>
              <w:suppressLineNumbers w:val="0"/>
              <w:kinsoku/>
              <w:wordWrap/>
              <w:overflowPunct/>
              <w:topLinePunct w:val="0"/>
              <w:bidi w:val="0"/>
              <w:adjustRightInd/>
              <w:snapToGrid/>
              <w:spacing w:before="0" w:beforeAutospacing="0" w:after="0" w:afterAutospacing="0" w:line="240" w:lineRule="auto"/>
              <w:ind w:left="0" w:right="0" w:right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根据投标单位针对本项目制定的</w:t>
            </w:r>
            <w:r>
              <w:rPr>
                <w:rFonts w:hint="eastAsia" w:ascii="宋体" w:hAnsi="宋体" w:cs="宋体"/>
                <w:bCs/>
                <w:color w:val="auto"/>
                <w:kern w:val="0"/>
                <w:sz w:val="21"/>
                <w:szCs w:val="21"/>
                <w:highlight w:val="none"/>
                <w:lang w:val="en-US" w:eastAsia="zh-CN"/>
              </w:rPr>
              <w:t>施工组织设计</w:t>
            </w:r>
            <w:r>
              <w:rPr>
                <w:rFonts w:hint="eastAsia" w:ascii="宋体" w:hAnsi="宋体" w:eastAsia="宋体" w:cs="宋体"/>
                <w:bCs/>
                <w:color w:val="auto"/>
                <w:kern w:val="0"/>
                <w:sz w:val="21"/>
                <w:szCs w:val="21"/>
                <w:highlight w:val="none"/>
                <w:lang w:val="en-US" w:eastAsia="zh-CN"/>
              </w:rPr>
              <w:t>进行评议：</w:t>
            </w:r>
          </w:p>
          <w:p w14:paraId="0FAD4814">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cs="宋体"/>
                <w:bCs/>
                <w:color w:val="auto"/>
                <w:kern w:val="0"/>
                <w:szCs w:val="21"/>
                <w:highlight w:val="none"/>
                <w:lang w:val="en-US" w:eastAsia="zh-CN"/>
              </w:rPr>
              <w:t>设计结合</w:t>
            </w:r>
            <w:r>
              <w:rPr>
                <w:rFonts w:hint="eastAsia" w:ascii="宋体" w:hAnsi="宋体" w:cs="宋体"/>
                <w:bCs/>
                <w:color w:val="auto"/>
                <w:kern w:val="0"/>
                <w:szCs w:val="21"/>
                <w:highlight w:val="none"/>
              </w:rPr>
              <w:t>实际特点、合理可行、技术措施先进、可靠、工程进度合理安排，能够保障项目按进度进行，能针对本项目的技术难点及工期进度提出可行的解决办法和应急预案进行综合评议</w:t>
            </w:r>
            <w:r>
              <w:rPr>
                <w:rFonts w:hint="eastAsia" w:ascii="宋体" w:hAnsi="宋体" w:eastAsia="宋体" w:cs="宋体"/>
                <w:bCs/>
                <w:color w:val="auto"/>
                <w:kern w:val="0"/>
                <w:sz w:val="21"/>
                <w:szCs w:val="21"/>
                <w:highlight w:val="none"/>
                <w:lang w:val="en-US" w:eastAsia="zh-CN"/>
              </w:rPr>
              <w:t>，确保项目顺利实施且质量可靠的得5分；</w:t>
            </w:r>
          </w:p>
          <w:p w14:paraId="2FE220CD">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rPr>
            </w:pPr>
            <w:r>
              <w:rPr>
                <w:rFonts w:hint="eastAsia" w:ascii="宋体" w:hAnsi="宋体" w:cs="宋体"/>
                <w:bCs/>
                <w:color w:val="auto"/>
                <w:kern w:val="0"/>
                <w:szCs w:val="21"/>
                <w:highlight w:val="none"/>
                <w:lang w:val="en-US" w:eastAsia="zh-CN"/>
              </w:rPr>
              <w:t>设计结合</w:t>
            </w:r>
            <w:r>
              <w:rPr>
                <w:rFonts w:hint="eastAsia" w:ascii="宋体" w:hAnsi="宋体" w:cs="宋体"/>
                <w:bCs/>
                <w:color w:val="auto"/>
                <w:kern w:val="0"/>
                <w:szCs w:val="21"/>
                <w:highlight w:val="none"/>
              </w:rPr>
              <w:t>实际特点、</w:t>
            </w:r>
            <w:r>
              <w:rPr>
                <w:rFonts w:hint="eastAsia" w:ascii="宋体" w:hAnsi="宋体" w:cs="宋体"/>
                <w:bCs/>
                <w:color w:val="auto"/>
                <w:kern w:val="0"/>
                <w:szCs w:val="21"/>
                <w:highlight w:val="none"/>
                <w:lang w:val="en-US" w:eastAsia="zh-CN"/>
              </w:rPr>
              <w:t>基本</w:t>
            </w:r>
            <w:r>
              <w:rPr>
                <w:rFonts w:hint="eastAsia" w:ascii="宋体" w:hAnsi="宋体" w:cs="宋体"/>
                <w:bCs/>
                <w:color w:val="auto"/>
                <w:kern w:val="0"/>
                <w:szCs w:val="21"/>
                <w:highlight w:val="none"/>
              </w:rPr>
              <w:t>可行、技术措施</w:t>
            </w:r>
            <w:r>
              <w:rPr>
                <w:rFonts w:hint="eastAsia" w:ascii="宋体" w:hAnsi="宋体" w:cs="宋体"/>
                <w:bCs/>
                <w:color w:val="auto"/>
                <w:kern w:val="0"/>
                <w:szCs w:val="21"/>
                <w:highlight w:val="none"/>
                <w:lang w:val="en-US" w:eastAsia="zh-CN"/>
              </w:rPr>
              <w:t>相对</w:t>
            </w:r>
            <w:r>
              <w:rPr>
                <w:rFonts w:hint="eastAsia" w:ascii="宋体" w:hAnsi="宋体" w:cs="宋体"/>
                <w:bCs/>
                <w:color w:val="auto"/>
                <w:kern w:val="0"/>
                <w:szCs w:val="21"/>
                <w:highlight w:val="none"/>
              </w:rPr>
              <w:t>可靠、工程进度安排</w:t>
            </w:r>
            <w:r>
              <w:rPr>
                <w:rFonts w:hint="eastAsia" w:ascii="宋体" w:hAnsi="宋体" w:cs="宋体"/>
                <w:bCs/>
                <w:color w:val="auto"/>
                <w:kern w:val="0"/>
                <w:szCs w:val="21"/>
                <w:highlight w:val="none"/>
                <w:lang w:val="en-US" w:eastAsia="zh-CN"/>
              </w:rPr>
              <w:t>相对</w:t>
            </w:r>
            <w:r>
              <w:rPr>
                <w:rFonts w:hint="eastAsia" w:ascii="宋体" w:hAnsi="宋体" w:cs="宋体"/>
                <w:bCs/>
                <w:color w:val="auto"/>
                <w:kern w:val="0"/>
                <w:szCs w:val="21"/>
                <w:highlight w:val="none"/>
              </w:rPr>
              <w:t>合理，</w:t>
            </w:r>
            <w:r>
              <w:rPr>
                <w:rFonts w:hint="eastAsia" w:ascii="宋体" w:hAnsi="宋体" w:cs="宋体"/>
                <w:bCs/>
                <w:color w:val="auto"/>
                <w:kern w:val="0"/>
                <w:szCs w:val="21"/>
                <w:highlight w:val="none"/>
                <w:lang w:val="en-US" w:eastAsia="zh-CN"/>
              </w:rPr>
              <w:t>基本</w:t>
            </w:r>
            <w:r>
              <w:rPr>
                <w:rFonts w:hint="eastAsia" w:ascii="宋体" w:hAnsi="宋体" w:cs="宋体"/>
                <w:bCs/>
                <w:color w:val="auto"/>
                <w:kern w:val="0"/>
                <w:szCs w:val="21"/>
                <w:highlight w:val="none"/>
              </w:rPr>
              <w:t>能够保障项目按进度进行，能针对本项目的技术难点及工期进度提出</w:t>
            </w:r>
            <w:r>
              <w:rPr>
                <w:rFonts w:hint="eastAsia" w:ascii="宋体" w:hAnsi="宋体" w:cs="宋体"/>
                <w:bCs/>
                <w:color w:val="auto"/>
                <w:kern w:val="0"/>
                <w:szCs w:val="21"/>
                <w:highlight w:val="none"/>
                <w:lang w:val="en-US" w:eastAsia="zh-CN"/>
              </w:rPr>
              <w:t>一部分</w:t>
            </w:r>
            <w:r>
              <w:rPr>
                <w:rFonts w:hint="eastAsia" w:ascii="宋体" w:hAnsi="宋体" w:cs="宋体"/>
                <w:bCs/>
                <w:color w:val="auto"/>
                <w:kern w:val="0"/>
                <w:szCs w:val="21"/>
                <w:highlight w:val="none"/>
              </w:rPr>
              <w:t>解决办法和应急预案进行综合评议</w:t>
            </w:r>
            <w:r>
              <w:rPr>
                <w:rFonts w:hint="eastAsia" w:ascii="宋体" w:hAnsi="宋体" w:eastAsia="宋体" w:cs="宋体"/>
                <w:bCs/>
                <w:color w:val="auto"/>
                <w:kern w:val="0"/>
                <w:sz w:val="21"/>
                <w:szCs w:val="21"/>
                <w:highlight w:val="none"/>
                <w:lang w:val="en-US" w:eastAsia="zh-CN"/>
              </w:rPr>
              <w:t>，但在细节优化和深度拓展方面有提升空间的得3分；</w:t>
            </w:r>
          </w:p>
          <w:p w14:paraId="62696DC1">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cs="宋体"/>
                <w:bCs/>
                <w:color w:val="auto"/>
                <w:kern w:val="0"/>
                <w:sz w:val="21"/>
                <w:szCs w:val="21"/>
                <w:highlight w:val="none"/>
                <w:lang w:val="en-US" w:eastAsia="zh-CN"/>
              </w:rPr>
              <w:t>施工组织</w:t>
            </w:r>
            <w:r>
              <w:rPr>
                <w:rFonts w:hint="eastAsia" w:ascii="宋体" w:hAnsi="宋体" w:eastAsia="宋体" w:cs="宋体"/>
                <w:bCs/>
                <w:color w:val="auto"/>
                <w:kern w:val="0"/>
                <w:sz w:val="21"/>
                <w:szCs w:val="21"/>
                <w:highlight w:val="none"/>
                <w:lang w:val="en-US" w:eastAsia="zh-CN"/>
              </w:rPr>
              <w:t>方案存在明显不足，</w:t>
            </w:r>
            <w:r>
              <w:rPr>
                <w:rFonts w:hint="eastAsia" w:ascii="宋体" w:hAnsi="宋体" w:cs="宋体"/>
                <w:bCs/>
                <w:color w:val="auto"/>
                <w:kern w:val="0"/>
                <w:sz w:val="21"/>
                <w:szCs w:val="21"/>
                <w:highlight w:val="none"/>
                <w:lang w:val="en-US" w:eastAsia="zh-CN"/>
              </w:rPr>
              <w:t>技术措施</w:t>
            </w:r>
            <w:r>
              <w:rPr>
                <w:rFonts w:hint="eastAsia" w:ascii="宋体" w:hAnsi="宋体" w:eastAsia="宋体" w:cs="宋体"/>
                <w:bCs/>
                <w:color w:val="auto"/>
                <w:kern w:val="0"/>
                <w:sz w:val="21"/>
                <w:szCs w:val="21"/>
                <w:highlight w:val="none"/>
                <w:lang w:val="en-US" w:eastAsia="zh-CN"/>
              </w:rPr>
              <w:t>不够完善、</w:t>
            </w:r>
            <w:r>
              <w:rPr>
                <w:rFonts w:hint="eastAsia" w:ascii="宋体" w:hAnsi="宋体" w:cs="宋体"/>
                <w:bCs/>
                <w:color w:val="auto"/>
                <w:kern w:val="0"/>
                <w:sz w:val="21"/>
                <w:szCs w:val="21"/>
                <w:highlight w:val="none"/>
                <w:lang w:val="en-US" w:eastAsia="zh-CN"/>
              </w:rPr>
              <w:t>工期进度及</w:t>
            </w:r>
            <w:r>
              <w:rPr>
                <w:rFonts w:hint="eastAsia" w:ascii="宋体" w:hAnsi="宋体" w:eastAsia="宋体" w:cs="宋体"/>
                <w:bCs/>
                <w:color w:val="auto"/>
                <w:kern w:val="0"/>
                <w:sz w:val="21"/>
                <w:szCs w:val="21"/>
                <w:highlight w:val="none"/>
                <w:lang w:val="en-US" w:eastAsia="zh-CN"/>
              </w:rPr>
              <w:t>人员配置不合理、调试要求不明确，影响项目实施质量和效果的得1分；</w:t>
            </w:r>
          </w:p>
          <w:p w14:paraId="6861CC32">
            <w:pPr>
              <w:keepNext w:val="0"/>
              <w:keepLines w:val="0"/>
              <w:pageBreakBefore w:val="0"/>
              <w:widowControl w:val="0"/>
              <w:numPr>
                <w:ilvl w:val="0"/>
                <w:numId w:val="4"/>
              </w:numPr>
              <w:suppressLineNumbers w:val="0"/>
              <w:kinsoku/>
              <w:wordWrap/>
              <w:overflowPunct/>
              <w:topLinePunct w:val="0"/>
              <w:bidi w:val="0"/>
              <w:adjustRightInd/>
              <w:snapToGrid/>
              <w:spacing w:before="0" w:beforeAutospacing="0" w:after="0" w:afterAutospacing="0" w:line="240" w:lineRule="auto"/>
              <w:ind w:left="420" w:leftChars="0" w:right="0" w:rightChars="0" w:hanging="420" w:firstLineChars="0"/>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未提供相关内容的不得分。</w:t>
            </w:r>
          </w:p>
        </w:tc>
        <w:tc>
          <w:tcPr>
            <w:tcW w:w="72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80CCF1">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240" w:lineRule="auto"/>
              <w:ind w:left="0" w:leftChars="0" w:right="0" w:right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5</w:t>
            </w:r>
          </w:p>
        </w:tc>
        <w:tc>
          <w:tcPr>
            <w:tcW w:w="799"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23A5C405">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240" w:lineRule="auto"/>
              <w:ind w:left="0" w:leftChars="0" w:right="0" w:right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zh-CN" w:eastAsia="zh-CN" w:bidi="ar-SA"/>
              </w:rPr>
              <w:t>主观评审</w:t>
            </w:r>
          </w:p>
        </w:tc>
      </w:tr>
      <w:tr w14:paraId="2D04A3A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382E4FE5">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tcBorders>
              <w:left w:val="single" w:color="auto" w:sz="4" w:space="0"/>
              <w:bottom w:val="single" w:color="auto" w:sz="4" w:space="0"/>
              <w:right w:val="single" w:color="auto" w:sz="4" w:space="0"/>
            </w:tcBorders>
            <w:noWrap w:val="0"/>
            <w:vAlign w:val="center"/>
          </w:tcPr>
          <w:p w14:paraId="48EF2C72">
            <w:pPr>
              <w:keepNext w:val="0"/>
              <w:keepLines w:val="0"/>
              <w:pageBreakBefore w:val="0"/>
              <w:widowControl w:val="0"/>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0" w:right="0" w:firstLine="0" w:firstLineChars="0"/>
              <w:jc w:val="left"/>
              <w:textAlignment w:val="auto"/>
              <w:rPr>
                <w:rFonts w:hint="eastAsia" w:ascii="宋体" w:hAnsi="宋体" w:eastAsia="宋体" w:cs="宋体"/>
                <w:strike w:val="0"/>
                <w:kern w:val="0"/>
                <w:sz w:val="21"/>
                <w:szCs w:val="21"/>
                <w:lang w:val="en-US" w:eastAsia="zh-CN" w:bidi="ar-SA"/>
              </w:rPr>
            </w:pPr>
            <w:r>
              <w:rPr>
                <w:rFonts w:hint="eastAsia" w:ascii="宋体" w:hAnsi="宋体" w:cs="宋体"/>
                <w:strike w:val="0"/>
                <w:kern w:val="0"/>
                <w:sz w:val="21"/>
                <w:szCs w:val="21"/>
                <w:lang w:val="en-US" w:eastAsia="zh-CN" w:bidi="ar-SA"/>
              </w:rPr>
              <w:t>5</w:t>
            </w:r>
            <w:r>
              <w:rPr>
                <w:rFonts w:hint="eastAsia" w:ascii="宋体" w:hAnsi="宋体" w:eastAsia="宋体" w:cs="宋体"/>
                <w:strike w:val="0"/>
                <w:kern w:val="0"/>
                <w:sz w:val="21"/>
                <w:szCs w:val="21"/>
                <w:lang w:val="en-US" w:eastAsia="zh-CN" w:bidi="ar-SA"/>
              </w:rPr>
              <w:t>、重难点的理解分析（</w:t>
            </w:r>
            <w:r>
              <w:rPr>
                <w:rFonts w:hint="eastAsia" w:ascii="宋体" w:hAnsi="宋体" w:cs="宋体"/>
                <w:strike w:val="0"/>
                <w:kern w:val="0"/>
                <w:sz w:val="21"/>
                <w:szCs w:val="21"/>
                <w:lang w:val="en-US" w:eastAsia="zh-CN" w:bidi="ar-SA"/>
              </w:rPr>
              <w:t>5</w:t>
            </w:r>
            <w:r>
              <w:rPr>
                <w:rFonts w:hint="eastAsia" w:ascii="宋体" w:hAnsi="宋体" w:eastAsia="宋体" w:cs="宋体"/>
                <w:strike w:val="0"/>
                <w:kern w:val="0"/>
                <w:sz w:val="21"/>
                <w:szCs w:val="21"/>
                <w:lang w:val="en-US" w:eastAsia="zh-CN" w:bidi="ar-SA"/>
              </w:rPr>
              <w:t>分）</w:t>
            </w:r>
          </w:p>
        </w:tc>
        <w:tc>
          <w:tcPr>
            <w:tcW w:w="5541"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00F3E025">
            <w:pPr>
              <w:keepNext w:val="0"/>
              <w:keepLines w:val="0"/>
              <w:pageBreakBefore w:val="0"/>
              <w:numPr>
                <w:ilvl w:val="0"/>
                <w:numId w:val="0"/>
              </w:numPr>
              <w:suppressLineNumbers w:val="0"/>
              <w:kinsoku/>
              <w:wordWrap/>
              <w:overflowPunct/>
              <w:topLinePunct w:val="0"/>
              <w:bidi w:val="0"/>
              <w:snapToGrid/>
              <w:spacing w:before="0" w:beforeAutospacing="0" w:after="0" w:afterAutospacing="0" w:line="240" w:lineRule="auto"/>
              <w:ind w:left="0" w:leftChars="0" w:right="0" w:firstLine="0" w:firstLineChars="0"/>
              <w:textAlignment w:val="auto"/>
              <w:outlineLvl w:val="9"/>
              <w:rPr>
                <w:rFonts w:hint="eastAsia" w:ascii="宋体" w:hAnsi="宋体" w:eastAsia="宋体" w:cs="宋体"/>
                <w: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color w:val="000000" w:themeColor="text1"/>
                <w:sz w:val="21"/>
                <w:szCs w:val="21"/>
                <w:highlight w:val="none"/>
                <w:lang w:val="en-US" w:eastAsia="zh-CN"/>
                <w14:textFill>
                  <w14:solidFill>
                    <w14:schemeClr w14:val="tx1"/>
                  </w14:solidFill>
                </w14:textFill>
              </w:rPr>
              <w:t>根据投标单位对本项目建设重点、难点的理解分析及应对方案措施进行评议：</w:t>
            </w:r>
          </w:p>
          <w:p w14:paraId="077D0BAA">
            <w:pPr>
              <w:keepNext w:val="0"/>
              <w:keepLines w:val="0"/>
              <w:pageBreakBefore w:val="0"/>
              <w:numPr>
                <w:ilvl w:val="0"/>
                <w:numId w:val="4"/>
              </w:numPr>
              <w:suppressLineNumbers w:val="0"/>
              <w:kinsoku/>
              <w:wordWrap/>
              <w:overflowPunct/>
              <w:topLinePunct w:val="0"/>
              <w:bidi w:val="0"/>
              <w:snapToGrid/>
              <w:spacing w:before="0" w:beforeAutospacing="0" w:after="0" w:afterAutospacing="0" w:line="240" w:lineRule="auto"/>
              <w:ind w:left="420" w:leftChars="0" w:right="0" w:hanging="420" w:firstLineChars="0"/>
              <w:textAlignment w:val="auto"/>
              <w:outlineLvl w:val="9"/>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t>投标单位精准把握建设重点，深入剖析难点，所提应对方案措施详尽周全、切实可行，全方位覆盖项目关键环节，彰显专业深度与实操精度的得</w:t>
            </w:r>
            <w:r>
              <w:rPr>
                <w:rFonts w:hint="eastAsia" w:ascii="宋体" w:hAnsi="宋体" w:cs="宋体"/>
                <w:strike w:val="0"/>
                <w:color w:val="000000" w:themeColor="text1"/>
                <w:kern w:val="2"/>
                <w:sz w:val="21"/>
                <w:szCs w:val="21"/>
                <w:highlight w:val="none"/>
                <w:lang w:val="en-US" w:eastAsia="zh-CN" w:bidi="ar-SA"/>
                <w14:textFill>
                  <w14:solidFill>
                    <w14:schemeClr w14:val="tx1"/>
                  </w14:solidFill>
                </w14:textFill>
              </w:rPr>
              <w:t>5</w:t>
            </w:r>
            <w:r>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t>分；</w:t>
            </w:r>
          </w:p>
          <w:p w14:paraId="2FD11BBC">
            <w:pPr>
              <w:keepNext w:val="0"/>
              <w:keepLines w:val="0"/>
              <w:pageBreakBefore w:val="0"/>
              <w:numPr>
                <w:ilvl w:val="0"/>
                <w:numId w:val="4"/>
              </w:numPr>
              <w:suppressLineNumbers w:val="0"/>
              <w:kinsoku/>
              <w:wordWrap/>
              <w:overflowPunct/>
              <w:topLinePunct w:val="0"/>
              <w:bidi w:val="0"/>
              <w:snapToGrid/>
              <w:spacing w:before="0" w:beforeAutospacing="0" w:after="0" w:afterAutospacing="0" w:line="240" w:lineRule="auto"/>
              <w:ind w:left="420" w:leftChars="0" w:right="0" w:hanging="420" w:firstLineChars="0"/>
              <w:textAlignment w:val="auto"/>
              <w:outlineLvl w:val="9"/>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t>投标单位对建设重点、难点有清晰认知，分析较为透彻，应对方案措施基本合理，具备一定可操作性，但细节打磨与创新性略显不足的得</w:t>
            </w:r>
            <w:r>
              <w:rPr>
                <w:rFonts w:hint="eastAsia" w:ascii="宋体" w:hAnsi="宋体" w:cs="宋体"/>
                <w:strike w:val="0"/>
                <w:color w:val="000000" w:themeColor="text1"/>
                <w:kern w:val="2"/>
                <w:sz w:val="21"/>
                <w:szCs w:val="21"/>
                <w:highlight w:val="none"/>
                <w:lang w:val="en-US" w:eastAsia="zh-CN" w:bidi="ar-SA"/>
                <w14:textFill>
                  <w14:solidFill>
                    <w14:schemeClr w14:val="tx1"/>
                  </w14:solidFill>
                </w14:textFill>
              </w:rPr>
              <w:t>3</w:t>
            </w:r>
            <w:r>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t>分；</w:t>
            </w:r>
          </w:p>
          <w:p w14:paraId="6C4428EC">
            <w:pPr>
              <w:keepNext w:val="0"/>
              <w:keepLines w:val="0"/>
              <w:pageBreakBefore w:val="0"/>
              <w:numPr>
                <w:ilvl w:val="0"/>
                <w:numId w:val="4"/>
              </w:numPr>
              <w:suppressLineNumbers w:val="0"/>
              <w:kinsoku/>
              <w:wordWrap/>
              <w:overflowPunct/>
              <w:topLinePunct w:val="0"/>
              <w:bidi w:val="0"/>
              <w:snapToGrid/>
              <w:spacing w:before="0" w:beforeAutospacing="0" w:after="0" w:afterAutospacing="0" w:line="240" w:lineRule="auto"/>
              <w:ind w:left="420" w:leftChars="0" w:right="0" w:hanging="420" w:firstLineChars="0"/>
              <w:textAlignment w:val="auto"/>
              <w:outlineLvl w:val="9"/>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t>投标单位对建设重点、难点理解浮于表面，分析欠缺深度，应对方案措施粗略笼统，可行性存疑，难以有效支撑项目推进的得1分；</w:t>
            </w:r>
          </w:p>
          <w:p w14:paraId="2FE57A2C">
            <w:pPr>
              <w:keepNext w:val="0"/>
              <w:keepLines w:val="0"/>
              <w:pageBreakBefore w:val="0"/>
              <w:numPr>
                <w:ilvl w:val="0"/>
                <w:numId w:val="4"/>
              </w:numPr>
              <w:suppressLineNumbers w:val="0"/>
              <w:kinsoku/>
              <w:wordWrap/>
              <w:overflowPunct/>
              <w:topLinePunct w:val="0"/>
              <w:bidi w:val="0"/>
              <w:snapToGrid/>
              <w:spacing w:before="0" w:beforeAutospacing="0" w:after="0" w:afterAutospacing="0" w:line="240" w:lineRule="auto"/>
              <w:ind w:left="420" w:leftChars="0" w:right="0" w:hanging="420" w:firstLineChars="0"/>
              <w:textAlignment w:val="auto"/>
              <w:outlineLvl w:val="9"/>
              <w:rPr>
                <w:rFonts w:hint="eastAsia" w:ascii="宋体" w:hAnsi="宋体" w:eastAsia="宋体" w:cs="宋体"/>
                <w:strike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strike w:val="0"/>
                <w:color w:val="auto"/>
                <w:kern w:val="0"/>
                <w:sz w:val="21"/>
                <w:szCs w:val="21"/>
                <w:highlight w:val="none"/>
                <w:lang w:val="en-US" w:eastAsia="zh-CN"/>
              </w:rPr>
              <w:t>未提供相关内容的不得分。</w:t>
            </w:r>
          </w:p>
        </w:tc>
        <w:tc>
          <w:tcPr>
            <w:tcW w:w="72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D2D26B">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240" w:lineRule="auto"/>
              <w:ind w:left="0" w:leftChars="0" w:right="0" w:rightChars="0"/>
              <w:jc w:val="center"/>
              <w:textAlignment w:val="auto"/>
              <w:rPr>
                <w:rFonts w:hint="eastAsia" w:ascii="宋体" w:hAnsi="宋体" w:eastAsia="宋体" w:cs="宋体"/>
                <w:strike w:val="0"/>
                <w:color w:val="auto"/>
                <w:kern w:val="0"/>
                <w:sz w:val="21"/>
                <w:szCs w:val="21"/>
                <w:highlight w:val="none"/>
                <w:lang w:val="en-US" w:eastAsia="zh-CN" w:bidi="ar-SA"/>
              </w:rPr>
            </w:pPr>
            <w:r>
              <w:rPr>
                <w:rFonts w:hint="eastAsia" w:ascii="宋体" w:hAnsi="宋体" w:cs="宋体"/>
                <w:strike w:val="0"/>
                <w:color w:val="auto"/>
                <w:kern w:val="0"/>
                <w:sz w:val="21"/>
                <w:szCs w:val="21"/>
                <w:highlight w:val="none"/>
                <w:lang w:val="en-US" w:eastAsia="zh-CN" w:bidi="ar-SA"/>
              </w:rPr>
              <w:t>5</w:t>
            </w:r>
          </w:p>
        </w:tc>
        <w:tc>
          <w:tcPr>
            <w:tcW w:w="799"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0C2F8796">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240" w:lineRule="auto"/>
              <w:ind w:left="0" w:leftChars="0" w:right="0" w:rightChars="0"/>
              <w:jc w:val="center"/>
              <w:textAlignment w:val="auto"/>
              <w:rPr>
                <w:rFonts w:hint="eastAsia" w:ascii="宋体" w:hAnsi="宋体" w:eastAsia="宋体" w:cs="宋体"/>
                <w:strike w:val="0"/>
                <w:color w:val="auto"/>
                <w:kern w:val="0"/>
                <w:sz w:val="21"/>
                <w:szCs w:val="21"/>
                <w:highlight w:val="none"/>
                <w:lang w:val="zh-CN" w:eastAsia="zh-CN" w:bidi="ar-SA"/>
              </w:rPr>
            </w:pPr>
            <w:r>
              <w:rPr>
                <w:rFonts w:hint="eastAsia" w:ascii="宋体" w:hAnsi="宋体" w:eastAsia="宋体" w:cs="宋体"/>
                <w:strike w:val="0"/>
                <w:color w:val="auto"/>
                <w:kern w:val="0"/>
                <w:sz w:val="21"/>
                <w:szCs w:val="21"/>
                <w:highlight w:val="none"/>
                <w:lang w:val="zh-CN" w:eastAsia="zh-CN" w:bidi="ar-SA"/>
              </w:rPr>
              <w:t>主观评审</w:t>
            </w:r>
          </w:p>
        </w:tc>
      </w:tr>
      <w:tr w14:paraId="68C48E7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22C0A02D">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tcBorders>
              <w:left w:val="single" w:color="auto" w:sz="4" w:space="0"/>
              <w:bottom w:val="single" w:color="auto" w:sz="4" w:space="0"/>
              <w:right w:val="single" w:color="auto" w:sz="4" w:space="0"/>
            </w:tcBorders>
            <w:noWrap w:val="0"/>
            <w:vAlign w:val="center"/>
          </w:tcPr>
          <w:p w14:paraId="7D33C495">
            <w:pPr>
              <w:keepNext w:val="0"/>
              <w:keepLines w:val="0"/>
              <w:pageBreakBefore w:val="0"/>
              <w:suppressLineNumbers w:val="0"/>
              <w:tabs>
                <w:tab w:val="left" w:pos="0"/>
              </w:tabs>
              <w:kinsoku/>
              <w:wordWrap/>
              <w:overflowPunct/>
              <w:topLinePunct w:val="0"/>
              <w:bidi w:val="0"/>
              <w:spacing w:before="0" w:beforeAutospacing="0" w:after="0" w:afterAutospacing="0" w:line="240" w:lineRule="auto"/>
              <w:ind w:left="0" w:right="0"/>
              <w:jc w:val="left"/>
              <w:rPr>
                <w:rFonts w:hint="eastAsia" w:ascii="宋体" w:hAnsi="宋体" w:eastAsia="宋体" w:cs="宋体"/>
                <w:sz w:val="21"/>
                <w:szCs w:val="21"/>
                <w:lang w:val="en-US" w:eastAsia="zh-CN"/>
              </w:rPr>
            </w:pPr>
            <w:r>
              <w:rPr>
                <w:rFonts w:hint="eastAsia" w:ascii="宋体" w:hAnsi="宋体" w:cs="宋体"/>
                <w:sz w:val="21"/>
                <w:szCs w:val="21"/>
                <w:lang w:val="en-US" w:eastAsia="zh-CN"/>
              </w:rPr>
              <w:t>6</w:t>
            </w:r>
            <w:r>
              <w:rPr>
                <w:rFonts w:hint="eastAsia" w:ascii="宋体" w:hAnsi="宋体" w:eastAsia="宋体" w:cs="宋体"/>
                <w:sz w:val="21"/>
                <w:szCs w:val="21"/>
                <w:lang w:val="en-US" w:eastAsia="zh-CN"/>
              </w:rPr>
              <w:t>、</w:t>
            </w:r>
            <w:r>
              <w:rPr>
                <w:rFonts w:hint="eastAsia" w:ascii="宋体" w:hAnsi="宋体" w:eastAsia="宋体" w:cs="宋体"/>
                <w:sz w:val="21"/>
                <w:szCs w:val="21"/>
              </w:rPr>
              <w:t>售后服务</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5分</w:t>
            </w:r>
            <w:r>
              <w:rPr>
                <w:rFonts w:hint="eastAsia" w:ascii="宋体" w:hAnsi="宋体" w:eastAsia="宋体" w:cs="宋体"/>
                <w:sz w:val="21"/>
                <w:szCs w:val="21"/>
                <w:lang w:eastAsia="zh-CN"/>
              </w:rPr>
              <w:t>）</w:t>
            </w:r>
          </w:p>
        </w:tc>
        <w:tc>
          <w:tcPr>
            <w:tcW w:w="5541" w:type="dxa"/>
            <w:tcBorders>
              <w:top w:val="single" w:color="auto" w:sz="4" w:space="0"/>
              <w:left w:val="single" w:color="auto" w:sz="4" w:space="0"/>
              <w:bottom w:val="single" w:color="auto" w:sz="4" w:space="0"/>
              <w:right w:val="single" w:color="auto" w:sz="4" w:space="0"/>
            </w:tcBorders>
            <w:noWrap w:val="0"/>
            <w:vAlign w:val="center"/>
          </w:tcPr>
          <w:p w14:paraId="4A508754">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根据</w:t>
            </w:r>
            <w:r>
              <w:rPr>
                <w:rFonts w:hint="eastAsia" w:ascii="宋体" w:hAnsi="宋体" w:eastAsia="宋体" w:cs="宋体"/>
                <w:color w:val="auto"/>
                <w:sz w:val="21"/>
                <w:szCs w:val="21"/>
                <w:lang w:eastAsia="zh-CN"/>
              </w:rPr>
              <w:t>投标单位</w:t>
            </w:r>
            <w:r>
              <w:rPr>
                <w:rFonts w:hint="eastAsia" w:ascii="宋体" w:hAnsi="宋体" w:eastAsia="宋体" w:cs="宋体"/>
                <w:color w:val="auto"/>
                <w:sz w:val="21"/>
                <w:szCs w:val="21"/>
              </w:rPr>
              <w:t>针对本项目制定的售后服务方案</w:t>
            </w:r>
            <w:r>
              <w:rPr>
                <w:rFonts w:hint="default"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包括但不限于售后服务计划、日常维护保养、故障排除、保修期内外、快速维修响应时间、售后服务团队等</w:t>
            </w:r>
            <w:r>
              <w:rPr>
                <w:rFonts w:hint="eastAsia" w:ascii="宋体" w:hAnsi="宋体" w:eastAsia="宋体" w:cs="宋体"/>
                <w:color w:val="auto"/>
                <w:sz w:val="21"/>
                <w:szCs w:val="21"/>
                <w:lang w:val="en-US" w:eastAsia="zh-CN"/>
              </w:rPr>
              <w:t>内容</w:t>
            </w:r>
            <w:r>
              <w:rPr>
                <w:rFonts w:hint="eastAsia" w:ascii="宋体" w:hAnsi="宋体" w:eastAsia="宋体" w:cs="宋体"/>
                <w:color w:val="auto"/>
                <w:sz w:val="21"/>
                <w:szCs w:val="21"/>
              </w:rPr>
              <w:t>进行评议：</w:t>
            </w:r>
          </w:p>
          <w:p w14:paraId="2D02711F">
            <w:pPr>
              <w:pStyle w:val="19"/>
              <w:keepNext w:val="0"/>
              <w:keepLines w:val="0"/>
              <w:pageBreakBefore w:val="0"/>
              <w:widowControl w:val="0"/>
              <w:numPr>
                <w:ilvl w:val="0"/>
                <w:numId w:val="4"/>
              </w:numPr>
              <w:suppressLineNumbers w:val="0"/>
              <w:pBdr>
                <w:top w:val="none" w:color="auto" w:sz="0" w:space="1"/>
                <w:left w:val="none" w:color="auto" w:sz="0" w:space="4"/>
                <w:right w:val="none" w:color="auto" w:sz="0" w:space="4"/>
              </w:pBdr>
              <w:kinsoku/>
              <w:wordWrap/>
              <w:overflowPunct/>
              <w:topLinePunct w:val="0"/>
              <w:bidi w:val="0"/>
              <w:adjustRightInd w:val="0"/>
              <w:snapToGrid/>
              <w:spacing w:before="0" w:beforeAutospacing="0" w:after="0" w:afterAutospacing="0" w:line="240" w:lineRule="auto"/>
              <w:ind w:left="420" w:leftChars="0" w:right="0" w:hanging="420" w:firstLineChars="0"/>
              <w:jc w:val="left"/>
              <w:textAlignment w:val="auto"/>
              <w:outlineLvl w:val="9"/>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售后服务方案完善，日常维保科学严格，故障排除迅速精准</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维修响应快速准时</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团队专业且人员充足</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返修流程优、时间短的得5分；</w:t>
            </w:r>
          </w:p>
          <w:p w14:paraId="5A8D9E1B">
            <w:pPr>
              <w:pStyle w:val="19"/>
              <w:keepNext w:val="0"/>
              <w:keepLines w:val="0"/>
              <w:pageBreakBefore w:val="0"/>
              <w:widowControl w:val="0"/>
              <w:numPr>
                <w:ilvl w:val="0"/>
                <w:numId w:val="4"/>
              </w:numPr>
              <w:suppressLineNumbers w:val="0"/>
              <w:pBdr>
                <w:top w:val="none" w:color="auto" w:sz="0" w:space="1"/>
                <w:left w:val="none" w:color="auto" w:sz="0" w:space="4"/>
                <w:right w:val="none" w:color="auto" w:sz="0" w:space="4"/>
              </w:pBdr>
              <w:kinsoku/>
              <w:wordWrap/>
              <w:overflowPunct/>
              <w:topLinePunct w:val="0"/>
              <w:bidi w:val="0"/>
              <w:adjustRightInd w:val="0"/>
              <w:snapToGrid/>
              <w:spacing w:before="0" w:beforeAutospacing="0" w:after="0" w:afterAutospacing="0" w:line="240" w:lineRule="auto"/>
              <w:ind w:left="420" w:leftChars="0" w:right="0" w:hanging="420" w:firstLineChars="0"/>
              <w:jc w:val="left"/>
              <w:textAlignment w:val="auto"/>
              <w:outlineLvl w:val="9"/>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方案有框架但需完善</w:t>
            </w:r>
            <w:r>
              <w:rPr>
                <w:rFonts w:hint="eastAsia" w:ascii="宋体" w:hAnsi="宋体" w:cs="宋体"/>
                <w:kern w:val="0"/>
                <w:sz w:val="21"/>
                <w:szCs w:val="21"/>
                <w:lang w:val="en-US" w:eastAsia="zh-CN"/>
              </w:rPr>
              <w:t>，日常</w:t>
            </w:r>
            <w:r>
              <w:rPr>
                <w:rFonts w:hint="eastAsia" w:ascii="宋体" w:hAnsi="宋体" w:eastAsia="宋体" w:cs="宋体"/>
                <w:kern w:val="0"/>
                <w:sz w:val="21"/>
                <w:szCs w:val="21"/>
                <w:lang w:val="en-US" w:eastAsia="zh-CN"/>
              </w:rPr>
              <w:t>维保标准不细、执行有漏</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故障排除遇复杂问题慢，维修响应偶有延迟</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团队部分成员技能待提升，返修烦琐、时间长的得3分；</w:t>
            </w:r>
          </w:p>
          <w:p w14:paraId="18A50946">
            <w:pPr>
              <w:pStyle w:val="19"/>
              <w:keepNext w:val="0"/>
              <w:keepLines w:val="0"/>
              <w:pageBreakBefore w:val="0"/>
              <w:widowControl w:val="0"/>
              <w:numPr>
                <w:ilvl w:val="0"/>
                <w:numId w:val="4"/>
              </w:numPr>
              <w:suppressLineNumbers w:val="0"/>
              <w:pBdr>
                <w:top w:val="none" w:color="auto" w:sz="0" w:space="1"/>
                <w:left w:val="none" w:color="auto" w:sz="0" w:space="4"/>
                <w:right w:val="none" w:color="auto" w:sz="0" w:space="4"/>
              </w:pBdr>
              <w:kinsoku/>
              <w:wordWrap/>
              <w:overflowPunct/>
              <w:topLinePunct w:val="0"/>
              <w:bidi w:val="0"/>
              <w:adjustRightInd w:val="0"/>
              <w:snapToGrid/>
              <w:spacing w:before="0" w:beforeAutospacing="0" w:after="0" w:afterAutospacing="0" w:line="240" w:lineRule="auto"/>
              <w:ind w:left="420" w:leftChars="0" w:right="0" w:hanging="420" w:firstLineChars="0"/>
              <w:jc w:val="left"/>
              <w:textAlignment w:val="auto"/>
              <w:outlineLvl w:val="9"/>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方案缺陷严重</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日常维保未开展</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故障排除无方，维修响应迟缓</w:t>
            </w:r>
            <w:r>
              <w:rPr>
                <w:rFonts w:hint="eastAsia" w:ascii="宋体" w:hAnsi="宋体" w:cs="宋体"/>
                <w:kern w:val="0"/>
                <w:sz w:val="21"/>
                <w:szCs w:val="21"/>
                <w:lang w:val="en-US" w:eastAsia="zh-CN"/>
              </w:rPr>
              <w:t>，</w:t>
            </w:r>
            <w:r>
              <w:rPr>
                <w:rFonts w:hint="eastAsia" w:ascii="宋体" w:hAnsi="宋体" w:eastAsia="宋体" w:cs="宋体"/>
                <w:kern w:val="0"/>
                <w:sz w:val="21"/>
                <w:szCs w:val="21"/>
                <w:lang w:val="en-US" w:eastAsia="zh-CN"/>
              </w:rPr>
              <w:t>团队人员不足、专业差，返修不明，设备故障难修复的得1分；</w:t>
            </w:r>
          </w:p>
          <w:p w14:paraId="41A1CB71">
            <w:pPr>
              <w:pStyle w:val="19"/>
              <w:keepNext w:val="0"/>
              <w:keepLines w:val="0"/>
              <w:pageBreakBefore w:val="0"/>
              <w:widowControl/>
              <w:suppressLineNumbers w:val="0"/>
              <w:pBdr>
                <w:top w:val="none" w:color="auto" w:sz="0" w:space="1"/>
                <w:left w:val="none" w:color="auto" w:sz="0" w:space="4"/>
                <w:right w:val="none" w:color="auto" w:sz="0" w:space="4"/>
              </w:pBdr>
              <w:kinsoku/>
              <w:wordWrap/>
              <w:overflowPunct/>
              <w:topLinePunct w:val="0"/>
              <w:bidi w:val="0"/>
              <w:adjustRightInd/>
              <w:snapToGrid/>
              <w:spacing w:before="0" w:beforeAutospacing="0" w:after="0" w:afterAutospacing="0" w:line="240" w:lineRule="auto"/>
              <w:ind w:left="420" w:leftChars="0" w:right="0" w:firstLineChars="0"/>
              <w:jc w:val="left"/>
              <w:textAlignment w:val="auto"/>
              <w:outlineLvl w:val="9"/>
              <w:rPr>
                <w:rFonts w:hint="eastAsia" w:ascii="宋体" w:hAnsi="宋体" w:eastAsia="宋体" w:cs="宋体"/>
                <w:kern w:val="0"/>
                <w:sz w:val="21"/>
                <w:szCs w:val="21"/>
                <w:lang w:val="en-US" w:eastAsia="zh-CN" w:bidi="ar-SA"/>
              </w:rPr>
            </w:pPr>
            <w:r>
              <w:rPr>
                <w:rFonts w:hint="eastAsia" w:ascii="宋体" w:hAnsi="宋体" w:eastAsia="宋体" w:cs="宋体"/>
                <w:bCs/>
                <w:color w:val="auto"/>
                <w:kern w:val="0"/>
                <w:sz w:val="21"/>
                <w:szCs w:val="21"/>
                <w:highlight w:val="none"/>
                <w:lang w:val="en-US" w:eastAsia="zh-CN"/>
              </w:rPr>
              <w:t>未提供相关内容的不得分。</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60A475AD">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kern w:val="0"/>
                <w:sz w:val="21"/>
                <w:szCs w:val="21"/>
                <w:lang w:val="en-US" w:eastAsia="zh-CN" w:bidi="ar-SA"/>
              </w:rPr>
            </w:pPr>
            <w:r>
              <w:rPr>
                <w:rFonts w:hint="eastAsia" w:ascii="宋体" w:hAnsi="宋体" w:eastAsia="宋体" w:cs="宋体"/>
                <w:sz w:val="21"/>
                <w:szCs w:val="21"/>
                <w:lang w:val="en-US" w:eastAsia="zh-CN"/>
              </w:rPr>
              <w:t>5</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665A0A0E">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kern w:val="0"/>
                <w:sz w:val="21"/>
                <w:szCs w:val="21"/>
                <w:lang w:val="en-US" w:eastAsia="zh-CN" w:bidi="ar-SA"/>
              </w:rPr>
            </w:pPr>
            <w:r>
              <w:rPr>
                <w:rFonts w:hint="eastAsia" w:ascii="宋体" w:hAnsi="宋体" w:eastAsia="宋体" w:cs="宋体"/>
                <w:sz w:val="21"/>
                <w:szCs w:val="21"/>
              </w:rPr>
              <w:t>主观评审</w:t>
            </w:r>
          </w:p>
        </w:tc>
      </w:tr>
      <w:tr w14:paraId="0B3A1E1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659368CC">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tcBorders>
              <w:left w:val="single" w:color="auto" w:sz="4" w:space="0"/>
              <w:bottom w:val="single" w:color="auto" w:sz="4" w:space="0"/>
              <w:right w:val="single" w:color="auto" w:sz="4" w:space="0"/>
            </w:tcBorders>
            <w:noWrap w:val="0"/>
            <w:vAlign w:val="center"/>
          </w:tcPr>
          <w:p w14:paraId="5426718F">
            <w:pPr>
              <w:keepNext w:val="0"/>
              <w:keepLines w:val="0"/>
              <w:pageBreakBefore w:val="0"/>
              <w:suppressLineNumbers w:val="0"/>
              <w:tabs>
                <w:tab w:val="left" w:pos="0"/>
              </w:tabs>
              <w:kinsoku/>
              <w:wordWrap/>
              <w:overflowPunct/>
              <w:topLinePunct w:val="0"/>
              <w:bidi w:val="0"/>
              <w:spacing w:before="0" w:beforeAutospacing="0" w:after="0" w:afterAutospacing="0" w:line="240" w:lineRule="auto"/>
              <w:ind w:left="0" w:right="0"/>
              <w:jc w:val="left"/>
              <w:rPr>
                <w:rFonts w:hint="eastAsia" w:ascii="宋体" w:hAnsi="宋体" w:eastAsia="宋体" w:cs="宋体"/>
                <w:sz w:val="21"/>
                <w:szCs w:val="21"/>
                <w:lang w:val="en-US" w:eastAsia="zh-CN"/>
              </w:rPr>
            </w:pPr>
            <w:r>
              <w:rPr>
                <w:rFonts w:hint="eastAsia" w:ascii="宋体" w:hAnsi="宋体" w:cs="宋体"/>
                <w:sz w:val="21"/>
                <w:szCs w:val="21"/>
                <w:lang w:val="en-US" w:eastAsia="zh-CN"/>
              </w:rPr>
              <w:t>7</w:t>
            </w:r>
            <w:r>
              <w:rPr>
                <w:rFonts w:hint="eastAsia" w:ascii="宋体" w:hAnsi="宋体" w:eastAsia="宋体" w:cs="宋体"/>
                <w:sz w:val="21"/>
                <w:szCs w:val="21"/>
                <w:lang w:val="en-US" w:eastAsia="zh-CN"/>
              </w:rPr>
              <w:t>、应急服务（5分）</w:t>
            </w:r>
          </w:p>
        </w:tc>
        <w:tc>
          <w:tcPr>
            <w:tcW w:w="5541" w:type="dxa"/>
            <w:tcBorders>
              <w:top w:val="single" w:color="auto" w:sz="4" w:space="0"/>
              <w:left w:val="single" w:color="auto" w:sz="4" w:space="0"/>
              <w:bottom w:val="single" w:color="auto" w:sz="4" w:space="0"/>
              <w:right w:val="single" w:color="auto" w:sz="4" w:space="0"/>
            </w:tcBorders>
            <w:noWrap w:val="0"/>
            <w:vAlign w:val="center"/>
          </w:tcPr>
          <w:p w14:paraId="4F121570">
            <w:pPr>
              <w:keepNext w:val="0"/>
              <w:keepLines w:val="0"/>
              <w:pageBreakBefore w:val="0"/>
              <w:widowControl/>
              <w:numPr>
                <w:ilvl w:val="0"/>
                <w:numId w:val="0"/>
              </w:numPr>
              <w:suppressLineNumbers w:val="0"/>
              <w:pBdr>
                <w:top w:val="none" w:color="auto" w:sz="0" w:space="1"/>
                <w:left w:val="none" w:color="auto" w:sz="0" w:space="4"/>
                <w:bottom w:val="none" w:color="auto" w:sz="0" w:space="1"/>
                <w:right w:val="none" w:color="auto" w:sz="0" w:space="4"/>
              </w:pBdr>
              <w:kinsoku/>
              <w:wordWrap/>
              <w:overflowPunct/>
              <w:topLinePunct w:val="0"/>
              <w:bidi w:val="0"/>
              <w:adjustRightInd/>
              <w:snapToGrid/>
              <w:spacing w:before="0" w:beforeAutospacing="0" w:after="0" w:afterAutospacing="0" w:line="240" w:lineRule="auto"/>
              <w:ind w:left="0" w:leftChars="0" w:right="0" w:rightChars="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根据</w:t>
            </w:r>
            <w:r>
              <w:rPr>
                <w:rFonts w:hint="eastAsia" w:ascii="宋体" w:hAnsi="宋体" w:eastAsia="宋体" w:cs="宋体"/>
                <w:kern w:val="0"/>
                <w:sz w:val="21"/>
                <w:szCs w:val="21"/>
                <w:lang w:val="en-US" w:eastAsia="zh-CN"/>
              </w:rPr>
              <w:t>投标单位针对本项目制定的应急服务方案及应急管理制度，包括预警预防机制、应急措施、现场处置措施、人员储备等内容进行</w:t>
            </w:r>
            <w:r>
              <w:rPr>
                <w:rFonts w:hint="eastAsia" w:ascii="宋体" w:hAnsi="宋体" w:eastAsia="宋体" w:cs="宋体"/>
                <w:color w:val="auto"/>
                <w:sz w:val="21"/>
                <w:szCs w:val="21"/>
              </w:rPr>
              <w:t>评议：</w:t>
            </w:r>
          </w:p>
          <w:p w14:paraId="7DEC7F68">
            <w:pPr>
              <w:keepNext w:val="0"/>
              <w:keepLines w:val="0"/>
              <w:pageBreakBefore w:val="0"/>
              <w:widowControl/>
              <w:numPr>
                <w:ilvl w:val="0"/>
                <w:numId w:val="4"/>
              </w:numPr>
              <w:suppressLineNumbers w:val="0"/>
              <w:pBdr>
                <w:top w:val="none" w:color="auto" w:sz="0" w:space="1"/>
                <w:left w:val="none" w:color="auto" w:sz="0" w:space="4"/>
                <w:bottom w:val="none" w:color="auto" w:sz="0" w:space="1"/>
                <w:right w:val="none" w:color="auto" w:sz="0" w:space="4"/>
              </w:pBdr>
              <w:kinsoku/>
              <w:wordWrap/>
              <w:overflowPunct/>
              <w:topLinePunct w:val="0"/>
              <w:bidi w:val="0"/>
              <w:adjustRightInd/>
              <w:snapToGrid/>
              <w:spacing w:before="0" w:beforeAutospacing="0" w:after="0" w:afterAutospacing="0" w:line="240" w:lineRule="auto"/>
              <w:ind w:left="420" w:leftChars="0" w:right="0" w:rightChars="0" w:hanging="420" w:firstLineChars="0"/>
              <w:jc w:val="left"/>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应急方案与制度完善</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应急措施完备且常演练，现场处置科学，人员储备合理训练足</w:t>
            </w:r>
            <w:r>
              <w:rPr>
                <w:rFonts w:hint="eastAsia" w:ascii="宋体" w:hAnsi="宋体" w:eastAsia="宋体" w:cs="宋体"/>
                <w:color w:val="auto"/>
                <w:sz w:val="21"/>
                <w:szCs w:val="21"/>
                <w:lang w:eastAsia="zh-CN"/>
              </w:rPr>
              <w:t>的</w:t>
            </w:r>
            <w:r>
              <w:rPr>
                <w:rFonts w:hint="eastAsia" w:ascii="宋体" w:hAnsi="宋体" w:eastAsia="宋体" w:cs="宋体"/>
                <w:color w:val="auto"/>
                <w:sz w:val="21"/>
                <w:szCs w:val="21"/>
                <w:lang w:val="en-US" w:eastAsia="zh-CN"/>
              </w:rPr>
              <w:t>得5分；</w:t>
            </w:r>
          </w:p>
          <w:p w14:paraId="17233BF0">
            <w:pPr>
              <w:keepNext w:val="0"/>
              <w:keepLines w:val="0"/>
              <w:pageBreakBefore w:val="0"/>
              <w:widowControl/>
              <w:numPr>
                <w:ilvl w:val="0"/>
                <w:numId w:val="4"/>
              </w:numPr>
              <w:suppressLineNumbers w:val="0"/>
              <w:pBdr>
                <w:top w:val="none" w:color="auto" w:sz="0" w:space="1"/>
                <w:left w:val="none" w:color="auto" w:sz="0" w:space="4"/>
                <w:bottom w:val="none" w:color="auto" w:sz="0" w:space="1"/>
                <w:right w:val="none" w:color="auto" w:sz="0" w:space="4"/>
              </w:pBdr>
              <w:kinsoku/>
              <w:wordWrap/>
              <w:overflowPunct/>
              <w:topLinePunct w:val="0"/>
              <w:bidi w:val="0"/>
              <w:adjustRightInd/>
              <w:snapToGrid/>
              <w:spacing w:before="0" w:beforeAutospacing="0" w:after="0" w:afterAutospacing="0" w:line="240" w:lineRule="auto"/>
              <w:ind w:left="420" w:leftChars="0" w:right="0" w:rightChars="0" w:hanging="420" w:firstLineChars="0"/>
              <w:jc w:val="left"/>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应急方案与制度</w:t>
            </w:r>
            <w:r>
              <w:rPr>
                <w:rFonts w:hint="eastAsia" w:ascii="宋体" w:hAnsi="宋体" w:eastAsia="宋体" w:cs="宋体"/>
                <w:color w:val="auto"/>
                <w:sz w:val="21"/>
                <w:szCs w:val="21"/>
                <w:lang w:val="en-US" w:eastAsia="zh-CN"/>
              </w:rPr>
              <w:t>有基本框架但需完善，应急应对特殊场景不足覆盖不全，现场处置流程待细化，人员储备部分专业短缺的得3分；</w:t>
            </w:r>
          </w:p>
          <w:p w14:paraId="4E29C3BE">
            <w:pPr>
              <w:keepNext w:val="0"/>
              <w:keepLines w:val="0"/>
              <w:pageBreakBefore w:val="0"/>
              <w:widowControl/>
              <w:numPr>
                <w:ilvl w:val="0"/>
                <w:numId w:val="4"/>
              </w:numPr>
              <w:suppressLineNumbers w:val="0"/>
              <w:pBdr>
                <w:top w:val="none" w:color="auto" w:sz="0" w:space="1"/>
                <w:left w:val="none" w:color="auto" w:sz="0" w:space="4"/>
                <w:bottom w:val="none" w:color="auto" w:sz="0" w:space="1"/>
                <w:right w:val="none" w:color="auto" w:sz="0" w:space="4"/>
              </w:pBdr>
              <w:kinsoku/>
              <w:wordWrap/>
              <w:overflowPunct/>
              <w:topLinePunct w:val="0"/>
              <w:bidi w:val="0"/>
              <w:adjustRightInd/>
              <w:snapToGrid/>
              <w:spacing w:before="0" w:beforeAutospacing="0" w:after="0" w:afterAutospacing="0" w:line="240" w:lineRule="auto"/>
              <w:ind w:left="420" w:leftChars="0" w:right="0" w:rightChars="0" w:hanging="420" w:firstLineChars="0"/>
              <w:jc w:val="left"/>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方案制度缺陷严重，应急无应对策略，现场处置无序，人员储备严重不足的得1分；</w:t>
            </w:r>
          </w:p>
          <w:p w14:paraId="6073492A">
            <w:pPr>
              <w:keepNext w:val="0"/>
              <w:keepLines w:val="0"/>
              <w:pageBreakBefore w:val="0"/>
              <w:widowControl/>
              <w:numPr>
                <w:ilvl w:val="0"/>
                <w:numId w:val="4"/>
              </w:numPr>
              <w:suppressLineNumbers w:val="0"/>
              <w:pBdr>
                <w:top w:val="none" w:color="auto" w:sz="0" w:space="1"/>
                <w:left w:val="none" w:color="auto" w:sz="0" w:space="4"/>
                <w:bottom w:val="none" w:color="auto" w:sz="0" w:space="1"/>
                <w:right w:val="none" w:color="auto" w:sz="0" w:space="4"/>
              </w:pBdr>
              <w:kinsoku/>
              <w:wordWrap/>
              <w:overflowPunct/>
              <w:topLinePunct w:val="0"/>
              <w:bidi w:val="0"/>
              <w:adjustRightInd/>
              <w:snapToGrid/>
              <w:spacing w:before="0" w:beforeAutospacing="0" w:after="0" w:afterAutospacing="0" w:line="240" w:lineRule="auto"/>
              <w:ind w:left="420" w:leftChars="0" w:right="0" w:rightChars="0" w:hanging="420" w:firstLineChars="0"/>
              <w:jc w:val="left"/>
              <w:textAlignment w:val="auto"/>
              <w:outlineLvl w:val="9"/>
              <w:rPr>
                <w:rFonts w:hint="eastAsia" w:ascii="宋体" w:hAnsi="宋体" w:eastAsia="宋体" w:cs="宋体"/>
                <w:kern w:val="0"/>
                <w:sz w:val="21"/>
                <w:szCs w:val="21"/>
                <w:lang w:val="en-US" w:eastAsia="zh-CN"/>
              </w:rPr>
            </w:pPr>
            <w:r>
              <w:rPr>
                <w:rFonts w:hint="eastAsia" w:ascii="宋体" w:hAnsi="宋体" w:eastAsia="宋体" w:cs="宋体"/>
                <w:bCs/>
                <w:color w:val="auto"/>
                <w:kern w:val="0"/>
                <w:sz w:val="21"/>
                <w:szCs w:val="21"/>
                <w:highlight w:val="none"/>
                <w:lang w:val="en-US" w:eastAsia="zh-CN"/>
              </w:rPr>
              <w:t>未提供相关内容的不得分。</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22BCB77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075638D6">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sz w:val="21"/>
                <w:szCs w:val="21"/>
              </w:rPr>
            </w:pPr>
            <w:r>
              <w:rPr>
                <w:rFonts w:hint="eastAsia" w:ascii="宋体" w:hAnsi="宋体" w:eastAsia="宋体" w:cs="宋体"/>
                <w:sz w:val="21"/>
                <w:szCs w:val="21"/>
              </w:rPr>
              <w:t>主观评审</w:t>
            </w:r>
          </w:p>
        </w:tc>
      </w:tr>
      <w:tr w14:paraId="4D9F45C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21F96F76">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tcBorders>
              <w:left w:val="single" w:color="auto" w:sz="4" w:space="0"/>
              <w:bottom w:val="single" w:color="auto" w:sz="4" w:space="0"/>
              <w:right w:val="single" w:color="auto" w:sz="4" w:space="0"/>
            </w:tcBorders>
            <w:noWrap w:val="0"/>
            <w:vAlign w:val="center"/>
          </w:tcPr>
          <w:p w14:paraId="673CF987">
            <w:pPr>
              <w:keepNext w:val="0"/>
              <w:keepLines w:val="0"/>
              <w:pageBreakBefore w:val="0"/>
              <w:suppressLineNumbers w:val="0"/>
              <w:tabs>
                <w:tab w:val="left" w:pos="0"/>
              </w:tabs>
              <w:kinsoku/>
              <w:wordWrap/>
              <w:overflowPunct/>
              <w:topLinePunct w:val="0"/>
              <w:bidi w:val="0"/>
              <w:spacing w:before="0" w:beforeAutospacing="0" w:after="0" w:afterAutospacing="0" w:line="240" w:lineRule="auto"/>
              <w:ind w:left="0" w:right="0"/>
              <w:jc w:val="left"/>
              <w:rPr>
                <w:rFonts w:hint="eastAsia" w:ascii="宋体" w:hAnsi="宋体" w:eastAsia="宋体" w:cs="宋体"/>
                <w:sz w:val="21"/>
                <w:szCs w:val="21"/>
                <w:lang w:val="en-US" w:eastAsia="zh-CN"/>
              </w:rPr>
            </w:pPr>
            <w:r>
              <w:rPr>
                <w:rFonts w:hint="eastAsia" w:ascii="宋体" w:hAnsi="宋体" w:cs="宋体"/>
                <w:sz w:val="21"/>
                <w:szCs w:val="21"/>
                <w:lang w:val="en-US" w:eastAsia="zh-CN"/>
              </w:rPr>
              <w:t>8</w:t>
            </w:r>
            <w:r>
              <w:rPr>
                <w:rFonts w:hint="eastAsia" w:ascii="宋体" w:hAnsi="宋体" w:eastAsia="宋体" w:cs="宋体"/>
                <w:sz w:val="21"/>
                <w:szCs w:val="21"/>
                <w:lang w:val="en-US" w:eastAsia="zh-CN"/>
              </w:rPr>
              <w:t>、培训</w:t>
            </w:r>
            <w:r>
              <w:rPr>
                <w:rFonts w:hint="eastAsia" w:ascii="宋体" w:hAnsi="宋体" w:cs="宋体"/>
                <w:sz w:val="21"/>
                <w:szCs w:val="21"/>
                <w:lang w:val="en-US" w:eastAsia="zh-CN"/>
              </w:rPr>
              <w:t>方案</w:t>
            </w:r>
            <w:r>
              <w:rPr>
                <w:rFonts w:hint="eastAsia" w:ascii="宋体" w:hAnsi="宋体" w:eastAsia="宋体" w:cs="宋体"/>
                <w:sz w:val="21"/>
                <w:szCs w:val="21"/>
                <w:lang w:val="en-US" w:eastAsia="zh-CN"/>
              </w:rPr>
              <w:t>（</w:t>
            </w:r>
            <w:r>
              <w:rPr>
                <w:rFonts w:hint="eastAsia" w:ascii="宋体" w:hAnsi="宋体" w:cs="宋体"/>
                <w:sz w:val="21"/>
                <w:szCs w:val="21"/>
                <w:lang w:val="en-US" w:eastAsia="zh-CN"/>
              </w:rPr>
              <w:t>5</w:t>
            </w:r>
            <w:r>
              <w:rPr>
                <w:rFonts w:hint="eastAsia" w:ascii="宋体" w:hAnsi="宋体" w:eastAsia="宋体" w:cs="宋体"/>
                <w:sz w:val="21"/>
                <w:szCs w:val="21"/>
                <w:lang w:val="en-US" w:eastAsia="zh-CN"/>
              </w:rPr>
              <w:t>分）</w:t>
            </w:r>
          </w:p>
        </w:tc>
        <w:tc>
          <w:tcPr>
            <w:tcW w:w="5541" w:type="dxa"/>
            <w:tcBorders>
              <w:top w:val="single" w:color="auto" w:sz="4" w:space="0"/>
              <w:left w:val="single" w:color="auto" w:sz="4" w:space="0"/>
              <w:bottom w:val="single" w:color="auto" w:sz="4" w:space="0"/>
              <w:right w:val="single" w:color="auto" w:sz="4" w:space="0"/>
            </w:tcBorders>
            <w:noWrap w:val="0"/>
            <w:vAlign w:val="center"/>
          </w:tcPr>
          <w:p w14:paraId="210F9123">
            <w:pPr>
              <w:keepNext w:val="0"/>
              <w:keepLines w:val="0"/>
              <w:pageBreakBefore w:val="0"/>
              <w:widowControl w:val="0"/>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0" w:right="0" w:firstLine="0"/>
              <w:jc w:val="both"/>
              <w:textAlignment w:val="auto"/>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根据投标单位针对本项目制定的技术培训服务方案（培训内容、培训形式、培训安排）进行评议：</w:t>
            </w:r>
          </w:p>
          <w:p w14:paraId="1A22E98B">
            <w:pPr>
              <w:keepNext w:val="0"/>
              <w:keepLines w:val="0"/>
              <w:pageBreakBefore w:val="0"/>
              <w:widowControl w:val="0"/>
              <w:numPr>
                <w:ilvl w:val="0"/>
                <w:numId w:val="4"/>
              </w:numPr>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420" w:leftChars="0" w:right="0" w:hanging="420" w:firstLineChars="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培训方案内容全面深入，形式创新多样，安排科学灵活，各方面均表现出色的得</w:t>
            </w:r>
            <w:r>
              <w:rPr>
                <w:rFonts w:hint="eastAsia" w:ascii="宋体" w:hAnsi="宋体" w:cs="宋体"/>
                <w:kern w:val="0"/>
                <w:sz w:val="21"/>
                <w:szCs w:val="21"/>
                <w:lang w:val="en-US" w:eastAsia="zh-CN" w:bidi="ar-SA"/>
              </w:rPr>
              <w:t>5</w:t>
            </w:r>
            <w:r>
              <w:rPr>
                <w:rFonts w:hint="eastAsia" w:ascii="宋体" w:hAnsi="宋体" w:eastAsia="宋体" w:cs="宋体"/>
                <w:kern w:val="0"/>
                <w:sz w:val="21"/>
                <w:szCs w:val="21"/>
                <w:lang w:val="en-US" w:eastAsia="zh-CN" w:bidi="ar-SA"/>
              </w:rPr>
              <w:t>分；</w:t>
            </w:r>
          </w:p>
          <w:p w14:paraId="3759EB98">
            <w:pPr>
              <w:keepNext w:val="0"/>
              <w:keepLines w:val="0"/>
              <w:pageBreakBefore w:val="0"/>
              <w:widowControl w:val="0"/>
              <w:numPr>
                <w:ilvl w:val="0"/>
                <w:numId w:val="4"/>
              </w:numPr>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420" w:leftChars="0" w:right="0" w:hanging="420" w:firstLineChars="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培训方案内容较丰富，形式较多样，安排较合理，整体良好但有提升空间的得</w:t>
            </w:r>
            <w:r>
              <w:rPr>
                <w:rFonts w:hint="eastAsia" w:ascii="宋体" w:hAnsi="宋体" w:cs="宋体"/>
                <w:kern w:val="0"/>
                <w:sz w:val="21"/>
                <w:szCs w:val="21"/>
                <w:lang w:val="en-US" w:eastAsia="zh-CN" w:bidi="ar-SA"/>
              </w:rPr>
              <w:t>3</w:t>
            </w:r>
            <w:r>
              <w:rPr>
                <w:rFonts w:hint="eastAsia" w:ascii="宋体" w:hAnsi="宋体" w:eastAsia="宋体" w:cs="宋体"/>
                <w:kern w:val="0"/>
                <w:sz w:val="21"/>
                <w:szCs w:val="21"/>
                <w:lang w:val="en-US" w:eastAsia="zh-CN" w:bidi="ar-SA"/>
              </w:rPr>
              <w:t>分；</w:t>
            </w:r>
          </w:p>
          <w:p w14:paraId="497B987B">
            <w:pPr>
              <w:keepNext w:val="0"/>
              <w:keepLines w:val="0"/>
              <w:pageBreakBefore w:val="0"/>
              <w:widowControl w:val="0"/>
              <w:numPr>
                <w:ilvl w:val="0"/>
                <w:numId w:val="4"/>
              </w:numPr>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420" w:leftChars="0" w:right="0" w:hanging="420" w:firstLineChars="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培训方案内容欠丰富，形式欠多样，安排欠合理，存在明显不足的得1分；</w:t>
            </w:r>
          </w:p>
          <w:p w14:paraId="2A298599">
            <w:pPr>
              <w:keepNext w:val="0"/>
              <w:keepLines w:val="0"/>
              <w:pageBreakBefore w:val="0"/>
              <w:widowControl w:val="0"/>
              <w:numPr>
                <w:ilvl w:val="0"/>
                <w:numId w:val="4"/>
              </w:numPr>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420" w:leftChars="0" w:right="0" w:hanging="420" w:firstLineChars="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bCs/>
                <w:color w:val="auto"/>
                <w:kern w:val="0"/>
                <w:sz w:val="21"/>
                <w:szCs w:val="21"/>
                <w:highlight w:val="none"/>
                <w:lang w:val="en-US" w:eastAsia="zh-CN"/>
              </w:rPr>
              <w:t>未提供相关内容的不得分。</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582FA3B3">
            <w:pPr>
              <w:keepNext w:val="0"/>
              <w:keepLines w:val="0"/>
              <w:pageBreakBefore w:val="0"/>
              <w:widowControl w:val="0"/>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kern w:val="0"/>
                <w:sz w:val="21"/>
                <w:szCs w:val="21"/>
                <w:lang w:val="en-US" w:eastAsia="zh-CN" w:bidi="ar-SA"/>
              </w:rPr>
            </w:pPr>
            <w:r>
              <w:rPr>
                <w:rFonts w:hint="eastAsia" w:ascii="宋体" w:hAnsi="宋体" w:cs="宋体"/>
                <w:kern w:val="0"/>
                <w:sz w:val="21"/>
                <w:szCs w:val="21"/>
                <w:lang w:val="en-US" w:eastAsia="zh-CN"/>
              </w:rPr>
              <w:t>5</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3776E36C">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kern w:val="0"/>
                <w:sz w:val="21"/>
                <w:szCs w:val="21"/>
                <w:lang w:val="en-US" w:eastAsia="zh-CN" w:bidi="ar-SA"/>
              </w:rPr>
            </w:pPr>
            <w:r>
              <w:rPr>
                <w:rFonts w:hint="eastAsia" w:ascii="宋体" w:hAnsi="宋体" w:eastAsia="宋体" w:cs="宋体"/>
                <w:sz w:val="21"/>
                <w:szCs w:val="21"/>
              </w:rPr>
              <w:t>主观评审</w:t>
            </w:r>
          </w:p>
        </w:tc>
      </w:tr>
      <w:tr w14:paraId="74A27FE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1F39DB90">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vMerge w:val="restart"/>
            <w:tcBorders>
              <w:left w:val="single" w:color="auto" w:sz="4" w:space="0"/>
              <w:right w:val="single" w:color="auto" w:sz="4" w:space="0"/>
            </w:tcBorders>
            <w:noWrap w:val="0"/>
            <w:vAlign w:val="center"/>
          </w:tcPr>
          <w:p w14:paraId="76052DEE">
            <w:pPr>
              <w:keepNext w:val="0"/>
              <w:keepLines w:val="0"/>
              <w:pageBreakBefore w:val="0"/>
              <w:suppressLineNumbers w:val="0"/>
              <w:tabs>
                <w:tab w:val="left" w:pos="0"/>
              </w:tabs>
              <w:kinsoku/>
              <w:wordWrap/>
              <w:overflowPunct/>
              <w:topLinePunct w:val="0"/>
              <w:bidi w:val="0"/>
              <w:spacing w:before="0" w:beforeAutospacing="0" w:after="0" w:afterAutospacing="0" w:line="240" w:lineRule="auto"/>
              <w:ind w:left="0" w:right="0"/>
              <w:jc w:val="left"/>
              <w:rPr>
                <w:rFonts w:hint="eastAsia" w:ascii="宋体" w:hAnsi="宋体" w:eastAsia="宋体" w:cs="宋体"/>
                <w:sz w:val="21"/>
                <w:szCs w:val="21"/>
                <w:lang w:val="en-US" w:eastAsia="zh-CN"/>
              </w:rPr>
            </w:pPr>
            <w:r>
              <w:rPr>
                <w:rFonts w:hint="eastAsia" w:ascii="宋体" w:hAnsi="宋体" w:cs="宋体"/>
                <w:sz w:val="21"/>
                <w:szCs w:val="21"/>
                <w:lang w:val="en-US" w:eastAsia="zh-CN"/>
              </w:rPr>
              <w:t>9</w:t>
            </w:r>
            <w:r>
              <w:rPr>
                <w:rFonts w:hint="eastAsia" w:ascii="宋体" w:hAnsi="宋体" w:eastAsia="宋体" w:cs="宋体"/>
                <w:sz w:val="21"/>
                <w:szCs w:val="21"/>
                <w:lang w:val="en-US" w:eastAsia="zh-CN"/>
              </w:rPr>
              <w:t>、履约能力（5分）</w:t>
            </w:r>
          </w:p>
        </w:tc>
        <w:tc>
          <w:tcPr>
            <w:tcW w:w="554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3E8C3D">
            <w:pPr>
              <w:keepNext w:val="0"/>
              <w:keepLines w:val="0"/>
              <w:pageBreakBefore w:val="0"/>
              <w:kinsoku/>
              <w:wordWrap/>
              <w:overflowPunct/>
              <w:topLinePunct w:val="0"/>
              <w:bidi w:val="0"/>
              <w:spacing w:line="240" w:lineRule="auto"/>
              <w:rPr>
                <w:rFonts w:hint="eastAsia" w:ascii="宋体" w:hAnsi="宋体" w:eastAsia="宋体" w:cs="宋体"/>
                <w:sz w:val="21"/>
                <w:szCs w:val="21"/>
                <w:lang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投标单位</w:t>
            </w:r>
            <w:r>
              <w:rPr>
                <w:rFonts w:hint="eastAsia" w:ascii="宋体" w:hAnsi="宋体" w:eastAsia="宋体" w:cs="宋体"/>
                <w:sz w:val="21"/>
                <w:szCs w:val="21"/>
              </w:rPr>
              <w:t>具有有效的质量管理体系认证证书的得1分、具有环境管理体系认证证书的得1分、具有职业健康与安全管理系统认证证书的得1分，满分3分</w:t>
            </w:r>
            <w:r>
              <w:rPr>
                <w:rFonts w:hint="eastAsia" w:ascii="宋体" w:hAnsi="宋体" w:eastAsia="宋体" w:cs="宋体"/>
                <w:sz w:val="21"/>
                <w:szCs w:val="21"/>
                <w:lang w:eastAsia="zh-CN"/>
              </w:rPr>
              <w:t>。</w:t>
            </w:r>
          </w:p>
          <w:p w14:paraId="2EF6B895">
            <w:pPr>
              <w:keepNext w:val="0"/>
              <w:keepLines w:val="0"/>
              <w:pageBreakBefore w:val="0"/>
              <w:kinsoku/>
              <w:wordWrap/>
              <w:overflowPunct/>
              <w:topLinePunct w:val="0"/>
              <w:bidi w:val="0"/>
              <w:spacing w:line="24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注：</w:t>
            </w:r>
            <w:r>
              <w:rPr>
                <w:rFonts w:hint="eastAsia" w:ascii="宋体" w:hAnsi="宋体" w:eastAsia="宋体" w:cs="宋体"/>
                <w:sz w:val="21"/>
                <w:szCs w:val="21"/>
                <w:lang w:eastAsia="zh-CN"/>
              </w:rPr>
              <w:t>投标文件</w:t>
            </w:r>
            <w:r>
              <w:rPr>
                <w:rFonts w:hint="eastAsia" w:ascii="宋体" w:hAnsi="宋体" w:eastAsia="宋体" w:cs="宋体"/>
                <w:sz w:val="21"/>
                <w:szCs w:val="21"/>
              </w:rPr>
              <w:t>中须同时提供证书复印件和“国家市场监督管理总局全国认证认可信息公共服务平台”查询结果截图加盖公章，未提供</w:t>
            </w:r>
            <w:r>
              <w:rPr>
                <w:rFonts w:hint="eastAsia" w:ascii="宋体" w:hAnsi="宋体" w:eastAsia="宋体" w:cs="宋体"/>
                <w:sz w:val="21"/>
                <w:szCs w:val="21"/>
                <w:lang w:val="en-US" w:eastAsia="zh-CN"/>
              </w:rPr>
              <w:t>证明材料</w:t>
            </w:r>
            <w:r>
              <w:rPr>
                <w:rFonts w:hint="eastAsia" w:ascii="宋体" w:hAnsi="宋体" w:eastAsia="宋体" w:cs="宋体"/>
                <w:sz w:val="21"/>
                <w:szCs w:val="21"/>
              </w:rPr>
              <w:t>或</w:t>
            </w:r>
            <w:r>
              <w:rPr>
                <w:rFonts w:hint="eastAsia" w:ascii="宋体" w:hAnsi="宋体" w:eastAsia="宋体" w:cs="宋体"/>
                <w:sz w:val="21"/>
                <w:szCs w:val="21"/>
                <w:lang w:val="en-US" w:eastAsia="zh-CN"/>
              </w:rPr>
              <w:t>相应证明材料</w:t>
            </w:r>
            <w:r>
              <w:rPr>
                <w:rFonts w:hint="eastAsia" w:ascii="宋体" w:hAnsi="宋体" w:eastAsia="宋体" w:cs="宋体"/>
                <w:sz w:val="21"/>
                <w:szCs w:val="21"/>
              </w:rPr>
              <w:t>提供不全的不得分。</w:t>
            </w:r>
          </w:p>
        </w:tc>
        <w:tc>
          <w:tcPr>
            <w:tcW w:w="72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6F0F43">
            <w:pPr>
              <w:keepNext w:val="0"/>
              <w:keepLines w:val="0"/>
              <w:pageBreakBefore w:val="0"/>
              <w:widowControl w:val="0"/>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lang w:val="en-US" w:eastAsia="zh-CN"/>
              </w:rPr>
              <w:t>3</w:t>
            </w:r>
          </w:p>
        </w:tc>
        <w:tc>
          <w:tcPr>
            <w:tcW w:w="799"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14E5A4F1">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客观评审</w:t>
            </w:r>
          </w:p>
        </w:tc>
      </w:tr>
      <w:tr w14:paraId="19A7811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left w:val="single" w:color="auto" w:sz="2" w:space="0"/>
              <w:right w:val="single" w:color="auto" w:sz="4" w:space="0"/>
            </w:tcBorders>
            <w:noWrap w:val="0"/>
            <w:vAlign w:val="center"/>
          </w:tcPr>
          <w:p w14:paraId="646E9082">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color w:val="auto"/>
                <w:kern w:val="0"/>
                <w:sz w:val="21"/>
                <w:szCs w:val="21"/>
                <w:highlight w:val="none"/>
                <w:lang w:val="en-US" w:eastAsia="zh-CN" w:bidi="ar"/>
              </w:rPr>
            </w:pPr>
          </w:p>
        </w:tc>
        <w:tc>
          <w:tcPr>
            <w:tcW w:w="1220" w:type="dxa"/>
            <w:vMerge w:val="continue"/>
            <w:tcBorders>
              <w:left w:val="single" w:color="auto" w:sz="4" w:space="0"/>
              <w:right w:val="single" w:color="auto" w:sz="4" w:space="0"/>
            </w:tcBorders>
            <w:noWrap w:val="0"/>
            <w:vAlign w:val="center"/>
          </w:tcPr>
          <w:p w14:paraId="5A7084B4">
            <w:pPr>
              <w:keepNext w:val="0"/>
              <w:keepLines w:val="0"/>
              <w:pageBreakBefore w:val="0"/>
              <w:suppressLineNumbers w:val="0"/>
              <w:tabs>
                <w:tab w:val="left" w:pos="0"/>
              </w:tabs>
              <w:kinsoku/>
              <w:wordWrap/>
              <w:overflowPunct/>
              <w:topLinePunct w:val="0"/>
              <w:bidi w:val="0"/>
              <w:spacing w:before="0" w:beforeAutospacing="0" w:after="0" w:afterAutospacing="0" w:line="240" w:lineRule="auto"/>
              <w:ind w:left="0" w:right="0"/>
              <w:jc w:val="left"/>
              <w:rPr>
                <w:rFonts w:hint="eastAsia" w:ascii="宋体" w:hAnsi="宋体" w:eastAsia="宋体" w:cs="宋体"/>
                <w:sz w:val="21"/>
                <w:szCs w:val="21"/>
                <w:lang w:val="en-US" w:eastAsia="zh-CN"/>
              </w:rPr>
            </w:pPr>
          </w:p>
        </w:tc>
        <w:tc>
          <w:tcPr>
            <w:tcW w:w="554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D76690">
            <w:pPr>
              <w:keepNext w:val="0"/>
              <w:keepLines w:val="0"/>
              <w:pageBreakBefore w:val="0"/>
              <w:widowControl/>
              <w:suppressLineNumbers w:val="0"/>
              <w:kinsoku/>
              <w:wordWrap/>
              <w:overflowPunct/>
              <w:topLinePunct w:val="0"/>
              <w:autoSpaceDE/>
              <w:autoSpaceDN/>
              <w:bidi w:val="0"/>
              <w:snapToGrid/>
              <w:spacing w:before="0" w:beforeAutospacing="0" w:after="0" w:afterAutospacing="0" w:line="240" w:lineRule="auto"/>
              <w:ind w:left="0" w:right="0"/>
              <w:jc w:val="left"/>
              <w:textAlignment w:val="baseline"/>
              <w:rPr>
                <w:rFonts w:hint="eastAsia" w:ascii="宋体" w:hAnsi="宋体" w:eastAsia="宋体" w:cs="宋体"/>
                <w:color w:val="auto"/>
                <w:kern w:val="2"/>
                <w:sz w:val="21"/>
                <w:szCs w:val="21"/>
                <w:highlight w:val="none"/>
                <w:shd w:val="clear" w:color="auto" w:fill="auto"/>
                <w:lang w:val="en-US" w:eastAsia="zh-CN" w:bidi="zh-CN"/>
              </w:rPr>
            </w:pPr>
            <w:r>
              <w:rPr>
                <w:rFonts w:hint="eastAsia" w:ascii="宋体" w:hAnsi="宋体" w:eastAsia="宋体" w:cs="宋体"/>
                <w:color w:val="auto"/>
                <w:kern w:val="2"/>
                <w:sz w:val="21"/>
                <w:szCs w:val="21"/>
                <w:highlight w:val="none"/>
                <w:shd w:val="clear" w:color="auto" w:fill="auto"/>
                <w:lang w:val="en-US" w:eastAsia="zh-CN" w:bidi="zh-CN"/>
              </w:rPr>
              <w:t>（2）投标单位拥有在有效期内的电镀类废水处理类国家专利的，每项发明专利得0.5分，最高2分。</w:t>
            </w:r>
          </w:p>
          <w:p w14:paraId="3CFFDD5B">
            <w:pPr>
              <w:keepNext w:val="0"/>
              <w:keepLines w:val="0"/>
              <w:pageBreakBefore w:val="0"/>
              <w:widowControl/>
              <w:suppressLineNumbers w:val="0"/>
              <w:kinsoku/>
              <w:wordWrap/>
              <w:overflowPunct/>
              <w:topLinePunct w:val="0"/>
              <w:autoSpaceDE/>
              <w:autoSpaceDN/>
              <w:bidi w:val="0"/>
              <w:snapToGrid/>
              <w:spacing w:before="0" w:beforeAutospacing="0" w:after="0" w:afterAutospacing="0" w:line="240" w:lineRule="auto"/>
              <w:ind w:left="0" w:right="0"/>
              <w:jc w:val="left"/>
              <w:textAlignment w:val="baseline"/>
              <w:rPr>
                <w:rFonts w:hint="eastAsia" w:ascii="宋体" w:hAnsi="宋体" w:eastAsia="宋体" w:cs="宋体"/>
                <w:color w:val="auto"/>
                <w:kern w:val="2"/>
                <w:sz w:val="21"/>
                <w:szCs w:val="21"/>
                <w:highlight w:val="none"/>
                <w:shd w:val="clear" w:color="auto" w:fill="auto"/>
                <w:lang w:val="en-US" w:eastAsia="zh-CN" w:bidi="zh-CN"/>
              </w:rPr>
            </w:pPr>
            <w:r>
              <w:rPr>
                <w:rFonts w:hint="eastAsia" w:ascii="宋体" w:hAnsi="宋体" w:eastAsia="宋体" w:cs="宋体"/>
                <w:color w:val="auto"/>
                <w:kern w:val="2"/>
                <w:sz w:val="21"/>
                <w:szCs w:val="21"/>
                <w:highlight w:val="none"/>
                <w:shd w:val="clear" w:color="auto" w:fill="auto"/>
                <w:lang w:val="en-US" w:eastAsia="zh-CN" w:bidi="zh-CN"/>
              </w:rPr>
              <w:t>注：投标文件中须提供相应证明材料，未提供不得分。</w:t>
            </w:r>
          </w:p>
        </w:tc>
        <w:tc>
          <w:tcPr>
            <w:tcW w:w="72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8B9622">
            <w:pPr>
              <w:keepNext w:val="0"/>
              <w:keepLines w:val="0"/>
              <w:pageBreakBefore w:val="0"/>
              <w:widowControl w:val="0"/>
              <w:suppressLineNumbers w:val="0"/>
              <w:tabs>
                <w:tab w:val="left" w:pos="0"/>
              </w:tabs>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w:t>
            </w:r>
          </w:p>
        </w:tc>
        <w:tc>
          <w:tcPr>
            <w:tcW w:w="799"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65BFF19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sz w:val="21"/>
                <w:szCs w:val="21"/>
              </w:rPr>
            </w:pPr>
            <w:r>
              <w:rPr>
                <w:rFonts w:hint="eastAsia" w:ascii="宋体" w:hAnsi="宋体" w:eastAsia="宋体" w:cs="宋体"/>
                <w:b w:val="0"/>
                <w:bCs w:val="0"/>
                <w:color w:val="auto"/>
                <w:kern w:val="0"/>
                <w:sz w:val="21"/>
                <w:szCs w:val="21"/>
                <w:highlight w:val="none"/>
                <w:lang w:val="en-US" w:eastAsia="zh-CN" w:bidi="ar"/>
              </w:rPr>
              <w:t>客观评审</w:t>
            </w:r>
          </w:p>
        </w:tc>
      </w:tr>
      <w:tr w14:paraId="52F840F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top w:val="single" w:color="auto" w:sz="4" w:space="0"/>
              <w:left w:val="single" w:color="auto" w:sz="2" w:space="0"/>
              <w:bottom w:val="single" w:color="auto" w:sz="4" w:space="0"/>
              <w:right w:val="single" w:color="auto" w:sz="4" w:space="0"/>
            </w:tcBorders>
            <w:noWrap w:val="0"/>
            <w:vAlign w:val="center"/>
          </w:tcPr>
          <w:p w14:paraId="1A817F03">
            <w:pPr>
              <w:keepNext w:val="0"/>
              <w:keepLines w:val="0"/>
              <w:pageBreakBefore w:val="0"/>
              <w:suppressLineNumbers w:val="0"/>
              <w:kinsoku/>
              <w:wordWrap/>
              <w:overflowPunct/>
              <w:topLinePunct w:val="0"/>
              <w:bidi w:val="0"/>
              <w:spacing w:before="0" w:beforeAutospacing="0" w:after="0" w:afterAutospacing="0" w:line="240" w:lineRule="auto"/>
              <w:ind w:left="0" w:right="0"/>
              <w:textAlignment w:val="baseline"/>
              <w:rPr>
                <w:rFonts w:hint="eastAsia" w:ascii="宋体" w:hAnsi="宋体" w:eastAsia="宋体" w:cs="宋体"/>
                <w:color w:val="auto"/>
                <w:kern w:val="0"/>
                <w:sz w:val="21"/>
                <w:szCs w:val="21"/>
                <w:highlight w:val="none"/>
              </w:rPr>
            </w:pPr>
          </w:p>
        </w:tc>
        <w:tc>
          <w:tcPr>
            <w:tcW w:w="1220" w:type="dxa"/>
            <w:vMerge w:val="restart"/>
            <w:tcBorders>
              <w:top w:val="single" w:color="auto" w:sz="4" w:space="0"/>
              <w:left w:val="single" w:color="auto" w:sz="4" w:space="0"/>
              <w:right w:val="single" w:color="auto" w:sz="4" w:space="0"/>
            </w:tcBorders>
            <w:noWrap w:val="0"/>
            <w:vAlign w:val="center"/>
          </w:tcPr>
          <w:p w14:paraId="6F0A02EA">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val="0"/>
                <w:bCs w:val="0"/>
                <w:color w:val="auto"/>
                <w:kern w:val="0"/>
                <w:sz w:val="21"/>
                <w:szCs w:val="21"/>
                <w:highlight w:val="none"/>
              </w:rPr>
            </w:pPr>
            <w:r>
              <w:rPr>
                <w:rFonts w:hint="eastAsia" w:ascii="宋体" w:hAnsi="宋体" w:cs="宋体"/>
                <w:b w:val="0"/>
                <w:bCs w:val="0"/>
                <w:color w:val="auto"/>
                <w:kern w:val="0"/>
                <w:sz w:val="21"/>
                <w:szCs w:val="21"/>
                <w:highlight w:val="none"/>
                <w:lang w:val="en-US" w:eastAsia="zh-CN" w:bidi="ar"/>
              </w:rPr>
              <w:t>10</w:t>
            </w:r>
            <w:r>
              <w:rPr>
                <w:rFonts w:hint="eastAsia" w:ascii="宋体" w:hAnsi="宋体" w:eastAsia="宋体" w:cs="宋体"/>
                <w:b w:val="0"/>
                <w:bCs w:val="0"/>
                <w:color w:val="auto"/>
                <w:kern w:val="0"/>
                <w:sz w:val="21"/>
                <w:szCs w:val="21"/>
                <w:highlight w:val="none"/>
                <w:lang w:val="en-US" w:eastAsia="zh-CN" w:bidi="ar"/>
              </w:rPr>
              <w:t>、业绩（4分）</w:t>
            </w:r>
          </w:p>
        </w:tc>
        <w:tc>
          <w:tcPr>
            <w:tcW w:w="5541" w:type="dxa"/>
            <w:tcBorders>
              <w:top w:val="single" w:color="auto" w:sz="4" w:space="0"/>
              <w:left w:val="single" w:color="auto" w:sz="4" w:space="0"/>
              <w:bottom w:val="single" w:color="auto" w:sz="4" w:space="0"/>
              <w:right w:val="single" w:color="auto" w:sz="4" w:space="0"/>
            </w:tcBorders>
            <w:noWrap w:val="0"/>
            <w:vAlign w:val="center"/>
          </w:tcPr>
          <w:p w14:paraId="5850F1CC">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（1）投标单位自2020年1月1日以来（以合同签订日期为准），具有电镀园区污水处理项目工程总包业绩（含设计、设备采购及安装），每具有一个得0.5分，最高得2分。</w:t>
            </w:r>
          </w:p>
          <w:p w14:paraId="12484E40">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val="0"/>
                <w:bCs w:val="0"/>
                <w:color w:val="auto"/>
                <w:kern w:val="0"/>
                <w:sz w:val="21"/>
                <w:szCs w:val="21"/>
                <w:highlight w:val="none"/>
              </w:rPr>
            </w:pPr>
            <w:r>
              <w:rPr>
                <w:rFonts w:hint="eastAsia" w:ascii="宋体" w:hAnsi="宋体" w:eastAsia="宋体" w:cs="宋体"/>
                <w:b w:val="0"/>
                <w:bCs w:val="0"/>
                <w:color w:val="auto"/>
                <w:kern w:val="0"/>
                <w:sz w:val="21"/>
                <w:szCs w:val="21"/>
                <w:highlight w:val="none"/>
                <w:lang w:val="en-US" w:eastAsia="zh-CN" w:bidi="ar"/>
              </w:rPr>
              <w:t>注：投标文件中须提供合同关键页复印件和工程竣工验收报告，未提供或提供不符合要求的不得分。</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21A580C8">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val="0"/>
                <w:bCs w:val="0"/>
                <w:color w:val="auto"/>
                <w:kern w:val="0"/>
                <w:sz w:val="21"/>
                <w:szCs w:val="21"/>
                <w:highlight w:val="none"/>
                <w:lang w:val="en-US" w:eastAsia="zh-CN" w:bidi="ar"/>
              </w:rPr>
              <w:t>2</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46380F22">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b w:val="0"/>
                <w:bCs w:val="0"/>
                <w:color w:val="auto"/>
                <w:kern w:val="0"/>
                <w:sz w:val="21"/>
                <w:szCs w:val="21"/>
                <w:highlight w:val="none"/>
              </w:rPr>
            </w:pPr>
            <w:r>
              <w:rPr>
                <w:rFonts w:hint="eastAsia" w:ascii="宋体" w:hAnsi="宋体" w:eastAsia="宋体" w:cs="宋体"/>
                <w:b w:val="0"/>
                <w:bCs w:val="0"/>
                <w:color w:val="auto"/>
                <w:kern w:val="0"/>
                <w:sz w:val="21"/>
                <w:szCs w:val="21"/>
                <w:highlight w:val="none"/>
                <w:lang w:val="en-US" w:eastAsia="zh-CN" w:bidi="ar"/>
              </w:rPr>
              <w:t>客观评审</w:t>
            </w:r>
          </w:p>
        </w:tc>
      </w:tr>
      <w:tr w14:paraId="25E0712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top w:val="single" w:color="auto" w:sz="4" w:space="0"/>
              <w:left w:val="single" w:color="auto" w:sz="2" w:space="0"/>
              <w:bottom w:val="single" w:color="auto" w:sz="4" w:space="0"/>
              <w:right w:val="single" w:color="auto" w:sz="4" w:space="0"/>
            </w:tcBorders>
            <w:noWrap w:val="0"/>
            <w:vAlign w:val="center"/>
          </w:tcPr>
          <w:p w14:paraId="77277DA8">
            <w:pPr>
              <w:keepNext w:val="0"/>
              <w:keepLines w:val="0"/>
              <w:pageBreakBefore w:val="0"/>
              <w:suppressLineNumbers w:val="0"/>
              <w:kinsoku/>
              <w:wordWrap/>
              <w:overflowPunct/>
              <w:topLinePunct w:val="0"/>
              <w:bidi w:val="0"/>
              <w:spacing w:before="0" w:beforeAutospacing="0" w:after="0" w:afterAutospacing="0" w:line="240" w:lineRule="auto"/>
              <w:ind w:left="0" w:right="0"/>
              <w:textAlignment w:val="baseline"/>
              <w:rPr>
                <w:rFonts w:hint="eastAsia" w:ascii="宋体" w:hAnsi="宋体" w:eastAsia="宋体" w:cs="宋体"/>
                <w:color w:val="auto"/>
                <w:kern w:val="0"/>
                <w:sz w:val="21"/>
                <w:szCs w:val="21"/>
                <w:highlight w:val="none"/>
              </w:rPr>
            </w:pPr>
          </w:p>
        </w:tc>
        <w:tc>
          <w:tcPr>
            <w:tcW w:w="1220" w:type="dxa"/>
            <w:vMerge w:val="continue"/>
            <w:tcBorders>
              <w:left w:val="single" w:color="auto" w:sz="4" w:space="0"/>
              <w:bottom w:val="single" w:color="auto" w:sz="4" w:space="0"/>
              <w:right w:val="single" w:color="auto" w:sz="4" w:space="0"/>
            </w:tcBorders>
            <w:noWrap w:val="0"/>
            <w:vAlign w:val="center"/>
          </w:tcPr>
          <w:p w14:paraId="429315D3">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val="0"/>
                <w:bCs w:val="0"/>
                <w:color w:val="auto"/>
                <w:kern w:val="0"/>
                <w:sz w:val="21"/>
                <w:szCs w:val="21"/>
                <w:highlight w:val="none"/>
                <w:lang w:val="en-US" w:eastAsia="zh-CN" w:bidi="ar"/>
              </w:rPr>
            </w:pPr>
          </w:p>
        </w:tc>
        <w:tc>
          <w:tcPr>
            <w:tcW w:w="5541" w:type="dxa"/>
            <w:tcBorders>
              <w:top w:val="single" w:color="auto" w:sz="4" w:space="0"/>
              <w:left w:val="single" w:color="auto" w:sz="4" w:space="0"/>
              <w:bottom w:val="single" w:color="auto" w:sz="4" w:space="0"/>
              <w:right w:val="single" w:color="auto" w:sz="4" w:space="0"/>
            </w:tcBorders>
            <w:noWrap w:val="0"/>
            <w:vAlign w:val="center"/>
          </w:tcPr>
          <w:p w14:paraId="64411644">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（2）投标单位自2020年1月1日以来（以合同签订日期为准），</w:t>
            </w:r>
            <w:r>
              <w:rPr>
                <w:rFonts w:hint="eastAsia" w:ascii="宋体" w:hAnsi="宋体" w:eastAsia="宋体" w:cs="宋体"/>
                <w:sz w:val="21"/>
                <w:szCs w:val="21"/>
                <w:highlight w:val="none"/>
              </w:rPr>
              <w:t>具有电镀园区污水处理项目</w:t>
            </w:r>
            <w:r>
              <w:rPr>
                <w:rFonts w:hint="eastAsia" w:ascii="宋体" w:hAnsi="宋体" w:cs="宋体"/>
                <w:sz w:val="21"/>
                <w:szCs w:val="21"/>
                <w:highlight w:val="none"/>
                <w:lang w:val="en-US" w:eastAsia="zh-CN"/>
              </w:rPr>
              <w:t>运营管理</w:t>
            </w:r>
            <w:r>
              <w:rPr>
                <w:rFonts w:hint="eastAsia" w:ascii="宋体" w:hAnsi="宋体" w:eastAsia="宋体" w:cs="宋体"/>
                <w:sz w:val="21"/>
                <w:szCs w:val="21"/>
                <w:highlight w:val="none"/>
              </w:rPr>
              <w:t>业绩</w:t>
            </w:r>
            <w:r>
              <w:rPr>
                <w:rFonts w:hint="eastAsia" w:ascii="宋体" w:hAnsi="宋体" w:eastAsia="宋体" w:cs="宋体"/>
                <w:sz w:val="21"/>
                <w:szCs w:val="21"/>
                <w:highlight w:val="none"/>
                <w:lang w:eastAsia="zh-CN"/>
              </w:rPr>
              <w:t>的，每具有一个得0.5分，最高得2分。</w:t>
            </w:r>
          </w:p>
          <w:p w14:paraId="4C567DEE">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注：投标文件中须提供合同复印件，未提供不得分。</w:t>
            </w:r>
          </w:p>
        </w:tc>
        <w:tc>
          <w:tcPr>
            <w:tcW w:w="723" w:type="dxa"/>
            <w:tcBorders>
              <w:top w:val="single" w:color="auto" w:sz="4" w:space="0"/>
              <w:left w:val="single" w:color="auto" w:sz="4" w:space="0"/>
              <w:bottom w:val="single" w:color="auto" w:sz="4" w:space="0"/>
              <w:right w:val="single" w:color="auto" w:sz="4" w:space="0"/>
            </w:tcBorders>
            <w:noWrap w:val="0"/>
            <w:vAlign w:val="center"/>
          </w:tcPr>
          <w:p w14:paraId="418E9645">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2</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71232689">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客观评审</w:t>
            </w:r>
          </w:p>
        </w:tc>
      </w:tr>
      <w:tr w14:paraId="60D8A9D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6" w:type="dxa"/>
            <w:vMerge w:val="continue"/>
            <w:tcBorders>
              <w:top w:val="single" w:color="auto" w:sz="4" w:space="0"/>
              <w:left w:val="single" w:color="auto" w:sz="2" w:space="0"/>
              <w:bottom w:val="single" w:color="auto" w:sz="4" w:space="0"/>
              <w:right w:val="single" w:color="auto" w:sz="4" w:space="0"/>
            </w:tcBorders>
            <w:noWrap w:val="0"/>
            <w:vAlign w:val="center"/>
          </w:tcPr>
          <w:p w14:paraId="1C4AE049">
            <w:pPr>
              <w:keepNext w:val="0"/>
              <w:keepLines w:val="0"/>
              <w:pageBreakBefore w:val="0"/>
              <w:suppressLineNumbers w:val="0"/>
              <w:kinsoku/>
              <w:wordWrap/>
              <w:overflowPunct/>
              <w:topLinePunct w:val="0"/>
              <w:bidi w:val="0"/>
              <w:spacing w:before="0" w:beforeAutospacing="0" w:after="0" w:afterAutospacing="0" w:line="240" w:lineRule="auto"/>
              <w:ind w:left="0" w:right="0"/>
              <w:textAlignment w:val="baseline"/>
              <w:rPr>
                <w:rFonts w:hint="eastAsia" w:ascii="宋体" w:hAnsi="宋体" w:eastAsia="宋体" w:cs="宋体"/>
                <w:color w:val="auto"/>
                <w:kern w:val="0"/>
                <w:sz w:val="21"/>
                <w:szCs w:val="21"/>
                <w:highlight w:val="none"/>
              </w:rPr>
            </w:pPr>
          </w:p>
        </w:tc>
        <w:tc>
          <w:tcPr>
            <w:tcW w:w="1220" w:type="dxa"/>
            <w:tcBorders>
              <w:top w:val="single" w:color="auto" w:sz="4" w:space="0"/>
              <w:left w:val="single" w:color="auto" w:sz="4" w:space="0"/>
              <w:right w:val="single" w:color="auto" w:sz="4" w:space="0"/>
            </w:tcBorders>
            <w:noWrap w:val="0"/>
            <w:vAlign w:val="center"/>
          </w:tcPr>
          <w:p w14:paraId="1A8C4AFC">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cs="宋体"/>
                <w:b w:val="0"/>
                <w:bCs w:val="0"/>
                <w:color w:val="auto"/>
                <w:kern w:val="0"/>
                <w:sz w:val="21"/>
                <w:szCs w:val="21"/>
                <w:highlight w:val="none"/>
                <w:lang w:val="en-US" w:eastAsia="zh-CN" w:bidi="ar"/>
              </w:rPr>
              <w:t>11</w:t>
            </w:r>
            <w:r>
              <w:rPr>
                <w:rFonts w:hint="eastAsia" w:ascii="宋体" w:hAnsi="宋体" w:eastAsia="宋体" w:cs="宋体"/>
                <w:b w:val="0"/>
                <w:bCs w:val="0"/>
                <w:color w:val="auto"/>
                <w:kern w:val="0"/>
                <w:sz w:val="21"/>
                <w:szCs w:val="21"/>
                <w:highlight w:val="none"/>
                <w:lang w:val="en-US" w:eastAsia="zh-CN" w:bidi="ar"/>
              </w:rPr>
              <w:t>、政策加分（</w:t>
            </w:r>
            <w:r>
              <w:rPr>
                <w:rFonts w:hint="eastAsia" w:ascii="宋体" w:hAnsi="宋体" w:cs="宋体"/>
                <w:b w:val="0"/>
                <w:bCs w:val="0"/>
                <w:color w:val="auto"/>
                <w:kern w:val="0"/>
                <w:sz w:val="21"/>
                <w:szCs w:val="21"/>
                <w:highlight w:val="none"/>
                <w:lang w:val="en-US" w:eastAsia="zh-CN" w:bidi="ar"/>
              </w:rPr>
              <w:t>1</w:t>
            </w:r>
            <w:r>
              <w:rPr>
                <w:rFonts w:hint="eastAsia" w:ascii="宋体" w:hAnsi="宋体" w:eastAsia="宋体" w:cs="宋体"/>
                <w:b w:val="0"/>
                <w:bCs w:val="0"/>
                <w:color w:val="auto"/>
                <w:kern w:val="0"/>
                <w:sz w:val="21"/>
                <w:szCs w:val="21"/>
                <w:highlight w:val="none"/>
                <w:lang w:val="en-US" w:eastAsia="zh-CN" w:bidi="ar"/>
              </w:rPr>
              <w:t>分）</w:t>
            </w:r>
          </w:p>
        </w:tc>
        <w:tc>
          <w:tcPr>
            <w:tcW w:w="5541" w:type="dxa"/>
            <w:tcBorders>
              <w:top w:val="single" w:color="auto" w:sz="4" w:space="0"/>
              <w:left w:val="single" w:color="auto" w:sz="4" w:space="0"/>
              <w:right w:val="single" w:color="auto" w:sz="4" w:space="0"/>
            </w:tcBorders>
            <w:noWrap w:val="0"/>
            <w:vAlign w:val="center"/>
          </w:tcPr>
          <w:p w14:paraId="67D539EA">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投标产品全部属于《节能产品政府采购品目清单》范围的且具有国家确定的认证机构出具的、处于有效期之内的节能产品认证证书的得</w:t>
            </w:r>
            <w:r>
              <w:rPr>
                <w:rFonts w:hint="eastAsia" w:ascii="宋体" w:hAnsi="宋体" w:cs="宋体"/>
                <w:color w:val="auto"/>
                <w:kern w:val="0"/>
                <w:sz w:val="21"/>
                <w:szCs w:val="21"/>
                <w:highlight w:val="none"/>
                <w:lang w:val="en-US" w:eastAsia="zh-CN" w:bidi="ar"/>
              </w:rPr>
              <w:t>0.5</w:t>
            </w:r>
            <w:r>
              <w:rPr>
                <w:rFonts w:hint="eastAsia" w:ascii="宋体" w:hAnsi="宋体" w:eastAsia="宋体" w:cs="宋体"/>
                <w:color w:val="auto"/>
                <w:kern w:val="0"/>
                <w:sz w:val="21"/>
                <w:szCs w:val="21"/>
                <w:highlight w:val="none"/>
                <w:lang w:val="en-US" w:eastAsia="zh-CN" w:bidi="ar"/>
              </w:rPr>
              <w:t>分；</w:t>
            </w:r>
          </w:p>
          <w:p w14:paraId="7AAE62D8">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投标产品全部属于《环境标志产品政府采购品目清单》范围的且具有国家确定的认证机构出具的、处于有效期之内的环境标志产品认证证书的得</w:t>
            </w:r>
            <w:r>
              <w:rPr>
                <w:rFonts w:hint="eastAsia" w:ascii="宋体" w:hAnsi="宋体" w:cs="宋体"/>
                <w:color w:val="auto"/>
                <w:kern w:val="0"/>
                <w:sz w:val="21"/>
                <w:szCs w:val="21"/>
                <w:highlight w:val="none"/>
                <w:lang w:val="en-US" w:eastAsia="zh-CN" w:bidi="ar"/>
              </w:rPr>
              <w:t>0.5</w:t>
            </w:r>
            <w:r>
              <w:rPr>
                <w:rFonts w:hint="eastAsia" w:ascii="宋体" w:hAnsi="宋体" w:eastAsia="宋体" w:cs="宋体"/>
                <w:color w:val="auto"/>
                <w:kern w:val="0"/>
                <w:sz w:val="21"/>
                <w:szCs w:val="21"/>
                <w:highlight w:val="none"/>
                <w:lang w:val="en-US" w:eastAsia="zh-CN" w:bidi="ar"/>
              </w:rPr>
              <w:t>分。</w:t>
            </w:r>
          </w:p>
          <w:p w14:paraId="1B1E3234">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注：投标文件中必须同时提供以下资料：</w:t>
            </w:r>
          </w:p>
          <w:p w14:paraId="2CB19A43">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提供政府采购品目清单相关内容页（并对相关内容作圈记），采购品目清单详见《关于印发环境标志产品政府采购品目清单的通知》（财库〔2019〕18号）和《关于印发节能产品政府采购品目清单的通知》（财库〔2019〕19号）。</w:t>
            </w:r>
          </w:p>
          <w:p w14:paraId="5D773E95">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left"/>
              <w:textAlignment w:val="baseline"/>
              <w:rPr>
                <w:rFonts w:hint="eastAsia" w:ascii="宋体" w:hAnsi="宋体" w:eastAsia="宋体" w:cs="宋体"/>
                <w:b/>
                <w:bCs/>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（2）《市场监管总局关于发布参与实施政府采购节能产品、环境标志产品认证机构名录的公告》中的认证机构出具的、处于有效期之内的节能产品/环境标志产品认证证书复印件并加盖公章。</w:t>
            </w:r>
          </w:p>
        </w:tc>
        <w:tc>
          <w:tcPr>
            <w:tcW w:w="723" w:type="dxa"/>
            <w:tcBorders>
              <w:top w:val="single" w:color="auto" w:sz="4" w:space="0"/>
              <w:left w:val="single" w:color="auto" w:sz="4" w:space="0"/>
              <w:right w:val="single" w:color="auto" w:sz="4" w:space="0"/>
            </w:tcBorders>
            <w:noWrap w:val="0"/>
            <w:vAlign w:val="center"/>
          </w:tcPr>
          <w:p w14:paraId="7241F518">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default" w:ascii="宋体" w:hAnsi="宋体" w:eastAsia="宋体" w:cs="宋体"/>
                <w:b w:val="0"/>
                <w:bCs w:val="0"/>
                <w:color w:val="auto"/>
                <w:kern w:val="0"/>
                <w:sz w:val="21"/>
                <w:szCs w:val="21"/>
                <w:highlight w:val="none"/>
                <w:lang w:val="en-US" w:eastAsia="zh-CN" w:bidi="ar"/>
              </w:rPr>
            </w:pPr>
            <w:r>
              <w:rPr>
                <w:rFonts w:hint="eastAsia" w:ascii="宋体" w:hAnsi="宋体" w:cs="宋体"/>
                <w:b w:val="0"/>
                <w:bCs w:val="0"/>
                <w:color w:val="auto"/>
                <w:kern w:val="0"/>
                <w:sz w:val="21"/>
                <w:szCs w:val="21"/>
                <w:highlight w:val="none"/>
                <w:lang w:val="en-US" w:eastAsia="zh-CN" w:bidi="ar"/>
              </w:rPr>
              <w:t>1</w:t>
            </w:r>
          </w:p>
        </w:tc>
        <w:tc>
          <w:tcPr>
            <w:tcW w:w="799" w:type="dxa"/>
            <w:tcBorders>
              <w:top w:val="single" w:color="auto" w:sz="4" w:space="0"/>
              <w:left w:val="single" w:color="auto" w:sz="4" w:space="0"/>
              <w:bottom w:val="single" w:color="auto" w:sz="4" w:space="0"/>
              <w:right w:val="single" w:color="auto" w:sz="2" w:space="0"/>
            </w:tcBorders>
            <w:noWrap w:val="0"/>
            <w:vAlign w:val="center"/>
          </w:tcPr>
          <w:p w14:paraId="4CC3A4CB">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baseline"/>
              <w:rPr>
                <w:rFonts w:hint="eastAsia" w:ascii="宋体" w:hAnsi="宋体" w:eastAsia="宋体" w:cs="宋体"/>
                <w:b w:val="0"/>
                <w:bCs w:val="0"/>
                <w:color w:val="auto"/>
                <w:kern w:val="0"/>
                <w:sz w:val="21"/>
                <w:szCs w:val="21"/>
                <w:highlight w:val="none"/>
                <w:lang w:val="en-US" w:eastAsia="zh-CN" w:bidi="ar"/>
              </w:rPr>
            </w:pPr>
            <w:r>
              <w:rPr>
                <w:rFonts w:hint="eastAsia" w:ascii="宋体" w:hAnsi="宋体" w:eastAsia="宋体" w:cs="宋体"/>
                <w:b w:val="0"/>
                <w:bCs w:val="0"/>
                <w:color w:val="auto"/>
                <w:kern w:val="0"/>
                <w:sz w:val="21"/>
                <w:szCs w:val="21"/>
                <w:highlight w:val="none"/>
                <w:lang w:val="en-US" w:eastAsia="zh-CN" w:bidi="ar"/>
              </w:rPr>
              <w:t>客观评审</w:t>
            </w:r>
          </w:p>
        </w:tc>
      </w:tr>
    </w:tbl>
    <w:p w14:paraId="063E97D9">
      <w:pPr>
        <w:keepNext w:val="0"/>
        <w:keepLines w:val="0"/>
        <w:pageBreakBefore w:val="0"/>
        <w:widowControl/>
        <w:kinsoku/>
        <w:wordWrap/>
        <w:overflowPunct/>
        <w:topLinePunct w:val="0"/>
        <w:autoSpaceDE/>
        <w:autoSpaceDN/>
        <w:bidi w:val="0"/>
        <w:adjustRightInd/>
        <w:snapToGrid/>
        <w:spacing w:line="240" w:lineRule="auto"/>
        <w:jc w:val="left"/>
        <w:textAlignment w:val="auto"/>
        <w:rPr>
          <w:rFonts w:ascii="宋体" w:hAnsi="宋体" w:cs="宋体"/>
          <w:bCs/>
          <w:sz w:val="24"/>
          <w:highlight w:val="none"/>
        </w:rPr>
      </w:pPr>
      <w:r>
        <w:rPr>
          <w:rFonts w:hint="eastAsia" w:ascii="宋体" w:hAnsi="宋体" w:cs="宋体"/>
          <w:bCs/>
          <w:sz w:val="24"/>
          <w:highlight w:val="none"/>
        </w:rPr>
        <w:t>备注：1、投标人编制投标文件（商务技术文件部分）时，建议按此目录（序号和内容）提供评标标准相应的商务技术资料。2、小数点后保留</w:t>
      </w:r>
      <w:r>
        <w:rPr>
          <w:rFonts w:hint="eastAsia" w:ascii="宋体" w:hAnsi="宋体" w:cs="宋体"/>
          <w:bCs/>
          <w:sz w:val="24"/>
          <w:highlight w:val="none"/>
          <w:lang w:val="en-US" w:eastAsia="zh-CN"/>
        </w:rPr>
        <w:t>二</w:t>
      </w:r>
      <w:r>
        <w:rPr>
          <w:rFonts w:hint="eastAsia" w:ascii="宋体" w:hAnsi="宋体" w:cs="宋体"/>
          <w:bCs/>
          <w:sz w:val="24"/>
          <w:highlight w:val="none"/>
        </w:rPr>
        <w:t>位数。3、各评标委员会成员自行按以上参考分值评分。4、重大事件由评标委员会集体讨论，应当按照少数服从多数的原则作出结论。</w:t>
      </w:r>
    </w:p>
    <w:p w14:paraId="5AC837F8">
      <w:pPr>
        <w:spacing w:after="120"/>
        <w:jc w:val="both"/>
        <w:rPr>
          <w:rFonts w:ascii="宋体" w:hAnsi="宋体" w:cs="宋体"/>
          <w:b/>
          <w:bCs/>
          <w:sz w:val="32"/>
          <w:szCs w:val="40"/>
          <w:highlight w:val="none"/>
        </w:rPr>
      </w:pPr>
    </w:p>
    <w:p w14:paraId="6315ECB3">
      <w:pPr>
        <w:widowControl/>
        <w:adjustRightInd/>
        <w:spacing w:line="320" w:lineRule="exact"/>
        <w:jc w:val="left"/>
        <w:rPr>
          <w:rFonts w:ascii="宋体" w:hAnsi="宋体" w:cs="宋体"/>
          <w:bCs/>
          <w:sz w:val="24"/>
          <w:highlight w:val="none"/>
        </w:rPr>
      </w:pPr>
      <w:r>
        <w:rPr>
          <w:rFonts w:hint="eastAsia" w:ascii="宋体" w:hAnsi="宋体" w:cs="宋体"/>
          <w:b/>
          <w:bCs/>
          <w:sz w:val="32"/>
          <w:szCs w:val="40"/>
          <w:highlight w:val="none"/>
        </w:rPr>
        <w:br w:type="page"/>
      </w:r>
    </w:p>
    <w:p w14:paraId="2F7755D2">
      <w:pPr>
        <w:keepNext w:val="0"/>
        <w:keepLines w:val="0"/>
        <w:pageBreakBefore w:val="0"/>
        <w:kinsoku/>
        <w:wordWrap/>
        <w:overflowPunct/>
        <w:topLinePunct w:val="0"/>
        <w:autoSpaceDE/>
        <w:autoSpaceDN/>
        <w:bidi w:val="0"/>
        <w:snapToGrid w:val="0"/>
        <w:spacing w:line="336" w:lineRule="auto"/>
        <w:textAlignment w:val="auto"/>
        <w:rPr>
          <w:rFonts w:ascii="宋体" w:hAnsi="宋体" w:cs="宋体"/>
          <w:b/>
          <w:sz w:val="28"/>
          <w:szCs w:val="28"/>
          <w:highlight w:val="none"/>
        </w:rPr>
      </w:pPr>
      <w:r>
        <w:rPr>
          <w:rFonts w:hint="eastAsia" w:ascii="宋体" w:hAnsi="宋体" w:cs="宋体"/>
          <w:b/>
          <w:sz w:val="32"/>
          <w:highlight w:val="none"/>
        </w:rPr>
        <w:t>一、评标方法</w:t>
      </w:r>
    </w:p>
    <w:p w14:paraId="4F961B00">
      <w:pPr>
        <w:keepNext w:val="0"/>
        <w:keepLines w:val="0"/>
        <w:pageBreakBefore w:val="0"/>
        <w:kinsoku/>
        <w:wordWrap/>
        <w:overflowPunct/>
        <w:topLinePunct w:val="0"/>
        <w:autoSpaceDE/>
        <w:autoSpaceDN/>
        <w:bidi w:val="0"/>
        <w:adjustRightInd/>
        <w:snapToGrid w:val="0"/>
        <w:spacing w:line="336" w:lineRule="auto"/>
        <w:ind w:firstLine="472" w:firstLineChars="196"/>
        <w:textAlignment w:val="auto"/>
        <w:rPr>
          <w:rFonts w:ascii="宋体" w:hAnsi="宋体" w:cs="宋体"/>
          <w:kern w:val="0"/>
          <w:sz w:val="24"/>
          <w:highlight w:val="none"/>
        </w:rPr>
      </w:pPr>
      <w:r>
        <w:rPr>
          <w:rFonts w:hint="eastAsia" w:ascii="宋体" w:hAnsi="宋体" w:cs="宋体"/>
          <w:b/>
          <w:kern w:val="0"/>
          <w:sz w:val="24"/>
          <w:highlight w:val="none"/>
        </w:rPr>
        <w:t>1.本项目采用综合评分法。</w:t>
      </w:r>
      <w:r>
        <w:rPr>
          <w:rFonts w:hint="eastAsia" w:ascii="宋体" w:hAnsi="宋体" w:cs="宋体"/>
          <w:kern w:val="0"/>
          <w:sz w:val="24"/>
          <w:highlight w:val="none"/>
        </w:rPr>
        <w:t>综合评分法，是指投标文件满足招标文件全部实质性要求，且按照评审因素的量化指标评审得分最高的投标人为中标候选人的评标方法。</w:t>
      </w:r>
    </w:p>
    <w:p w14:paraId="5810ABF0">
      <w:pPr>
        <w:keepNext w:val="0"/>
        <w:keepLines w:val="0"/>
        <w:pageBreakBefore w:val="0"/>
        <w:kinsoku/>
        <w:wordWrap/>
        <w:overflowPunct/>
        <w:topLinePunct w:val="0"/>
        <w:autoSpaceDE/>
        <w:autoSpaceDN/>
        <w:bidi w:val="0"/>
        <w:adjustRightInd/>
        <w:snapToGrid w:val="0"/>
        <w:spacing w:line="336" w:lineRule="auto"/>
        <w:textAlignment w:val="auto"/>
        <w:rPr>
          <w:rFonts w:ascii="宋体" w:hAnsi="宋体" w:cs="宋体"/>
          <w:kern w:val="0"/>
          <w:sz w:val="24"/>
          <w:highlight w:val="none"/>
        </w:rPr>
      </w:pPr>
      <w:r>
        <w:rPr>
          <w:rFonts w:hint="eastAsia" w:ascii="宋体" w:hAnsi="宋体" w:cs="宋体"/>
          <w:b/>
          <w:sz w:val="32"/>
          <w:highlight w:val="none"/>
        </w:rPr>
        <w:t>二、评标标准</w:t>
      </w:r>
    </w:p>
    <w:p w14:paraId="0757A5D8">
      <w:pPr>
        <w:keepNext w:val="0"/>
        <w:keepLines w:val="0"/>
        <w:pageBreakBefore w:val="0"/>
        <w:kinsoku/>
        <w:wordWrap/>
        <w:overflowPunct/>
        <w:topLinePunct w:val="0"/>
        <w:autoSpaceDE/>
        <w:autoSpaceDN/>
        <w:bidi w:val="0"/>
        <w:snapToGrid w:val="0"/>
        <w:spacing w:line="336" w:lineRule="auto"/>
        <w:ind w:firstLine="472" w:firstLineChars="196"/>
        <w:textAlignment w:val="auto"/>
        <w:rPr>
          <w:rFonts w:ascii="宋体" w:hAnsi="宋体" w:cs="宋体"/>
          <w:b/>
          <w:sz w:val="24"/>
          <w:highlight w:val="none"/>
        </w:rPr>
      </w:pPr>
      <w:r>
        <w:rPr>
          <w:rFonts w:hint="eastAsia" w:ascii="宋体" w:hAnsi="宋体" w:cs="宋体"/>
          <w:b/>
          <w:sz w:val="24"/>
          <w:highlight w:val="none"/>
        </w:rPr>
        <w:t>2.</w:t>
      </w:r>
      <w:r>
        <w:rPr>
          <w:rFonts w:hint="eastAsia" w:ascii="宋体" w:hAnsi="宋体" w:cs="宋体"/>
          <w:highlight w:val="none"/>
        </w:rPr>
        <w:t xml:space="preserve"> </w:t>
      </w:r>
      <w:r>
        <w:rPr>
          <w:rFonts w:hint="eastAsia" w:ascii="宋体" w:hAnsi="宋体" w:cs="宋体"/>
          <w:b/>
          <w:sz w:val="24"/>
          <w:highlight w:val="none"/>
        </w:rPr>
        <w:t>评标标准：</w:t>
      </w:r>
      <w:r>
        <w:rPr>
          <w:rFonts w:hint="eastAsia" w:ascii="宋体" w:hAnsi="宋体" w:cs="宋体"/>
          <w:kern w:val="0"/>
          <w:sz w:val="24"/>
          <w:highlight w:val="none"/>
        </w:rPr>
        <w:t>见评标办法前附表。</w:t>
      </w:r>
    </w:p>
    <w:p w14:paraId="5815F603">
      <w:pPr>
        <w:keepNext w:val="0"/>
        <w:keepLines w:val="0"/>
        <w:pageBreakBefore w:val="0"/>
        <w:kinsoku/>
        <w:wordWrap/>
        <w:overflowPunct/>
        <w:topLinePunct w:val="0"/>
        <w:autoSpaceDE/>
        <w:autoSpaceDN/>
        <w:bidi w:val="0"/>
        <w:snapToGrid w:val="0"/>
        <w:spacing w:line="336" w:lineRule="auto"/>
        <w:textAlignment w:val="auto"/>
        <w:rPr>
          <w:rFonts w:ascii="宋体" w:hAnsi="宋体" w:cs="宋体"/>
          <w:b/>
          <w:sz w:val="36"/>
          <w:szCs w:val="36"/>
          <w:highlight w:val="none"/>
        </w:rPr>
      </w:pPr>
      <w:r>
        <w:rPr>
          <w:rFonts w:hint="eastAsia" w:ascii="宋体" w:hAnsi="宋体" w:cs="宋体"/>
          <w:b/>
          <w:sz w:val="36"/>
          <w:szCs w:val="36"/>
          <w:highlight w:val="none"/>
        </w:rPr>
        <w:t>三、评标程序</w:t>
      </w:r>
    </w:p>
    <w:p w14:paraId="4D4D453A">
      <w:pPr>
        <w:keepNext w:val="0"/>
        <w:keepLines w:val="0"/>
        <w:pageBreakBefore w:val="0"/>
        <w:kinsoku/>
        <w:wordWrap/>
        <w:overflowPunct/>
        <w:topLinePunct w:val="0"/>
        <w:autoSpaceDE/>
        <w:autoSpaceDN/>
        <w:bidi w:val="0"/>
        <w:snapToGrid w:val="0"/>
        <w:spacing w:line="336" w:lineRule="auto"/>
        <w:ind w:firstLine="472" w:firstLineChars="196"/>
        <w:textAlignment w:val="auto"/>
        <w:rPr>
          <w:rFonts w:ascii="宋体" w:hAnsi="宋体" w:cs="宋体"/>
          <w:kern w:val="0"/>
          <w:sz w:val="24"/>
          <w:highlight w:val="none"/>
        </w:rPr>
      </w:pPr>
      <w:r>
        <w:rPr>
          <w:rFonts w:hint="eastAsia" w:ascii="宋体" w:hAnsi="宋体" w:cs="宋体"/>
          <w:b/>
          <w:kern w:val="0"/>
          <w:sz w:val="24"/>
          <w:highlight w:val="none"/>
        </w:rPr>
        <w:t>3.1符合性审查。</w:t>
      </w:r>
      <w:r>
        <w:rPr>
          <w:rFonts w:hint="eastAsia" w:ascii="宋体" w:hAnsi="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785D22D8">
      <w:pPr>
        <w:keepNext w:val="0"/>
        <w:keepLines w:val="0"/>
        <w:pageBreakBefore w:val="0"/>
        <w:kinsoku/>
        <w:wordWrap/>
        <w:overflowPunct/>
        <w:topLinePunct w:val="0"/>
        <w:autoSpaceDE/>
        <w:autoSpaceDN/>
        <w:bidi w:val="0"/>
        <w:snapToGrid w:val="0"/>
        <w:spacing w:line="336" w:lineRule="auto"/>
        <w:ind w:firstLine="472" w:firstLineChars="196"/>
        <w:textAlignment w:val="auto"/>
        <w:rPr>
          <w:rFonts w:ascii="宋体" w:hAnsi="宋体" w:cs="宋体"/>
          <w:kern w:val="0"/>
          <w:sz w:val="24"/>
          <w:highlight w:val="none"/>
        </w:rPr>
      </w:pPr>
      <w:r>
        <w:rPr>
          <w:rFonts w:hint="eastAsia" w:ascii="宋体" w:hAnsi="宋体" w:cs="宋体"/>
          <w:b/>
          <w:kern w:val="0"/>
          <w:sz w:val="24"/>
          <w:highlight w:val="none"/>
        </w:rPr>
        <w:t>3.2 比较与评价。</w:t>
      </w:r>
      <w:r>
        <w:rPr>
          <w:rFonts w:hint="eastAsia" w:ascii="宋体" w:hAnsi="宋体" w:cs="宋体"/>
          <w:kern w:val="0"/>
          <w:sz w:val="24"/>
          <w:highlight w:val="none"/>
        </w:rPr>
        <w:t>评标委员会应当按照招标文件中规定的评标方法和标准，对符合性审查合格的投标文件进行商务和技术评估，综合比较与评价。</w:t>
      </w:r>
    </w:p>
    <w:p w14:paraId="33BFE409">
      <w:pPr>
        <w:keepNext w:val="0"/>
        <w:keepLines w:val="0"/>
        <w:pageBreakBefore w:val="0"/>
        <w:kinsoku/>
        <w:wordWrap/>
        <w:overflowPunct/>
        <w:topLinePunct w:val="0"/>
        <w:autoSpaceDE/>
        <w:autoSpaceDN/>
        <w:bidi w:val="0"/>
        <w:snapToGrid w:val="0"/>
        <w:spacing w:line="336" w:lineRule="auto"/>
        <w:ind w:firstLine="472" w:firstLineChars="196"/>
        <w:textAlignment w:val="auto"/>
        <w:rPr>
          <w:rFonts w:ascii="宋体" w:hAnsi="宋体" w:cs="宋体"/>
          <w:kern w:val="0"/>
          <w:sz w:val="24"/>
          <w:highlight w:val="none"/>
        </w:rPr>
      </w:pPr>
      <w:r>
        <w:rPr>
          <w:rFonts w:hint="eastAsia" w:ascii="宋体" w:hAnsi="宋体" w:cs="宋体"/>
          <w:b/>
          <w:kern w:val="0"/>
          <w:sz w:val="24"/>
          <w:highlight w:val="none"/>
        </w:rPr>
        <w:t>3.3汇总商务技术得分。</w:t>
      </w:r>
      <w:r>
        <w:rPr>
          <w:rFonts w:hint="eastAsia" w:ascii="宋体" w:hAnsi="宋体" w:cs="宋体"/>
          <w:kern w:val="0"/>
          <w:sz w:val="24"/>
          <w:highlight w:val="none"/>
        </w:rPr>
        <w:t>评标委员会各成员应当独立对每个投标人的商务和技术文件进行评价，并汇总商务技术得分情况。</w:t>
      </w:r>
    </w:p>
    <w:p w14:paraId="61CCCA9B">
      <w:pPr>
        <w:keepNext w:val="0"/>
        <w:keepLines w:val="0"/>
        <w:pageBreakBefore w:val="0"/>
        <w:kinsoku/>
        <w:wordWrap/>
        <w:overflowPunct/>
        <w:topLinePunct w:val="0"/>
        <w:autoSpaceDE/>
        <w:autoSpaceDN/>
        <w:bidi w:val="0"/>
        <w:snapToGrid w:val="0"/>
        <w:spacing w:line="336" w:lineRule="auto"/>
        <w:ind w:firstLine="472" w:firstLineChars="196"/>
        <w:textAlignment w:val="auto"/>
        <w:rPr>
          <w:rFonts w:ascii="宋体" w:hAnsi="宋体" w:cs="宋体"/>
          <w:b/>
          <w:kern w:val="0"/>
          <w:sz w:val="24"/>
          <w:highlight w:val="none"/>
        </w:rPr>
      </w:pPr>
      <w:r>
        <w:rPr>
          <w:rFonts w:hint="eastAsia" w:ascii="宋体" w:hAnsi="宋体" w:cs="宋体"/>
          <w:b/>
          <w:kern w:val="0"/>
          <w:sz w:val="24"/>
          <w:highlight w:val="none"/>
        </w:rPr>
        <w:t>3.4报价评审。</w:t>
      </w:r>
    </w:p>
    <w:p w14:paraId="3AFFAB5B">
      <w:pPr>
        <w:pStyle w:val="134"/>
        <w:keepNext w:val="0"/>
        <w:keepLines w:val="0"/>
        <w:pageBreakBefore w:val="0"/>
        <w:kinsoku/>
        <w:wordWrap/>
        <w:overflowPunct/>
        <w:topLinePunct w:val="0"/>
        <w:autoSpaceDE/>
        <w:autoSpaceDN/>
        <w:bidi w:val="0"/>
        <w:snapToGrid w:val="0"/>
        <w:spacing w:before="0" w:line="336" w:lineRule="auto"/>
        <w:ind w:firstLine="508" w:firstLineChars="212"/>
        <w:textAlignment w:val="auto"/>
        <w:rPr>
          <w:rFonts w:ascii="宋体" w:hAnsi="宋体" w:cs="宋体"/>
          <w:kern w:val="0"/>
          <w:highlight w:val="none"/>
        </w:rPr>
      </w:pPr>
      <w:r>
        <w:rPr>
          <w:rFonts w:hint="eastAsia" w:ascii="宋体" w:hAnsi="宋体" w:cs="宋体"/>
          <w:kern w:val="0"/>
          <w:highlight w:val="none"/>
        </w:rPr>
        <w:t>3.4.1投标文件报价出现前后不一致的，按照下列规定修正：</w:t>
      </w:r>
    </w:p>
    <w:p w14:paraId="6EBC5563">
      <w:pPr>
        <w:pStyle w:val="134"/>
        <w:keepNext w:val="0"/>
        <w:keepLines w:val="0"/>
        <w:pageBreakBefore w:val="0"/>
        <w:kinsoku/>
        <w:wordWrap/>
        <w:overflowPunct/>
        <w:topLinePunct w:val="0"/>
        <w:autoSpaceDE/>
        <w:autoSpaceDN/>
        <w:bidi w:val="0"/>
        <w:snapToGrid w:val="0"/>
        <w:spacing w:before="0" w:line="336" w:lineRule="auto"/>
        <w:ind w:firstLine="480"/>
        <w:textAlignment w:val="auto"/>
        <w:rPr>
          <w:rFonts w:ascii="宋体" w:hAnsi="宋体" w:cs="宋体"/>
          <w:kern w:val="0"/>
          <w:szCs w:val="24"/>
          <w:highlight w:val="none"/>
        </w:rPr>
      </w:pPr>
      <w:r>
        <w:rPr>
          <w:rFonts w:hint="eastAsia" w:ascii="宋体" w:hAnsi="宋体" w:cs="宋体"/>
          <w:kern w:val="0"/>
          <w:szCs w:val="24"/>
          <w:highlight w:val="none"/>
        </w:rPr>
        <w:t>3.4.1.1投标文件中开标一览表(报价表)内容与投标文件中相应内容不一致的，以开标一览表(报价表)为准;</w:t>
      </w:r>
    </w:p>
    <w:p w14:paraId="5EC98786">
      <w:pPr>
        <w:pStyle w:val="134"/>
        <w:keepNext w:val="0"/>
        <w:keepLines w:val="0"/>
        <w:pageBreakBefore w:val="0"/>
        <w:kinsoku/>
        <w:wordWrap/>
        <w:overflowPunct/>
        <w:topLinePunct w:val="0"/>
        <w:autoSpaceDE/>
        <w:autoSpaceDN/>
        <w:bidi w:val="0"/>
        <w:snapToGrid w:val="0"/>
        <w:spacing w:before="0" w:line="336" w:lineRule="auto"/>
        <w:ind w:firstLine="480"/>
        <w:textAlignment w:val="auto"/>
        <w:rPr>
          <w:rFonts w:ascii="宋体" w:hAnsi="宋体" w:cs="宋体"/>
          <w:kern w:val="0"/>
          <w:szCs w:val="24"/>
          <w:highlight w:val="none"/>
        </w:rPr>
      </w:pPr>
      <w:r>
        <w:rPr>
          <w:rFonts w:hint="eastAsia" w:ascii="宋体" w:hAnsi="宋体" w:cs="宋体"/>
          <w:kern w:val="0"/>
          <w:szCs w:val="24"/>
          <w:highlight w:val="none"/>
        </w:rPr>
        <w:t>3.4.1.2大写金额和小写金额不一致的，以大写金额为准;</w:t>
      </w:r>
    </w:p>
    <w:p w14:paraId="525B83A0">
      <w:pPr>
        <w:pStyle w:val="134"/>
        <w:keepNext w:val="0"/>
        <w:keepLines w:val="0"/>
        <w:pageBreakBefore w:val="0"/>
        <w:kinsoku/>
        <w:wordWrap/>
        <w:overflowPunct/>
        <w:topLinePunct w:val="0"/>
        <w:autoSpaceDE/>
        <w:autoSpaceDN/>
        <w:bidi w:val="0"/>
        <w:snapToGrid w:val="0"/>
        <w:spacing w:before="0" w:line="336" w:lineRule="auto"/>
        <w:ind w:firstLine="480"/>
        <w:textAlignment w:val="auto"/>
        <w:rPr>
          <w:rFonts w:ascii="宋体" w:hAnsi="宋体" w:cs="宋体"/>
          <w:kern w:val="0"/>
          <w:szCs w:val="24"/>
          <w:highlight w:val="none"/>
        </w:rPr>
      </w:pPr>
      <w:r>
        <w:rPr>
          <w:rFonts w:hint="eastAsia" w:ascii="宋体" w:hAnsi="宋体" w:cs="宋体"/>
          <w:kern w:val="0"/>
          <w:szCs w:val="24"/>
          <w:highlight w:val="none"/>
        </w:rPr>
        <w:t>3.4.1.3单价金额小数点或者百分比有明显错位的，以开标一览表的总价为准，并修改单价;</w:t>
      </w:r>
    </w:p>
    <w:p w14:paraId="04604E2C">
      <w:pPr>
        <w:pStyle w:val="134"/>
        <w:keepNext w:val="0"/>
        <w:keepLines w:val="0"/>
        <w:pageBreakBefore w:val="0"/>
        <w:kinsoku/>
        <w:wordWrap/>
        <w:overflowPunct/>
        <w:topLinePunct w:val="0"/>
        <w:autoSpaceDE/>
        <w:autoSpaceDN/>
        <w:bidi w:val="0"/>
        <w:snapToGrid w:val="0"/>
        <w:spacing w:before="0" w:line="336" w:lineRule="auto"/>
        <w:ind w:firstLine="480"/>
        <w:textAlignment w:val="auto"/>
        <w:rPr>
          <w:rFonts w:ascii="宋体" w:hAnsi="宋体" w:cs="宋体"/>
          <w:kern w:val="0"/>
          <w:szCs w:val="24"/>
          <w:highlight w:val="none"/>
        </w:rPr>
      </w:pPr>
      <w:r>
        <w:rPr>
          <w:rFonts w:hint="eastAsia" w:ascii="宋体" w:hAnsi="宋体" w:cs="宋体"/>
          <w:kern w:val="0"/>
          <w:szCs w:val="24"/>
          <w:highlight w:val="none"/>
        </w:rPr>
        <w:t>3.4.1.4总价金额与按单价汇总金额不一致的，以单价金额计算结果为准。</w:t>
      </w:r>
    </w:p>
    <w:p w14:paraId="4416A667">
      <w:pPr>
        <w:pStyle w:val="134"/>
        <w:keepNext w:val="0"/>
        <w:keepLines w:val="0"/>
        <w:pageBreakBefore w:val="0"/>
        <w:kinsoku/>
        <w:wordWrap/>
        <w:overflowPunct/>
        <w:topLinePunct w:val="0"/>
        <w:autoSpaceDE/>
        <w:autoSpaceDN/>
        <w:bidi w:val="0"/>
        <w:snapToGrid w:val="0"/>
        <w:spacing w:before="0" w:line="336" w:lineRule="auto"/>
        <w:ind w:firstLine="480"/>
        <w:textAlignment w:val="auto"/>
        <w:rPr>
          <w:rFonts w:ascii="宋体" w:hAnsi="宋体" w:cs="宋体"/>
          <w:kern w:val="0"/>
          <w:szCs w:val="24"/>
          <w:highlight w:val="none"/>
        </w:rPr>
      </w:pPr>
      <w:r>
        <w:rPr>
          <w:rFonts w:hint="eastAsia" w:ascii="宋体" w:hAnsi="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77A659D">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3.4.2投标文件出现不是唯一的、有选择性投标报价的，投标无效。</w:t>
      </w:r>
    </w:p>
    <w:p w14:paraId="524E080B">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3.4.3投标报价超过招标文件中规定的预算金额或者最高限价的，投标无效。</w:t>
      </w:r>
    </w:p>
    <w:p w14:paraId="185786B2">
      <w:pPr>
        <w:pStyle w:val="134"/>
        <w:keepNext w:val="0"/>
        <w:keepLines w:val="0"/>
        <w:pageBreakBefore w:val="0"/>
        <w:kinsoku/>
        <w:wordWrap/>
        <w:overflowPunct/>
        <w:topLinePunct w:val="0"/>
        <w:autoSpaceDE/>
        <w:autoSpaceDN/>
        <w:bidi w:val="0"/>
        <w:snapToGrid w:val="0"/>
        <w:spacing w:before="0" w:line="336" w:lineRule="auto"/>
        <w:ind w:firstLine="480"/>
        <w:textAlignment w:val="auto"/>
        <w:rPr>
          <w:rFonts w:ascii="宋体" w:hAnsi="宋体" w:cs="宋体"/>
          <w:kern w:val="0"/>
          <w:szCs w:val="24"/>
          <w:highlight w:val="none"/>
        </w:rPr>
      </w:pPr>
      <w:r>
        <w:rPr>
          <w:rFonts w:hint="eastAsia" w:ascii="宋体" w:hAnsi="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FF6E700">
      <w:pPr>
        <w:pStyle w:val="134"/>
        <w:keepNext w:val="0"/>
        <w:keepLines w:val="0"/>
        <w:pageBreakBefore w:val="0"/>
        <w:kinsoku/>
        <w:wordWrap/>
        <w:overflowPunct/>
        <w:topLinePunct w:val="0"/>
        <w:autoSpaceDE/>
        <w:autoSpaceDN/>
        <w:bidi w:val="0"/>
        <w:snapToGrid w:val="0"/>
        <w:spacing w:before="0" w:line="336" w:lineRule="auto"/>
        <w:ind w:firstLine="480"/>
        <w:textAlignment w:val="auto"/>
        <w:rPr>
          <w:rFonts w:ascii="宋体" w:hAnsi="宋体" w:cs="宋体"/>
          <w:kern w:val="0"/>
          <w:szCs w:val="24"/>
          <w:highlight w:val="none"/>
        </w:rPr>
      </w:pPr>
      <w:r>
        <w:rPr>
          <w:rFonts w:hint="eastAsia" w:ascii="宋体" w:hAnsi="宋体" w:cs="宋体"/>
          <w:kern w:val="0"/>
          <w:szCs w:val="24"/>
          <w:highlight w:val="none"/>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92826DF">
      <w:pPr>
        <w:keepNext w:val="0"/>
        <w:keepLines w:val="0"/>
        <w:pageBreakBefore w:val="0"/>
        <w:kinsoku/>
        <w:wordWrap/>
        <w:overflowPunct/>
        <w:topLinePunct w:val="0"/>
        <w:autoSpaceDE/>
        <w:autoSpaceDN/>
        <w:bidi w:val="0"/>
        <w:snapToGrid w:val="0"/>
        <w:spacing w:line="336" w:lineRule="auto"/>
        <w:ind w:firstLine="482" w:firstLineChars="200"/>
        <w:textAlignment w:val="auto"/>
        <w:rPr>
          <w:rFonts w:ascii="宋体" w:hAnsi="宋体" w:cs="宋体"/>
          <w:kern w:val="0"/>
          <w:sz w:val="24"/>
          <w:highlight w:val="none"/>
        </w:rPr>
      </w:pPr>
      <w:r>
        <w:rPr>
          <w:rFonts w:hint="eastAsia" w:ascii="宋体" w:hAnsi="宋体" w:cs="宋体"/>
          <w:b/>
          <w:kern w:val="0"/>
          <w:sz w:val="24"/>
          <w:highlight w:val="none"/>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w:t>
      </w:r>
      <w:r>
        <w:rPr>
          <w:rFonts w:hint="eastAsia" w:ascii="宋体" w:hAnsi="宋体" w:cs="宋体"/>
          <w:kern w:val="0"/>
          <w:sz w:val="24"/>
          <w:lang w:val="en-US" w:eastAsia="zh-CN"/>
        </w:rPr>
        <w:t>第一</w:t>
      </w:r>
      <w:r>
        <w:rPr>
          <w:rFonts w:hint="eastAsia" w:ascii="宋体" w:hAnsi="宋体" w:cs="宋体"/>
          <w:kern w:val="0"/>
          <w:sz w:val="24"/>
        </w:rPr>
        <w:t>中标候选人</w:t>
      </w:r>
      <w:r>
        <w:rPr>
          <w:rFonts w:hint="eastAsia" w:ascii="宋体" w:hAnsi="宋体" w:cs="宋体"/>
          <w:kern w:val="0"/>
          <w:sz w:val="24"/>
          <w:lang w:eastAsia="zh-CN"/>
        </w:rPr>
        <w:t>、</w:t>
      </w:r>
      <w:r>
        <w:rPr>
          <w:rFonts w:hint="eastAsia" w:ascii="宋体" w:hAnsi="宋体" w:cs="宋体"/>
          <w:kern w:val="0"/>
          <w:sz w:val="24"/>
        </w:rPr>
        <w:t>排名第</w:t>
      </w:r>
      <w:r>
        <w:rPr>
          <w:rFonts w:hint="eastAsia" w:ascii="宋体" w:hAnsi="宋体" w:cs="宋体"/>
          <w:kern w:val="0"/>
          <w:sz w:val="24"/>
          <w:lang w:val="en-US" w:eastAsia="zh-CN"/>
        </w:rPr>
        <w:t>二</w:t>
      </w:r>
      <w:r>
        <w:rPr>
          <w:rFonts w:hint="eastAsia" w:ascii="宋体" w:hAnsi="宋体" w:cs="宋体"/>
          <w:kern w:val="0"/>
          <w:sz w:val="24"/>
        </w:rPr>
        <w:t>的</w:t>
      </w:r>
      <w:r>
        <w:rPr>
          <w:rFonts w:hint="eastAsia" w:ascii="宋体" w:hAnsi="宋体" w:cs="宋体"/>
          <w:kern w:val="0"/>
          <w:sz w:val="24"/>
          <w:lang w:val="en-US" w:eastAsia="zh-CN"/>
        </w:rPr>
        <w:t>第二</w:t>
      </w:r>
      <w:r>
        <w:rPr>
          <w:rFonts w:hint="eastAsia" w:ascii="宋体" w:hAnsi="宋体" w:cs="宋体"/>
          <w:kern w:val="0"/>
          <w:sz w:val="24"/>
        </w:rPr>
        <w:t>中标候选人</w:t>
      </w:r>
      <w:r>
        <w:rPr>
          <w:rFonts w:hint="eastAsia" w:ascii="宋体" w:hAnsi="宋体" w:cs="宋体"/>
          <w:kern w:val="0"/>
          <w:sz w:val="24"/>
          <w:lang w:eastAsia="zh-CN"/>
        </w:rPr>
        <w:t>，</w:t>
      </w:r>
      <w:r>
        <w:rPr>
          <w:rFonts w:hint="eastAsia" w:ascii="宋体" w:hAnsi="宋体" w:cs="宋体"/>
          <w:kern w:val="0"/>
          <w:sz w:val="24"/>
          <w:lang w:val="en-US" w:eastAsia="zh-CN"/>
        </w:rPr>
        <w:t>以此类推</w:t>
      </w:r>
      <w:r>
        <w:rPr>
          <w:rFonts w:hint="eastAsia" w:ascii="宋体" w:hAnsi="宋体" w:cs="宋体"/>
          <w:kern w:val="0"/>
          <w:sz w:val="24"/>
        </w:rPr>
        <w:t>。</w:t>
      </w:r>
      <w:r>
        <w:rPr>
          <w:rFonts w:hint="eastAsia" w:ascii="宋体" w:hAnsi="宋体" w:eastAsia="宋体" w:cs="宋体"/>
          <w:b/>
          <w:bCs/>
          <w:kern w:val="0"/>
          <w:sz w:val="24"/>
          <w:lang w:val="en-US" w:eastAsia="zh-CN"/>
        </w:rPr>
        <w:t>备注：有效投标供应商数量等于3家时，中标候选人数量为1家；有效投标供应商数量等于4家时，中标候选人数量为2家；有效投标供应商数量大于等于5家时，中标候选人数量为3家。</w:t>
      </w:r>
    </w:p>
    <w:p w14:paraId="5F1957B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b/>
          <w:kern w:val="0"/>
          <w:sz w:val="24"/>
          <w:highlight w:val="none"/>
        </w:rPr>
      </w:pPr>
      <w:r>
        <w:rPr>
          <w:rFonts w:hint="eastAsia" w:ascii="宋体" w:hAnsi="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AC9CC00">
      <w:pPr>
        <w:keepNext w:val="0"/>
        <w:keepLines w:val="0"/>
        <w:pageBreakBefore w:val="0"/>
        <w:kinsoku/>
        <w:wordWrap/>
        <w:overflowPunct/>
        <w:topLinePunct w:val="0"/>
        <w:autoSpaceDE/>
        <w:autoSpaceDN/>
        <w:bidi w:val="0"/>
        <w:snapToGrid w:val="0"/>
        <w:spacing w:line="336" w:lineRule="auto"/>
        <w:ind w:firstLine="472" w:firstLineChars="196"/>
        <w:textAlignment w:val="auto"/>
        <w:rPr>
          <w:rFonts w:ascii="宋体" w:hAnsi="宋体" w:cs="宋体"/>
          <w:kern w:val="0"/>
          <w:sz w:val="24"/>
          <w:highlight w:val="none"/>
        </w:rPr>
      </w:pPr>
      <w:r>
        <w:rPr>
          <w:rFonts w:hint="eastAsia" w:ascii="宋体" w:hAnsi="宋体" w:cs="宋体"/>
          <w:b/>
          <w:kern w:val="0"/>
          <w:sz w:val="24"/>
          <w:highlight w:val="none"/>
        </w:rPr>
        <w:t>3.6编写评标报告。</w:t>
      </w:r>
      <w:r>
        <w:rPr>
          <w:rFonts w:hint="eastAsia" w:ascii="宋体" w:hAnsi="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341EDC1">
      <w:pPr>
        <w:keepNext w:val="0"/>
        <w:keepLines w:val="0"/>
        <w:pageBreakBefore w:val="0"/>
        <w:widowControl/>
        <w:kinsoku/>
        <w:wordWrap/>
        <w:overflowPunct/>
        <w:topLinePunct w:val="0"/>
        <w:autoSpaceDE/>
        <w:autoSpaceDN/>
        <w:bidi w:val="0"/>
        <w:adjustRightInd/>
        <w:snapToGrid w:val="0"/>
        <w:spacing w:line="336" w:lineRule="auto"/>
        <w:jc w:val="left"/>
        <w:textAlignment w:val="auto"/>
        <w:rPr>
          <w:rFonts w:ascii="宋体" w:hAnsi="宋体" w:cs="宋体"/>
          <w:b/>
          <w:sz w:val="32"/>
          <w:highlight w:val="none"/>
        </w:rPr>
      </w:pPr>
      <w:r>
        <w:rPr>
          <w:rFonts w:hint="eastAsia" w:ascii="宋体" w:hAnsi="宋体" w:cs="宋体"/>
          <w:b/>
          <w:sz w:val="32"/>
          <w:highlight w:val="none"/>
        </w:rPr>
        <w:t>四、评标中的其他事项</w:t>
      </w:r>
    </w:p>
    <w:p w14:paraId="703A59BD">
      <w:pPr>
        <w:pStyle w:val="134"/>
        <w:keepNext w:val="0"/>
        <w:keepLines w:val="0"/>
        <w:pageBreakBefore w:val="0"/>
        <w:kinsoku/>
        <w:wordWrap/>
        <w:overflowPunct/>
        <w:topLinePunct w:val="0"/>
        <w:autoSpaceDE/>
        <w:autoSpaceDN/>
        <w:bidi w:val="0"/>
        <w:snapToGrid w:val="0"/>
        <w:spacing w:before="0" w:line="336" w:lineRule="auto"/>
        <w:ind w:firstLine="472" w:firstLineChars="196"/>
        <w:textAlignment w:val="auto"/>
        <w:rPr>
          <w:rFonts w:ascii="宋体" w:hAnsi="宋体" w:cs="宋体"/>
          <w:kern w:val="0"/>
          <w:szCs w:val="24"/>
          <w:highlight w:val="none"/>
        </w:rPr>
      </w:pPr>
      <w:r>
        <w:rPr>
          <w:rFonts w:hint="eastAsia" w:ascii="宋体" w:hAnsi="宋体" w:cs="宋体"/>
          <w:b/>
          <w:kern w:val="0"/>
          <w:szCs w:val="24"/>
          <w:highlight w:val="none"/>
        </w:rPr>
        <w:t>4.1投标人澄清、说明或者补正。</w:t>
      </w:r>
      <w:r>
        <w:rPr>
          <w:rFonts w:hint="eastAsia" w:ascii="宋体" w:hAnsi="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A32BBCD">
      <w:pPr>
        <w:pStyle w:val="25"/>
        <w:keepNext w:val="0"/>
        <w:keepLines w:val="0"/>
        <w:pageBreakBefore w:val="0"/>
        <w:kinsoku/>
        <w:wordWrap/>
        <w:overflowPunct/>
        <w:topLinePunct w:val="0"/>
        <w:autoSpaceDE/>
        <w:autoSpaceDN/>
        <w:bidi w:val="0"/>
        <w:snapToGrid w:val="0"/>
        <w:spacing w:line="336" w:lineRule="auto"/>
        <w:ind w:left="954" w:leftChars="226" w:hanging="479" w:firstLineChars="0"/>
        <w:textAlignment w:val="auto"/>
        <w:rPr>
          <w:rFonts w:cs="宋体"/>
          <w:szCs w:val="21"/>
          <w:highlight w:val="none"/>
        </w:rPr>
      </w:pPr>
      <w:r>
        <w:rPr>
          <w:rFonts w:hint="eastAsia" w:cs="宋体"/>
          <w:b/>
          <w:kern w:val="0"/>
          <w:highlight w:val="none"/>
        </w:rPr>
        <w:t>4.2投标无效。</w:t>
      </w:r>
      <w:r>
        <w:rPr>
          <w:rFonts w:hint="eastAsia" w:cs="宋体"/>
          <w:szCs w:val="21"/>
          <w:highlight w:val="none"/>
        </w:rPr>
        <w:t>有下列情形之一的，投标无效：</w:t>
      </w:r>
    </w:p>
    <w:p w14:paraId="5ADADAB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4.2.1投标人不具备招标文件中规定的资格要求的（投标人未提供有效的资格文件的，视为投标人不具备招标文件中规定的资格要求）；</w:t>
      </w:r>
    </w:p>
    <w:p w14:paraId="5C207C0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4.2.2投标文件未按照招标文件要求签署、盖章的；</w:t>
      </w:r>
    </w:p>
    <w:p w14:paraId="0EB5FF5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2F75AA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4.2.4投标文件含有采购人不能接受的附加条件的；</w:t>
      </w:r>
    </w:p>
    <w:p w14:paraId="5A3C0B3D">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4.2.5投标文件中承诺的投标有效期少于招标文件中载明的投标有效期的；</w:t>
      </w:r>
    </w:p>
    <w:p w14:paraId="7D6E79F6">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kern w:val="0"/>
          <w:sz w:val="24"/>
          <w:highlight w:val="none"/>
          <w:lang w:eastAsia="zh-CN"/>
        </w:rPr>
      </w:pPr>
      <w:r>
        <w:rPr>
          <w:rFonts w:hint="eastAsia" w:ascii="宋体" w:hAnsi="宋体" w:cs="宋体"/>
          <w:kern w:val="0"/>
          <w:sz w:val="24"/>
          <w:highlight w:val="none"/>
        </w:rPr>
        <w:t>4.2.6投标文件出现不是唯一的、有选择性投标报价的</w:t>
      </w:r>
      <w:r>
        <w:rPr>
          <w:rFonts w:hint="eastAsia" w:ascii="宋体" w:hAnsi="宋体" w:cs="宋体"/>
          <w:kern w:val="0"/>
          <w:sz w:val="24"/>
          <w:highlight w:val="none"/>
          <w:lang w:eastAsia="zh-CN"/>
        </w:rPr>
        <w:t>；</w:t>
      </w:r>
    </w:p>
    <w:p w14:paraId="5E65492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kern w:val="0"/>
          <w:sz w:val="24"/>
          <w:highlight w:val="none"/>
          <w:lang w:eastAsia="zh-CN"/>
        </w:rPr>
      </w:pPr>
      <w:r>
        <w:rPr>
          <w:rFonts w:hint="eastAsia" w:ascii="宋体" w:hAnsi="宋体" w:cs="宋体"/>
          <w:kern w:val="0"/>
          <w:sz w:val="24"/>
          <w:highlight w:val="none"/>
        </w:rPr>
        <w:t>4.2.7投标报价超过招标文件中规定的预算金额或者最高限价的</w:t>
      </w:r>
      <w:r>
        <w:rPr>
          <w:rFonts w:hint="eastAsia" w:ascii="宋体" w:hAnsi="宋体" w:cs="宋体"/>
          <w:kern w:val="0"/>
          <w:sz w:val="24"/>
          <w:highlight w:val="none"/>
          <w:lang w:eastAsia="zh-CN"/>
        </w:rPr>
        <w:t>；</w:t>
      </w:r>
    </w:p>
    <w:p w14:paraId="197663D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78CB31A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4.2.9投标人对根据修正原则修正后的报价不确认的；</w:t>
      </w:r>
    </w:p>
    <w:p w14:paraId="0143613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4.2.10投标人提供虚假材料投标的；</w:t>
      </w:r>
    </w:p>
    <w:p w14:paraId="6AAB86A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4.2.11投标人有恶意串通、妨碍其他投标人的竞争行为、损害采购人或者其他投标人的合法权益情形的；</w:t>
      </w:r>
    </w:p>
    <w:p w14:paraId="0B47516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rPr>
        <w:t>4.2.12投标人仅提交备份投标文件，未在电子交易平台传输递交投标文件的，投标无效；</w:t>
      </w:r>
    </w:p>
    <w:p w14:paraId="11181FDD">
      <w:pPr>
        <w:keepNext w:val="0"/>
        <w:keepLines w:val="0"/>
        <w:pageBreakBefore w:val="0"/>
        <w:tabs>
          <w:tab w:val="left" w:pos="432"/>
        </w:tabs>
        <w:kinsoku/>
        <w:wordWrap/>
        <w:overflowPunct/>
        <w:topLinePunct w:val="0"/>
        <w:autoSpaceDE/>
        <w:autoSpaceDN/>
        <w:bidi w:val="0"/>
        <w:snapToGrid w:val="0"/>
        <w:spacing w:line="336" w:lineRule="auto"/>
        <w:ind w:left="430" w:leftChars="205"/>
        <w:textAlignment w:val="auto"/>
        <w:rPr>
          <w:rFonts w:ascii="宋体" w:hAnsi="宋体" w:cs="宋体"/>
          <w:kern w:val="0"/>
          <w:sz w:val="24"/>
          <w:highlight w:val="none"/>
        </w:rPr>
      </w:pPr>
      <w:r>
        <w:rPr>
          <w:rFonts w:hint="eastAsia" w:ascii="宋体" w:hAnsi="宋体" w:cs="宋体"/>
          <w:kern w:val="0"/>
          <w:sz w:val="24"/>
          <w:highlight w:val="none"/>
        </w:rPr>
        <w:t>4.2.13 投标文件不满足招标文件的其它实质性要求的；</w:t>
      </w:r>
    </w:p>
    <w:p w14:paraId="7FDE25BF">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cs="宋体"/>
          <w:kern w:val="0"/>
          <w:sz w:val="24"/>
          <w:highlight w:val="none"/>
        </w:rPr>
      </w:pPr>
      <w:r>
        <w:rPr>
          <w:rFonts w:hint="eastAsia" w:ascii="宋体" w:hAnsi="宋体" w:cs="宋体"/>
          <w:kern w:val="0"/>
          <w:sz w:val="24"/>
          <w:highlight w:val="none"/>
        </w:rPr>
        <w:t>4.2.14法律、法规、规章（适用本市的）及省级以上规范性文件（适用本市的）规定的其他无效情形。</w:t>
      </w:r>
    </w:p>
    <w:p w14:paraId="1C9B10D5">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eastAsia="宋体" w:cs="宋体"/>
          <w:kern w:val="0"/>
          <w:sz w:val="24"/>
        </w:rPr>
      </w:pPr>
      <w:r>
        <w:rPr>
          <w:rFonts w:hint="eastAsia" w:ascii="宋体" w:hAnsi="宋体" w:eastAsia="宋体" w:cs="宋体"/>
          <w:kern w:val="0"/>
          <w:sz w:val="24"/>
        </w:rPr>
        <w:t>4.2.15参与同一个采购包（标段）的供应商存在下列情形之一且无法合理解释的，其投标（响应）文件无效：</w:t>
      </w:r>
    </w:p>
    <w:p w14:paraId="7DB84910">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eastAsia="宋体" w:cs="宋体"/>
          <w:kern w:val="0"/>
          <w:sz w:val="24"/>
        </w:rPr>
      </w:pPr>
      <w:r>
        <w:rPr>
          <w:rFonts w:hint="eastAsia" w:ascii="宋体" w:hAnsi="宋体" w:eastAsia="宋体" w:cs="宋体"/>
          <w:kern w:val="0"/>
          <w:sz w:val="24"/>
          <w:lang w:val="en-US" w:eastAsia="zh-CN"/>
        </w:rPr>
        <w:t>①</w:t>
      </w:r>
      <w:r>
        <w:rPr>
          <w:rFonts w:hint="eastAsia" w:ascii="宋体" w:hAnsi="宋体" w:eastAsia="宋体" w:cs="宋体"/>
          <w:kern w:val="0"/>
          <w:sz w:val="24"/>
        </w:rPr>
        <w:t>不同供应商的电子投标（响应）文件上传计算机的网卡MAC地址或硬盘序列号等硬件信息相同的；</w:t>
      </w:r>
    </w:p>
    <w:p w14:paraId="073F1B9F">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eastAsia="宋体" w:cs="宋体"/>
          <w:kern w:val="0"/>
          <w:sz w:val="24"/>
        </w:rPr>
      </w:pPr>
      <w:r>
        <w:rPr>
          <w:rFonts w:hint="eastAsia" w:ascii="宋体" w:hAnsi="宋体" w:eastAsia="宋体" w:cs="宋体"/>
          <w:kern w:val="0"/>
          <w:sz w:val="24"/>
          <w:lang w:val="en-US" w:eastAsia="zh-CN"/>
        </w:rPr>
        <w:t>②</w:t>
      </w:r>
      <w:r>
        <w:rPr>
          <w:rFonts w:hint="eastAsia" w:ascii="宋体" w:hAnsi="宋体" w:eastAsia="宋体" w:cs="宋体"/>
          <w:kern w:val="0"/>
          <w:sz w:val="24"/>
        </w:rPr>
        <w:t>上传的电子投标（响应）文件若出现使用本项目其他投标（响应）供应商的数字证书加密的，或者加盖本项目其他投标（响应）供应商的电子印章的；</w:t>
      </w:r>
    </w:p>
    <w:p w14:paraId="201BDA42">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eastAsia="宋体" w:cs="宋体"/>
          <w:kern w:val="0"/>
          <w:sz w:val="24"/>
        </w:rPr>
      </w:pPr>
      <w:r>
        <w:rPr>
          <w:rFonts w:hint="eastAsia" w:ascii="宋体" w:hAnsi="宋体" w:eastAsia="宋体" w:cs="宋体"/>
          <w:kern w:val="0"/>
          <w:sz w:val="24"/>
          <w:lang w:val="en-US" w:eastAsia="zh-CN"/>
        </w:rPr>
        <w:t>③</w:t>
      </w:r>
      <w:r>
        <w:rPr>
          <w:rFonts w:hint="eastAsia" w:ascii="宋体" w:hAnsi="宋体" w:eastAsia="宋体" w:cs="宋体"/>
          <w:kern w:val="0"/>
          <w:sz w:val="24"/>
        </w:rPr>
        <w:t>不同供应商的投标（响应）文件的内容存在3处（含）以上错误一致的；</w:t>
      </w:r>
    </w:p>
    <w:p w14:paraId="23FBF16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ascii="宋体" w:hAnsi="宋体" w:cs="宋体"/>
          <w:kern w:val="0"/>
          <w:sz w:val="24"/>
          <w:highlight w:val="none"/>
        </w:rPr>
      </w:pPr>
      <w:r>
        <w:rPr>
          <w:rFonts w:hint="eastAsia" w:ascii="宋体" w:hAnsi="宋体" w:eastAsia="宋体" w:cs="宋体"/>
          <w:kern w:val="0"/>
          <w:sz w:val="24"/>
          <w:szCs w:val="24"/>
          <w:lang w:val="en-US" w:eastAsia="zh-CN" w:bidi="ar-SA"/>
        </w:rPr>
        <w:t>④不同供应商联系人为同一人或不同联系人的联系电话一致的。</w:t>
      </w:r>
    </w:p>
    <w:p w14:paraId="6591F48E">
      <w:pPr>
        <w:pStyle w:val="25"/>
        <w:keepNext w:val="0"/>
        <w:keepLines w:val="0"/>
        <w:pageBreakBefore w:val="0"/>
        <w:kinsoku/>
        <w:wordWrap/>
        <w:overflowPunct/>
        <w:topLinePunct w:val="0"/>
        <w:autoSpaceDE/>
        <w:autoSpaceDN/>
        <w:bidi w:val="0"/>
        <w:snapToGrid w:val="0"/>
        <w:spacing w:line="336" w:lineRule="auto"/>
        <w:ind w:firstLine="472" w:firstLineChars="196"/>
        <w:textAlignment w:val="auto"/>
        <w:rPr>
          <w:rFonts w:cs="宋体"/>
          <w:highlight w:val="none"/>
        </w:rPr>
      </w:pPr>
      <w:r>
        <w:rPr>
          <w:rFonts w:hint="eastAsia" w:cs="宋体"/>
          <w:b/>
          <w:highlight w:val="none"/>
        </w:rPr>
        <w:t>5.废标。</w:t>
      </w:r>
      <w:r>
        <w:rPr>
          <w:rFonts w:hint="eastAsia" w:cs="宋体"/>
          <w:highlight w:val="none"/>
        </w:rPr>
        <w:t>根据《中华人民共和国政府采购法》第三十六条之规定，在采购中，出现下列情形之一的，应予废标：</w:t>
      </w:r>
    </w:p>
    <w:p w14:paraId="3E8E29C8">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5.1符合专业条件的供应商或者对招标文件作实质响应的供应商不足3家的；</w:t>
      </w:r>
    </w:p>
    <w:p w14:paraId="44FD7649">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5.2出现影响采购公正的违法、违规行为的；</w:t>
      </w:r>
    </w:p>
    <w:p w14:paraId="70EC9D22">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5.3投标人的报价均超过了采购预算，采购人不能支付的；</w:t>
      </w:r>
    </w:p>
    <w:p w14:paraId="3833F5A1">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5.4因重大变故，采购任务取消的。</w:t>
      </w:r>
    </w:p>
    <w:p w14:paraId="4D6423ED">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废标后，采购代理机构应当将废标理由通知所有投标人。</w:t>
      </w:r>
    </w:p>
    <w:p w14:paraId="2779E0BE">
      <w:pPr>
        <w:pStyle w:val="25"/>
        <w:keepNext w:val="0"/>
        <w:keepLines w:val="0"/>
        <w:pageBreakBefore w:val="0"/>
        <w:kinsoku/>
        <w:wordWrap/>
        <w:overflowPunct/>
        <w:topLinePunct w:val="0"/>
        <w:autoSpaceDE/>
        <w:autoSpaceDN/>
        <w:bidi w:val="0"/>
        <w:snapToGrid w:val="0"/>
        <w:spacing w:line="336" w:lineRule="auto"/>
        <w:ind w:firstLine="590" w:firstLineChars="245"/>
        <w:textAlignment w:val="auto"/>
        <w:rPr>
          <w:rFonts w:cs="宋体"/>
          <w:highlight w:val="none"/>
        </w:rPr>
      </w:pPr>
      <w:r>
        <w:rPr>
          <w:rFonts w:hint="eastAsia" w:cs="宋体"/>
          <w:b/>
          <w:highlight w:val="none"/>
        </w:rPr>
        <w:t>6.修改招标文件，重新组织采购活动。</w:t>
      </w:r>
      <w:r>
        <w:rPr>
          <w:rFonts w:hint="eastAsia" w:cs="宋体"/>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9BAB4B6">
      <w:pPr>
        <w:pStyle w:val="25"/>
        <w:keepNext w:val="0"/>
        <w:keepLines w:val="0"/>
        <w:pageBreakBefore w:val="0"/>
        <w:kinsoku/>
        <w:wordWrap/>
        <w:overflowPunct/>
        <w:topLinePunct w:val="0"/>
        <w:autoSpaceDE/>
        <w:autoSpaceDN/>
        <w:bidi w:val="0"/>
        <w:snapToGrid w:val="0"/>
        <w:spacing w:line="336" w:lineRule="auto"/>
        <w:ind w:firstLine="482"/>
        <w:textAlignment w:val="auto"/>
        <w:rPr>
          <w:rFonts w:cs="宋体"/>
          <w:highlight w:val="none"/>
        </w:rPr>
      </w:pPr>
      <w:r>
        <w:rPr>
          <w:rFonts w:hint="eastAsia" w:cs="宋体"/>
          <w:b/>
          <w:kern w:val="0"/>
          <w:highlight w:val="none"/>
        </w:rPr>
        <w:t>7.重新开展采购。</w:t>
      </w:r>
      <w:r>
        <w:rPr>
          <w:rFonts w:hint="eastAsia" w:cs="宋体"/>
          <w:highlight w:val="none"/>
        </w:rPr>
        <w:t>有政府采购法第七十一条、第七十二条规定的违法行为之一，影响或者可能影响中标结果的，依照下列规定处理：</w:t>
      </w:r>
    </w:p>
    <w:p w14:paraId="4C9D985A">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7.1未确定中标供应商的，终止本次政府采购活动，重新开展政府采购活动。</w:t>
      </w:r>
    </w:p>
    <w:p w14:paraId="62C5BEAA">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7.2已确定中标供应商但尚未签订政府采购合同的，中标结果无效，从合格的中标候选人中另行确定中标供应商；没有合格的中标候选人的，重新开展政府采购活动。</w:t>
      </w:r>
    </w:p>
    <w:p w14:paraId="2D85CD25">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7.3政府采购合同已签订但尚未履行的，撤销合同，从合格的中标候选人中另行确定中标供应商；没有合格的中标候选人的，重新开展政府采购活动。</w:t>
      </w:r>
    </w:p>
    <w:p w14:paraId="6FCA5167">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7.4政府采购合同已经履行，给采购人、供应商造成损失的，由责任人承担赔偿责任。</w:t>
      </w:r>
    </w:p>
    <w:p w14:paraId="44003E09">
      <w:pPr>
        <w:pStyle w:val="25"/>
        <w:keepNext w:val="0"/>
        <w:keepLines w:val="0"/>
        <w:pageBreakBefore w:val="0"/>
        <w:kinsoku/>
        <w:wordWrap/>
        <w:overflowPunct/>
        <w:topLinePunct w:val="0"/>
        <w:autoSpaceDE/>
        <w:autoSpaceDN/>
        <w:bidi w:val="0"/>
        <w:snapToGrid w:val="0"/>
        <w:spacing w:line="336" w:lineRule="auto"/>
        <w:textAlignment w:val="auto"/>
        <w:rPr>
          <w:rFonts w:cs="宋体"/>
          <w:highlight w:val="none"/>
        </w:rPr>
      </w:pPr>
      <w:r>
        <w:rPr>
          <w:rFonts w:hint="eastAsia" w:cs="宋体"/>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A32E833">
      <w:pPr>
        <w:pStyle w:val="25"/>
        <w:snapToGrid w:val="0"/>
        <w:spacing w:line="360" w:lineRule="auto"/>
        <w:ind w:firstLine="0" w:firstLineChars="0"/>
        <w:rPr>
          <w:rFonts w:cs="宋体"/>
          <w:highlight w:val="none"/>
        </w:rPr>
      </w:pPr>
    </w:p>
    <w:bookmarkEnd w:id="32"/>
    <w:p w14:paraId="7AE10121">
      <w:pPr>
        <w:spacing w:line="360" w:lineRule="auto"/>
        <w:rPr>
          <w:rFonts w:ascii="宋体" w:hAnsi="宋体" w:cs="宋体"/>
          <w:b/>
          <w:sz w:val="36"/>
          <w:szCs w:val="36"/>
          <w:highlight w:val="none"/>
        </w:rPr>
      </w:pPr>
      <w:bookmarkStart w:id="417" w:name="第五部分"/>
      <w:bookmarkStart w:id="418" w:name="_Toc86217003"/>
    </w:p>
    <w:p w14:paraId="49B7EF5D">
      <w:pPr>
        <w:rPr>
          <w:rFonts w:ascii="宋体" w:hAnsi="宋体" w:cs="宋体"/>
          <w:b/>
          <w:sz w:val="36"/>
          <w:szCs w:val="36"/>
          <w:highlight w:val="none"/>
        </w:rPr>
      </w:pPr>
      <w:r>
        <w:rPr>
          <w:rFonts w:hint="eastAsia" w:ascii="宋体" w:hAnsi="宋体" w:cs="宋体"/>
          <w:b/>
          <w:sz w:val="36"/>
          <w:szCs w:val="36"/>
          <w:highlight w:val="none"/>
        </w:rPr>
        <w:br w:type="page"/>
      </w:r>
    </w:p>
    <w:p w14:paraId="1C3DC649">
      <w:pPr>
        <w:spacing w:line="360" w:lineRule="auto"/>
        <w:ind w:left="720" w:leftChars="343" w:firstLine="1084" w:firstLineChars="300"/>
        <w:outlineLvl w:val="0"/>
        <w:rPr>
          <w:rFonts w:ascii="宋体" w:hAnsi="宋体" w:cs="宋体"/>
          <w:b/>
          <w:sz w:val="36"/>
          <w:szCs w:val="36"/>
          <w:highlight w:val="none"/>
        </w:rPr>
      </w:pPr>
      <w:bookmarkStart w:id="419" w:name="_Toc27589"/>
      <w:r>
        <w:rPr>
          <w:rFonts w:hint="eastAsia" w:ascii="宋体" w:hAnsi="宋体" w:cs="宋体"/>
          <w:b/>
          <w:sz w:val="36"/>
          <w:szCs w:val="36"/>
          <w:highlight w:val="none"/>
        </w:rPr>
        <w:t>第五部分 拟签订的合同文本</w:t>
      </w:r>
      <w:bookmarkEnd w:id="419"/>
    </w:p>
    <w:p w14:paraId="59A6F08C">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项目名称：                                     项目编号：</w:t>
      </w:r>
    </w:p>
    <w:p w14:paraId="17421CB2">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甲方：</w:t>
      </w:r>
    </w:p>
    <w:p w14:paraId="5B87E74B">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乙方：</w:t>
      </w:r>
    </w:p>
    <w:p w14:paraId="75DD7263">
      <w:pPr>
        <w:adjustRightInd/>
        <w:spacing w:line="360" w:lineRule="auto"/>
        <w:ind w:firstLine="480" w:firstLineChars="200"/>
        <w:rPr>
          <w:rFonts w:ascii="宋体" w:hAnsi="宋体" w:eastAsia="宋体" w:cs="宋体"/>
          <w:sz w:val="24"/>
          <w:highlight w:val="none"/>
        </w:rPr>
      </w:pPr>
      <w:r>
        <w:rPr>
          <w:rFonts w:hint="eastAsia" w:ascii="宋体" w:hAnsi="宋体" w:eastAsia="宋体" w:cs="宋体"/>
          <w:sz w:val="24"/>
          <w:highlight w:val="none"/>
        </w:rPr>
        <w:t>根据</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（项目编号：     ）的采购结果，按照《中华人民共和国政府采购法》及其实施条例、87号令、《中华人民共和国民法典》的规定，</w:t>
      </w:r>
      <w:r>
        <w:rPr>
          <w:rFonts w:hint="eastAsia" w:ascii="宋体" w:hAnsi="宋体" w:eastAsia="宋体" w:cs="宋体"/>
          <w:kern w:val="28"/>
          <w:sz w:val="24"/>
          <w:highlight w:val="none"/>
        </w:rPr>
        <w:t>经双方协商，</w:t>
      </w:r>
      <w:r>
        <w:rPr>
          <w:rFonts w:hint="eastAsia" w:ascii="宋体" w:hAnsi="宋体" w:eastAsia="宋体" w:cs="宋体"/>
          <w:sz w:val="24"/>
          <w:highlight w:val="none"/>
        </w:rPr>
        <w:t>本着平等互利和诚实信用的原则，</w:t>
      </w:r>
      <w:r>
        <w:rPr>
          <w:rFonts w:hint="eastAsia" w:ascii="宋体" w:hAnsi="宋体" w:eastAsia="宋体" w:cs="宋体"/>
          <w:kern w:val="28"/>
          <w:sz w:val="24"/>
          <w:highlight w:val="none"/>
        </w:rPr>
        <w:t>一致同意签订本合同如下</w:t>
      </w:r>
      <w:r>
        <w:rPr>
          <w:rFonts w:hint="eastAsia" w:ascii="宋体" w:hAnsi="宋体" w:eastAsia="宋体" w:cs="宋体"/>
          <w:sz w:val="24"/>
          <w:highlight w:val="none"/>
        </w:rPr>
        <w:t>。</w:t>
      </w:r>
    </w:p>
    <w:p w14:paraId="74B32E0A">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一、货物内容</w:t>
      </w:r>
    </w:p>
    <w:p w14:paraId="2DD7FBC7">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1.1 货物名称：</w:t>
      </w:r>
    </w:p>
    <w:p w14:paraId="1DC896F6">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1.2 型号规格：</w:t>
      </w:r>
    </w:p>
    <w:p w14:paraId="1DB3C217">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1.3 技术参数：</w:t>
      </w:r>
    </w:p>
    <w:p w14:paraId="16EA3B10">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1.4 数量（单位）：</w:t>
      </w:r>
    </w:p>
    <w:p w14:paraId="0773479E">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二、合同金额</w:t>
      </w:r>
    </w:p>
    <w:p w14:paraId="03B4F214">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2.1 本合同金额为（大写）：________________元（￥___________元）人民币。</w:t>
      </w:r>
    </w:p>
    <w:p w14:paraId="0F9CA01B">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三、技术资料</w:t>
      </w:r>
    </w:p>
    <w:p w14:paraId="69915D26">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3.1乙方应按招标文件规定的时间向甲方提供使用货物的有关技术资料。</w:t>
      </w:r>
    </w:p>
    <w:p w14:paraId="1B3E2FE1">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3.2没有甲方事先书面同意，乙方不得将由甲方提供的有关合同或任何合同条文、规格、计划、图纸、样品或资料提供</w:t>
      </w:r>
      <w:r>
        <w:rPr>
          <w:rFonts w:hint="eastAsia" w:ascii="宋体" w:hAnsi="宋体" w:eastAsia="宋体" w:cs="宋体"/>
          <w:sz w:val="24"/>
          <w:highlight w:val="none"/>
          <w:lang w:eastAsia="zh-CN"/>
        </w:rPr>
        <w:t>给予</w:t>
      </w:r>
      <w:r>
        <w:rPr>
          <w:rFonts w:hint="eastAsia" w:ascii="宋体" w:hAnsi="宋体" w:eastAsia="宋体" w:cs="宋体"/>
          <w:sz w:val="24"/>
          <w:highlight w:val="none"/>
        </w:rPr>
        <w:t>履行本合同无关的任何其他人。即使向履行本合同有关的人员提供，也应注意保密并限于履行合同的必需范围。</w:t>
      </w:r>
    </w:p>
    <w:p w14:paraId="0E2B0628">
      <w:pPr>
        <w:adjustRightInd/>
        <w:spacing w:line="360" w:lineRule="auto"/>
        <w:ind w:left="412" w:hanging="412" w:hangingChars="171"/>
        <w:rPr>
          <w:rFonts w:ascii="宋体" w:hAnsi="宋体" w:eastAsia="宋体" w:cs="宋体"/>
          <w:b/>
          <w:sz w:val="24"/>
          <w:highlight w:val="none"/>
        </w:rPr>
      </w:pPr>
      <w:r>
        <w:rPr>
          <w:rFonts w:hint="eastAsia" w:ascii="宋体" w:hAnsi="宋体" w:eastAsia="宋体" w:cs="宋体"/>
          <w:b/>
          <w:sz w:val="24"/>
          <w:highlight w:val="none"/>
        </w:rPr>
        <w:t>四、知识产权</w:t>
      </w:r>
    </w:p>
    <w:p w14:paraId="4DF1D70F">
      <w:pPr>
        <w:adjustRightInd/>
        <w:spacing w:line="360" w:lineRule="auto"/>
        <w:ind w:left="410" w:hanging="410" w:hangingChars="171"/>
        <w:rPr>
          <w:rFonts w:ascii="宋体" w:hAnsi="宋体" w:eastAsia="宋体" w:cs="宋体"/>
          <w:bCs/>
          <w:sz w:val="24"/>
          <w:highlight w:val="none"/>
        </w:rPr>
      </w:pPr>
      <w:r>
        <w:rPr>
          <w:rFonts w:hint="eastAsia" w:ascii="宋体" w:hAnsi="宋体" w:eastAsia="宋体" w:cs="宋体"/>
          <w:sz w:val="24"/>
          <w:highlight w:val="none"/>
        </w:rPr>
        <w:t>4.1 乙方应保证所提供的货物或其任何一部分均不会侵犯任何第三方的知识产权</w:t>
      </w:r>
      <w:r>
        <w:rPr>
          <w:rFonts w:hint="eastAsia" w:ascii="宋体" w:hAnsi="宋体" w:eastAsia="宋体" w:cs="宋体"/>
          <w:bCs/>
          <w:sz w:val="24"/>
          <w:highlight w:val="none"/>
        </w:rPr>
        <w:t>。</w:t>
      </w:r>
    </w:p>
    <w:p w14:paraId="2C0A9E8B">
      <w:pPr>
        <w:adjustRightInd/>
        <w:spacing w:line="360" w:lineRule="auto"/>
        <w:rPr>
          <w:rFonts w:ascii="宋体" w:hAnsi="宋体" w:eastAsia="宋体" w:cs="宋体"/>
          <w:sz w:val="24"/>
          <w:highlight w:val="none"/>
          <w:u w:val="single"/>
        </w:rPr>
      </w:pPr>
      <w:r>
        <w:rPr>
          <w:rFonts w:hint="eastAsia" w:ascii="宋体" w:hAnsi="宋体" w:eastAsia="宋体" w:cs="宋体"/>
          <w:b/>
          <w:sz w:val="24"/>
          <w:highlight w:val="none"/>
        </w:rPr>
        <w:t>五、产权担保</w:t>
      </w:r>
    </w:p>
    <w:p w14:paraId="3CB5D2F3">
      <w:pPr>
        <w:adjustRightInd/>
        <w:spacing w:line="360" w:lineRule="auto"/>
        <w:ind w:left="408" w:hanging="408" w:hangingChars="170"/>
        <w:rPr>
          <w:rFonts w:ascii="宋体" w:hAnsi="宋体" w:eastAsia="宋体" w:cs="宋体"/>
          <w:sz w:val="24"/>
          <w:highlight w:val="none"/>
          <w:u w:val="single"/>
        </w:rPr>
      </w:pPr>
      <w:r>
        <w:rPr>
          <w:rFonts w:hint="eastAsia" w:ascii="宋体" w:hAnsi="宋体" w:eastAsia="宋体" w:cs="宋体"/>
          <w:sz w:val="24"/>
          <w:highlight w:val="none"/>
        </w:rPr>
        <w:t>5.1 乙方保证所交付的货物的所有权完全属于乙方且无任何抵押、查封等产权瑕疵。</w:t>
      </w:r>
    </w:p>
    <w:p w14:paraId="33433C75">
      <w:pPr>
        <w:adjustRightInd/>
        <w:spacing w:line="360" w:lineRule="auto"/>
        <w:ind w:left="410" w:hanging="410" w:hangingChars="170"/>
        <w:rPr>
          <w:rFonts w:ascii="宋体" w:hAnsi="宋体" w:eastAsia="宋体" w:cs="宋体"/>
          <w:b/>
          <w:sz w:val="24"/>
          <w:highlight w:val="none"/>
        </w:rPr>
      </w:pPr>
      <w:r>
        <w:rPr>
          <w:rFonts w:hint="eastAsia" w:ascii="宋体" w:hAnsi="宋体" w:eastAsia="宋体" w:cs="宋体"/>
          <w:b/>
          <w:sz w:val="24"/>
          <w:highlight w:val="none"/>
        </w:rPr>
        <w:t>六、履约保证金</w:t>
      </w:r>
    </w:p>
    <w:p w14:paraId="248B4942">
      <w:pPr>
        <w:adjustRightInd/>
        <w:spacing w:line="360" w:lineRule="auto"/>
        <w:ind w:left="408" w:hanging="408" w:hangingChars="170"/>
        <w:rPr>
          <w:rFonts w:ascii="宋体" w:hAnsi="宋体" w:eastAsia="宋体" w:cs="宋体"/>
          <w:sz w:val="24"/>
          <w:highlight w:val="none"/>
        </w:rPr>
      </w:pPr>
      <w:r>
        <w:rPr>
          <w:rFonts w:hint="eastAsia" w:ascii="宋体" w:hAnsi="宋体" w:eastAsia="宋体" w:cs="宋体"/>
          <w:sz w:val="24"/>
          <w:highlight w:val="none"/>
        </w:rPr>
        <w:t>6.1 乙方交纳人民币</w:t>
      </w:r>
      <w:r>
        <w:rPr>
          <w:rFonts w:hint="eastAsia" w:ascii="宋体" w:hAnsi="宋体" w:eastAsia="宋体" w:cs="宋体"/>
          <w:b/>
          <w:sz w:val="24"/>
          <w:highlight w:val="none"/>
        </w:rPr>
        <w:t>△</w:t>
      </w:r>
      <w:r>
        <w:rPr>
          <w:rFonts w:hint="eastAsia" w:ascii="宋体" w:hAnsi="宋体" w:eastAsia="宋体" w:cs="宋体"/>
          <w:sz w:val="24"/>
          <w:highlight w:val="none"/>
        </w:rPr>
        <w:t>元作为本合同的履约保证金。</w:t>
      </w:r>
    </w:p>
    <w:p w14:paraId="2D3BE3D7">
      <w:pPr>
        <w:adjustRightInd/>
        <w:spacing w:line="360" w:lineRule="auto"/>
        <w:ind w:left="410" w:hanging="410" w:hangingChars="170"/>
        <w:rPr>
          <w:rFonts w:ascii="宋体" w:hAnsi="宋体" w:eastAsia="宋体" w:cs="宋体"/>
          <w:b/>
          <w:sz w:val="24"/>
          <w:highlight w:val="none"/>
        </w:rPr>
      </w:pPr>
      <w:r>
        <w:rPr>
          <w:rFonts w:hint="eastAsia" w:ascii="宋体" w:hAnsi="宋体" w:eastAsia="宋体" w:cs="宋体"/>
          <w:b/>
          <w:sz w:val="24"/>
          <w:highlight w:val="none"/>
        </w:rPr>
        <w:t>七、转包或分包</w:t>
      </w:r>
    </w:p>
    <w:p w14:paraId="7B67D16F">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7.1本合同范围的货物，应由乙方直接供应，不得转让他人供应；</w:t>
      </w:r>
    </w:p>
    <w:p w14:paraId="40090FCF">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7.2 除非得到甲方的书面同意，乙方不得部分分包给他人供应。</w:t>
      </w:r>
    </w:p>
    <w:p w14:paraId="2092F058">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7.3如有转让和未经甲方同意的分包行为，甲方有权给予终止合同。</w:t>
      </w:r>
    </w:p>
    <w:p w14:paraId="29DF03C1">
      <w:pPr>
        <w:adjustRightInd/>
        <w:spacing w:line="360" w:lineRule="auto"/>
        <w:rPr>
          <w:rFonts w:ascii="宋体" w:hAnsi="宋体" w:eastAsia="宋体" w:cs="宋体"/>
          <w:sz w:val="24"/>
          <w:highlight w:val="none"/>
        </w:rPr>
      </w:pPr>
      <w:r>
        <w:rPr>
          <w:rFonts w:hint="eastAsia" w:ascii="宋体" w:hAnsi="宋体" w:eastAsia="宋体" w:cs="宋体"/>
          <w:b/>
          <w:sz w:val="24"/>
          <w:highlight w:val="none"/>
        </w:rPr>
        <w:t>八、质保期</w:t>
      </w:r>
    </w:p>
    <w:p w14:paraId="5F69C680">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8.1 质保期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年。（自交货验收合格之日起计）</w:t>
      </w:r>
    </w:p>
    <w:p w14:paraId="39C7F395">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九、</w:t>
      </w:r>
      <w:r>
        <w:rPr>
          <w:rFonts w:hint="eastAsia" w:ascii="宋体" w:hAnsi="宋体" w:eastAsia="宋体" w:cs="宋体"/>
          <w:b/>
          <w:bCs/>
          <w:sz w:val="24"/>
          <w:highlight w:val="none"/>
        </w:rPr>
        <w:t>合同履约期限（工期）</w:t>
      </w:r>
      <w:r>
        <w:rPr>
          <w:rFonts w:hint="eastAsia" w:ascii="宋体" w:hAnsi="宋体" w:eastAsia="宋体" w:cs="宋体"/>
          <w:b/>
          <w:sz w:val="24"/>
          <w:highlight w:val="none"/>
        </w:rPr>
        <w:t>及交货地点</w:t>
      </w:r>
    </w:p>
    <w:p w14:paraId="5DFAC300">
      <w:pPr>
        <w:adjustRightInd/>
        <w:spacing w:line="360" w:lineRule="auto"/>
        <w:rPr>
          <w:rFonts w:ascii="宋体" w:hAnsi="宋体" w:eastAsia="宋体" w:cs="宋体"/>
          <w:bCs/>
          <w:sz w:val="24"/>
          <w:highlight w:val="none"/>
        </w:rPr>
      </w:pPr>
      <w:r>
        <w:rPr>
          <w:rFonts w:hint="eastAsia" w:ascii="宋体" w:hAnsi="宋体" w:eastAsia="宋体" w:cs="宋体"/>
          <w:bCs/>
          <w:sz w:val="24"/>
          <w:highlight w:val="none"/>
        </w:rPr>
        <w:t>9.1 合同履约期限（工期）：</w:t>
      </w:r>
    </w:p>
    <w:p w14:paraId="0B6F04EA">
      <w:pPr>
        <w:adjustRightInd/>
        <w:spacing w:line="360" w:lineRule="auto"/>
        <w:rPr>
          <w:rFonts w:ascii="宋体" w:hAnsi="宋体" w:eastAsia="宋体" w:cs="宋体"/>
          <w:b/>
          <w:sz w:val="24"/>
          <w:highlight w:val="none"/>
        </w:rPr>
      </w:pPr>
      <w:r>
        <w:rPr>
          <w:rFonts w:hint="eastAsia" w:ascii="宋体" w:hAnsi="宋体" w:eastAsia="宋体" w:cs="宋体"/>
          <w:bCs/>
          <w:sz w:val="24"/>
          <w:highlight w:val="none"/>
        </w:rPr>
        <w:t>9.2 交货地点：</w:t>
      </w:r>
    </w:p>
    <w:p w14:paraId="74191F6C">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十、货款支付</w:t>
      </w:r>
    </w:p>
    <w:p w14:paraId="183AFA31">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10.1 付款方式：</w:t>
      </w:r>
    </w:p>
    <w:p w14:paraId="72B525A5">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十一、税</w:t>
      </w:r>
    </w:p>
    <w:p w14:paraId="710D28C6">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11.1本合同执行中相关的一切税费均由供方负担。</w:t>
      </w:r>
    </w:p>
    <w:p w14:paraId="2B9BF0D6">
      <w:pPr>
        <w:adjustRightInd/>
        <w:spacing w:line="360" w:lineRule="auto"/>
        <w:ind w:left="412" w:hanging="412" w:hangingChars="171"/>
        <w:rPr>
          <w:rFonts w:ascii="宋体" w:hAnsi="宋体" w:eastAsia="宋体" w:cs="宋体"/>
          <w:sz w:val="24"/>
          <w:highlight w:val="none"/>
        </w:rPr>
      </w:pPr>
      <w:r>
        <w:rPr>
          <w:rFonts w:hint="eastAsia" w:ascii="宋体" w:hAnsi="宋体" w:eastAsia="宋体" w:cs="宋体"/>
          <w:b/>
          <w:sz w:val="24"/>
          <w:highlight w:val="none"/>
        </w:rPr>
        <w:t>十二、质量保证及售后服务</w:t>
      </w:r>
    </w:p>
    <w:p w14:paraId="749E8BDF">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12.1 乙方应按招标文件规定的货物性能、技术要求、质量标准向甲方提供未经使用的全新产品。</w:t>
      </w:r>
    </w:p>
    <w:p w14:paraId="27263E7C">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12.2 乙方提供的货物在质量期内因货物本身的质量问题发生故障，乙方应负责免费更换。对达不到技术要求者，根据实际情况，经双方协商，可按以下办法处理：</w:t>
      </w:r>
    </w:p>
    <w:p w14:paraId="12DF63D1">
      <w:pPr>
        <w:adjustRightInd/>
        <w:spacing w:line="360" w:lineRule="auto"/>
        <w:ind w:firstLine="420"/>
        <w:rPr>
          <w:rFonts w:ascii="宋体" w:hAnsi="宋体" w:eastAsia="宋体" w:cs="宋体"/>
          <w:sz w:val="24"/>
          <w:highlight w:val="none"/>
        </w:rPr>
      </w:pPr>
      <w:r>
        <w:rPr>
          <w:rFonts w:hint="eastAsia" w:ascii="宋体" w:hAnsi="宋体" w:eastAsia="宋体" w:cs="宋体"/>
          <w:sz w:val="24"/>
          <w:highlight w:val="none"/>
        </w:rPr>
        <w:t>⑴更换：由乙方承担所发生的全部费用。</w:t>
      </w:r>
    </w:p>
    <w:p w14:paraId="421AA3F7">
      <w:pPr>
        <w:adjustRightInd/>
        <w:spacing w:line="360" w:lineRule="auto"/>
        <w:ind w:firstLine="420"/>
        <w:rPr>
          <w:rFonts w:ascii="宋体" w:hAnsi="宋体" w:eastAsia="宋体" w:cs="宋体"/>
          <w:sz w:val="24"/>
          <w:highlight w:val="none"/>
        </w:rPr>
      </w:pPr>
      <w:r>
        <w:rPr>
          <w:rFonts w:hint="eastAsia" w:ascii="宋体" w:hAnsi="宋体" w:eastAsia="宋体" w:cs="宋体"/>
          <w:sz w:val="24"/>
          <w:highlight w:val="none"/>
        </w:rPr>
        <w:t>⑵贬值处理：由甲乙双方合议定价。</w:t>
      </w:r>
    </w:p>
    <w:p w14:paraId="1C6602AE">
      <w:pPr>
        <w:adjustRightInd/>
        <w:spacing w:line="360" w:lineRule="auto"/>
        <w:ind w:firstLine="420"/>
        <w:rPr>
          <w:rFonts w:ascii="宋体" w:hAnsi="宋体" w:eastAsia="宋体" w:cs="宋体"/>
          <w:sz w:val="24"/>
          <w:highlight w:val="none"/>
        </w:rPr>
      </w:pPr>
      <w:r>
        <w:rPr>
          <w:rFonts w:hint="eastAsia" w:ascii="宋体" w:hAnsi="宋体" w:eastAsia="宋体" w:cs="宋体"/>
          <w:sz w:val="24"/>
          <w:highlight w:val="none"/>
        </w:rPr>
        <w:t>⑶退货处理：乙方应退还甲方支付的合同款，同时应承担该货物的直接费用（运输、保险、检验、货款利息及银行手续费等）。</w:t>
      </w:r>
    </w:p>
    <w:p w14:paraId="7D179B1D">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12.3 如在使用过程中发生质量问题，乙方在接到甲方通知后在△小时内到达甲方现场。</w:t>
      </w:r>
    </w:p>
    <w:p w14:paraId="133B3345">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12.4 在质保期内，乙方应对货物出现的质量及安全问题负责处理解决并承担一切费用。</w:t>
      </w:r>
    </w:p>
    <w:p w14:paraId="44F4AF16">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十三、调试和验收</w:t>
      </w:r>
    </w:p>
    <w:p w14:paraId="2828152C">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13.1 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20302B71">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13.2 乙方交货前应对产品作出全面检查和对验收文件进行整理，并列出清单，作为甲方收货验收和使用的技术条件依据，检验的结果应随货物交甲方。</w:t>
      </w:r>
    </w:p>
    <w:p w14:paraId="7C2883D9">
      <w:pPr>
        <w:adjustRightInd/>
        <w:spacing w:line="360" w:lineRule="auto"/>
        <w:ind w:left="480" w:hanging="480" w:hangingChars="200"/>
        <w:rPr>
          <w:rFonts w:ascii="宋体" w:hAnsi="宋体" w:eastAsia="宋体" w:cs="宋体"/>
          <w:sz w:val="24"/>
          <w:highlight w:val="none"/>
          <w:u w:val="single"/>
        </w:rPr>
      </w:pPr>
      <w:r>
        <w:rPr>
          <w:rFonts w:hint="eastAsia" w:ascii="宋体" w:hAnsi="宋体" w:eastAsia="宋体" w:cs="宋体"/>
          <w:sz w:val="24"/>
          <w:highlight w:val="none"/>
        </w:rPr>
        <w:t>13.3 甲方对乙方提供的货物在使用前进行调试时，乙方需负责安装并培训甲方的使用操作人员，并协助甲方一起调试，直到符合技术要求，甲方才做最终验收。</w:t>
      </w:r>
    </w:p>
    <w:p w14:paraId="74F2463F">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13.4 对技术复杂的货物，甲方应请国家认可的专业检测机构参与初步验收及最终验收，并由其出具质量检测报告。</w:t>
      </w:r>
    </w:p>
    <w:p w14:paraId="0E7732EB">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13.5 验收时乙方必须在现场，验收完毕后作出验收结果报告；验收费用由乙方负责。</w:t>
      </w:r>
    </w:p>
    <w:p w14:paraId="419A96A0">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十四、货物包装、发运及运输</w:t>
      </w:r>
    </w:p>
    <w:p w14:paraId="3933CF03">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14.1 乙方应在货物发运前对其进行满足运输距离、防潮、防震、防锈和防破损装卸等要求包装，以保证货物安全运达甲方指定地点。</w:t>
      </w:r>
    </w:p>
    <w:p w14:paraId="424860A1">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14.2 使用说明书、质量检验证明书、随配附件和工具以及清单一并附于货物内。</w:t>
      </w:r>
    </w:p>
    <w:p w14:paraId="04727DA6">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14.3 乙方在货物发运手续办理完毕后24小时内或货到甲方48小时前通知甲方，以准备接货。</w:t>
      </w:r>
    </w:p>
    <w:p w14:paraId="0A5FF76A">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14.4 货物在交付甲方前发生的风险均由乙方负责。</w:t>
      </w:r>
    </w:p>
    <w:p w14:paraId="585C0EB9">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14.5 货物在规定的交付期限内由乙方送达甲方指定的地点视为交付，乙方同时需通知甲方货物已送达。</w:t>
      </w:r>
    </w:p>
    <w:p w14:paraId="06C81366">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十五、违约责任</w:t>
      </w:r>
    </w:p>
    <w:p w14:paraId="57F384CD">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15.1 甲方无正当理由拒收货物的，甲方向乙方偿付拒收货款总值的百分之五违约金。</w:t>
      </w:r>
    </w:p>
    <w:p w14:paraId="77E7A380">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15.2 甲方无故逾期验收和办理货款支付手续的,甲方应按逾期付款总额每日万分之五向乙方支付违约金。</w:t>
      </w:r>
    </w:p>
    <w:p w14:paraId="5A8FFE79">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 xml:space="preserve">15.3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14:paraId="05E0395E">
      <w:pPr>
        <w:adjustRightInd/>
        <w:spacing w:line="360" w:lineRule="auto"/>
        <w:ind w:left="410" w:hanging="410" w:hangingChars="171"/>
        <w:rPr>
          <w:rFonts w:ascii="宋体" w:hAnsi="宋体" w:eastAsia="宋体" w:cs="宋体"/>
          <w:sz w:val="24"/>
          <w:highlight w:val="none"/>
        </w:rPr>
      </w:pPr>
      <w:r>
        <w:rPr>
          <w:rFonts w:hint="eastAsia" w:ascii="宋体" w:hAnsi="宋体" w:eastAsia="宋体" w:cs="宋体"/>
          <w:sz w:val="24"/>
          <w:highlight w:val="none"/>
        </w:rPr>
        <w:t>15.4 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6090C34B">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十六、不可抗力事件处理</w:t>
      </w:r>
    </w:p>
    <w:p w14:paraId="5A0583F3">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16.1 在合同有效期内，任何一方因不可抗力事件导致不能履行合同，则合同履行期可延长，其延长期与不可抗力影响期相同。</w:t>
      </w:r>
    </w:p>
    <w:p w14:paraId="5C8FDC4A">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16.2 不可抗力事件发生后，应立即通知对方，并寄送有关权威机构出具的证明。</w:t>
      </w:r>
    </w:p>
    <w:p w14:paraId="42012B89">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16.3 不可抗力事件延续120天以上，双方应通过友好协商，确定是否继续履行合同。</w:t>
      </w:r>
    </w:p>
    <w:p w14:paraId="56327B0F">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十七、诉讼</w:t>
      </w:r>
    </w:p>
    <w:p w14:paraId="0CC4497B">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17.1 双方在执行合同中所发生的一切争议，应通过协商解决。如协商不成，可向合同签订地法院起诉，合同签订地在此约定为</w:t>
      </w:r>
      <w:r>
        <w:rPr>
          <w:rFonts w:hint="eastAsia" w:ascii="宋体" w:hAnsi="宋体" w:eastAsia="宋体" w:cs="宋体"/>
          <w:sz w:val="24"/>
          <w:highlight w:val="none"/>
          <w:u w:val="single"/>
        </w:rPr>
        <w:t xml:space="preserve">        。</w:t>
      </w:r>
    </w:p>
    <w:p w14:paraId="537FB4A8">
      <w:pPr>
        <w:adjustRightInd/>
        <w:spacing w:line="360" w:lineRule="auto"/>
        <w:rPr>
          <w:rFonts w:ascii="宋体" w:hAnsi="宋体" w:eastAsia="宋体" w:cs="宋体"/>
          <w:b/>
          <w:sz w:val="24"/>
          <w:highlight w:val="none"/>
        </w:rPr>
      </w:pPr>
      <w:r>
        <w:rPr>
          <w:rFonts w:hint="eastAsia" w:ascii="宋体" w:hAnsi="宋体" w:eastAsia="宋体" w:cs="宋体"/>
          <w:b/>
          <w:sz w:val="24"/>
          <w:highlight w:val="none"/>
        </w:rPr>
        <w:t>十八、合同生效及其它</w:t>
      </w:r>
    </w:p>
    <w:p w14:paraId="77AB79F6">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18.1 合同经双方法定代表人或授权委托代理人签字并加盖单位公章后生效。</w:t>
      </w:r>
    </w:p>
    <w:p w14:paraId="4FB23B8E">
      <w:pPr>
        <w:adjustRightInd/>
        <w:spacing w:line="360" w:lineRule="auto"/>
        <w:rPr>
          <w:rFonts w:ascii="宋体" w:hAnsi="宋体" w:eastAsia="宋体" w:cs="宋体"/>
          <w:sz w:val="24"/>
          <w:highlight w:val="none"/>
        </w:rPr>
      </w:pPr>
      <w:r>
        <w:rPr>
          <w:rFonts w:hint="eastAsia" w:ascii="宋体" w:hAnsi="宋体" w:eastAsia="宋体" w:cs="宋体"/>
          <w:sz w:val="24"/>
          <w:highlight w:val="none"/>
        </w:rPr>
        <w:t>18.2合同执行中涉及采购资金和采购内容修改或补充的，须经</w:t>
      </w:r>
      <w:r>
        <w:rPr>
          <w:rFonts w:hint="eastAsia" w:ascii="宋体" w:hAnsi="宋体" w:cs="宋体"/>
          <w:sz w:val="24"/>
          <w:highlight w:val="none"/>
          <w:lang w:val="en-US" w:eastAsia="zh-CN"/>
        </w:rPr>
        <w:t>相关</w:t>
      </w:r>
      <w:r>
        <w:rPr>
          <w:rFonts w:hint="eastAsia" w:ascii="宋体" w:hAnsi="宋体" w:eastAsia="宋体" w:cs="宋体"/>
          <w:sz w:val="24"/>
          <w:highlight w:val="none"/>
        </w:rPr>
        <w:t>部门审批，并签书面补充协议报政府采购监督管理部门备案，方可作为主合同不可分割的一部分。</w:t>
      </w:r>
    </w:p>
    <w:p w14:paraId="3434AC64">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18.3本合同未尽事宜，遵照《中华人民共和国民法典》有关条文执行。</w:t>
      </w:r>
    </w:p>
    <w:p w14:paraId="12CE19FC">
      <w:pPr>
        <w:adjustRightInd/>
        <w:spacing w:line="360" w:lineRule="auto"/>
        <w:ind w:left="480" w:hanging="480" w:hangingChars="200"/>
        <w:rPr>
          <w:rFonts w:ascii="宋体" w:hAnsi="宋体" w:eastAsia="宋体" w:cs="宋体"/>
          <w:sz w:val="24"/>
          <w:highlight w:val="none"/>
        </w:rPr>
      </w:pPr>
      <w:r>
        <w:rPr>
          <w:rFonts w:hint="eastAsia" w:ascii="宋体" w:hAnsi="宋体" w:eastAsia="宋体" w:cs="宋体"/>
          <w:sz w:val="24"/>
          <w:highlight w:val="none"/>
        </w:rPr>
        <w:t>18.4本合同一式两份，具有同等法律效力，甲乙双方各执一份。</w:t>
      </w:r>
    </w:p>
    <w:p w14:paraId="13D6B7E0">
      <w:pPr>
        <w:autoSpaceDE w:val="0"/>
        <w:adjustRightInd/>
        <w:spacing w:line="360" w:lineRule="auto"/>
        <w:jc w:val="left"/>
        <w:rPr>
          <w:rFonts w:ascii="宋体" w:hAnsi="宋体" w:eastAsia="宋体" w:cs="宋体"/>
          <w:kern w:val="0"/>
          <w:sz w:val="24"/>
          <w:highlight w:val="none"/>
          <w:lang w:bidi="ar"/>
        </w:rPr>
      </w:pPr>
    </w:p>
    <w:p w14:paraId="43959E58">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甲方：(公章)                               乙方：(公章)</w:t>
      </w:r>
    </w:p>
    <w:p w14:paraId="52C9D489">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地址：                                     地址：</w:t>
      </w:r>
    </w:p>
    <w:p w14:paraId="3A8C4E1D">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法定代表人：(签字)                         法定代表人：(签字)</w:t>
      </w:r>
    </w:p>
    <w:p w14:paraId="56E3AC3F">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委托代理人：(签字)                         委托代理人：(签字)</w:t>
      </w:r>
    </w:p>
    <w:p w14:paraId="21B2DC20">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电话：                                     电话：</w:t>
      </w:r>
    </w:p>
    <w:p w14:paraId="46AFD19B">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传真：                                     传真：</w:t>
      </w:r>
    </w:p>
    <w:p w14:paraId="21CC78F2">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开户银行：                                 开户银行：</w:t>
      </w:r>
    </w:p>
    <w:p w14:paraId="337E4484">
      <w:pPr>
        <w:autoSpaceDE w:val="0"/>
        <w:adjustRightInd/>
        <w:spacing w:line="360" w:lineRule="auto"/>
        <w:jc w:val="left"/>
        <w:rPr>
          <w:rFonts w:ascii="宋体" w:hAnsi="宋体" w:eastAsia="宋体" w:cs="宋体"/>
          <w:kern w:val="0"/>
          <w:sz w:val="24"/>
          <w:highlight w:val="none"/>
        </w:rPr>
      </w:pPr>
      <w:r>
        <w:rPr>
          <w:rFonts w:hint="eastAsia" w:ascii="宋体" w:hAnsi="宋体" w:eastAsia="宋体" w:cs="宋体"/>
          <w:kern w:val="0"/>
          <w:sz w:val="24"/>
          <w:highlight w:val="none"/>
          <w:lang w:bidi="ar"/>
        </w:rPr>
        <w:t>账号：                                     账号：</w:t>
      </w:r>
    </w:p>
    <w:p w14:paraId="264B6CA2">
      <w:pPr>
        <w:widowControl/>
        <w:autoSpaceDE w:val="0"/>
        <w:adjustRightInd/>
        <w:spacing w:line="360" w:lineRule="auto"/>
        <w:jc w:val="left"/>
        <w:rPr>
          <w:rFonts w:ascii="宋体" w:hAnsi="宋体" w:eastAsia="宋体" w:cs="宋体"/>
          <w:sz w:val="24"/>
          <w:highlight w:val="none"/>
        </w:rPr>
      </w:pPr>
      <w:r>
        <w:rPr>
          <w:rFonts w:hint="eastAsia" w:ascii="宋体" w:hAnsi="宋体" w:eastAsia="宋体" w:cs="宋体"/>
          <w:sz w:val="24"/>
          <w:highlight w:val="none"/>
          <w:lang w:bidi="ar"/>
        </w:rPr>
        <w:t>邮政编码：                                 邮政编码：</w:t>
      </w:r>
    </w:p>
    <w:p w14:paraId="2D28B3F0">
      <w:pPr>
        <w:spacing w:line="360" w:lineRule="auto"/>
        <w:rPr>
          <w:rFonts w:ascii="宋体" w:hAnsi="宋体" w:eastAsia="宋体" w:cs="宋体"/>
          <w:b/>
          <w:sz w:val="36"/>
          <w:szCs w:val="20"/>
          <w:highlight w:val="none"/>
        </w:rPr>
      </w:pPr>
      <w:r>
        <w:rPr>
          <w:rFonts w:hint="eastAsia" w:ascii="宋体" w:hAnsi="宋体" w:eastAsia="宋体" w:cs="宋体"/>
          <w:sz w:val="24"/>
          <w:highlight w:val="none"/>
        </w:rPr>
        <w:t>签订日期：</w:t>
      </w:r>
    </w:p>
    <w:p w14:paraId="688747D3">
      <w:pPr>
        <w:rPr>
          <w:rFonts w:ascii="宋体" w:hAnsi="宋体" w:cs="宋体"/>
          <w:b/>
          <w:sz w:val="36"/>
          <w:szCs w:val="20"/>
          <w:highlight w:val="none"/>
        </w:rPr>
      </w:pPr>
      <w:r>
        <w:rPr>
          <w:rFonts w:hint="eastAsia" w:ascii="宋体" w:hAnsi="宋体" w:cs="宋体"/>
          <w:b/>
          <w:sz w:val="36"/>
          <w:szCs w:val="20"/>
          <w:highlight w:val="none"/>
        </w:rPr>
        <w:br w:type="page"/>
      </w:r>
    </w:p>
    <w:p w14:paraId="69CF5238">
      <w:pPr>
        <w:spacing w:line="360" w:lineRule="auto"/>
        <w:ind w:left="720" w:firstLine="723" w:firstLineChars="200"/>
        <w:outlineLvl w:val="0"/>
        <w:rPr>
          <w:rFonts w:ascii="宋体" w:hAnsi="宋体" w:cs="宋体"/>
          <w:b/>
          <w:sz w:val="36"/>
          <w:szCs w:val="20"/>
          <w:highlight w:val="none"/>
        </w:rPr>
      </w:pPr>
      <w:bookmarkStart w:id="420" w:name="_Toc3223"/>
      <w:r>
        <w:rPr>
          <w:rFonts w:hint="eastAsia" w:ascii="宋体" w:hAnsi="宋体" w:cs="宋体"/>
          <w:b/>
          <w:sz w:val="36"/>
          <w:szCs w:val="20"/>
          <w:highlight w:val="none"/>
        </w:rPr>
        <w:t>第六部分</w:t>
      </w:r>
      <w:bookmarkEnd w:id="417"/>
      <w:r>
        <w:rPr>
          <w:rFonts w:hint="eastAsia" w:ascii="宋体" w:hAnsi="宋体" w:cs="宋体"/>
          <w:b/>
          <w:sz w:val="36"/>
          <w:szCs w:val="20"/>
          <w:highlight w:val="none"/>
        </w:rPr>
        <w:t xml:space="preserve"> </w:t>
      </w:r>
      <w:bookmarkEnd w:id="418"/>
      <w:r>
        <w:rPr>
          <w:rFonts w:hint="eastAsia" w:ascii="宋体" w:hAnsi="宋体" w:cs="宋体"/>
          <w:b/>
          <w:sz w:val="36"/>
          <w:szCs w:val="20"/>
          <w:highlight w:val="none"/>
        </w:rPr>
        <w:t>应提交的有关格式范例</w:t>
      </w:r>
      <w:bookmarkEnd w:id="420"/>
    </w:p>
    <w:p w14:paraId="59CAC528">
      <w:pPr>
        <w:spacing w:line="360" w:lineRule="auto"/>
        <w:jc w:val="center"/>
        <w:rPr>
          <w:rFonts w:ascii="宋体" w:hAnsi="宋体" w:cs="宋体"/>
          <w:b/>
          <w:kern w:val="0"/>
          <w:sz w:val="36"/>
          <w:szCs w:val="36"/>
          <w:highlight w:val="none"/>
        </w:rPr>
      </w:pPr>
    </w:p>
    <w:p w14:paraId="59FED6F5">
      <w:pPr>
        <w:spacing w:line="360" w:lineRule="auto"/>
        <w:jc w:val="center"/>
        <w:rPr>
          <w:rFonts w:ascii="宋体" w:hAnsi="宋体" w:cs="宋体"/>
          <w:b/>
          <w:kern w:val="0"/>
          <w:sz w:val="36"/>
          <w:szCs w:val="36"/>
          <w:highlight w:val="none"/>
        </w:rPr>
      </w:pPr>
      <w:r>
        <w:rPr>
          <w:rFonts w:hint="eastAsia" w:ascii="宋体" w:hAnsi="宋体" w:cs="宋体"/>
          <w:b/>
          <w:kern w:val="0"/>
          <w:sz w:val="36"/>
          <w:szCs w:val="36"/>
          <w:highlight w:val="none"/>
        </w:rPr>
        <w:t>资格文件部分</w:t>
      </w:r>
    </w:p>
    <w:p w14:paraId="3E9F5DCE">
      <w:pPr>
        <w:spacing w:line="360" w:lineRule="auto"/>
        <w:jc w:val="center"/>
        <w:rPr>
          <w:rFonts w:ascii="宋体" w:hAnsi="宋体" w:cs="宋体"/>
          <w:b/>
          <w:kern w:val="0"/>
          <w:sz w:val="36"/>
          <w:szCs w:val="36"/>
          <w:highlight w:val="none"/>
        </w:rPr>
      </w:pPr>
      <w:r>
        <w:rPr>
          <w:rFonts w:hint="eastAsia" w:ascii="宋体" w:hAnsi="宋体" w:cs="宋体"/>
          <w:b/>
          <w:kern w:val="0"/>
          <w:sz w:val="36"/>
          <w:szCs w:val="36"/>
          <w:highlight w:val="none"/>
        </w:rPr>
        <w:t>目录</w:t>
      </w:r>
    </w:p>
    <w:p w14:paraId="5271E2A8">
      <w:pPr>
        <w:spacing w:line="360" w:lineRule="auto"/>
        <w:jc w:val="center"/>
        <w:rPr>
          <w:rFonts w:ascii="宋体" w:hAnsi="宋体" w:cs="宋体"/>
          <w:b/>
          <w:kern w:val="0"/>
          <w:sz w:val="36"/>
          <w:szCs w:val="36"/>
          <w:highlight w:val="none"/>
        </w:rPr>
      </w:pPr>
    </w:p>
    <w:p w14:paraId="32A2B5A8">
      <w:pPr>
        <w:snapToGrid w:val="0"/>
        <w:spacing w:line="360" w:lineRule="auto"/>
        <w:rPr>
          <w:rFonts w:ascii="宋体" w:hAnsi="宋体" w:cs="宋体"/>
          <w:sz w:val="24"/>
          <w:highlight w:val="none"/>
        </w:rPr>
      </w:pPr>
      <w:r>
        <w:rPr>
          <w:rFonts w:hint="eastAsia" w:ascii="宋体" w:hAnsi="宋体" w:cs="宋体"/>
          <w:sz w:val="24"/>
          <w:highlight w:val="none"/>
        </w:rPr>
        <w:t>（1）符合参加政府采购活动应当具备的一般条件的承诺函……………（页码）</w:t>
      </w:r>
    </w:p>
    <w:p w14:paraId="0EA8CC6A">
      <w:pPr>
        <w:snapToGrid w:val="0"/>
        <w:spacing w:line="360" w:lineRule="auto"/>
        <w:rPr>
          <w:rFonts w:ascii="宋体" w:hAnsi="宋体" w:cs="宋体"/>
          <w:sz w:val="24"/>
          <w:highlight w:val="none"/>
        </w:rPr>
      </w:pPr>
      <w:r>
        <w:rPr>
          <w:rFonts w:hint="eastAsia" w:ascii="宋体" w:hAnsi="宋体" w:cs="宋体"/>
          <w:snapToGrid w:val="0"/>
          <w:kern w:val="28"/>
          <w:sz w:val="24"/>
          <w:szCs w:val="20"/>
          <w:highlight w:val="none"/>
        </w:rPr>
        <w:t>（2）联合协议</w:t>
      </w:r>
      <w:r>
        <w:rPr>
          <w:rFonts w:hint="eastAsia" w:ascii="宋体" w:hAnsi="宋体" w:cs="宋体"/>
          <w:sz w:val="24"/>
          <w:highlight w:val="none"/>
        </w:rPr>
        <w:t>………………………………………………………………（页码）</w:t>
      </w:r>
    </w:p>
    <w:p w14:paraId="41F2160C">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）落实政府采购政策需满足的资格要求………………………………（页码）</w:t>
      </w:r>
    </w:p>
    <w:p w14:paraId="5605B58F">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）本项目的特定资格要求………………………………………………（页码）</w:t>
      </w:r>
    </w:p>
    <w:p w14:paraId="2ADAE69F">
      <w:pPr>
        <w:snapToGrid w:val="0"/>
        <w:spacing w:line="360" w:lineRule="auto"/>
        <w:ind w:firstLine="480" w:firstLineChars="200"/>
        <w:rPr>
          <w:rFonts w:ascii="宋体" w:hAnsi="宋体" w:cs="宋体"/>
          <w:sz w:val="24"/>
          <w:highlight w:val="none"/>
        </w:rPr>
      </w:pPr>
    </w:p>
    <w:p w14:paraId="05D0608E">
      <w:pPr>
        <w:spacing w:line="360" w:lineRule="auto"/>
        <w:ind w:firstLine="480" w:firstLineChars="200"/>
        <w:rPr>
          <w:rFonts w:ascii="宋体" w:hAnsi="宋体" w:cs="宋体"/>
          <w:sz w:val="24"/>
          <w:highlight w:val="none"/>
        </w:rPr>
      </w:pPr>
    </w:p>
    <w:p w14:paraId="4F2EA11B">
      <w:pPr>
        <w:snapToGrid w:val="0"/>
        <w:spacing w:line="360" w:lineRule="auto"/>
        <w:ind w:right="480"/>
        <w:jc w:val="center"/>
        <w:rPr>
          <w:rFonts w:ascii="宋体" w:hAnsi="宋体" w:cs="宋体"/>
          <w:b/>
          <w:kern w:val="0"/>
          <w:sz w:val="32"/>
          <w:szCs w:val="32"/>
          <w:highlight w:val="none"/>
        </w:rPr>
      </w:pPr>
      <w:r>
        <w:rPr>
          <w:rFonts w:hint="eastAsia" w:ascii="宋体" w:hAnsi="宋体" w:cs="宋体"/>
          <w:kern w:val="0"/>
          <w:sz w:val="24"/>
          <w:highlight w:val="none"/>
        </w:rPr>
        <w:br w:type="page"/>
      </w:r>
      <w:r>
        <w:rPr>
          <w:rFonts w:hint="eastAsia" w:ascii="宋体" w:hAnsi="宋体" w:cs="宋体"/>
          <w:b/>
          <w:kern w:val="0"/>
          <w:sz w:val="32"/>
          <w:szCs w:val="32"/>
          <w:highlight w:val="none"/>
        </w:rPr>
        <w:t>一、符合参加政府采购活动应当具备的一般条件的承诺函</w:t>
      </w:r>
    </w:p>
    <w:p w14:paraId="1BD0E82E">
      <w:pPr>
        <w:snapToGrid w:val="0"/>
        <w:spacing w:line="360" w:lineRule="auto"/>
        <w:rPr>
          <w:rFonts w:ascii="宋体" w:hAnsi="宋体" w:cs="宋体"/>
          <w:sz w:val="24"/>
          <w:highlight w:val="none"/>
        </w:rPr>
      </w:pPr>
      <w:r>
        <w:rPr>
          <w:rFonts w:hint="eastAsia" w:ascii="宋体" w:hAnsi="宋体" w:cs="宋体"/>
          <w:sz w:val="24"/>
          <w:highlight w:val="none"/>
        </w:rPr>
        <w:t>（采购人）、（采购代理机构）：</w:t>
      </w:r>
    </w:p>
    <w:p w14:paraId="45AEAC6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我方参与（项目名称）【招标编号：（采购编号）】政府采购活动，郑重承诺：</w:t>
      </w:r>
    </w:p>
    <w:p w14:paraId="36BC28F5">
      <w:pPr>
        <w:snapToGrid w:val="0"/>
        <w:spacing w:line="360" w:lineRule="auto"/>
        <w:ind w:firstLine="360" w:firstLineChars="150"/>
        <w:rPr>
          <w:rFonts w:ascii="宋体" w:hAnsi="宋体" w:cs="宋体"/>
          <w:sz w:val="24"/>
          <w:highlight w:val="none"/>
        </w:rPr>
      </w:pPr>
      <w:r>
        <w:rPr>
          <w:rFonts w:hint="eastAsia" w:ascii="宋体" w:hAnsi="宋体" w:cs="宋体"/>
          <w:sz w:val="24"/>
          <w:highlight w:val="none"/>
        </w:rPr>
        <w:t>（一）具备《中华人民共和国政府采购法》第二十二条第一款规定的条件：</w:t>
      </w:r>
    </w:p>
    <w:p w14:paraId="4526FAB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1、具有独立承担民事责任的能力；</w:t>
      </w:r>
    </w:p>
    <w:p w14:paraId="06126DB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14:paraId="40B3554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14:paraId="1FCC0385">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14:paraId="472F12D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5、参加政府采购活动前三年内，在经营活动中没有重大违法记录；</w:t>
      </w:r>
    </w:p>
    <w:p w14:paraId="27C58804">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6、具有法律、行政法规规定的其他条件。</w:t>
      </w:r>
    </w:p>
    <w:p w14:paraId="5862CFE3">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（二）未被信用中国（www.creditchina.gov.cn)、中国政府采购网（www.ccgp.gov.cn）列入失信被执行人、重大税收违法案件当事人名单、政府采购严重违法失信行为记录名单。</w:t>
      </w:r>
    </w:p>
    <w:p w14:paraId="58646D8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（三）不存在以下情况：</w:t>
      </w:r>
    </w:p>
    <w:p w14:paraId="5ADB8FFA">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1、单位负责人为同一人或者存在直接控股、管理关系的不同供应商参加同一合同项下的政府采购活动的；</w:t>
      </w:r>
    </w:p>
    <w:p w14:paraId="42E7FEC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14:paraId="4C99FC81">
      <w:pPr>
        <w:snapToGrid w:val="0"/>
        <w:spacing w:line="360" w:lineRule="auto"/>
        <w:ind w:firstLine="480" w:firstLineChars="200"/>
        <w:rPr>
          <w:rFonts w:ascii="宋体" w:hAnsi="宋体" w:cs="宋体"/>
          <w:sz w:val="24"/>
          <w:highlight w:val="none"/>
        </w:rPr>
      </w:pPr>
    </w:p>
    <w:p w14:paraId="46165FFA">
      <w:pPr>
        <w:snapToGrid w:val="0"/>
        <w:spacing w:line="360" w:lineRule="auto"/>
        <w:ind w:firstLine="5520" w:firstLineChars="2300"/>
        <w:rPr>
          <w:rFonts w:ascii="宋体" w:hAnsi="宋体" w:cs="宋体"/>
          <w:kern w:val="0"/>
          <w:sz w:val="24"/>
          <w:highlight w:val="none"/>
          <w:lang w:val="zh-CN"/>
        </w:rPr>
      </w:pPr>
    </w:p>
    <w:p w14:paraId="1507D67A">
      <w:pPr>
        <w:snapToGrid w:val="0"/>
        <w:spacing w:line="360" w:lineRule="auto"/>
        <w:ind w:firstLine="5520" w:firstLineChars="2300"/>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67BD5223">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06966F55">
      <w:pPr>
        <w:snapToGrid w:val="0"/>
        <w:spacing w:line="360" w:lineRule="auto"/>
        <w:ind w:right="480"/>
        <w:jc w:val="center"/>
        <w:rPr>
          <w:rFonts w:ascii="宋体" w:hAnsi="宋体" w:cs="宋体"/>
          <w:b/>
          <w:kern w:val="0"/>
          <w:sz w:val="32"/>
          <w:szCs w:val="32"/>
          <w:highlight w:val="none"/>
        </w:rPr>
      </w:pPr>
    </w:p>
    <w:p w14:paraId="520B72BF">
      <w:pPr>
        <w:rPr>
          <w:rFonts w:ascii="宋体" w:hAnsi="宋体" w:cs="宋体"/>
          <w:highlight w:val="none"/>
        </w:rPr>
      </w:pPr>
    </w:p>
    <w:p w14:paraId="2FF44194">
      <w:pPr>
        <w:snapToGrid w:val="0"/>
        <w:spacing w:line="360" w:lineRule="auto"/>
        <w:ind w:right="480"/>
        <w:jc w:val="center"/>
        <w:rPr>
          <w:rFonts w:ascii="宋体" w:hAnsi="宋体" w:cs="宋体"/>
          <w:b/>
          <w:kern w:val="0"/>
          <w:sz w:val="32"/>
          <w:szCs w:val="32"/>
          <w:highlight w:val="none"/>
        </w:rPr>
      </w:pPr>
    </w:p>
    <w:p w14:paraId="3847FB9A">
      <w:pPr>
        <w:widowControl/>
        <w:spacing w:line="360" w:lineRule="auto"/>
        <w:ind w:firstLine="643" w:firstLineChars="200"/>
        <w:jc w:val="center"/>
        <w:rPr>
          <w:rFonts w:ascii="宋体" w:hAnsi="宋体" w:cs="宋体"/>
          <w:b/>
          <w:kern w:val="0"/>
          <w:sz w:val="32"/>
          <w:szCs w:val="32"/>
          <w:highlight w:val="none"/>
        </w:rPr>
      </w:pPr>
    </w:p>
    <w:p w14:paraId="0B6988B1">
      <w:pPr>
        <w:rPr>
          <w:rFonts w:ascii="宋体" w:hAnsi="宋体" w:cs="宋体"/>
          <w:b/>
          <w:kern w:val="0"/>
          <w:sz w:val="32"/>
          <w:szCs w:val="32"/>
          <w:highlight w:val="none"/>
        </w:rPr>
      </w:pPr>
      <w:r>
        <w:rPr>
          <w:rFonts w:hint="eastAsia" w:ascii="宋体" w:hAnsi="宋体" w:cs="宋体"/>
          <w:b/>
          <w:kern w:val="0"/>
          <w:sz w:val="32"/>
          <w:szCs w:val="32"/>
          <w:highlight w:val="none"/>
        </w:rPr>
        <w:br w:type="page"/>
      </w:r>
    </w:p>
    <w:p w14:paraId="2D02410F">
      <w:pPr>
        <w:widowControl/>
        <w:spacing w:line="360" w:lineRule="auto"/>
        <w:ind w:firstLine="643" w:firstLineChars="200"/>
        <w:jc w:val="center"/>
        <w:rPr>
          <w:rFonts w:ascii="宋体" w:hAnsi="宋体" w:cs="宋体"/>
          <w:b/>
          <w:kern w:val="0"/>
          <w:sz w:val="32"/>
          <w:szCs w:val="32"/>
          <w:highlight w:val="none"/>
        </w:rPr>
      </w:pPr>
      <w:r>
        <w:rPr>
          <w:rFonts w:hint="eastAsia" w:ascii="宋体" w:hAnsi="宋体" w:cs="宋体"/>
          <w:b/>
          <w:kern w:val="0"/>
          <w:sz w:val="32"/>
          <w:szCs w:val="32"/>
          <w:highlight w:val="none"/>
        </w:rPr>
        <w:t>二、联合协议（如果有）</w:t>
      </w:r>
    </w:p>
    <w:p w14:paraId="3EDF2A6B">
      <w:pPr>
        <w:widowControl/>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[以联合体形式投标的，提供联合协议（附件5）；本项目不接受联合体投标或者投标人不以联合体形式投标的，则不需要提供]</w:t>
      </w:r>
    </w:p>
    <w:p w14:paraId="011B1202">
      <w:pPr>
        <w:snapToGrid w:val="0"/>
        <w:spacing w:line="360" w:lineRule="auto"/>
        <w:ind w:right="480"/>
        <w:jc w:val="center"/>
        <w:rPr>
          <w:rFonts w:ascii="宋体" w:hAnsi="宋体" w:cs="宋体"/>
          <w:b/>
          <w:kern w:val="0"/>
          <w:sz w:val="32"/>
          <w:szCs w:val="32"/>
          <w:highlight w:val="none"/>
        </w:rPr>
      </w:pPr>
    </w:p>
    <w:p w14:paraId="6DE00A85">
      <w:pPr>
        <w:snapToGrid w:val="0"/>
        <w:spacing w:line="360" w:lineRule="auto"/>
        <w:ind w:right="480"/>
        <w:jc w:val="center"/>
        <w:rPr>
          <w:rFonts w:ascii="宋体" w:hAnsi="宋体" w:cs="宋体"/>
          <w:b/>
          <w:kern w:val="0"/>
          <w:sz w:val="32"/>
          <w:szCs w:val="32"/>
          <w:highlight w:val="none"/>
        </w:rPr>
      </w:pPr>
    </w:p>
    <w:p w14:paraId="59266EA7">
      <w:pPr>
        <w:snapToGrid w:val="0"/>
        <w:spacing w:line="360" w:lineRule="auto"/>
        <w:ind w:right="480"/>
        <w:jc w:val="center"/>
        <w:rPr>
          <w:rFonts w:ascii="宋体" w:hAnsi="宋体" w:cs="宋体"/>
          <w:b/>
          <w:kern w:val="0"/>
          <w:sz w:val="32"/>
          <w:szCs w:val="32"/>
          <w:highlight w:val="none"/>
        </w:rPr>
      </w:pPr>
      <w:r>
        <w:rPr>
          <w:rFonts w:hint="eastAsia" w:ascii="宋体" w:hAnsi="宋体" w:cs="宋体"/>
          <w:b/>
          <w:kern w:val="0"/>
          <w:sz w:val="32"/>
          <w:szCs w:val="32"/>
          <w:highlight w:val="none"/>
        </w:rPr>
        <w:t>三、落实政府采购政策需满足的资格要求</w:t>
      </w:r>
    </w:p>
    <w:p w14:paraId="68CD6C8D">
      <w:pPr>
        <w:spacing w:line="360" w:lineRule="auto"/>
        <w:rPr>
          <w:rFonts w:ascii="宋体" w:hAnsi="宋体" w:cs="宋体"/>
          <w:sz w:val="24"/>
          <w:highlight w:val="none"/>
        </w:rPr>
      </w:pPr>
      <w:r>
        <w:rPr>
          <w:rFonts w:hint="eastAsia" w:ascii="宋体" w:hAnsi="宋体" w:cs="宋体"/>
          <w:sz w:val="24"/>
          <w:highlight w:val="none"/>
        </w:rPr>
        <w:t>（根据招标公告落实政府采购政策需满足的资格要求选择提供相应的材料；未要求的，无需提供）</w:t>
      </w:r>
    </w:p>
    <w:p w14:paraId="02D8345A">
      <w:pPr>
        <w:snapToGrid w:val="0"/>
        <w:spacing w:before="50" w:after="50" w:line="360" w:lineRule="auto"/>
        <w:ind w:firstLine="472" w:firstLineChars="196"/>
        <w:jc w:val="left"/>
        <w:rPr>
          <w:rFonts w:ascii="宋体" w:hAnsi="宋体" w:cs="宋体"/>
          <w:sz w:val="24"/>
          <w:highlight w:val="none"/>
        </w:rPr>
      </w:pPr>
      <w:r>
        <w:rPr>
          <w:rFonts w:hint="eastAsia" w:ascii="宋体" w:hAnsi="宋体" w:cs="宋体"/>
          <w:b/>
          <w:sz w:val="24"/>
          <w:highlight w:val="none"/>
        </w:rPr>
        <w:t>A</w:t>
      </w:r>
      <w:r>
        <w:rPr>
          <w:rFonts w:hint="eastAsia" w:ascii="宋体" w:hAnsi="宋体" w:cs="宋体"/>
          <w:sz w:val="24"/>
          <w:highlight w:val="none"/>
        </w:rPr>
        <w:t>.专门面向中小企业，货物全部由符合政策要求的中小企业（或小微企业）制造的，提供相应的中小企业声明函（附件</w:t>
      </w:r>
      <w:r>
        <w:rPr>
          <w:rFonts w:ascii="宋体" w:hAnsi="宋体" w:cs="宋体"/>
          <w:sz w:val="24"/>
          <w:highlight w:val="none"/>
        </w:rPr>
        <w:t>7</w:t>
      </w:r>
      <w:r>
        <w:rPr>
          <w:rFonts w:hint="eastAsia" w:ascii="宋体" w:hAnsi="宋体" w:cs="宋体"/>
          <w:sz w:val="24"/>
          <w:highlight w:val="none"/>
        </w:rPr>
        <w:t xml:space="preserve">）。 </w:t>
      </w:r>
    </w:p>
    <w:p w14:paraId="722CF673">
      <w:pPr>
        <w:widowControl/>
        <w:spacing w:line="360" w:lineRule="auto"/>
        <w:ind w:firstLine="480"/>
        <w:jc w:val="left"/>
        <w:rPr>
          <w:rFonts w:ascii="宋体" w:hAnsi="宋体" w:cs="宋体"/>
          <w:sz w:val="24"/>
          <w:highlight w:val="none"/>
        </w:rPr>
      </w:pPr>
    </w:p>
    <w:p w14:paraId="7183C51D">
      <w:pPr>
        <w:widowControl/>
        <w:spacing w:line="360" w:lineRule="auto"/>
        <w:ind w:firstLine="472" w:firstLineChars="196"/>
        <w:jc w:val="left"/>
        <w:rPr>
          <w:rFonts w:ascii="宋体" w:hAnsi="宋体" w:cs="宋体"/>
          <w:sz w:val="24"/>
          <w:highlight w:val="none"/>
        </w:rPr>
      </w:pPr>
      <w:r>
        <w:rPr>
          <w:rFonts w:hint="eastAsia" w:ascii="宋体" w:hAnsi="宋体" w:cs="宋体"/>
          <w:b/>
          <w:sz w:val="24"/>
          <w:highlight w:val="none"/>
        </w:rPr>
        <w:t>B.</w:t>
      </w:r>
      <w:r>
        <w:rPr>
          <w:rFonts w:hint="eastAsia" w:ascii="宋体" w:hAnsi="宋体" w:cs="宋体"/>
          <w:sz w:val="24"/>
          <w:highlight w:val="none"/>
        </w:rPr>
        <w:t>要求以联合体形式参加的，提供联合协议（附件</w:t>
      </w:r>
      <w:r>
        <w:rPr>
          <w:rFonts w:ascii="宋体" w:hAnsi="宋体" w:cs="宋体"/>
          <w:sz w:val="24"/>
          <w:highlight w:val="none"/>
        </w:rPr>
        <w:t>5</w:t>
      </w:r>
      <w:r>
        <w:rPr>
          <w:rFonts w:hint="eastAsia" w:ascii="宋体" w:hAnsi="宋体" w:cs="宋体"/>
          <w:sz w:val="24"/>
          <w:highlight w:val="none"/>
        </w:rPr>
        <w:t>）和中小企业声明函（附件</w:t>
      </w:r>
      <w:r>
        <w:rPr>
          <w:rFonts w:ascii="宋体" w:hAnsi="宋体" w:cs="宋体"/>
          <w:sz w:val="24"/>
          <w:highlight w:val="none"/>
        </w:rPr>
        <w:t>7</w:t>
      </w:r>
      <w:r>
        <w:rPr>
          <w:rFonts w:hint="eastAsia" w:ascii="宋体" w:hAnsi="宋体" w:cs="宋体"/>
          <w:sz w:val="24"/>
          <w:highlight w:val="none"/>
        </w:rPr>
        <w:t>），联合协议中中小企业合同金额应当达到招标公告载明的比例；如果供应商本身提供所有标的均由中小企业制造的，</w:t>
      </w:r>
      <w:r>
        <w:rPr>
          <w:rFonts w:hint="eastAsia" w:ascii="宋体" w:hAnsi="宋体" w:cs="宋体"/>
          <w:spacing w:val="8"/>
          <w:kern w:val="0"/>
          <w:sz w:val="24"/>
          <w:highlight w:val="none"/>
        </w:rPr>
        <w:t>并相应达到了前述比例要求，</w:t>
      </w:r>
      <w:r>
        <w:rPr>
          <w:rFonts w:hint="eastAsia" w:ascii="宋体" w:hAnsi="宋体" w:cs="宋体"/>
          <w:sz w:val="24"/>
          <w:highlight w:val="none"/>
        </w:rPr>
        <w:t>视同符合了资格条件，无需再与其他中小企业组成联合体参加政府采购活动，无需提供联合协议。</w:t>
      </w:r>
    </w:p>
    <w:p w14:paraId="79F944D1">
      <w:pPr>
        <w:snapToGrid w:val="0"/>
        <w:spacing w:before="50" w:after="50" w:line="360" w:lineRule="auto"/>
        <w:jc w:val="center"/>
        <w:rPr>
          <w:rFonts w:ascii="宋体" w:hAnsi="宋体" w:cs="宋体"/>
          <w:sz w:val="24"/>
          <w:highlight w:val="none"/>
        </w:rPr>
      </w:pPr>
      <w:r>
        <w:rPr>
          <w:rFonts w:hint="eastAsia" w:ascii="宋体" w:hAnsi="宋体" w:cs="宋体"/>
          <w:b/>
          <w:sz w:val="24"/>
          <w:highlight w:val="none"/>
        </w:rPr>
        <w:t xml:space="preserve">    </w:t>
      </w:r>
    </w:p>
    <w:p w14:paraId="308FABF6">
      <w:pPr>
        <w:spacing w:line="360" w:lineRule="auto"/>
        <w:ind w:firstLine="482" w:firstLineChars="200"/>
        <w:rPr>
          <w:rFonts w:ascii="宋体" w:hAnsi="宋体" w:cs="宋体"/>
          <w:sz w:val="24"/>
          <w:highlight w:val="none"/>
        </w:rPr>
      </w:pPr>
      <w:r>
        <w:rPr>
          <w:rFonts w:hint="eastAsia" w:ascii="宋体" w:hAnsi="宋体" w:cs="宋体"/>
          <w:b/>
          <w:sz w:val="24"/>
          <w:highlight w:val="none"/>
        </w:rPr>
        <w:t>C</w:t>
      </w:r>
      <w:r>
        <w:rPr>
          <w:rFonts w:hint="eastAsia" w:ascii="宋体" w:hAnsi="宋体" w:cs="宋体"/>
          <w:b/>
          <w:sz w:val="24"/>
          <w:highlight w:val="none"/>
          <w:lang w:val="en-US" w:eastAsia="zh-CN"/>
        </w:rPr>
        <w:t>.</w:t>
      </w:r>
      <w:r>
        <w:rPr>
          <w:rFonts w:hint="eastAsia" w:ascii="宋体" w:hAnsi="宋体" w:cs="宋体"/>
          <w:sz w:val="24"/>
          <w:highlight w:val="none"/>
        </w:rPr>
        <w:t>要求合同分包的，提供分包意向协议（附件6）和中小企业声明函（附件</w:t>
      </w:r>
      <w:r>
        <w:rPr>
          <w:rFonts w:ascii="宋体" w:hAnsi="宋体" w:cs="宋体"/>
          <w:sz w:val="24"/>
          <w:highlight w:val="none"/>
        </w:rPr>
        <w:t>7</w:t>
      </w:r>
      <w:r>
        <w:rPr>
          <w:rFonts w:hint="eastAsia" w:ascii="宋体" w:hAnsi="宋体" w:cs="宋体"/>
          <w:sz w:val="24"/>
          <w:highlight w:val="none"/>
        </w:rPr>
        <w:t>），分包意向协议中中小企业合同金额应当达到招标公告载明的比例；如果供应商本身提供所有标的均由中小企业制造的，</w:t>
      </w:r>
      <w:r>
        <w:rPr>
          <w:rFonts w:hint="eastAsia" w:ascii="宋体" w:hAnsi="宋体" w:cs="宋体"/>
          <w:spacing w:val="8"/>
          <w:kern w:val="0"/>
          <w:sz w:val="24"/>
          <w:highlight w:val="none"/>
        </w:rPr>
        <w:t>并相应达到了前述比例要求，</w:t>
      </w:r>
      <w:r>
        <w:rPr>
          <w:rFonts w:hint="eastAsia" w:ascii="宋体" w:hAnsi="宋体" w:cs="宋体"/>
          <w:sz w:val="24"/>
          <w:highlight w:val="none"/>
        </w:rPr>
        <w:t>视同符合了资格条件，无需再向中小企业分包，无需提供分包意向协议。</w:t>
      </w:r>
    </w:p>
    <w:p w14:paraId="59E68151">
      <w:pPr>
        <w:widowControl/>
        <w:spacing w:line="360" w:lineRule="auto"/>
        <w:ind w:left="150"/>
        <w:jc w:val="center"/>
        <w:rPr>
          <w:rFonts w:ascii="宋体" w:hAnsi="宋体" w:cs="宋体"/>
          <w:b/>
          <w:kern w:val="0"/>
          <w:sz w:val="32"/>
          <w:szCs w:val="32"/>
          <w:highlight w:val="none"/>
        </w:rPr>
      </w:pPr>
    </w:p>
    <w:p w14:paraId="3C599713">
      <w:pPr>
        <w:widowControl/>
        <w:spacing w:line="360" w:lineRule="auto"/>
        <w:ind w:left="150"/>
        <w:jc w:val="center"/>
        <w:rPr>
          <w:rFonts w:ascii="宋体" w:hAnsi="宋体" w:cs="宋体"/>
          <w:b/>
          <w:kern w:val="0"/>
          <w:sz w:val="32"/>
          <w:szCs w:val="32"/>
          <w:highlight w:val="none"/>
        </w:rPr>
      </w:pPr>
      <w:r>
        <w:rPr>
          <w:rFonts w:hint="eastAsia" w:ascii="宋体" w:hAnsi="宋体" w:cs="宋体"/>
          <w:b/>
          <w:kern w:val="0"/>
          <w:sz w:val="32"/>
          <w:szCs w:val="32"/>
          <w:highlight w:val="none"/>
        </w:rPr>
        <w:t>四、本项目的特定资格要求</w:t>
      </w:r>
    </w:p>
    <w:p w14:paraId="20638B68">
      <w:pPr>
        <w:spacing w:line="360" w:lineRule="auto"/>
        <w:jc w:val="center"/>
        <w:rPr>
          <w:rFonts w:ascii="宋体" w:hAnsi="宋体" w:cs="宋体"/>
          <w:sz w:val="24"/>
          <w:highlight w:val="none"/>
        </w:rPr>
      </w:pPr>
      <w:r>
        <w:rPr>
          <w:rFonts w:hint="eastAsia" w:ascii="宋体" w:hAnsi="宋体" w:cs="宋体"/>
          <w:sz w:val="24"/>
          <w:highlight w:val="none"/>
        </w:rPr>
        <w:t>（根据招标公告本项目的特定资格要求提供相应的材料；未要求的，无需提供）</w:t>
      </w:r>
    </w:p>
    <w:p w14:paraId="77777DF4">
      <w:pPr>
        <w:rPr>
          <w:rFonts w:ascii="宋体" w:hAnsi="宋体" w:cs="宋体"/>
          <w:highlight w:val="none"/>
        </w:rPr>
      </w:pPr>
    </w:p>
    <w:p w14:paraId="447CABF4">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15A824C4">
      <w:pPr>
        <w:spacing w:line="360" w:lineRule="auto"/>
        <w:ind w:right="420" w:firstLine="3614" w:firstLineChars="1000"/>
        <w:rPr>
          <w:rFonts w:ascii="宋体" w:hAnsi="宋体" w:cs="宋体"/>
          <w:b/>
          <w:kern w:val="0"/>
          <w:sz w:val="36"/>
          <w:szCs w:val="36"/>
          <w:highlight w:val="none"/>
        </w:rPr>
      </w:pPr>
      <w:r>
        <w:rPr>
          <w:rFonts w:hint="eastAsia" w:ascii="宋体" w:hAnsi="宋体" w:cs="宋体"/>
          <w:b/>
          <w:kern w:val="0"/>
          <w:sz w:val="36"/>
          <w:szCs w:val="36"/>
          <w:highlight w:val="none"/>
        </w:rPr>
        <w:t>商务技术文件部分</w:t>
      </w:r>
    </w:p>
    <w:p w14:paraId="412F3839">
      <w:pPr>
        <w:spacing w:line="360" w:lineRule="auto"/>
        <w:jc w:val="center"/>
        <w:rPr>
          <w:rFonts w:ascii="宋体" w:hAnsi="宋体" w:cs="宋体"/>
          <w:b/>
          <w:kern w:val="0"/>
          <w:sz w:val="28"/>
          <w:szCs w:val="28"/>
          <w:highlight w:val="none"/>
        </w:rPr>
      </w:pPr>
      <w:r>
        <w:rPr>
          <w:rFonts w:hint="eastAsia" w:ascii="宋体" w:hAnsi="宋体" w:cs="宋体"/>
          <w:b/>
          <w:kern w:val="0"/>
          <w:sz w:val="28"/>
          <w:szCs w:val="28"/>
          <w:highlight w:val="none"/>
        </w:rPr>
        <w:t>目录</w:t>
      </w:r>
    </w:p>
    <w:p w14:paraId="2F48AEBC">
      <w:pPr>
        <w:snapToGrid w:val="0"/>
        <w:spacing w:line="360" w:lineRule="auto"/>
        <w:rPr>
          <w:rFonts w:hint="eastAsia" w:ascii="宋体" w:hAnsi="宋体" w:cs="宋体"/>
          <w:highlight w:val="none"/>
        </w:rPr>
      </w:pPr>
      <w:r>
        <w:rPr>
          <w:rFonts w:hint="eastAsia" w:ascii="宋体" w:hAnsi="宋体" w:cs="宋体"/>
          <w:sz w:val="24"/>
          <w:highlight w:val="none"/>
        </w:rPr>
        <w:t>（1）投标函</w:t>
      </w:r>
      <w:r>
        <w:rPr>
          <w:rFonts w:hint="eastAsia" w:ascii="宋体" w:hAnsi="宋体" w:cs="宋体"/>
          <w:highlight w:val="none"/>
        </w:rPr>
        <w:t>………………………………………………………………………………（页码）</w:t>
      </w:r>
    </w:p>
    <w:p w14:paraId="595B13AE">
      <w:pPr>
        <w:snapToGrid w:val="0"/>
        <w:spacing w:line="360" w:lineRule="auto"/>
        <w:rPr>
          <w:rFonts w:ascii="宋体" w:hAnsi="宋体" w:cs="宋体"/>
          <w:highlight w:val="none"/>
        </w:rPr>
      </w:pPr>
      <w:r>
        <w:rPr>
          <w:rFonts w:hint="eastAsia" w:ascii="宋体" w:hAnsi="宋体" w:cs="宋体"/>
          <w:sz w:val="24"/>
          <w:highlight w:val="none"/>
        </w:rPr>
        <w:t>（2）授权委托书或法定代表人（单位负责人、自然人本人）身份证明</w:t>
      </w:r>
      <w:r>
        <w:rPr>
          <w:rFonts w:hint="eastAsia" w:ascii="宋体" w:hAnsi="宋体" w:cs="宋体"/>
          <w:highlight w:val="none"/>
        </w:rPr>
        <w:t>…（页码）</w:t>
      </w:r>
    </w:p>
    <w:p w14:paraId="51B438D6">
      <w:pPr>
        <w:snapToGrid w:val="0"/>
        <w:spacing w:line="360" w:lineRule="auto"/>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highlight w:val="none"/>
        </w:rPr>
        <w:t>………………………………………………………………………（页码）</w:t>
      </w:r>
    </w:p>
    <w:p w14:paraId="6132D299">
      <w:pPr>
        <w:snapToGrid w:val="0"/>
        <w:spacing w:line="360" w:lineRule="auto"/>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）符合性审查资料</w:t>
      </w:r>
      <w:r>
        <w:rPr>
          <w:rFonts w:hint="eastAsia" w:ascii="宋体" w:hAnsi="宋体" w:cs="宋体"/>
          <w:highlight w:val="none"/>
        </w:rPr>
        <w:t>……………………………………………………………………（页码）</w:t>
      </w:r>
    </w:p>
    <w:p w14:paraId="2E685122">
      <w:pPr>
        <w:snapToGrid w:val="0"/>
        <w:spacing w:line="360" w:lineRule="auto"/>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5</w:t>
      </w:r>
      <w:r>
        <w:rPr>
          <w:rFonts w:hint="eastAsia" w:ascii="宋体" w:hAnsi="宋体" w:cs="宋体"/>
          <w:sz w:val="24"/>
          <w:highlight w:val="none"/>
        </w:rPr>
        <w:t>）评标标准相应的商务技术资料</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………（页码）</w:t>
      </w:r>
      <w:r>
        <w:rPr>
          <w:rFonts w:hint="eastAsia" w:ascii="宋体" w:hAnsi="宋体" w:cs="宋体"/>
          <w:sz w:val="24"/>
          <w:highlight w:val="none"/>
        </w:rPr>
        <w:t>（6）商务技术偏离表</w:t>
      </w:r>
      <w:r>
        <w:rPr>
          <w:rFonts w:hint="eastAsia" w:ascii="宋体" w:hAnsi="宋体" w:cs="宋体"/>
          <w:highlight w:val="none"/>
        </w:rPr>
        <w:t>……………………………………………………………………（页码）</w:t>
      </w:r>
    </w:p>
    <w:p w14:paraId="05CE8C11">
      <w:pPr>
        <w:snapToGrid w:val="0"/>
        <w:spacing w:line="360" w:lineRule="auto"/>
        <w:rPr>
          <w:rFonts w:ascii="宋体" w:hAnsi="宋体" w:cs="宋体"/>
          <w:highlight w:val="none"/>
        </w:rPr>
      </w:pPr>
      <w:r>
        <w:rPr>
          <w:rFonts w:hint="eastAsia" w:ascii="宋体" w:hAnsi="宋体" w:cs="宋体"/>
          <w:sz w:val="24"/>
          <w:highlight w:val="none"/>
          <w:lang w:val="zh-CN"/>
        </w:rPr>
        <w:t>（</w:t>
      </w:r>
      <w:r>
        <w:rPr>
          <w:rFonts w:hint="eastAsia" w:ascii="宋体" w:hAnsi="宋体" w:cs="宋体"/>
          <w:sz w:val="24"/>
          <w:highlight w:val="none"/>
        </w:rPr>
        <w:t>7</w:t>
      </w:r>
      <w:r>
        <w:rPr>
          <w:rFonts w:hint="eastAsia" w:ascii="宋体" w:hAnsi="宋体" w:cs="宋体"/>
          <w:sz w:val="24"/>
          <w:highlight w:val="none"/>
          <w:lang w:val="zh-CN"/>
        </w:rPr>
        <w:t>）政府采购供应商廉洁自律承诺书</w:t>
      </w:r>
      <w:r>
        <w:rPr>
          <w:rFonts w:hint="eastAsia" w:ascii="宋体" w:hAnsi="宋体" w:cs="宋体"/>
          <w:highlight w:val="none"/>
        </w:rPr>
        <w:t>………………………………………………（页码）</w:t>
      </w:r>
    </w:p>
    <w:p w14:paraId="01BB7A3C">
      <w:pPr>
        <w:snapToGrid w:val="0"/>
        <w:spacing w:line="360" w:lineRule="auto"/>
        <w:jc w:val="center"/>
        <w:rPr>
          <w:rFonts w:ascii="宋体" w:hAnsi="宋体" w:cs="宋体"/>
          <w:b/>
          <w:kern w:val="0"/>
          <w:sz w:val="32"/>
          <w:szCs w:val="32"/>
          <w:highlight w:val="none"/>
          <w:lang w:val="zh-CN"/>
        </w:rPr>
      </w:pPr>
    </w:p>
    <w:p w14:paraId="7ADDA64F">
      <w:pPr>
        <w:snapToGrid w:val="0"/>
        <w:spacing w:line="360" w:lineRule="auto"/>
        <w:jc w:val="center"/>
        <w:rPr>
          <w:rFonts w:ascii="宋体" w:hAnsi="宋体" w:cs="宋体"/>
          <w:b/>
          <w:kern w:val="0"/>
          <w:sz w:val="32"/>
          <w:szCs w:val="32"/>
          <w:highlight w:val="none"/>
          <w:lang w:val="zh-CN"/>
        </w:rPr>
      </w:pPr>
    </w:p>
    <w:p w14:paraId="166BD937">
      <w:pPr>
        <w:snapToGrid w:val="0"/>
        <w:spacing w:line="360" w:lineRule="auto"/>
        <w:jc w:val="center"/>
        <w:rPr>
          <w:rFonts w:ascii="宋体" w:hAnsi="宋体" w:cs="宋体"/>
          <w:b/>
          <w:kern w:val="0"/>
          <w:sz w:val="32"/>
          <w:szCs w:val="32"/>
          <w:highlight w:val="none"/>
          <w:lang w:val="zh-CN"/>
        </w:rPr>
      </w:pPr>
    </w:p>
    <w:p w14:paraId="3D5A2E62">
      <w:pPr>
        <w:snapToGrid w:val="0"/>
        <w:spacing w:line="360" w:lineRule="auto"/>
        <w:jc w:val="center"/>
        <w:rPr>
          <w:rFonts w:ascii="宋体" w:hAnsi="宋体" w:cs="宋体"/>
          <w:b/>
          <w:kern w:val="0"/>
          <w:sz w:val="32"/>
          <w:szCs w:val="32"/>
          <w:highlight w:val="none"/>
          <w:lang w:val="zh-CN"/>
        </w:rPr>
      </w:pPr>
    </w:p>
    <w:p w14:paraId="7B676521">
      <w:pPr>
        <w:snapToGrid w:val="0"/>
        <w:spacing w:line="360" w:lineRule="auto"/>
        <w:jc w:val="center"/>
        <w:rPr>
          <w:rFonts w:ascii="宋体" w:hAnsi="宋体" w:cs="宋体"/>
          <w:b/>
          <w:kern w:val="0"/>
          <w:sz w:val="32"/>
          <w:szCs w:val="32"/>
          <w:highlight w:val="none"/>
          <w:lang w:val="zh-CN"/>
        </w:rPr>
      </w:pPr>
    </w:p>
    <w:p w14:paraId="6984A353">
      <w:pPr>
        <w:snapToGrid w:val="0"/>
        <w:spacing w:line="360" w:lineRule="auto"/>
        <w:jc w:val="center"/>
        <w:rPr>
          <w:rFonts w:ascii="宋体" w:hAnsi="宋体" w:cs="宋体"/>
          <w:b/>
          <w:kern w:val="0"/>
          <w:sz w:val="32"/>
          <w:szCs w:val="32"/>
          <w:highlight w:val="none"/>
        </w:rPr>
      </w:pPr>
    </w:p>
    <w:p w14:paraId="3A9F3D2F">
      <w:pPr>
        <w:snapToGrid w:val="0"/>
        <w:spacing w:line="360" w:lineRule="auto"/>
        <w:jc w:val="center"/>
        <w:rPr>
          <w:rFonts w:ascii="宋体" w:hAnsi="宋体" w:cs="宋体"/>
          <w:b/>
          <w:kern w:val="0"/>
          <w:sz w:val="32"/>
          <w:szCs w:val="32"/>
          <w:highlight w:val="none"/>
        </w:rPr>
      </w:pPr>
    </w:p>
    <w:p w14:paraId="00118000">
      <w:pPr>
        <w:tabs>
          <w:tab w:val="left" w:pos="432"/>
        </w:tabs>
        <w:rPr>
          <w:highlight w:val="none"/>
        </w:rPr>
      </w:pPr>
    </w:p>
    <w:p w14:paraId="7B2A86BB">
      <w:pPr>
        <w:rPr>
          <w:highlight w:val="none"/>
        </w:rPr>
      </w:pPr>
    </w:p>
    <w:p w14:paraId="5CD3DD23">
      <w:pPr>
        <w:snapToGrid w:val="0"/>
        <w:spacing w:line="360" w:lineRule="auto"/>
        <w:ind w:firstLine="3855" w:firstLineChars="1200"/>
        <w:rPr>
          <w:rFonts w:ascii="宋体" w:hAnsi="宋体" w:cs="宋体"/>
          <w:b/>
          <w:kern w:val="0"/>
          <w:sz w:val="32"/>
          <w:szCs w:val="32"/>
          <w:highlight w:val="none"/>
        </w:rPr>
      </w:pPr>
    </w:p>
    <w:p w14:paraId="3493C021">
      <w:pPr>
        <w:snapToGrid w:val="0"/>
        <w:spacing w:line="360" w:lineRule="auto"/>
        <w:ind w:firstLine="3855" w:firstLineChars="1200"/>
        <w:rPr>
          <w:rFonts w:ascii="宋体" w:hAnsi="宋体" w:cs="宋体"/>
          <w:b/>
          <w:kern w:val="0"/>
          <w:sz w:val="32"/>
          <w:szCs w:val="32"/>
          <w:highlight w:val="none"/>
        </w:rPr>
      </w:pPr>
    </w:p>
    <w:p w14:paraId="0F510DD9">
      <w:pPr>
        <w:snapToGrid w:val="0"/>
        <w:spacing w:line="360" w:lineRule="auto"/>
        <w:ind w:firstLine="3855" w:firstLineChars="1200"/>
        <w:rPr>
          <w:rFonts w:ascii="宋体" w:hAnsi="宋体" w:cs="宋体"/>
          <w:b/>
          <w:kern w:val="0"/>
          <w:sz w:val="32"/>
          <w:szCs w:val="32"/>
          <w:highlight w:val="none"/>
        </w:rPr>
      </w:pPr>
    </w:p>
    <w:p w14:paraId="45F24B2B">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309B6453">
      <w:pPr>
        <w:snapToGrid w:val="0"/>
        <w:spacing w:line="360" w:lineRule="auto"/>
        <w:ind w:firstLine="3855" w:firstLineChars="1200"/>
        <w:rPr>
          <w:rFonts w:ascii="宋体" w:hAnsi="宋体" w:cs="宋体"/>
          <w:b/>
          <w:sz w:val="32"/>
          <w:szCs w:val="32"/>
          <w:highlight w:val="none"/>
        </w:rPr>
      </w:pPr>
      <w:r>
        <w:rPr>
          <w:rFonts w:hint="eastAsia" w:ascii="宋体" w:hAnsi="宋体" w:cs="宋体"/>
          <w:b/>
          <w:kern w:val="0"/>
          <w:sz w:val="32"/>
          <w:szCs w:val="32"/>
          <w:highlight w:val="none"/>
        </w:rPr>
        <w:t>一、投标</w:t>
      </w:r>
      <w:r>
        <w:rPr>
          <w:rFonts w:hint="eastAsia" w:ascii="宋体" w:hAnsi="宋体" w:cs="宋体"/>
          <w:b/>
          <w:sz w:val="32"/>
          <w:szCs w:val="32"/>
          <w:highlight w:val="none"/>
        </w:rPr>
        <w:t>函</w:t>
      </w:r>
    </w:p>
    <w:p w14:paraId="5DDF8823">
      <w:pPr>
        <w:keepNext w:val="0"/>
        <w:keepLines w:val="0"/>
        <w:pageBreakBefore w:val="0"/>
        <w:kinsoku/>
        <w:wordWrap/>
        <w:overflowPunct/>
        <w:topLinePunct w:val="0"/>
        <w:autoSpaceDE/>
        <w:autoSpaceDN/>
        <w:bidi w:val="0"/>
        <w:snapToGrid w:val="0"/>
        <w:spacing w:line="264" w:lineRule="auto"/>
        <w:textAlignment w:val="auto"/>
        <w:rPr>
          <w:rFonts w:ascii="宋体" w:hAnsi="宋体" w:cs="宋体"/>
          <w:sz w:val="24"/>
          <w:highlight w:val="none"/>
        </w:rPr>
      </w:pPr>
      <w:r>
        <w:rPr>
          <w:rFonts w:hint="eastAsia" w:ascii="宋体" w:hAnsi="宋体" w:cs="宋体"/>
          <w:sz w:val="24"/>
          <w:highlight w:val="none"/>
        </w:rPr>
        <w:t>（采购人）、（采购代理机构）：</w:t>
      </w:r>
    </w:p>
    <w:p w14:paraId="7F03CC56">
      <w:pPr>
        <w:keepNext w:val="0"/>
        <w:keepLines w:val="0"/>
        <w:pageBreakBefore w:val="0"/>
        <w:kinsoku/>
        <w:wordWrap/>
        <w:overflowPunct/>
        <w:topLinePunct w:val="0"/>
        <w:autoSpaceDE/>
        <w:autoSpaceDN/>
        <w:bidi w:val="0"/>
        <w:snapToGrid w:val="0"/>
        <w:spacing w:line="264" w:lineRule="auto"/>
        <w:ind w:firstLine="480" w:firstLineChars="200"/>
        <w:textAlignment w:val="auto"/>
        <w:rPr>
          <w:rFonts w:ascii="宋体" w:hAnsi="宋体" w:cs="宋体"/>
          <w:sz w:val="24"/>
          <w:highlight w:val="none"/>
        </w:rPr>
      </w:pPr>
      <w:r>
        <w:rPr>
          <w:rFonts w:hint="eastAsia" w:ascii="宋体" w:hAnsi="宋体" w:cs="宋体"/>
          <w:sz w:val="24"/>
          <w:highlight w:val="none"/>
        </w:rPr>
        <w:t>我方参加你方组织的（项目名称）【招标编号：（采购编号）】招标的有关活动，并对此项目进行投标。为此：</w:t>
      </w:r>
    </w:p>
    <w:p w14:paraId="2DCEE554">
      <w:pPr>
        <w:keepNext w:val="0"/>
        <w:keepLines w:val="0"/>
        <w:pageBreakBefore w:val="0"/>
        <w:kinsoku/>
        <w:wordWrap/>
        <w:overflowPunct/>
        <w:topLinePunct w:val="0"/>
        <w:autoSpaceDE/>
        <w:autoSpaceDN/>
        <w:bidi w:val="0"/>
        <w:snapToGrid w:val="0"/>
        <w:spacing w:line="264" w:lineRule="auto"/>
        <w:ind w:firstLine="480" w:firstLineChars="200"/>
        <w:textAlignment w:val="auto"/>
        <w:rPr>
          <w:rFonts w:ascii="宋体" w:hAnsi="宋体" w:cs="宋体"/>
          <w:sz w:val="24"/>
          <w:highlight w:val="none"/>
        </w:rPr>
      </w:pPr>
      <w:r>
        <w:rPr>
          <w:rFonts w:hint="eastAsia" w:ascii="宋体" w:hAnsi="宋体" w:cs="宋体"/>
          <w:sz w:val="24"/>
          <w:highlight w:val="none"/>
        </w:rPr>
        <w:t>1、我方承诺投标有效期从提交投标文件的截止之日起</w:t>
      </w:r>
      <w:r>
        <w:rPr>
          <w:rFonts w:hint="eastAsia" w:ascii="宋体" w:hAnsi="宋体" w:cs="宋体"/>
          <w:sz w:val="24"/>
          <w:highlight w:val="none"/>
          <w:u w:val="single"/>
        </w:rPr>
        <w:t xml:space="preserve">     </w:t>
      </w:r>
      <w:r>
        <w:rPr>
          <w:rFonts w:hint="eastAsia" w:ascii="宋体" w:hAnsi="宋体" w:cs="宋体"/>
          <w:sz w:val="24"/>
          <w:highlight w:val="none"/>
        </w:rPr>
        <w:t>天（不少于90天）</w:t>
      </w:r>
      <w:r>
        <w:rPr>
          <w:rFonts w:hint="eastAsia" w:ascii="宋体" w:hAnsi="宋体" w:cs="宋体"/>
          <w:highlight w:val="none"/>
        </w:rPr>
        <w:t>，</w:t>
      </w:r>
      <w:r>
        <w:rPr>
          <w:rFonts w:hint="eastAsia" w:ascii="宋体" w:hAnsi="宋体" w:cs="宋体"/>
          <w:sz w:val="24"/>
          <w:highlight w:val="none"/>
        </w:rPr>
        <w:t>本投标文件在投标有效期满之前均具有约束力。</w:t>
      </w:r>
    </w:p>
    <w:p w14:paraId="68E2663A">
      <w:pPr>
        <w:keepNext w:val="0"/>
        <w:keepLines w:val="0"/>
        <w:pageBreakBefore w:val="0"/>
        <w:kinsoku/>
        <w:wordWrap/>
        <w:overflowPunct/>
        <w:topLinePunct w:val="0"/>
        <w:autoSpaceDE/>
        <w:autoSpaceDN/>
        <w:bidi w:val="0"/>
        <w:snapToGrid w:val="0"/>
        <w:spacing w:line="264" w:lineRule="auto"/>
        <w:ind w:firstLine="480" w:firstLineChars="200"/>
        <w:textAlignment w:val="auto"/>
        <w:rPr>
          <w:rFonts w:ascii="宋体" w:hAnsi="宋体" w:cs="宋体"/>
          <w:sz w:val="24"/>
          <w:highlight w:val="none"/>
        </w:rPr>
      </w:pPr>
      <w:r>
        <w:rPr>
          <w:rFonts w:hint="eastAsia" w:ascii="宋体" w:hAnsi="宋体" w:cs="宋体"/>
          <w:sz w:val="24"/>
          <w:highlight w:val="none"/>
        </w:rPr>
        <w:t>2、我方的投标文件包括以下内容：</w:t>
      </w:r>
    </w:p>
    <w:p w14:paraId="6DFA6DA9">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2.1资格文件：</w:t>
      </w:r>
    </w:p>
    <w:p w14:paraId="53444A6F">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2.1.1承诺函；</w:t>
      </w:r>
    </w:p>
    <w:p w14:paraId="15AB1B49">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2.1.2</w:t>
      </w:r>
      <w:r>
        <w:rPr>
          <w:rFonts w:hint="eastAsia" w:ascii="宋体" w:hAnsi="宋体" w:cs="宋体"/>
          <w:snapToGrid w:val="0"/>
          <w:kern w:val="28"/>
          <w:sz w:val="24"/>
          <w:szCs w:val="20"/>
          <w:highlight w:val="none"/>
        </w:rPr>
        <w:t>联合协议（如果有)；</w:t>
      </w:r>
    </w:p>
    <w:p w14:paraId="7977C789">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.1.3</w:t>
      </w:r>
      <w:r>
        <w:rPr>
          <w:rFonts w:hint="eastAsia" w:ascii="宋体" w:hAnsi="宋体" w:cs="宋体"/>
          <w:sz w:val="24"/>
          <w:highlight w:val="none"/>
        </w:rPr>
        <w:t>落实政府采购政策需满足的资格要求</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2B3CE9C7">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2.1.</w:t>
      </w:r>
      <w:r>
        <w:rPr>
          <w:rFonts w:ascii="宋体" w:hAnsi="宋体" w:cs="宋体"/>
          <w:sz w:val="24"/>
          <w:highlight w:val="none"/>
        </w:rPr>
        <w:t>4</w:t>
      </w:r>
      <w:r>
        <w:rPr>
          <w:rFonts w:hint="eastAsia" w:ascii="宋体" w:hAnsi="宋体" w:cs="宋体"/>
          <w:sz w:val="24"/>
          <w:highlight w:val="none"/>
        </w:rPr>
        <w:t>本项目的特定资格要求</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377CA72A">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lang w:val="zh-CN"/>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 xml:space="preserve"> </w:t>
      </w:r>
      <w:r>
        <w:rPr>
          <w:rFonts w:hint="eastAsia" w:ascii="宋体" w:hAnsi="宋体" w:cs="宋体"/>
          <w:sz w:val="24"/>
          <w:highlight w:val="none"/>
        </w:rPr>
        <w:t>商务技术</w:t>
      </w:r>
      <w:r>
        <w:rPr>
          <w:rFonts w:hint="eastAsia" w:ascii="宋体" w:hAnsi="宋体" w:cs="宋体"/>
          <w:sz w:val="24"/>
          <w:highlight w:val="none"/>
          <w:lang w:val="zh-CN"/>
        </w:rPr>
        <w:t>文件：</w:t>
      </w:r>
    </w:p>
    <w:p w14:paraId="5CBB1F70">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2.2.1投标函；</w:t>
      </w:r>
      <w:r>
        <w:rPr>
          <w:rFonts w:hint="eastAsia" w:ascii="宋体" w:hAnsi="宋体" w:cs="宋体"/>
          <w:sz w:val="24"/>
          <w:highlight w:val="none"/>
          <w:lang w:val="zh-CN"/>
        </w:rPr>
        <w:t xml:space="preserve"> </w:t>
      </w:r>
    </w:p>
    <w:p w14:paraId="690598A9">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2.2.2授权委托书或法定代表人（单位负责人）身份证明；</w:t>
      </w:r>
    </w:p>
    <w:p w14:paraId="0A8253BC">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0D69D03E">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4</w:t>
      </w:r>
      <w:r>
        <w:rPr>
          <w:rFonts w:hint="eastAsia" w:ascii="宋体" w:hAnsi="宋体" w:cs="宋体"/>
          <w:sz w:val="24"/>
          <w:highlight w:val="none"/>
        </w:rPr>
        <w:t>符合性审查资料；</w:t>
      </w:r>
    </w:p>
    <w:p w14:paraId="56EBD152">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5</w:t>
      </w:r>
      <w:r>
        <w:rPr>
          <w:rFonts w:hint="eastAsia" w:ascii="宋体" w:hAnsi="宋体" w:cs="宋体"/>
          <w:sz w:val="24"/>
          <w:highlight w:val="none"/>
        </w:rPr>
        <w:t>评标标准相应的商务技术资料；</w:t>
      </w:r>
    </w:p>
    <w:p w14:paraId="4789DD64">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ascii="宋体" w:hAnsi="宋体" w:cs="宋体"/>
          <w:sz w:val="24"/>
          <w:highlight w:val="none"/>
        </w:rPr>
      </w:pPr>
      <w:r>
        <w:rPr>
          <w:rFonts w:hint="eastAsia" w:ascii="宋体" w:hAnsi="宋体" w:cs="宋体"/>
          <w:sz w:val="24"/>
          <w:highlight w:val="none"/>
        </w:rPr>
        <w:t>2.2.6商务技术偏离表；</w:t>
      </w:r>
    </w:p>
    <w:p w14:paraId="64771D83">
      <w:pPr>
        <w:keepNext w:val="0"/>
        <w:keepLines w:val="0"/>
        <w:pageBreakBefore w:val="0"/>
        <w:kinsoku/>
        <w:wordWrap/>
        <w:overflowPunct/>
        <w:topLinePunct w:val="0"/>
        <w:autoSpaceDE/>
        <w:autoSpaceDN/>
        <w:bidi w:val="0"/>
        <w:snapToGrid w:val="0"/>
        <w:spacing w:line="264" w:lineRule="auto"/>
        <w:ind w:left="420" w:leftChars="200" w:firstLine="480" w:firstLineChars="200"/>
        <w:textAlignment w:val="auto"/>
        <w:rPr>
          <w:rFonts w:hint="eastAsia" w:ascii="宋体" w:hAnsi="宋体" w:cs="宋体"/>
          <w:sz w:val="24"/>
          <w:highlight w:val="none"/>
          <w:lang w:val="zh-CN"/>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7</w:t>
      </w:r>
      <w:r>
        <w:rPr>
          <w:rFonts w:hint="eastAsia" w:ascii="宋体" w:hAnsi="宋体" w:cs="宋体"/>
          <w:sz w:val="24"/>
          <w:highlight w:val="none"/>
          <w:lang w:val="zh-CN"/>
        </w:rPr>
        <w:t>政府采购供应商廉洁自律承诺书；</w:t>
      </w:r>
    </w:p>
    <w:p w14:paraId="62BC25F4">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3报价文件</w:t>
      </w:r>
    </w:p>
    <w:p w14:paraId="00958B14">
      <w:pPr>
        <w:keepNext w:val="0"/>
        <w:keepLines w:val="0"/>
        <w:pageBreakBefore w:val="0"/>
        <w:kinsoku/>
        <w:wordWrap/>
        <w:overflowPunct/>
        <w:topLinePunct w:val="0"/>
        <w:autoSpaceDE/>
        <w:autoSpaceDN/>
        <w:bidi w:val="0"/>
        <w:adjustRightInd/>
        <w:spacing w:line="264" w:lineRule="auto"/>
        <w:ind w:firstLine="960" w:firstLineChars="400"/>
        <w:textAlignment w:val="auto"/>
        <w:outlineLvl w:val="9"/>
        <w:rPr>
          <w:rFonts w:hint="eastAsia" w:ascii="宋体" w:hAnsi="宋体" w:cs="宋体"/>
          <w:sz w:val="24"/>
          <w:highlight w:val="none"/>
          <w:lang w:eastAsia="zh-CN"/>
        </w:rPr>
      </w:pPr>
      <w:r>
        <w:rPr>
          <w:rFonts w:hint="eastAsia" w:ascii="宋体" w:hAnsi="宋体" w:cs="宋体"/>
          <w:sz w:val="24"/>
          <w:highlight w:val="none"/>
        </w:rPr>
        <w:t>2.3.1开标一览表（报价表）、投标分项报价表</w:t>
      </w:r>
      <w:r>
        <w:rPr>
          <w:rFonts w:hint="eastAsia" w:ascii="宋体" w:hAnsi="宋体" w:cs="宋体"/>
          <w:sz w:val="24"/>
          <w:highlight w:val="none"/>
          <w:lang w:eastAsia="zh-CN"/>
        </w:rPr>
        <w:t>。</w:t>
      </w:r>
    </w:p>
    <w:p w14:paraId="172A81CD">
      <w:pPr>
        <w:keepNext w:val="0"/>
        <w:keepLines w:val="0"/>
        <w:pageBreakBefore w:val="0"/>
        <w:kinsoku/>
        <w:wordWrap/>
        <w:overflowPunct/>
        <w:topLinePunct w:val="0"/>
        <w:autoSpaceDE/>
        <w:autoSpaceDN/>
        <w:bidi w:val="0"/>
        <w:adjustRightInd/>
        <w:spacing w:line="264" w:lineRule="auto"/>
        <w:ind w:firstLine="960" w:firstLineChars="400"/>
        <w:textAlignment w:val="auto"/>
        <w:outlineLvl w:val="9"/>
        <w:rPr>
          <w:rFonts w:hint="eastAsia" w:ascii="宋体" w:hAnsi="宋体" w:eastAsia="宋体" w:cs="宋体"/>
          <w:strike w:val="0"/>
          <w:dstrike w:val="0"/>
          <w:sz w:val="24"/>
          <w:highlight w:val="none"/>
          <w:lang w:eastAsia="zh-CN"/>
        </w:rPr>
      </w:pPr>
      <w:r>
        <w:rPr>
          <w:rFonts w:hint="eastAsia" w:ascii="宋体" w:hAnsi="宋体" w:cs="宋体"/>
          <w:sz w:val="24"/>
          <w:highlight w:val="none"/>
        </w:rPr>
        <w:t>2.3.</w:t>
      </w:r>
      <w:r>
        <w:rPr>
          <w:rFonts w:hint="eastAsia" w:ascii="宋体" w:hAnsi="宋体" w:cs="宋体"/>
          <w:sz w:val="24"/>
          <w:highlight w:val="none"/>
          <w:lang w:val="en-US" w:eastAsia="zh-CN"/>
        </w:rPr>
        <w:t>2</w:t>
      </w:r>
      <w:r>
        <w:rPr>
          <w:rFonts w:hint="eastAsia" w:ascii="宋体" w:hAnsi="宋体" w:eastAsia="宋体" w:cs="宋体"/>
          <w:strike w:val="0"/>
          <w:dstrike w:val="0"/>
          <w:sz w:val="24"/>
          <w:highlight w:val="none"/>
          <w:lang w:val="en-US" w:eastAsia="zh-CN"/>
        </w:rPr>
        <w:t>报价情况说明(如供应商报价低于项目预算50%的，应当提交本文档，详细阐述不影响产品质量或者诚信履约的具体原因。</w:t>
      </w:r>
    </w:p>
    <w:p w14:paraId="6A9DA7C9">
      <w:pPr>
        <w:keepNext w:val="0"/>
        <w:keepLines w:val="0"/>
        <w:pageBreakBefore w:val="0"/>
        <w:kinsoku/>
        <w:wordWrap/>
        <w:overflowPunct/>
        <w:topLinePunct w:val="0"/>
        <w:autoSpaceDE/>
        <w:autoSpaceDN/>
        <w:bidi w:val="0"/>
        <w:snapToGrid w:val="0"/>
        <w:spacing w:line="264" w:lineRule="auto"/>
        <w:ind w:firstLine="480" w:firstLineChars="200"/>
        <w:textAlignment w:val="auto"/>
        <w:rPr>
          <w:rFonts w:ascii="宋体" w:hAnsi="宋体" w:cs="宋体"/>
          <w:sz w:val="24"/>
          <w:highlight w:val="none"/>
        </w:rPr>
      </w:pPr>
      <w:r>
        <w:rPr>
          <w:rFonts w:hint="eastAsia" w:ascii="宋体" w:hAnsi="宋体" w:cs="宋体"/>
          <w:sz w:val="24"/>
          <w:highlight w:val="none"/>
        </w:rPr>
        <w:t>3、我方承诺除商务技术偏离表列出的偏离外，我方响应招标文件的全部要求。对投标文件中材料的真实性、合法性负责，积极配合采购人、采购代理机构复核投标文件中的资料。</w:t>
      </w:r>
    </w:p>
    <w:p w14:paraId="2C02BC65">
      <w:pPr>
        <w:keepNext w:val="0"/>
        <w:keepLines w:val="0"/>
        <w:pageBreakBefore w:val="0"/>
        <w:kinsoku/>
        <w:wordWrap/>
        <w:overflowPunct/>
        <w:topLinePunct w:val="0"/>
        <w:autoSpaceDE/>
        <w:autoSpaceDN/>
        <w:bidi w:val="0"/>
        <w:snapToGrid w:val="0"/>
        <w:spacing w:line="264" w:lineRule="auto"/>
        <w:ind w:firstLine="480" w:firstLineChars="200"/>
        <w:textAlignment w:val="auto"/>
        <w:rPr>
          <w:rFonts w:ascii="宋体" w:hAnsi="宋体" w:cs="宋体"/>
          <w:sz w:val="24"/>
          <w:highlight w:val="none"/>
        </w:rPr>
      </w:pPr>
      <w:r>
        <w:rPr>
          <w:rFonts w:hint="eastAsia" w:ascii="宋体" w:hAnsi="宋体" w:cs="宋体"/>
          <w:sz w:val="24"/>
          <w:highlight w:val="none"/>
        </w:rPr>
        <w:t>4、如我方中标，我方承诺：</w:t>
      </w:r>
    </w:p>
    <w:p w14:paraId="3C7C54EB">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 xml:space="preserve">4.1在收到中标通知书后，在中标通知书规定的期限内与你方签订合同； </w:t>
      </w:r>
    </w:p>
    <w:p w14:paraId="4623BA8B">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 xml:space="preserve">4.2在签订合同时不向你方提出附加条件； </w:t>
      </w:r>
    </w:p>
    <w:p w14:paraId="55BBA908">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 xml:space="preserve">4.3按照招标文件要求提交履约保证金； </w:t>
      </w:r>
    </w:p>
    <w:p w14:paraId="42F1B59A">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4.4在合同约定的期限内完成合同规定的全部义务。</w:t>
      </w:r>
    </w:p>
    <w:p w14:paraId="5C0DA230">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4.5</w:t>
      </w:r>
      <w:r>
        <w:rPr>
          <w:rFonts w:hint="eastAsia" w:cs="宋体" w:asciiTheme="minorEastAsia" w:hAnsiTheme="minorEastAsia" w:eastAsiaTheme="minorEastAsia"/>
          <w:sz w:val="24"/>
          <w:highlight w:val="none"/>
        </w:rPr>
        <w:t>按照招标文件的规定，在中标后向采购代理机构一次性支付招标代理服务费。</w:t>
      </w:r>
      <w:r>
        <w:rPr>
          <w:rFonts w:hint="eastAsia" w:ascii="宋体" w:hAnsi="宋体" w:cs="宋体"/>
          <w:sz w:val="24"/>
          <w:highlight w:val="none"/>
        </w:rPr>
        <w:t xml:space="preserve"> </w:t>
      </w:r>
    </w:p>
    <w:p w14:paraId="448ED4FD">
      <w:pPr>
        <w:keepNext w:val="0"/>
        <w:keepLines w:val="0"/>
        <w:pageBreakBefore w:val="0"/>
        <w:kinsoku/>
        <w:wordWrap/>
        <w:overflowPunct/>
        <w:topLinePunct w:val="0"/>
        <w:autoSpaceDE/>
        <w:autoSpaceDN/>
        <w:bidi w:val="0"/>
        <w:snapToGrid w:val="0"/>
        <w:spacing w:line="264" w:lineRule="auto"/>
        <w:ind w:left="210" w:leftChars="100" w:firstLine="480" w:firstLineChars="200"/>
        <w:textAlignment w:val="auto"/>
        <w:rPr>
          <w:rFonts w:ascii="宋体" w:hAnsi="宋体" w:cs="宋体"/>
          <w:sz w:val="24"/>
          <w:highlight w:val="none"/>
        </w:rPr>
      </w:pPr>
      <w:r>
        <w:rPr>
          <w:rFonts w:hint="eastAsia" w:ascii="宋体" w:hAnsi="宋体" w:cs="宋体"/>
          <w:sz w:val="24"/>
          <w:highlight w:val="none"/>
        </w:rPr>
        <w:t>5、其他补充说明:</w:t>
      </w:r>
      <w:r>
        <w:rPr>
          <w:rFonts w:hint="eastAsia" w:ascii="宋体" w:hAnsi="宋体" w:cs="宋体"/>
          <w:sz w:val="24"/>
          <w:highlight w:val="none"/>
          <w:u w:val="single"/>
        </w:rPr>
        <w:t xml:space="preserve">                                        </w:t>
      </w:r>
      <w:r>
        <w:rPr>
          <w:rFonts w:hint="eastAsia" w:ascii="宋体" w:hAnsi="宋体" w:cs="宋体"/>
          <w:sz w:val="24"/>
          <w:highlight w:val="none"/>
        </w:rPr>
        <w:t>。</w:t>
      </w:r>
    </w:p>
    <w:p w14:paraId="24124926">
      <w:pPr>
        <w:keepNext w:val="0"/>
        <w:keepLines w:val="0"/>
        <w:pageBreakBefore w:val="0"/>
        <w:kinsoku/>
        <w:wordWrap/>
        <w:overflowPunct/>
        <w:topLinePunct w:val="0"/>
        <w:autoSpaceDE/>
        <w:autoSpaceDN/>
        <w:bidi w:val="0"/>
        <w:spacing w:line="264" w:lineRule="auto"/>
        <w:ind w:firstLine="3600" w:firstLineChars="1500"/>
        <w:textAlignment w:val="auto"/>
        <w:rPr>
          <w:rFonts w:ascii="宋体" w:hAnsi="宋体" w:cs="宋体"/>
          <w:sz w:val="24"/>
          <w:highlight w:val="none"/>
        </w:rPr>
      </w:pPr>
      <w:r>
        <w:rPr>
          <w:rFonts w:hint="eastAsia" w:ascii="宋体" w:hAnsi="宋体" w:cs="宋体"/>
          <w:sz w:val="24"/>
          <w:highlight w:val="none"/>
        </w:rPr>
        <w:t xml:space="preserve">投标人名称（电子签名）：                          </w:t>
      </w:r>
    </w:p>
    <w:p w14:paraId="16FC223D">
      <w:pPr>
        <w:keepNext w:val="0"/>
        <w:keepLines w:val="0"/>
        <w:pageBreakBefore w:val="0"/>
        <w:kinsoku/>
        <w:wordWrap/>
        <w:overflowPunct/>
        <w:topLinePunct w:val="0"/>
        <w:autoSpaceDE/>
        <w:autoSpaceDN/>
        <w:bidi w:val="0"/>
        <w:spacing w:line="264" w:lineRule="auto"/>
        <w:jc w:val="center"/>
        <w:textAlignment w:val="auto"/>
        <w:rPr>
          <w:rFonts w:ascii="宋体" w:hAnsi="宋体" w:cs="宋体"/>
          <w:sz w:val="24"/>
          <w:highlight w:val="none"/>
        </w:rPr>
      </w:pPr>
      <w:r>
        <w:rPr>
          <w:rFonts w:hint="eastAsia" w:ascii="宋体" w:hAnsi="宋体" w:cs="宋体"/>
          <w:sz w:val="24"/>
          <w:highlight w:val="none"/>
        </w:rPr>
        <w:t xml:space="preserve">     日期：  年   月   日</w:t>
      </w:r>
    </w:p>
    <w:p w14:paraId="3CCFC0EA">
      <w:pPr>
        <w:keepNext w:val="0"/>
        <w:keepLines w:val="0"/>
        <w:pageBreakBefore w:val="0"/>
        <w:widowControl/>
        <w:kinsoku/>
        <w:wordWrap/>
        <w:overflowPunct/>
        <w:topLinePunct w:val="0"/>
        <w:autoSpaceDE/>
        <w:autoSpaceDN/>
        <w:bidi w:val="0"/>
        <w:adjustRightInd/>
        <w:spacing w:line="264" w:lineRule="auto"/>
        <w:jc w:val="left"/>
        <w:textAlignment w:val="auto"/>
        <w:rPr>
          <w:rFonts w:hint="eastAsia" w:ascii="宋体" w:hAnsi="宋体" w:cs="宋体"/>
          <w:sz w:val="24"/>
          <w:highlight w:val="none"/>
        </w:rPr>
      </w:pPr>
      <w:r>
        <w:rPr>
          <w:rFonts w:hint="eastAsia" w:ascii="宋体" w:hAnsi="宋体" w:cs="宋体"/>
          <w:sz w:val="24"/>
          <w:highlight w:val="none"/>
        </w:rPr>
        <w:t>注：按本格式和要求提供。</w:t>
      </w:r>
    </w:p>
    <w:p w14:paraId="57AE5613">
      <w:pPr>
        <w:keepNext w:val="0"/>
        <w:keepLines w:val="0"/>
        <w:pageBreakBefore w:val="0"/>
        <w:widowControl/>
        <w:kinsoku/>
        <w:wordWrap/>
        <w:overflowPunct/>
        <w:topLinePunct w:val="0"/>
        <w:autoSpaceDE/>
        <w:autoSpaceDN/>
        <w:bidi w:val="0"/>
        <w:adjustRightInd/>
        <w:spacing w:line="300" w:lineRule="auto"/>
        <w:jc w:val="left"/>
        <w:textAlignment w:val="auto"/>
        <w:rPr>
          <w:rFonts w:ascii="宋体" w:hAnsi="宋体" w:cs="宋体"/>
          <w:b/>
          <w:kern w:val="0"/>
          <w:sz w:val="32"/>
          <w:szCs w:val="32"/>
          <w:highlight w:val="none"/>
        </w:rPr>
      </w:pPr>
      <w:r>
        <w:rPr>
          <w:rFonts w:ascii="宋体" w:hAnsi="宋体" w:cs="宋体"/>
          <w:b/>
          <w:kern w:val="0"/>
          <w:sz w:val="32"/>
          <w:szCs w:val="32"/>
          <w:highlight w:val="none"/>
        </w:rPr>
        <w:br w:type="page"/>
      </w:r>
    </w:p>
    <w:p w14:paraId="42ECFD94">
      <w:pPr>
        <w:jc w:val="center"/>
        <w:rPr>
          <w:rFonts w:ascii="宋体" w:hAnsi="宋体" w:cs="宋体"/>
          <w:b/>
          <w:kern w:val="0"/>
          <w:sz w:val="32"/>
          <w:szCs w:val="32"/>
          <w:highlight w:val="none"/>
          <w:lang w:val="zh-CN"/>
        </w:rPr>
      </w:pPr>
      <w:r>
        <w:rPr>
          <w:rFonts w:hint="eastAsia" w:ascii="宋体" w:hAnsi="宋体" w:cs="宋体"/>
          <w:b/>
          <w:kern w:val="0"/>
          <w:sz w:val="32"/>
          <w:szCs w:val="32"/>
          <w:highlight w:val="none"/>
          <w:lang w:val="zh-CN"/>
        </w:rPr>
        <w:t>二、授权委托书或法定代表人（单位负责人、自然人本人）身份证明</w:t>
      </w:r>
    </w:p>
    <w:p w14:paraId="431031C8">
      <w:pPr>
        <w:snapToGrid w:val="0"/>
        <w:spacing w:line="360" w:lineRule="auto"/>
        <w:rPr>
          <w:rFonts w:ascii="宋体" w:hAnsi="宋体" w:cs="宋体"/>
          <w:sz w:val="24"/>
          <w:highlight w:val="none"/>
        </w:rPr>
      </w:pPr>
      <w:r>
        <w:rPr>
          <w:rFonts w:hint="eastAsia" w:ascii="宋体" w:hAnsi="宋体" w:cs="宋体"/>
          <w:sz w:val="24"/>
          <w:highlight w:val="none"/>
        </w:rPr>
        <w:t xml:space="preserve">                                </w:t>
      </w:r>
    </w:p>
    <w:p w14:paraId="0BE846AE">
      <w:pPr>
        <w:snapToGrid w:val="0"/>
        <w:spacing w:line="360" w:lineRule="auto"/>
        <w:ind w:firstLine="2872" w:firstLineChars="894"/>
        <w:rPr>
          <w:rFonts w:ascii="宋体" w:hAnsi="宋体" w:cs="宋体"/>
          <w:highlight w:val="none"/>
        </w:rPr>
      </w:pPr>
      <w:r>
        <w:rPr>
          <w:rFonts w:hint="eastAsia" w:ascii="宋体" w:hAnsi="宋体" w:cs="宋体"/>
          <w:b/>
          <w:kern w:val="0"/>
          <w:sz w:val="32"/>
          <w:szCs w:val="32"/>
          <w:highlight w:val="none"/>
          <w:lang w:val="zh-CN"/>
        </w:rPr>
        <w:t>授权委托书（适用于非联合体投标）</w:t>
      </w:r>
    </w:p>
    <w:p w14:paraId="194FB271">
      <w:pPr>
        <w:snapToGrid w:val="0"/>
        <w:spacing w:line="360" w:lineRule="auto"/>
        <w:rPr>
          <w:rFonts w:ascii="宋体" w:hAnsi="宋体" w:cs="宋体"/>
          <w:kern w:val="0"/>
          <w:sz w:val="24"/>
          <w:highlight w:val="none"/>
        </w:rPr>
      </w:pPr>
      <w:r>
        <w:rPr>
          <w:rFonts w:hint="eastAsia" w:ascii="宋体" w:hAnsi="宋体" w:cs="宋体"/>
          <w:sz w:val="24"/>
          <w:highlight w:val="none"/>
        </w:rPr>
        <w:t>（采购人）、（采购代理机构）</w:t>
      </w:r>
      <w:r>
        <w:rPr>
          <w:rFonts w:hint="eastAsia" w:ascii="宋体" w:hAnsi="宋体" w:cs="宋体"/>
          <w:kern w:val="0"/>
          <w:sz w:val="24"/>
          <w:highlight w:val="none"/>
          <w:lang w:val="zh-CN"/>
        </w:rPr>
        <w:t>：</w:t>
      </w:r>
    </w:p>
    <w:p w14:paraId="0145B898">
      <w:pPr>
        <w:snapToGrid w:val="0"/>
        <w:spacing w:line="360" w:lineRule="auto"/>
        <w:ind w:firstLine="576"/>
        <w:rPr>
          <w:rFonts w:ascii="宋体" w:hAnsi="宋体" w:cs="宋体"/>
          <w:kern w:val="0"/>
          <w:sz w:val="24"/>
          <w:highlight w:val="none"/>
        </w:rPr>
      </w:pPr>
      <w:r>
        <w:rPr>
          <w:rFonts w:hint="eastAsia" w:ascii="宋体" w:hAnsi="宋体" w:cs="宋体"/>
          <w:kern w:val="0"/>
          <w:sz w:val="24"/>
          <w:highlight w:val="none"/>
        </w:rPr>
        <w:t>现</w:t>
      </w:r>
      <w:r>
        <w:rPr>
          <w:rFonts w:hint="eastAsia" w:ascii="宋体" w:hAnsi="宋体" w:cs="宋体"/>
          <w:kern w:val="0"/>
          <w:sz w:val="24"/>
          <w:highlight w:val="none"/>
          <w:lang w:val="zh-CN"/>
        </w:rPr>
        <w:t>委托</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（姓名）为我方代理人（身份证号码：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，手机：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），以我方名义处理</w:t>
      </w:r>
      <w:r>
        <w:rPr>
          <w:rFonts w:hint="eastAsia" w:ascii="宋体" w:hAnsi="宋体" w:cs="宋体"/>
          <w:sz w:val="24"/>
          <w:highlight w:val="none"/>
        </w:rPr>
        <w:t>（项目名称）【招标编号：（采购编号）】</w:t>
      </w:r>
      <w:r>
        <w:rPr>
          <w:rFonts w:hint="eastAsia" w:ascii="宋体" w:hAnsi="宋体" w:cs="宋体"/>
          <w:kern w:val="0"/>
          <w:sz w:val="24"/>
          <w:highlight w:val="none"/>
          <w:lang w:val="zh-CN"/>
        </w:rPr>
        <w:t>政府采购投标的一切事项，其法律后果由我方承担。</w:t>
      </w:r>
    </w:p>
    <w:p w14:paraId="16D0DCDA">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委托期限</w:t>
      </w:r>
      <w:r>
        <w:rPr>
          <w:rFonts w:hint="eastAsia" w:ascii="宋体" w:hAnsi="宋体" w:cs="宋体"/>
          <w:kern w:val="0"/>
          <w:sz w:val="24"/>
          <w:highlight w:val="none"/>
        </w:rPr>
        <w:t>：</w:t>
      </w:r>
      <w:r>
        <w:rPr>
          <w:rFonts w:hint="eastAsia" w:ascii="宋体" w:hAnsi="宋体" w:cs="宋体"/>
          <w:kern w:val="0"/>
          <w:sz w:val="24"/>
          <w:highlight w:val="none"/>
          <w:lang w:val="zh-CN"/>
        </w:rPr>
        <w:t>自</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日起至</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日止。</w:t>
      </w:r>
    </w:p>
    <w:p w14:paraId="77C4D28D">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特此告知。</w:t>
      </w:r>
    </w:p>
    <w:p w14:paraId="0CCEBE37">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投标人名称(电子签名)：</w:t>
      </w:r>
    </w:p>
    <w:p w14:paraId="1B13A8BC">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签发日期：  年  月   日</w:t>
      </w:r>
    </w:p>
    <w:p w14:paraId="0B46BF1A">
      <w:pPr>
        <w:snapToGrid w:val="0"/>
        <w:spacing w:line="360" w:lineRule="auto"/>
        <w:rPr>
          <w:rFonts w:ascii="宋体" w:hAnsi="宋体" w:cs="宋体"/>
          <w:sz w:val="24"/>
          <w:highlight w:val="none"/>
        </w:rPr>
      </w:pPr>
    </w:p>
    <w:p w14:paraId="6AF9E6E2">
      <w:pPr>
        <w:snapToGrid w:val="0"/>
        <w:spacing w:line="360" w:lineRule="auto"/>
        <w:rPr>
          <w:rFonts w:ascii="宋体" w:hAnsi="宋体" w:cs="宋体"/>
          <w:sz w:val="24"/>
          <w:highlight w:val="none"/>
        </w:rPr>
      </w:pPr>
    </w:p>
    <w:p w14:paraId="252B6FE2">
      <w:pPr>
        <w:jc w:val="center"/>
        <w:rPr>
          <w:rFonts w:ascii="宋体" w:hAnsi="宋体" w:cs="宋体"/>
          <w:b/>
          <w:kern w:val="0"/>
          <w:sz w:val="32"/>
          <w:szCs w:val="32"/>
          <w:highlight w:val="none"/>
        </w:rPr>
      </w:pPr>
      <w:r>
        <w:rPr>
          <w:rFonts w:hint="eastAsia" w:ascii="宋体" w:hAnsi="宋体" w:cs="宋体"/>
          <w:b/>
          <w:kern w:val="0"/>
          <w:sz w:val="32"/>
          <w:szCs w:val="32"/>
          <w:highlight w:val="none"/>
          <w:lang w:val="zh-CN"/>
        </w:rPr>
        <w:t xml:space="preserve">      </w:t>
      </w:r>
      <w:r>
        <w:rPr>
          <w:rFonts w:hint="eastAsia" w:ascii="宋体" w:hAnsi="宋体" w:cs="宋体"/>
          <w:b/>
          <w:kern w:val="0"/>
          <w:sz w:val="32"/>
          <w:szCs w:val="32"/>
          <w:highlight w:val="none"/>
        </w:rPr>
        <w:t xml:space="preserve"> </w:t>
      </w:r>
      <w:r>
        <w:rPr>
          <w:rFonts w:hint="eastAsia" w:ascii="宋体" w:hAnsi="宋体" w:cs="宋体"/>
          <w:b/>
          <w:kern w:val="0"/>
          <w:sz w:val="32"/>
          <w:szCs w:val="32"/>
          <w:highlight w:val="none"/>
          <w:lang w:val="zh-CN"/>
        </w:rPr>
        <w:t>授权委托书（适用于联合体投标）</w:t>
      </w:r>
    </w:p>
    <w:p w14:paraId="73DFE408">
      <w:pPr>
        <w:snapToGrid w:val="0"/>
        <w:spacing w:line="360" w:lineRule="auto"/>
        <w:rPr>
          <w:rFonts w:ascii="宋体" w:hAnsi="宋体" w:cs="宋体"/>
          <w:kern w:val="0"/>
          <w:sz w:val="24"/>
          <w:highlight w:val="none"/>
        </w:rPr>
      </w:pPr>
      <w:r>
        <w:rPr>
          <w:rFonts w:hint="eastAsia" w:ascii="宋体" w:hAnsi="宋体" w:cs="宋体"/>
          <w:sz w:val="24"/>
          <w:highlight w:val="none"/>
        </w:rPr>
        <w:t>（采购人）、（采购代理机构）</w:t>
      </w:r>
      <w:r>
        <w:rPr>
          <w:rFonts w:hint="eastAsia" w:ascii="宋体" w:hAnsi="宋体" w:cs="宋体"/>
          <w:kern w:val="0"/>
          <w:sz w:val="24"/>
          <w:highlight w:val="none"/>
          <w:lang w:val="zh-CN"/>
        </w:rPr>
        <w:t>：</w:t>
      </w:r>
    </w:p>
    <w:p w14:paraId="0659BCB3">
      <w:pPr>
        <w:snapToGrid w:val="0"/>
        <w:spacing w:line="360" w:lineRule="auto"/>
        <w:ind w:firstLine="576"/>
        <w:rPr>
          <w:rFonts w:ascii="宋体" w:hAnsi="宋体" w:cs="宋体"/>
          <w:kern w:val="0"/>
          <w:sz w:val="24"/>
          <w:highlight w:val="none"/>
        </w:rPr>
      </w:pPr>
      <w:r>
        <w:rPr>
          <w:rFonts w:hint="eastAsia" w:ascii="宋体" w:hAnsi="宋体" w:cs="宋体"/>
          <w:kern w:val="0"/>
          <w:sz w:val="24"/>
          <w:highlight w:val="none"/>
        </w:rPr>
        <w:t>现</w:t>
      </w:r>
      <w:r>
        <w:rPr>
          <w:rFonts w:hint="eastAsia" w:ascii="宋体" w:hAnsi="宋体" w:cs="宋体"/>
          <w:kern w:val="0"/>
          <w:sz w:val="24"/>
          <w:highlight w:val="none"/>
          <w:lang w:val="zh-CN"/>
        </w:rPr>
        <w:t>委托</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（姓名）为我方代理人（身份证号码：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，手机：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），以我方名义处理</w:t>
      </w:r>
      <w:r>
        <w:rPr>
          <w:rFonts w:hint="eastAsia" w:ascii="宋体" w:hAnsi="宋体" w:cs="宋体"/>
          <w:sz w:val="24"/>
          <w:highlight w:val="none"/>
        </w:rPr>
        <w:t>（项目名称）【招标编号：（采购编号）】</w:t>
      </w:r>
      <w:r>
        <w:rPr>
          <w:rFonts w:hint="eastAsia" w:ascii="宋体" w:hAnsi="宋体" w:cs="宋体"/>
          <w:kern w:val="0"/>
          <w:sz w:val="24"/>
          <w:highlight w:val="none"/>
          <w:lang w:val="zh-CN"/>
        </w:rPr>
        <w:t>政府采购投标的一切事项，其法律后果由我方承担。</w:t>
      </w:r>
    </w:p>
    <w:p w14:paraId="6761F9C1">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委托期限</w:t>
      </w:r>
      <w:r>
        <w:rPr>
          <w:rFonts w:hint="eastAsia" w:ascii="宋体" w:hAnsi="宋体" w:cs="宋体"/>
          <w:kern w:val="0"/>
          <w:sz w:val="24"/>
          <w:highlight w:val="none"/>
        </w:rPr>
        <w:t>：</w:t>
      </w:r>
      <w:r>
        <w:rPr>
          <w:rFonts w:hint="eastAsia" w:ascii="宋体" w:hAnsi="宋体" w:cs="宋体"/>
          <w:kern w:val="0"/>
          <w:sz w:val="24"/>
          <w:highlight w:val="none"/>
          <w:lang w:val="zh-CN"/>
        </w:rPr>
        <w:t>自</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日起至</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日止。</w:t>
      </w:r>
    </w:p>
    <w:p w14:paraId="45283956">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特此告知。</w:t>
      </w:r>
    </w:p>
    <w:p w14:paraId="66077837">
      <w:pPr>
        <w:jc w:val="center"/>
        <w:rPr>
          <w:rFonts w:ascii="宋体" w:hAnsi="宋体" w:cs="宋体"/>
          <w:b/>
          <w:kern w:val="0"/>
          <w:sz w:val="32"/>
          <w:szCs w:val="32"/>
          <w:highlight w:val="none"/>
        </w:rPr>
      </w:pPr>
    </w:p>
    <w:p w14:paraId="647FF4A0">
      <w:pPr>
        <w:jc w:val="center"/>
        <w:rPr>
          <w:rFonts w:ascii="宋体" w:hAnsi="宋体" w:cs="宋体"/>
          <w:b/>
          <w:kern w:val="0"/>
          <w:sz w:val="32"/>
          <w:szCs w:val="32"/>
          <w:highlight w:val="none"/>
        </w:rPr>
      </w:pPr>
    </w:p>
    <w:p w14:paraId="0F59D595">
      <w:pPr>
        <w:jc w:val="center"/>
        <w:rPr>
          <w:rFonts w:ascii="宋体" w:hAnsi="宋体" w:cs="宋体"/>
          <w:b/>
          <w:kern w:val="0"/>
          <w:sz w:val="32"/>
          <w:szCs w:val="32"/>
          <w:highlight w:val="none"/>
        </w:rPr>
      </w:pPr>
    </w:p>
    <w:p w14:paraId="0CE61BDA">
      <w:pPr>
        <w:rPr>
          <w:rFonts w:ascii="宋体" w:hAnsi="宋体" w:cs="宋体"/>
          <w:highlight w:val="none"/>
        </w:rPr>
      </w:pPr>
    </w:p>
    <w:p w14:paraId="00B9AFEA">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0BC2C297">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3B4C988C">
      <w:pPr>
        <w:snapToGrid w:val="0"/>
        <w:spacing w:line="360" w:lineRule="auto"/>
        <w:rPr>
          <w:rFonts w:hint="eastAsia" w:ascii="宋体" w:hAnsi="宋体" w:cs="宋体"/>
          <w:kern w:val="0"/>
          <w:sz w:val="24"/>
          <w:highlight w:val="none"/>
          <w:lang w:val="zh-CN"/>
        </w:rPr>
      </w:pPr>
    </w:p>
    <w:p w14:paraId="51B7FCD6">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01BBADEE">
      <w:pPr>
        <w:autoSpaceDE w:val="0"/>
        <w:autoSpaceDN w:val="0"/>
        <w:spacing w:line="360" w:lineRule="auto"/>
        <w:jc w:val="center"/>
        <w:rPr>
          <w:rFonts w:ascii="宋体" w:hAnsi="宋体" w:cs="宋体"/>
          <w:b/>
          <w:kern w:val="0"/>
          <w:sz w:val="32"/>
          <w:szCs w:val="32"/>
          <w:highlight w:val="none"/>
          <w:lang w:val="zh-CN"/>
        </w:rPr>
      </w:pPr>
    </w:p>
    <w:p w14:paraId="55D5188C">
      <w:pPr>
        <w:autoSpaceDE w:val="0"/>
        <w:autoSpaceDN w:val="0"/>
        <w:spacing w:line="360" w:lineRule="auto"/>
        <w:jc w:val="center"/>
        <w:rPr>
          <w:rFonts w:ascii="宋体" w:hAnsi="宋体" w:cs="宋体"/>
          <w:b/>
          <w:sz w:val="24"/>
          <w:highlight w:val="none"/>
        </w:rPr>
      </w:pPr>
      <w:r>
        <w:rPr>
          <w:rFonts w:hint="eastAsia" w:ascii="宋体" w:hAnsi="宋体" w:cs="宋体"/>
          <w:b/>
          <w:kern w:val="0"/>
          <w:sz w:val="32"/>
          <w:szCs w:val="32"/>
          <w:highlight w:val="none"/>
          <w:lang w:val="zh-CN"/>
        </w:rPr>
        <w:t>法定代表人、单位负责人或自然人本人</w:t>
      </w:r>
      <w:r>
        <w:rPr>
          <w:rFonts w:hint="eastAsia" w:ascii="宋体" w:hAnsi="宋体" w:cs="宋体"/>
          <w:b/>
          <w:sz w:val="30"/>
          <w:szCs w:val="30"/>
          <w:highlight w:val="none"/>
        </w:rPr>
        <w:t>的身份证明（适用于法定代表人、单位负责人或者自然人本人代表投标人参加投标）</w:t>
      </w:r>
    </w:p>
    <w:p w14:paraId="3C15FB08">
      <w:pPr>
        <w:pStyle w:val="151"/>
        <w:spacing w:line="360" w:lineRule="auto"/>
        <w:rPr>
          <w:rFonts w:hAnsi="宋体" w:cs="宋体"/>
          <w:bCs/>
          <w:sz w:val="24"/>
          <w:highlight w:val="none"/>
        </w:rPr>
      </w:pPr>
      <w:r>
        <w:rPr>
          <w:rFonts w:hint="eastAsia" w:hAnsi="宋体" w:cs="宋体"/>
          <w:bCs/>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43D9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ED80636">
            <w:pPr>
              <w:pStyle w:val="151"/>
              <w:adjustRightInd w:val="0"/>
              <w:spacing w:line="360" w:lineRule="auto"/>
              <w:rPr>
                <w:rFonts w:hAnsi="宋体" w:cs="宋体"/>
                <w:bCs/>
                <w:sz w:val="24"/>
                <w:highlight w:val="none"/>
              </w:rPr>
            </w:pPr>
            <w:r>
              <w:rPr>
                <w:rFonts w:hint="eastAsia" w:hAnsi="宋体" w:cs="宋体"/>
                <w:bCs/>
                <w:sz w:val="24"/>
                <w:highlight w:val="none"/>
              </w:rPr>
              <w:t>正面：                                 反面：</w:t>
            </w:r>
          </w:p>
          <w:p w14:paraId="5614530F">
            <w:pPr>
              <w:pStyle w:val="151"/>
              <w:adjustRightInd w:val="0"/>
              <w:spacing w:line="360" w:lineRule="auto"/>
              <w:rPr>
                <w:rFonts w:hAnsi="宋体" w:cs="宋体"/>
                <w:bCs/>
                <w:sz w:val="24"/>
                <w:highlight w:val="none"/>
              </w:rPr>
            </w:pPr>
          </w:p>
        </w:tc>
      </w:tr>
    </w:tbl>
    <w:p w14:paraId="7C4BC728">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07A332A5">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投标人名称(电子签名)：                              </w:t>
      </w:r>
    </w:p>
    <w:p w14:paraId="05D255D4">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5A6C77C1">
      <w:pPr>
        <w:jc w:val="center"/>
        <w:rPr>
          <w:rFonts w:ascii="宋体" w:hAnsi="宋体" w:cs="宋体"/>
          <w:b/>
          <w:kern w:val="0"/>
          <w:sz w:val="32"/>
          <w:szCs w:val="32"/>
          <w:highlight w:val="none"/>
        </w:rPr>
      </w:pPr>
    </w:p>
    <w:p w14:paraId="7059A7A3">
      <w:pPr>
        <w:jc w:val="center"/>
        <w:rPr>
          <w:rFonts w:ascii="宋体" w:hAnsi="宋体" w:cs="宋体"/>
          <w:b/>
          <w:kern w:val="0"/>
          <w:sz w:val="32"/>
          <w:szCs w:val="32"/>
          <w:highlight w:val="none"/>
        </w:rPr>
      </w:pPr>
    </w:p>
    <w:p w14:paraId="2286F6F2">
      <w:pPr>
        <w:jc w:val="center"/>
        <w:rPr>
          <w:rFonts w:ascii="宋体" w:hAnsi="宋体" w:cs="宋体"/>
          <w:b/>
          <w:kern w:val="0"/>
          <w:sz w:val="32"/>
          <w:szCs w:val="32"/>
          <w:highlight w:val="none"/>
        </w:rPr>
      </w:pPr>
    </w:p>
    <w:p w14:paraId="4D5E0F89">
      <w:pPr>
        <w:jc w:val="center"/>
        <w:rPr>
          <w:rFonts w:ascii="宋体" w:hAnsi="宋体" w:cs="宋体"/>
          <w:b/>
          <w:kern w:val="0"/>
          <w:sz w:val="32"/>
          <w:szCs w:val="32"/>
          <w:highlight w:val="none"/>
        </w:rPr>
      </w:pPr>
    </w:p>
    <w:p w14:paraId="2C13ABA7">
      <w:pPr>
        <w:jc w:val="center"/>
        <w:rPr>
          <w:rFonts w:ascii="宋体" w:hAnsi="宋体" w:cs="宋体"/>
          <w:b/>
          <w:kern w:val="0"/>
          <w:sz w:val="32"/>
          <w:szCs w:val="32"/>
          <w:highlight w:val="none"/>
        </w:rPr>
      </w:pPr>
    </w:p>
    <w:p w14:paraId="79174D66">
      <w:pPr>
        <w:jc w:val="center"/>
        <w:rPr>
          <w:rFonts w:ascii="宋体" w:hAnsi="宋体" w:cs="宋体"/>
          <w:b/>
          <w:kern w:val="0"/>
          <w:sz w:val="32"/>
          <w:szCs w:val="32"/>
          <w:highlight w:val="none"/>
        </w:rPr>
      </w:pPr>
    </w:p>
    <w:p w14:paraId="4B853BEA">
      <w:pPr>
        <w:jc w:val="center"/>
        <w:rPr>
          <w:rFonts w:ascii="宋体" w:hAnsi="宋体" w:cs="宋体"/>
          <w:b/>
          <w:kern w:val="0"/>
          <w:sz w:val="32"/>
          <w:szCs w:val="32"/>
          <w:highlight w:val="none"/>
        </w:rPr>
      </w:pPr>
    </w:p>
    <w:p w14:paraId="0C9EA655">
      <w:pPr>
        <w:jc w:val="center"/>
        <w:rPr>
          <w:rFonts w:ascii="宋体" w:hAnsi="宋体" w:cs="宋体"/>
          <w:b/>
          <w:kern w:val="0"/>
          <w:sz w:val="32"/>
          <w:szCs w:val="32"/>
          <w:highlight w:val="none"/>
        </w:rPr>
      </w:pPr>
    </w:p>
    <w:p w14:paraId="0BF89857">
      <w:pPr>
        <w:jc w:val="center"/>
        <w:rPr>
          <w:rFonts w:ascii="宋体" w:hAnsi="宋体" w:cs="宋体"/>
          <w:b/>
          <w:kern w:val="0"/>
          <w:sz w:val="32"/>
          <w:szCs w:val="32"/>
          <w:highlight w:val="none"/>
        </w:rPr>
      </w:pPr>
    </w:p>
    <w:p w14:paraId="7207D8FC">
      <w:pPr>
        <w:jc w:val="center"/>
        <w:rPr>
          <w:rFonts w:ascii="宋体" w:hAnsi="宋体" w:cs="宋体"/>
          <w:b/>
          <w:kern w:val="0"/>
          <w:sz w:val="32"/>
          <w:szCs w:val="32"/>
          <w:highlight w:val="none"/>
        </w:rPr>
      </w:pPr>
    </w:p>
    <w:p w14:paraId="45005E2C">
      <w:pPr>
        <w:snapToGrid w:val="0"/>
        <w:spacing w:line="360" w:lineRule="auto"/>
        <w:ind w:right="480"/>
        <w:rPr>
          <w:rFonts w:ascii="宋体" w:hAnsi="宋体" w:cs="宋体"/>
          <w:b/>
          <w:kern w:val="0"/>
          <w:sz w:val="32"/>
          <w:szCs w:val="32"/>
          <w:highlight w:val="none"/>
        </w:rPr>
        <w:sectPr>
          <w:headerReference r:id="rId10" w:type="first"/>
          <w:footerReference r:id="rId12" w:type="first"/>
          <w:headerReference r:id="rId9" w:type="default"/>
          <w:footerReference r:id="rId11" w:type="default"/>
          <w:pgSz w:w="11906" w:h="16838"/>
          <w:pgMar w:top="1440" w:right="1803" w:bottom="1440" w:left="1803" w:header="851" w:footer="992" w:gutter="0"/>
          <w:pgNumType w:fmt="decimal"/>
          <w:cols w:space="0" w:num="1"/>
          <w:titlePg/>
          <w:rtlGutter w:val="0"/>
          <w:docGrid w:linePitch="312" w:charSpace="0"/>
        </w:sectPr>
      </w:pPr>
    </w:p>
    <w:p w14:paraId="25FC7C68">
      <w:pPr>
        <w:snapToGrid w:val="0"/>
        <w:spacing w:line="360" w:lineRule="auto"/>
        <w:jc w:val="center"/>
        <w:rPr>
          <w:rFonts w:ascii="宋体" w:hAnsi="宋体" w:cs="宋体"/>
          <w:b/>
          <w:kern w:val="0"/>
          <w:sz w:val="32"/>
          <w:szCs w:val="32"/>
          <w:highlight w:val="none"/>
        </w:rPr>
      </w:pPr>
      <w:r>
        <w:rPr>
          <w:rFonts w:hint="eastAsia" w:ascii="宋体" w:hAnsi="宋体" w:cs="宋体"/>
          <w:b/>
          <w:kern w:val="0"/>
          <w:sz w:val="32"/>
          <w:szCs w:val="32"/>
          <w:highlight w:val="none"/>
        </w:rPr>
        <w:t>三、分包意向协议（如果有）</w:t>
      </w:r>
    </w:p>
    <w:p w14:paraId="3B144BC6">
      <w:pPr>
        <w:widowControl/>
        <w:spacing w:line="360" w:lineRule="auto"/>
        <w:ind w:firstLine="120" w:firstLineChars="50"/>
        <w:jc w:val="left"/>
        <w:rPr>
          <w:rFonts w:ascii="宋体" w:hAnsi="宋体" w:cs="宋体"/>
          <w:sz w:val="24"/>
          <w:highlight w:val="none"/>
        </w:rPr>
      </w:pPr>
      <w:bookmarkStart w:id="421" w:name="_Hlk101169080"/>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中标后以分包方式履行合同的，提供分包意向协议(附件6</w:t>
      </w:r>
      <w:r>
        <w:rPr>
          <w:rFonts w:ascii="宋体" w:hAnsi="宋体" w:cs="宋体"/>
          <w:b/>
          <w:sz w:val="24"/>
          <w:highlight w:val="none"/>
        </w:rPr>
        <w:t>)</w:t>
      </w:r>
      <w:r>
        <w:rPr>
          <w:rFonts w:hint="eastAsia" w:ascii="宋体" w:hAnsi="宋体" w:cs="宋体"/>
          <w:b/>
          <w:sz w:val="24"/>
          <w:highlight w:val="none"/>
        </w:rPr>
        <w:t>；采购人不同意分包或者投标人中标后不以分包方式履行合同的，则不需要提供。</w:t>
      </w:r>
      <w:r>
        <w:rPr>
          <w:rFonts w:hint="eastAsia" w:ascii="宋体" w:hAnsi="宋体" w:cs="宋体"/>
          <w:sz w:val="24"/>
          <w:highlight w:val="none"/>
        </w:rPr>
        <w:t>]</w:t>
      </w:r>
    </w:p>
    <w:bookmarkEnd w:id="421"/>
    <w:p w14:paraId="40058EAE">
      <w:pPr>
        <w:snapToGrid w:val="0"/>
        <w:spacing w:line="360" w:lineRule="auto"/>
        <w:rPr>
          <w:rFonts w:ascii="宋体" w:hAnsi="宋体" w:cs="宋体"/>
          <w:kern w:val="0"/>
          <w:sz w:val="24"/>
          <w:highlight w:val="none"/>
        </w:rPr>
      </w:pPr>
    </w:p>
    <w:p w14:paraId="56A0AD71">
      <w:pPr>
        <w:jc w:val="center"/>
        <w:rPr>
          <w:rFonts w:ascii="宋体" w:hAnsi="宋体" w:cs="宋体"/>
          <w:b/>
          <w:kern w:val="0"/>
          <w:sz w:val="32"/>
          <w:szCs w:val="32"/>
          <w:highlight w:val="none"/>
        </w:rPr>
      </w:pPr>
    </w:p>
    <w:p w14:paraId="0581F0BC">
      <w:pPr>
        <w:tabs>
          <w:tab w:val="left" w:pos="432"/>
        </w:tabs>
        <w:rPr>
          <w:highlight w:val="none"/>
        </w:rPr>
      </w:pPr>
    </w:p>
    <w:p w14:paraId="2FC91EFB">
      <w:pPr>
        <w:rPr>
          <w:highlight w:val="none"/>
        </w:rPr>
      </w:pPr>
    </w:p>
    <w:p w14:paraId="7A55076B">
      <w:pPr>
        <w:tabs>
          <w:tab w:val="left" w:pos="432"/>
        </w:tabs>
        <w:rPr>
          <w:highlight w:val="none"/>
        </w:rPr>
      </w:pPr>
    </w:p>
    <w:p w14:paraId="781F9DC2">
      <w:pPr>
        <w:jc w:val="center"/>
        <w:rPr>
          <w:rFonts w:ascii="宋体" w:hAnsi="宋体" w:cs="宋体"/>
          <w:b/>
          <w:kern w:val="0"/>
          <w:sz w:val="32"/>
          <w:szCs w:val="32"/>
          <w:highlight w:val="none"/>
        </w:rPr>
      </w:pPr>
    </w:p>
    <w:p w14:paraId="458EB201">
      <w:pPr>
        <w:jc w:val="center"/>
        <w:rPr>
          <w:rFonts w:ascii="宋体" w:hAnsi="宋体" w:cs="宋体"/>
          <w:b/>
          <w:kern w:val="0"/>
          <w:sz w:val="32"/>
          <w:szCs w:val="32"/>
          <w:highlight w:val="none"/>
        </w:rPr>
      </w:pPr>
      <w:r>
        <w:rPr>
          <w:rFonts w:hint="eastAsia" w:ascii="宋体" w:hAnsi="宋体" w:cs="宋体"/>
          <w:b/>
          <w:kern w:val="0"/>
          <w:sz w:val="32"/>
          <w:szCs w:val="32"/>
          <w:highlight w:val="none"/>
        </w:rPr>
        <w:t>四、符合性审查资料</w:t>
      </w:r>
    </w:p>
    <w:p w14:paraId="35C234E9">
      <w:pPr>
        <w:jc w:val="center"/>
        <w:rPr>
          <w:rFonts w:ascii="宋体" w:hAnsi="宋体" w:cs="宋体"/>
          <w:b/>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436"/>
        <w:gridCol w:w="2550"/>
        <w:gridCol w:w="1974"/>
      </w:tblGrid>
      <w:tr w14:paraId="0158C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8DD4E46">
            <w:pPr>
              <w:snapToGrid w:val="0"/>
              <w:spacing w:line="240" w:lineRule="atLeast"/>
              <w:jc w:val="center"/>
              <w:rPr>
                <w:rFonts w:ascii="宋体" w:hAnsi="宋体" w:cs="宋体"/>
                <w:b/>
                <w:sz w:val="24"/>
                <w:highlight w:val="none"/>
              </w:rPr>
            </w:pPr>
            <w:r>
              <w:rPr>
                <w:rFonts w:hint="eastAsia" w:ascii="宋体" w:hAnsi="宋体" w:cs="宋体"/>
                <w:b/>
                <w:sz w:val="24"/>
                <w:highlight w:val="none"/>
              </w:rPr>
              <w:t>序号</w:t>
            </w:r>
          </w:p>
        </w:tc>
        <w:tc>
          <w:tcPr>
            <w:tcW w:w="4436" w:type="dxa"/>
            <w:vAlign w:val="center"/>
          </w:tcPr>
          <w:p w14:paraId="6E709B93">
            <w:pPr>
              <w:snapToGrid w:val="0"/>
              <w:spacing w:line="240" w:lineRule="atLeast"/>
              <w:jc w:val="center"/>
              <w:rPr>
                <w:rFonts w:ascii="宋体" w:hAnsi="宋体" w:cs="宋体"/>
                <w:b/>
                <w:sz w:val="24"/>
                <w:highlight w:val="none"/>
              </w:rPr>
            </w:pPr>
            <w:r>
              <w:rPr>
                <w:rFonts w:hint="eastAsia" w:ascii="宋体" w:hAnsi="宋体" w:cs="宋体"/>
                <w:b/>
                <w:sz w:val="24"/>
                <w:highlight w:val="none"/>
              </w:rPr>
              <w:t>实质性要求</w:t>
            </w:r>
          </w:p>
        </w:tc>
        <w:tc>
          <w:tcPr>
            <w:tcW w:w="2550" w:type="dxa"/>
            <w:vAlign w:val="center"/>
          </w:tcPr>
          <w:p w14:paraId="1028A525">
            <w:pPr>
              <w:snapToGrid w:val="0"/>
              <w:spacing w:line="240" w:lineRule="atLeast"/>
              <w:jc w:val="center"/>
              <w:rPr>
                <w:rFonts w:ascii="宋体" w:hAnsi="宋体" w:cs="宋体"/>
                <w:b/>
                <w:sz w:val="24"/>
                <w:highlight w:val="none"/>
              </w:rPr>
            </w:pPr>
            <w:r>
              <w:rPr>
                <w:rFonts w:hint="eastAsia" w:ascii="宋体" w:hAnsi="宋体" w:cs="宋体"/>
                <w:b/>
                <w:sz w:val="24"/>
                <w:highlight w:val="none"/>
              </w:rPr>
              <w:t>需要提供的符合性审查资料</w:t>
            </w:r>
          </w:p>
        </w:tc>
        <w:tc>
          <w:tcPr>
            <w:tcW w:w="1974" w:type="dxa"/>
            <w:vAlign w:val="center"/>
          </w:tcPr>
          <w:p w14:paraId="03DCDFDB">
            <w:pPr>
              <w:snapToGrid w:val="0"/>
              <w:spacing w:line="240" w:lineRule="atLeast"/>
              <w:jc w:val="center"/>
              <w:rPr>
                <w:rFonts w:ascii="宋体" w:hAnsi="宋体" w:cs="宋体"/>
                <w:b/>
                <w:sz w:val="24"/>
                <w:highlight w:val="none"/>
              </w:rPr>
            </w:pPr>
            <w:r>
              <w:rPr>
                <w:rFonts w:hint="eastAsia" w:ascii="宋体" w:hAnsi="宋体" w:cs="宋体"/>
                <w:b/>
                <w:sz w:val="24"/>
                <w:highlight w:val="none"/>
              </w:rPr>
              <w:t>投标文件中的</w:t>
            </w:r>
          </w:p>
          <w:p w14:paraId="2A6F4A43">
            <w:pPr>
              <w:snapToGrid w:val="0"/>
              <w:spacing w:line="240" w:lineRule="atLeast"/>
              <w:jc w:val="center"/>
              <w:rPr>
                <w:rFonts w:ascii="宋体" w:hAnsi="宋体" w:cs="宋体"/>
                <w:b/>
                <w:sz w:val="24"/>
                <w:highlight w:val="none"/>
              </w:rPr>
            </w:pPr>
            <w:r>
              <w:rPr>
                <w:rFonts w:hint="eastAsia" w:ascii="宋体" w:hAnsi="宋体" w:cs="宋体"/>
                <w:b/>
                <w:sz w:val="24"/>
                <w:highlight w:val="none"/>
              </w:rPr>
              <w:t>页码位置</w:t>
            </w:r>
          </w:p>
        </w:tc>
      </w:tr>
      <w:tr w14:paraId="564D9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DE35C0">
            <w:pPr>
              <w:jc w:val="center"/>
              <w:rPr>
                <w:rFonts w:ascii="宋体" w:hAnsi="宋体" w:cs="宋体"/>
                <w:sz w:val="24"/>
                <w:highlight w:val="none"/>
              </w:rPr>
            </w:pPr>
            <w:r>
              <w:rPr>
                <w:rFonts w:hint="eastAsia" w:ascii="宋体" w:hAnsi="宋体" w:cs="宋体"/>
                <w:sz w:val="24"/>
                <w:highlight w:val="none"/>
              </w:rPr>
              <w:t>1</w:t>
            </w:r>
          </w:p>
        </w:tc>
        <w:tc>
          <w:tcPr>
            <w:tcW w:w="4436" w:type="dxa"/>
            <w:vAlign w:val="center"/>
          </w:tcPr>
          <w:p w14:paraId="3081CF68">
            <w:pPr>
              <w:spacing w:line="360" w:lineRule="auto"/>
              <w:rPr>
                <w:rFonts w:ascii="宋体" w:hAnsi="宋体" w:cs="宋体"/>
                <w:sz w:val="24"/>
                <w:highlight w:val="none"/>
              </w:rPr>
            </w:pPr>
            <w:r>
              <w:rPr>
                <w:rFonts w:hint="eastAsia" w:ascii="宋体" w:hAnsi="宋体" w:cs="宋体"/>
                <w:sz w:val="24"/>
                <w:highlight w:val="none"/>
              </w:rPr>
              <w:t>投标文件按照招标文件要求签署、盖章。</w:t>
            </w:r>
          </w:p>
        </w:tc>
        <w:tc>
          <w:tcPr>
            <w:tcW w:w="2550" w:type="dxa"/>
            <w:vAlign w:val="center"/>
          </w:tcPr>
          <w:p w14:paraId="75E08A2B">
            <w:pPr>
              <w:rPr>
                <w:rFonts w:ascii="宋体" w:hAnsi="宋体" w:cs="宋体"/>
                <w:sz w:val="24"/>
                <w:highlight w:val="none"/>
              </w:rPr>
            </w:pPr>
            <w:r>
              <w:rPr>
                <w:rFonts w:hint="eastAsia" w:ascii="宋体" w:hAnsi="宋体" w:cs="宋体"/>
                <w:sz w:val="24"/>
                <w:highlight w:val="none"/>
              </w:rPr>
              <w:t>需要使用电子签名或者签字盖章的投标文件的组成部分</w:t>
            </w:r>
          </w:p>
        </w:tc>
        <w:tc>
          <w:tcPr>
            <w:tcW w:w="1974" w:type="dxa"/>
            <w:vAlign w:val="center"/>
          </w:tcPr>
          <w:p w14:paraId="5792F481">
            <w:pPr>
              <w:rPr>
                <w:rFonts w:ascii="宋体" w:hAnsi="宋体" w:cs="宋体"/>
                <w:sz w:val="24"/>
                <w:highlight w:val="none"/>
              </w:rPr>
            </w:pPr>
            <w:r>
              <w:rPr>
                <w:rFonts w:hint="eastAsia" w:ascii="宋体" w:hAnsi="宋体" w:cs="宋体"/>
                <w:sz w:val="24"/>
                <w:highlight w:val="none"/>
              </w:rPr>
              <w:t>见投标文件</w:t>
            </w:r>
          </w:p>
          <w:p w14:paraId="0632F1F3">
            <w:pPr>
              <w:rPr>
                <w:rFonts w:ascii="宋体" w:hAnsi="宋体" w:cs="宋体"/>
                <w:highlight w:val="none"/>
              </w:rPr>
            </w:pPr>
            <w:r>
              <w:rPr>
                <w:rFonts w:hint="eastAsia" w:ascii="宋体" w:hAnsi="宋体" w:cs="宋体"/>
                <w:sz w:val="24"/>
                <w:highlight w:val="none"/>
              </w:rPr>
              <w:t>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6DE6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9489416">
            <w:pPr>
              <w:jc w:val="center"/>
              <w:rPr>
                <w:rFonts w:ascii="宋体" w:hAnsi="宋体" w:cs="宋体"/>
                <w:sz w:val="24"/>
                <w:highlight w:val="none"/>
              </w:rPr>
            </w:pPr>
            <w:r>
              <w:rPr>
                <w:rFonts w:hint="eastAsia" w:ascii="宋体" w:hAnsi="宋体" w:cs="宋体"/>
                <w:sz w:val="24"/>
                <w:highlight w:val="none"/>
              </w:rPr>
              <w:t>2</w:t>
            </w:r>
          </w:p>
        </w:tc>
        <w:tc>
          <w:tcPr>
            <w:tcW w:w="4436" w:type="dxa"/>
            <w:vAlign w:val="center"/>
          </w:tcPr>
          <w:p w14:paraId="3F3CE959">
            <w:pPr>
              <w:spacing w:line="360" w:lineRule="auto"/>
              <w:rPr>
                <w:rFonts w:ascii="宋体" w:hAnsi="宋体" w:cs="宋体"/>
                <w:sz w:val="24"/>
                <w:highlight w:val="none"/>
              </w:rPr>
            </w:pPr>
            <w:r>
              <w:rPr>
                <w:rFonts w:hint="eastAsia" w:ascii="宋体" w:hAnsi="宋体" w:cs="宋体"/>
                <w:sz w:val="24"/>
                <w:highlight w:val="none"/>
              </w:rPr>
              <w:t>投标文件中承诺的投标有效期不少于招标文件中载明的投标有效期。</w:t>
            </w:r>
          </w:p>
        </w:tc>
        <w:tc>
          <w:tcPr>
            <w:tcW w:w="2550" w:type="dxa"/>
            <w:vAlign w:val="center"/>
          </w:tcPr>
          <w:p w14:paraId="6C1550C6">
            <w:pPr>
              <w:rPr>
                <w:rFonts w:ascii="宋体" w:hAnsi="宋体" w:cs="宋体"/>
                <w:sz w:val="24"/>
                <w:highlight w:val="none"/>
              </w:rPr>
            </w:pPr>
            <w:r>
              <w:rPr>
                <w:rFonts w:hint="eastAsia" w:ascii="宋体" w:hAnsi="宋体" w:cs="宋体"/>
                <w:sz w:val="24"/>
                <w:highlight w:val="none"/>
              </w:rPr>
              <w:t>投标函</w:t>
            </w:r>
          </w:p>
        </w:tc>
        <w:tc>
          <w:tcPr>
            <w:tcW w:w="1974" w:type="dxa"/>
            <w:vAlign w:val="center"/>
          </w:tcPr>
          <w:p w14:paraId="35C408B0">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7DCDB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1902CC8">
            <w:pPr>
              <w:jc w:val="center"/>
              <w:rPr>
                <w:rFonts w:ascii="宋体" w:hAnsi="宋体" w:cs="宋体"/>
                <w:sz w:val="24"/>
                <w:highlight w:val="none"/>
              </w:rPr>
            </w:pPr>
            <w:r>
              <w:rPr>
                <w:rFonts w:hint="eastAsia" w:ascii="宋体" w:hAnsi="宋体" w:cs="宋体"/>
                <w:sz w:val="24"/>
                <w:highlight w:val="none"/>
              </w:rPr>
              <w:t>3</w:t>
            </w:r>
          </w:p>
        </w:tc>
        <w:tc>
          <w:tcPr>
            <w:tcW w:w="4436" w:type="dxa"/>
            <w:vAlign w:val="center"/>
          </w:tcPr>
          <w:p w14:paraId="27403E73">
            <w:pPr>
              <w:spacing w:line="360" w:lineRule="auto"/>
              <w:rPr>
                <w:rFonts w:ascii="宋体" w:hAnsi="宋体" w:cs="宋体"/>
                <w:sz w:val="24"/>
                <w:highlight w:val="none"/>
              </w:rPr>
            </w:pPr>
            <w:r>
              <w:rPr>
                <w:rFonts w:hint="eastAsia" w:ascii="宋体" w:hAnsi="宋体" w:cs="宋体"/>
                <w:sz w:val="24"/>
                <w:highlight w:val="none"/>
              </w:rPr>
              <w:t>投标文件满足招标文件的其它实质性要求。</w:t>
            </w:r>
          </w:p>
        </w:tc>
        <w:tc>
          <w:tcPr>
            <w:tcW w:w="2550" w:type="dxa"/>
            <w:vAlign w:val="center"/>
          </w:tcPr>
          <w:p w14:paraId="735FB055">
            <w:pPr>
              <w:rPr>
                <w:rFonts w:ascii="宋体" w:hAnsi="宋体" w:cs="宋体"/>
                <w:sz w:val="24"/>
                <w:highlight w:val="none"/>
              </w:rPr>
            </w:pPr>
            <w:r>
              <w:rPr>
                <w:rFonts w:hint="eastAsia" w:ascii="宋体" w:hAnsi="宋体" w:cs="宋体"/>
                <w:kern w:val="0"/>
                <w:sz w:val="24"/>
                <w:highlight w:val="none"/>
              </w:rPr>
              <w:t>招标文件其它实质性要求相应的材料（“▲” 系指实质性要求条款，招标文件无其它实质性要求的，无需提供）</w:t>
            </w:r>
          </w:p>
        </w:tc>
        <w:tc>
          <w:tcPr>
            <w:tcW w:w="1974" w:type="dxa"/>
            <w:vAlign w:val="center"/>
          </w:tcPr>
          <w:p w14:paraId="4BC9B36E">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bl>
    <w:p w14:paraId="0F3BADC6">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59983811">
      <w:pPr>
        <w:jc w:val="center"/>
        <w:rPr>
          <w:rFonts w:ascii="宋体" w:hAnsi="宋体" w:cs="宋体"/>
          <w:b/>
          <w:kern w:val="0"/>
          <w:sz w:val="32"/>
          <w:szCs w:val="32"/>
          <w:highlight w:val="none"/>
        </w:rPr>
      </w:pPr>
    </w:p>
    <w:p w14:paraId="277217FB">
      <w:pPr>
        <w:jc w:val="center"/>
        <w:rPr>
          <w:rFonts w:ascii="宋体" w:hAnsi="宋体" w:cs="宋体"/>
          <w:b/>
          <w:kern w:val="0"/>
          <w:sz w:val="32"/>
          <w:szCs w:val="32"/>
          <w:highlight w:val="none"/>
        </w:rPr>
      </w:pPr>
      <w:r>
        <w:rPr>
          <w:rFonts w:hint="eastAsia" w:ascii="宋体" w:hAnsi="宋体" w:cs="宋体"/>
          <w:b/>
          <w:kern w:val="0"/>
          <w:sz w:val="32"/>
          <w:szCs w:val="32"/>
          <w:highlight w:val="none"/>
        </w:rPr>
        <w:t xml:space="preserve">            </w:t>
      </w:r>
    </w:p>
    <w:p w14:paraId="2331D62B">
      <w:pPr>
        <w:jc w:val="center"/>
        <w:rPr>
          <w:rFonts w:ascii="宋体" w:hAnsi="宋体" w:cs="宋体"/>
          <w:b/>
          <w:kern w:val="0"/>
          <w:sz w:val="32"/>
          <w:szCs w:val="32"/>
          <w:highlight w:val="none"/>
        </w:rPr>
      </w:pPr>
    </w:p>
    <w:p w14:paraId="3E9904A5">
      <w:pPr>
        <w:jc w:val="center"/>
        <w:rPr>
          <w:rFonts w:ascii="宋体" w:hAnsi="宋体" w:cs="宋体"/>
          <w:b/>
          <w:kern w:val="0"/>
          <w:sz w:val="32"/>
          <w:szCs w:val="32"/>
          <w:highlight w:val="none"/>
        </w:rPr>
      </w:pPr>
    </w:p>
    <w:p w14:paraId="5B176CCB">
      <w:pPr>
        <w:jc w:val="center"/>
        <w:rPr>
          <w:rFonts w:ascii="宋体" w:hAnsi="宋体" w:cs="宋体"/>
          <w:b/>
          <w:kern w:val="0"/>
          <w:sz w:val="32"/>
          <w:szCs w:val="32"/>
          <w:highlight w:val="none"/>
        </w:rPr>
      </w:pPr>
    </w:p>
    <w:p w14:paraId="348CAD95">
      <w:pPr>
        <w:jc w:val="center"/>
        <w:rPr>
          <w:rFonts w:ascii="宋体" w:hAnsi="宋体" w:cs="宋体"/>
          <w:b/>
          <w:kern w:val="0"/>
          <w:sz w:val="32"/>
          <w:szCs w:val="32"/>
          <w:highlight w:val="none"/>
        </w:rPr>
      </w:pPr>
    </w:p>
    <w:p w14:paraId="4CE15FCE">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4347E037">
      <w:pPr>
        <w:jc w:val="center"/>
        <w:rPr>
          <w:rFonts w:ascii="宋体" w:hAnsi="宋体" w:cs="宋体"/>
          <w:highlight w:val="none"/>
        </w:rPr>
      </w:pPr>
      <w:r>
        <w:rPr>
          <w:rFonts w:hint="eastAsia" w:ascii="宋体" w:hAnsi="宋体" w:cs="宋体"/>
          <w:b/>
          <w:kern w:val="0"/>
          <w:sz w:val="32"/>
          <w:szCs w:val="32"/>
          <w:highlight w:val="none"/>
        </w:rPr>
        <w:t>五、评标标准相应的商务技术资料</w:t>
      </w:r>
    </w:p>
    <w:p w14:paraId="6D9C6B70">
      <w:pPr>
        <w:snapToGrid w:val="0"/>
        <w:spacing w:line="360" w:lineRule="auto"/>
        <w:jc w:val="left"/>
        <w:rPr>
          <w:rFonts w:ascii="宋体" w:hAnsi="宋体" w:cs="宋体"/>
          <w:b/>
          <w:sz w:val="24"/>
          <w:highlight w:val="none"/>
        </w:rPr>
      </w:pPr>
      <w:r>
        <w:rPr>
          <w:rFonts w:hint="eastAsia" w:ascii="宋体" w:hAnsi="宋体" w:cs="宋体"/>
          <w:b/>
          <w:sz w:val="24"/>
          <w:highlight w:val="none"/>
        </w:rPr>
        <w:t>（按招标文件第四部分评标办法前附表中“投标文件中评标标准相应的商务技术资料目录”提供资料。）</w:t>
      </w:r>
    </w:p>
    <w:p w14:paraId="447A3B0C">
      <w:pPr>
        <w:jc w:val="center"/>
        <w:rPr>
          <w:rFonts w:ascii="宋体" w:hAnsi="宋体" w:cs="宋体"/>
          <w:b/>
          <w:kern w:val="0"/>
          <w:sz w:val="32"/>
          <w:szCs w:val="32"/>
          <w:highlight w:val="none"/>
        </w:rPr>
      </w:pPr>
    </w:p>
    <w:p w14:paraId="3A56B66D">
      <w:pPr>
        <w:jc w:val="center"/>
        <w:rPr>
          <w:rFonts w:ascii="宋体" w:hAnsi="宋体" w:cs="宋体"/>
          <w:b/>
          <w:kern w:val="0"/>
          <w:sz w:val="32"/>
          <w:szCs w:val="32"/>
          <w:highlight w:val="none"/>
        </w:rPr>
      </w:pPr>
    </w:p>
    <w:p w14:paraId="5C675319">
      <w:pPr>
        <w:jc w:val="center"/>
        <w:rPr>
          <w:rFonts w:ascii="宋体" w:hAnsi="宋体" w:cs="宋体"/>
          <w:b/>
          <w:kern w:val="0"/>
          <w:sz w:val="32"/>
          <w:szCs w:val="32"/>
          <w:highlight w:val="none"/>
        </w:rPr>
      </w:pPr>
    </w:p>
    <w:p w14:paraId="69A14907">
      <w:pPr>
        <w:jc w:val="center"/>
        <w:rPr>
          <w:rFonts w:ascii="宋体" w:hAnsi="宋体" w:cs="宋体"/>
          <w:b/>
          <w:kern w:val="0"/>
          <w:sz w:val="32"/>
          <w:szCs w:val="32"/>
          <w:highlight w:val="none"/>
        </w:rPr>
      </w:pPr>
      <w:r>
        <w:rPr>
          <w:rFonts w:hint="eastAsia" w:ascii="宋体" w:hAnsi="宋体" w:cs="宋体"/>
          <w:b/>
          <w:kern w:val="0"/>
          <w:sz w:val="32"/>
          <w:szCs w:val="32"/>
          <w:highlight w:val="none"/>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8759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8BFB373">
            <w:pPr>
              <w:jc w:val="center"/>
              <w:rPr>
                <w:rFonts w:ascii="宋体" w:hAnsi="宋体" w:cs="宋体"/>
                <w:b/>
                <w:bCs/>
                <w:sz w:val="24"/>
                <w:highlight w:val="none"/>
              </w:rPr>
            </w:pPr>
            <w:r>
              <w:rPr>
                <w:rFonts w:hint="eastAsia" w:ascii="宋体" w:hAnsi="宋体" w:cs="宋体"/>
                <w:b/>
                <w:bCs/>
                <w:sz w:val="24"/>
                <w:highlight w:val="none"/>
              </w:rPr>
              <w:t>序号</w:t>
            </w:r>
          </w:p>
        </w:tc>
        <w:tc>
          <w:tcPr>
            <w:tcW w:w="3683" w:type="dxa"/>
          </w:tcPr>
          <w:p w14:paraId="409FC3EB">
            <w:pPr>
              <w:jc w:val="center"/>
              <w:rPr>
                <w:rFonts w:ascii="宋体" w:hAnsi="宋体" w:cs="宋体"/>
                <w:b/>
                <w:bCs/>
                <w:sz w:val="24"/>
                <w:highlight w:val="none"/>
              </w:rPr>
            </w:pPr>
            <w:r>
              <w:rPr>
                <w:rFonts w:hint="eastAsia" w:ascii="宋体" w:hAnsi="宋体" w:cs="宋体"/>
                <w:b/>
                <w:bCs/>
                <w:sz w:val="24"/>
                <w:highlight w:val="none"/>
              </w:rPr>
              <w:t>招标文件章节及具体内容</w:t>
            </w:r>
          </w:p>
        </w:tc>
        <w:tc>
          <w:tcPr>
            <w:tcW w:w="3546" w:type="dxa"/>
          </w:tcPr>
          <w:p w14:paraId="18CB34D9">
            <w:pPr>
              <w:jc w:val="center"/>
              <w:rPr>
                <w:rFonts w:ascii="宋体" w:hAnsi="宋体" w:cs="宋体"/>
                <w:b/>
                <w:bCs/>
                <w:sz w:val="24"/>
                <w:highlight w:val="none"/>
              </w:rPr>
            </w:pPr>
            <w:r>
              <w:rPr>
                <w:rFonts w:hint="eastAsia" w:ascii="宋体" w:hAnsi="宋体" w:cs="宋体"/>
                <w:b/>
                <w:bCs/>
                <w:sz w:val="24"/>
                <w:highlight w:val="none"/>
              </w:rPr>
              <w:t>投标文件章节及具体内容</w:t>
            </w:r>
          </w:p>
        </w:tc>
        <w:tc>
          <w:tcPr>
            <w:tcW w:w="1276" w:type="dxa"/>
          </w:tcPr>
          <w:p w14:paraId="2EE550C1">
            <w:pPr>
              <w:jc w:val="center"/>
              <w:rPr>
                <w:rFonts w:ascii="宋体" w:hAnsi="宋体" w:cs="宋体"/>
                <w:b/>
                <w:bCs/>
                <w:sz w:val="24"/>
                <w:highlight w:val="none"/>
              </w:rPr>
            </w:pPr>
            <w:r>
              <w:rPr>
                <w:rFonts w:hint="eastAsia" w:ascii="宋体" w:hAnsi="宋体" w:cs="宋体"/>
                <w:b/>
                <w:bCs/>
                <w:sz w:val="24"/>
                <w:highlight w:val="none"/>
              </w:rPr>
              <w:t>偏离说明</w:t>
            </w:r>
          </w:p>
        </w:tc>
      </w:tr>
      <w:tr w14:paraId="193B5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BC9056F">
            <w:pPr>
              <w:jc w:val="center"/>
              <w:rPr>
                <w:rFonts w:ascii="宋体" w:hAnsi="宋体" w:cs="宋体"/>
                <w:kern w:val="0"/>
                <w:sz w:val="24"/>
                <w:highlight w:val="none"/>
              </w:rPr>
            </w:pPr>
            <w:r>
              <w:rPr>
                <w:rFonts w:hint="eastAsia" w:ascii="宋体" w:hAnsi="宋体" w:cs="宋体"/>
                <w:kern w:val="0"/>
                <w:sz w:val="24"/>
                <w:highlight w:val="none"/>
              </w:rPr>
              <w:t>1</w:t>
            </w:r>
          </w:p>
        </w:tc>
        <w:tc>
          <w:tcPr>
            <w:tcW w:w="3683" w:type="dxa"/>
          </w:tcPr>
          <w:p w14:paraId="51ACE16B">
            <w:pPr>
              <w:jc w:val="center"/>
              <w:rPr>
                <w:rFonts w:ascii="宋体" w:hAnsi="宋体" w:cs="宋体"/>
                <w:b/>
                <w:kern w:val="0"/>
                <w:sz w:val="32"/>
                <w:szCs w:val="32"/>
                <w:highlight w:val="none"/>
              </w:rPr>
            </w:pPr>
          </w:p>
        </w:tc>
        <w:tc>
          <w:tcPr>
            <w:tcW w:w="3546" w:type="dxa"/>
          </w:tcPr>
          <w:p w14:paraId="71788AC8">
            <w:pPr>
              <w:jc w:val="center"/>
              <w:rPr>
                <w:rFonts w:ascii="宋体" w:hAnsi="宋体" w:cs="宋体"/>
                <w:b/>
                <w:kern w:val="0"/>
                <w:sz w:val="32"/>
                <w:szCs w:val="32"/>
                <w:highlight w:val="none"/>
              </w:rPr>
            </w:pPr>
          </w:p>
        </w:tc>
        <w:tc>
          <w:tcPr>
            <w:tcW w:w="1276" w:type="dxa"/>
          </w:tcPr>
          <w:p w14:paraId="20A3E7E0">
            <w:pPr>
              <w:jc w:val="center"/>
              <w:rPr>
                <w:rFonts w:ascii="宋体" w:hAnsi="宋体" w:cs="宋体"/>
                <w:b/>
                <w:kern w:val="0"/>
                <w:sz w:val="32"/>
                <w:szCs w:val="32"/>
                <w:highlight w:val="none"/>
              </w:rPr>
            </w:pPr>
          </w:p>
        </w:tc>
      </w:tr>
      <w:tr w14:paraId="2783C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A54805">
            <w:pPr>
              <w:jc w:val="center"/>
              <w:rPr>
                <w:rFonts w:ascii="宋体" w:hAnsi="宋体" w:cs="宋体"/>
                <w:kern w:val="0"/>
                <w:sz w:val="24"/>
                <w:highlight w:val="none"/>
              </w:rPr>
            </w:pPr>
            <w:r>
              <w:rPr>
                <w:rFonts w:hint="eastAsia" w:ascii="宋体" w:hAnsi="宋体" w:cs="宋体"/>
                <w:kern w:val="0"/>
                <w:sz w:val="24"/>
                <w:highlight w:val="none"/>
              </w:rPr>
              <w:t>2</w:t>
            </w:r>
          </w:p>
        </w:tc>
        <w:tc>
          <w:tcPr>
            <w:tcW w:w="3683" w:type="dxa"/>
          </w:tcPr>
          <w:p w14:paraId="700ED29A">
            <w:pPr>
              <w:jc w:val="center"/>
              <w:rPr>
                <w:rFonts w:ascii="宋体" w:hAnsi="宋体" w:cs="宋体"/>
                <w:b/>
                <w:kern w:val="0"/>
                <w:sz w:val="32"/>
                <w:szCs w:val="32"/>
                <w:highlight w:val="none"/>
              </w:rPr>
            </w:pPr>
          </w:p>
        </w:tc>
        <w:tc>
          <w:tcPr>
            <w:tcW w:w="3546" w:type="dxa"/>
          </w:tcPr>
          <w:p w14:paraId="713280A5">
            <w:pPr>
              <w:jc w:val="center"/>
              <w:rPr>
                <w:rFonts w:ascii="宋体" w:hAnsi="宋体" w:cs="宋体"/>
                <w:b/>
                <w:kern w:val="0"/>
                <w:sz w:val="32"/>
                <w:szCs w:val="32"/>
                <w:highlight w:val="none"/>
              </w:rPr>
            </w:pPr>
          </w:p>
        </w:tc>
        <w:tc>
          <w:tcPr>
            <w:tcW w:w="1276" w:type="dxa"/>
          </w:tcPr>
          <w:p w14:paraId="292130BC">
            <w:pPr>
              <w:jc w:val="center"/>
              <w:rPr>
                <w:rFonts w:ascii="宋体" w:hAnsi="宋体" w:cs="宋体"/>
                <w:b/>
                <w:kern w:val="0"/>
                <w:sz w:val="32"/>
                <w:szCs w:val="32"/>
                <w:highlight w:val="none"/>
              </w:rPr>
            </w:pPr>
          </w:p>
        </w:tc>
      </w:tr>
      <w:tr w14:paraId="5081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D411816">
            <w:pPr>
              <w:jc w:val="center"/>
              <w:rPr>
                <w:rFonts w:ascii="宋体" w:hAnsi="宋体" w:cs="宋体"/>
                <w:kern w:val="0"/>
                <w:sz w:val="24"/>
                <w:highlight w:val="none"/>
              </w:rPr>
            </w:pPr>
            <w:r>
              <w:rPr>
                <w:rFonts w:hint="eastAsia" w:ascii="宋体" w:hAnsi="宋体" w:cs="宋体"/>
                <w:kern w:val="0"/>
                <w:sz w:val="24"/>
                <w:highlight w:val="none"/>
              </w:rPr>
              <w:t>……</w:t>
            </w:r>
          </w:p>
        </w:tc>
        <w:tc>
          <w:tcPr>
            <w:tcW w:w="3683" w:type="dxa"/>
          </w:tcPr>
          <w:p w14:paraId="7660CDC9">
            <w:pPr>
              <w:jc w:val="center"/>
              <w:rPr>
                <w:rFonts w:ascii="宋体" w:hAnsi="宋体" w:cs="宋体"/>
                <w:b/>
                <w:kern w:val="0"/>
                <w:sz w:val="32"/>
                <w:szCs w:val="32"/>
                <w:highlight w:val="none"/>
              </w:rPr>
            </w:pPr>
          </w:p>
        </w:tc>
        <w:tc>
          <w:tcPr>
            <w:tcW w:w="3546" w:type="dxa"/>
          </w:tcPr>
          <w:p w14:paraId="4DDCC596">
            <w:pPr>
              <w:jc w:val="center"/>
              <w:rPr>
                <w:rFonts w:ascii="宋体" w:hAnsi="宋体" w:cs="宋体"/>
                <w:b/>
                <w:kern w:val="0"/>
                <w:sz w:val="32"/>
                <w:szCs w:val="32"/>
                <w:highlight w:val="none"/>
              </w:rPr>
            </w:pPr>
          </w:p>
        </w:tc>
        <w:tc>
          <w:tcPr>
            <w:tcW w:w="1276" w:type="dxa"/>
          </w:tcPr>
          <w:p w14:paraId="42A90893">
            <w:pPr>
              <w:jc w:val="center"/>
              <w:rPr>
                <w:rFonts w:ascii="宋体" w:hAnsi="宋体" w:cs="宋体"/>
                <w:b/>
                <w:kern w:val="0"/>
                <w:sz w:val="32"/>
                <w:szCs w:val="32"/>
                <w:highlight w:val="none"/>
              </w:rPr>
            </w:pPr>
          </w:p>
        </w:tc>
      </w:tr>
    </w:tbl>
    <w:p w14:paraId="2475A1E9">
      <w:pPr>
        <w:jc w:val="left"/>
        <w:rPr>
          <w:rFonts w:ascii="宋体" w:hAnsi="宋体" w:cs="宋体"/>
          <w:kern w:val="0"/>
          <w:sz w:val="24"/>
          <w:highlight w:val="none"/>
        </w:rPr>
      </w:pPr>
      <w:r>
        <w:rPr>
          <w:rFonts w:hint="eastAsia" w:ascii="宋体" w:hAnsi="宋体" w:cs="宋体"/>
          <w:kern w:val="0"/>
          <w:sz w:val="24"/>
          <w:highlight w:val="none"/>
        </w:rPr>
        <w:t>投标人保证：除商务技术偏离表列出的偏离外，投标人响应招标文件的全部要求</w:t>
      </w:r>
    </w:p>
    <w:p w14:paraId="3768B659">
      <w:pPr>
        <w:jc w:val="center"/>
        <w:rPr>
          <w:rFonts w:ascii="宋体" w:hAnsi="宋体" w:cs="宋体"/>
          <w:b/>
          <w:kern w:val="0"/>
          <w:sz w:val="32"/>
          <w:szCs w:val="32"/>
          <w:highlight w:val="none"/>
        </w:rPr>
      </w:pPr>
    </w:p>
    <w:p w14:paraId="6998D2C4">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2871CF78">
      <w:pPr>
        <w:ind w:firstLine="1911" w:firstLineChars="595"/>
        <w:rPr>
          <w:rFonts w:ascii="宋体" w:hAnsi="宋体" w:cs="宋体"/>
          <w:b/>
          <w:bCs/>
          <w:sz w:val="32"/>
          <w:szCs w:val="32"/>
          <w:highlight w:val="none"/>
        </w:rPr>
      </w:pPr>
    </w:p>
    <w:p w14:paraId="26ECD877">
      <w:pPr>
        <w:ind w:firstLine="1911" w:firstLineChars="595"/>
        <w:rPr>
          <w:rFonts w:ascii="宋体" w:hAnsi="宋体" w:cs="宋体"/>
          <w:b/>
          <w:bCs/>
          <w:sz w:val="32"/>
          <w:szCs w:val="32"/>
          <w:highlight w:val="none"/>
        </w:rPr>
      </w:pPr>
    </w:p>
    <w:p w14:paraId="0FE59E87">
      <w:pPr>
        <w:ind w:firstLine="1911" w:firstLineChars="595"/>
        <w:rPr>
          <w:rFonts w:ascii="宋体" w:hAnsi="宋体" w:cs="宋体"/>
          <w:b/>
          <w:bCs/>
          <w:sz w:val="32"/>
          <w:szCs w:val="32"/>
          <w:highlight w:val="none"/>
        </w:rPr>
      </w:pPr>
    </w:p>
    <w:p w14:paraId="3C0C5AFE">
      <w:pPr>
        <w:ind w:firstLine="1911" w:firstLineChars="595"/>
        <w:rPr>
          <w:rFonts w:ascii="宋体" w:hAnsi="宋体" w:cs="宋体"/>
          <w:b/>
          <w:bCs/>
          <w:sz w:val="32"/>
          <w:szCs w:val="32"/>
          <w:highlight w:val="none"/>
        </w:rPr>
      </w:pPr>
    </w:p>
    <w:p w14:paraId="3E5CFC28">
      <w:pPr>
        <w:ind w:firstLine="1911" w:firstLineChars="595"/>
        <w:rPr>
          <w:rFonts w:ascii="宋体" w:hAnsi="宋体" w:cs="宋体"/>
          <w:b/>
          <w:bCs/>
          <w:sz w:val="32"/>
          <w:szCs w:val="32"/>
          <w:highlight w:val="none"/>
        </w:rPr>
      </w:pPr>
    </w:p>
    <w:p w14:paraId="5130213A">
      <w:pPr>
        <w:widowControl/>
        <w:adjustRightInd/>
        <w:jc w:val="left"/>
        <w:rPr>
          <w:rFonts w:ascii="宋体" w:hAnsi="宋体" w:cs="宋体"/>
          <w:b/>
          <w:bCs/>
          <w:sz w:val="32"/>
          <w:szCs w:val="32"/>
          <w:highlight w:val="none"/>
        </w:rPr>
      </w:pPr>
      <w:r>
        <w:rPr>
          <w:rFonts w:ascii="宋体" w:hAnsi="宋体" w:cs="宋体"/>
          <w:b/>
          <w:bCs/>
          <w:sz w:val="32"/>
          <w:szCs w:val="32"/>
          <w:highlight w:val="none"/>
        </w:rPr>
        <w:br w:type="page"/>
      </w:r>
    </w:p>
    <w:p w14:paraId="086146B1">
      <w:pPr>
        <w:ind w:firstLine="1911" w:firstLineChars="595"/>
        <w:rPr>
          <w:rFonts w:ascii="宋体" w:hAnsi="宋体" w:cs="宋体"/>
          <w:b/>
          <w:kern w:val="0"/>
          <w:sz w:val="32"/>
          <w:szCs w:val="32"/>
          <w:highlight w:val="none"/>
        </w:rPr>
      </w:pPr>
      <w:r>
        <w:rPr>
          <w:rFonts w:hint="eastAsia" w:ascii="宋体" w:hAnsi="宋体" w:cs="宋体"/>
          <w:b/>
          <w:bCs/>
          <w:sz w:val="32"/>
          <w:szCs w:val="32"/>
          <w:highlight w:val="none"/>
        </w:rPr>
        <w:t>七</w:t>
      </w:r>
      <w:r>
        <w:rPr>
          <w:rFonts w:hint="eastAsia" w:ascii="宋体" w:hAnsi="宋体" w:cs="宋体"/>
          <w:b/>
          <w:kern w:val="0"/>
          <w:sz w:val="32"/>
          <w:szCs w:val="32"/>
          <w:highlight w:val="none"/>
        </w:rPr>
        <w:t>、</w:t>
      </w:r>
      <w:r>
        <w:rPr>
          <w:rFonts w:hint="eastAsia" w:ascii="宋体" w:hAnsi="宋体" w:cs="宋体"/>
          <w:b/>
          <w:kern w:val="0"/>
          <w:sz w:val="32"/>
          <w:szCs w:val="32"/>
          <w:highlight w:val="none"/>
          <w:lang w:val="zh-CN"/>
        </w:rPr>
        <w:t>政府采购供应商廉洁自律承诺书</w:t>
      </w:r>
    </w:p>
    <w:p w14:paraId="5C55F48D">
      <w:pPr>
        <w:snapToGrid w:val="0"/>
        <w:spacing w:line="360" w:lineRule="auto"/>
        <w:rPr>
          <w:rFonts w:ascii="宋体" w:hAnsi="宋体" w:cs="宋体"/>
          <w:sz w:val="24"/>
          <w:highlight w:val="none"/>
        </w:rPr>
      </w:pPr>
    </w:p>
    <w:p w14:paraId="527C59AF">
      <w:pPr>
        <w:snapToGrid w:val="0"/>
        <w:spacing w:line="360" w:lineRule="auto"/>
        <w:rPr>
          <w:rFonts w:ascii="宋体" w:hAnsi="宋体" w:cs="宋体"/>
          <w:kern w:val="0"/>
          <w:sz w:val="24"/>
          <w:highlight w:val="none"/>
        </w:rPr>
      </w:pPr>
      <w:r>
        <w:rPr>
          <w:rFonts w:hint="eastAsia" w:ascii="宋体" w:hAnsi="宋体" w:cs="宋体"/>
          <w:sz w:val="24"/>
          <w:highlight w:val="none"/>
        </w:rPr>
        <w:t>（采购人）、（采购代理机构）</w:t>
      </w:r>
      <w:r>
        <w:rPr>
          <w:rFonts w:hint="eastAsia" w:ascii="宋体" w:hAnsi="宋体" w:cs="宋体"/>
          <w:kern w:val="0"/>
          <w:sz w:val="24"/>
          <w:highlight w:val="none"/>
          <w:lang w:val="zh-CN"/>
        </w:rPr>
        <w:t>：</w:t>
      </w:r>
    </w:p>
    <w:p w14:paraId="615342B0">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我单位响应你</w:t>
      </w:r>
      <w:r>
        <w:rPr>
          <w:rFonts w:hint="eastAsia" w:ascii="宋体" w:hAnsi="宋体" w:cs="宋体"/>
          <w:sz w:val="24"/>
          <w:highlight w:val="none"/>
        </w:rPr>
        <w:t>单位</w:t>
      </w:r>
      <w:r>
        <w:rPr>
          <w:rFonts w:hint="eastAsia" w:ascii="宋体" w:hAnsi="宋体" w:cs="宋体"/>
          <w:kern w:val="0"/>
          <w:sz w:val="24"/>
          <w:highlight w:val="none"/>
          <w:lang w:val="zh-CN"/>
        </w:rPr>
        <w:t>项目招标要求参加投标。在这次投标过程中和中标后，我们将严格遵守国家法律法规要求，并郑重承诺：</w:t>
      </w:r>
    </w:p>
    <w:p w14:paraId="7F7CB2C8">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一、不向项目有关人员及部门赠送礼金礼物、有价证券、回扣以及中介费、介绍费、咨询费等好处费； </w:t>
      </w:r>
    </w:p>
    <w:p w14:paraId="23EF58FD">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二、不为项目有关人员及部门报销应由你方单位或个人支付的费用； </w:t>
      </w:r>
    </w:p>
    <w:p w14:paraId="2A3BB0CA">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三、不向项目有关人员及部门提供有可能影响公正的宴请和健身娱乐等活动； </w:t>
      </w:r>
    </w:p>
    <w:p w14:paraId="28D25D5A">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四、不为项目有关人员及部门出国（境）、旅游等提供方便；</w:t>
      </w:r>
    </w:p>
    <w:p w14:paraId="05AC9CE1">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五、不为项目有关人员个人装修住房、婚丧嫁娶、配偶子女工作安排等提供</w:t>
      </w:r>
    </w:p>
    <w:p w14:paraId="618AE6A7">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好处；</w:t>
      </w:r>
    </w:p>
    <w:p w14:paraId="4DF095CE">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六、严格遵守《</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政府采购法》《</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招标投标</w:t>
      </w:r>
    </w:p>
    <w:p w14:paraId="2E58E6CC">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法》</w:t>
      </w:r>
      <w:r>
        <w:rPr>
          <w:rFonts w:hint="eastAsia" w:ascii="宋体" w:hAnsi="宋体" w:cs="宋体"/>
          <w:sz w:val="24"/>
          <w:highlight w:val="none"/>
          <w:lang w:val="zh-CN"/>
        </w:rPr>
        <w:t>《中华人民共和国民法典》</w:t>
      </w:r>
      <w:r>
        <w:rPr>
          <w:rFonts w:hint="eastAsia" w:ascii="宋体" w:hAnsi="宋体" w:cs="宋体"/>
          <w:kern w:val="0"/>
          <w:sz w:val="24"/>
          <w:highlight w:val="none"/>
          <w:lang w:val="zh-CN"/>
        </w:rPr>
        <w:t xml:space="preserve">等法律法规，诚实守信，合法经营，坚决抵制各种违法违纪行为。 </w:t>
      </w:r>
    </w:p>
    <w:p w14:paraId="07860069">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如违反上述承诺，你</w:t>
      </w:r>
      <w:r>
        <w:rPr>
          <w:rFonts w:hint="eastAsia" w:ascii="宋体" w:hAnsi="宋体" w:cs="宋体"/>
          <w:sz w:val="24"/>
          <w:highlight w:val="none"/>
        </w:rPr>
        <w:t>单位</w:t>
      </w:r>
      <w:r>
        <w:rPr>
          <w:rFonts w:hint="eastAsia" w:ascii="宋体" w:hAnsi="宋体" w:cs="宋体"/>
          <w:kern w:val="0"/>
          <w:sz w:val="24"/>
          <w:highlight w:val="none"/>
          <w:lang w:val="zh-CN"/>
        </w:rPr>
        <w:t>有权立即取消我单位投标、中标或在建项目的建设资格，有权拒绝我单位在一定时期内进入你</w:t>
      </w:r>
      <w:r>
        <w:rPr>
          <w:rFonts w:hint="eastAsia" w:ascii="宋体" w:hAnsi="宋体" w:cs="宋体"/>
          <w:sz w:val="24"/>
          <w:highlight w:val="none"/>
        </w:rPr>
        <w:t>单位</w:t>
      </w:r>
      <w:r>
        <w:rPr>
          <w:rFonts w:hint="eastAsia" w:ascii="宋体" w:hAnsi="宋体" w:cs="宋体"/>
          <w:kern w:val="0"/>
          <w:sz w:val="24"/>
          <w:highlight w:val="none"/>
          <w:lang w:val="zh-CN"/>
        </w:rPr>
        <w:t>进行项目建设或其他经营活动，并通报市财政局。由此引起的相应损失均由我单位承担。</w:t>
      </w:r>
    </w:p>
    <w:p w14:paraId="442D8F1E">
      <w:pPr>
        <w:autoSpaceDE w:val="0"/>
        <w:autoSpaceDN w:val="0"/>
        <w:spacing w:line="360" w:lineRule="auto"/>
        <w:ind w:left="2"/>
        <w:jc w:val="left"/>
        <w:rPr>
          <w:rFonts w:ascii="宋体" w:hAnsi="宋体" w:cs="宋体"/>
          <w:kern w:val="0"/>
          <w:sz w:val="24"/>
          <w:highlight w:val="none"/>
          <w:lang w:val="zh-CN"/>
        </w:rPr>
      </w:pPr>
    </w:p>
    <w:p w14:paraId="4FF8A29D">
      <w:pPr>
        <w:autoSpaceDE w:val="0"/>
        <w:autoSpaceDN w:val="0"/>
        <w:spacing w:line="360" w:lineRule="auto"/>
        <w:ind w:left="2"/>
        <w:jc w:val="left"/>
        <w:rPr>
          <w:rFonts w:ascii="宋体" w:hAnsi="宋体" w:cs="宋体"/>
          <w:kern w:val="0"/>
          <w:sz w:val="24"/>
          <w:highlight w:val="none"/>
          <w:lang w:val="zh-CN"/>
        </w:rPr>
      </w:pPr>
    </w:p>
    <w:p w14:paraId="4F1C2A3F">
      <w:pPr>
        <w:autoSpaceDE w:val="0"/>
        <w:autoSpaceDN w:val="0"/>
        <w:spacing w:line="360" w:lineRule="auto"/>
        <w:ind w:left="2"/>
        <w:jc w:val="left"/>
        <w:rPr>
          <w:rFonts w:ascii="宋体" w:hAnsi="宋体" w:cs="宋体"/>
          <w:kern w:val="0"/>
          <w:sz w:val="24"/>
          <w:highlight w:val="none"/>
          <w:lang w:val="zh-CN"/>
        </w:rPr>
      </w:pPr>
    </w:p>
    <w:p w14:paraId="7B57248F">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投标人名称（</w:t>
      </w:r>
      <w:r>
        <w:rPr>
          <w:rFonts w:hint="eastAsia" w:ascii="宋体" w:hAnsi="宋体" w:cs="宋体"/>
          <w:sz w:val="24"/>
          <w:highlight w:val="none"/>
        </w:rPr>
        <w:t>电子签名</w:t>
      </w:r>
      <w:r>
        <w:rPr>
          <w:rFonts w:hint="eastAsia" w:ascii="宋体" w:hAnsi="宋体" w:cs="宋体"/>
          <w:kern w:val="0"/>
          <w:sz w:val="24"/>
          <w:highlight w:val="none"/>
          <w:lang w:val="zh-CN"/>
        </w:rPr>
        <w:t xml:space="preserve">）：  </w:t>
      </w:r>
    </w:p>
    <w:p w14:paraId="2D7CCF2D">
      <w:pPr>
        <w:spacing w:line="360" w:lineRule="auto"/>
        <w:ind w:left="4620" w:leftChars="2200"/>
        <w:rPr>
          <w:rFonts w:ascii="宋体" w:hAnsi="宋体" w:cs="宋体"/>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065D26DD">
      <w:pPr>
        <w:spacing w:line="360" w:lineRule="auto"/>
        <w:jc w:val="center"/>
        <w:rPr>
          <w:rFonts w:ascii="宋体" w:hAnsi="宋体" w:cs="宋体"/>
          <w:b/>
          <w:bCs/>
          <w:sz w:val="24"/>
          <w:highlight w:val="none"/>
        </w:rPr>
      </w:pPr>
    </w:p>
    <w:p w14:paraId="510A0001">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3CC9E0A">
      <w:pPr>
        <w:rPr>
          <w:highlight w:val="none"/>
        </w:rPr>
      </w:pPr>
    </w:p>
    <w:p w14:paraId="70477D40">
      <w:pPr>
        <w:rPr>
          <w:highlight w:val="none"/>
        </w:rPr>
      </w:pPr>
    </w:p>
    <w:p w14:paraId="0CFBF7D3">
      <w:pPr>
        <w:rPr>
          <w:highlight w:val="none"/>
        </w:rPr>
      </w:pPr>
    </w:p>
    <w:p w14:paraId="4C6BC0D3">
      <w:pPr>
        <w:rPr>
          <w:highlight w:val="none"/>
        </w:rPr>
      </w:pPr>
    </w:p>
    <w:p w14:paraId="1BB2D961">
      <w:pPr>
        <w:rPr>
          <w:highlight w:val="none"/>
        </w:rPr>
      </w:pPr>
    </w:p>
    <w:p w14:paraId="7B5DCA09">
      <w:pPr>
        <w:rPr>
          <w:highlight w:val="none"/>
        </w:rPr>
      </w:pPr>
    </w:p>
    <w:p w14:paraId="0587B3E0">
      <w:pPr>
        <w:rPr>
          <w:highlight w:val="none"/>
        </w:rPr>
      </w:pPr>
    </w:p>
    <w:p w14:paraId="09EE839D">
      <w:pPr>
        <w:pStyle w:val="3"/>
        <w:rPr>
          <w:highlight w:val="none"/>
        </w:rPr>
        <w:sectPr>
          <w:headerReference r:id="rId14" w:type="first"/>
          <w:footerReference r:id="rId16" w:type="first"/>
          <w:headerReference r:id="rId13" w:type="default"/>
          <w:footerReference r:id="rId15" w:type="default"/>
          <w:pgSz w:w="11906" w:h="16838"/>
          <w:pgMar w:top="1440" w:right="1803" w:bottom="1440" w:left="1803" w:header="851" w:footer="992" w:gutter="0"/>
          <w:pgNumType w:fmt="decimal"/>
          <w:cols w:space="0" w:num="1"/>
          <w:titlePg/>
          <w:rtlGutter w:val="0"/>
          <w:docGrid w:linePitch="312" w:charSpace="0"/>
        </w:sectPr>
      </w:pPr>
    </w:p>
    <w:p w14:paraId="5C54E7B4">
      <w:pPr>
        <w:spacing w:line="360" w:lineRule="auto"/>
        <w:jc w:val="center"/>
        <w:rPr>
          <w:rFonts w:ascii="宋体" w:hAnsi="宋体" w:cs="宋体"/>
          <w:b/>
          <w:kern w:val="0"/>
          <w:sz w:val="36"/>
          <w:szCs w:val="36"/>
          <w:highlight w:val="none"/>
        </w:rPr>
      </w:pPr>
      <w:r>
        <w:rPr>
          <w:rFonts w:hint="eastAsia" w:ascii="宋体" w:hAnsi="宋体" w:cs="宋体"/>
          <w:b/>
          <w:kern w:val="0"/>
          <w:sz w:val="36"/>
          <w:szCs w:val="36"/>
          <w:highlight w:val="none"/>
        </w:rPr>
        <w:t>报价文件部分</w:t>
      </w:r>
    </w:p>
    <w:p w14:paraId="40D2737A">
      <w:pPr>
        <w:spacing w:line="360" w:lineRule="auto"/>
        <w:jc w:val="center"/>
        <w:rPr>
          <w:rFonts w:ascii="宋体" w:hAnsi="宋体" w:cs="宋体"/>
          <w:b/>
          <w:kern w:val="0"/>
          <w:sz w:val="36"/>
          <w:szCs w:val="36"/>
          <w:highlight w:val="none"/>
        </w:rPr>
      </w:pPr>
      <w:r>
        <w:rPr>
          <w:rFonts w:hint="eastAsia" w:ascii="宋体" w:hAnsi="宋体" w:cs="宋体"/>
          <w:b/>
          <w:kern w:val="0"/>
          <w:sz w:val="36"/>
          <w:szCs w:val="36"/>
          <w:highlight w:val="none"/>
        </w:rPr>
        <w:t>目录</w:t>
      </w:r>
    </w:p>
    <w:p w14:paraId="3CD2AF4E">
      <w:pPr>
        <w:spacing w:line="360" w:lineRule="auto"/>
        <w:jc w:val="center"/>
        <w:rPr>
          <w:rFonts w:ascii="宋体" w:hAnsi="宋体" w:cs="宋体"/>
          <w:b/>
          <w:kern w:val="0"/>
          <w:sz w:val="36"/>
          <w:szCs w:val="36"/>
          <w:highlight w:val="none"/>
        </w:rPr>
      </w:pPr>
    </w:p>
    <w:p w14:paraId="2E9041D2">
      <w:pPr>
        <w:snapToGrid w:val="0"/>
        <w:spacing w:line="360" w:lineRule="auto"/>
        <w:rPr>
          <w:rFonts w:hint="eastAsia" w:ascii="宋体" w:hAnsi="宋体" w:cs="宋体"/>
          <w:sz w:val="24"/>
          <w:highlight w:val="none"/>
        </w:rPr>
      </w:pPr>
      <w:r>
        <w:rPr>
          <w:rFonts w:hint="eastAsia" w:ascii="宋体" w:hAnsi="宋体" w:cs="宋体"/>
          <w:sz w:val="24"/>
          <w:highlight w:val="none"/>
        </w:rPr>
        <w:t>（1）开标一览表（报价表）、投标分项报价表……………………………（页码）</w:t>
      </w:r>
    </w:p>
    <w:p w14:paraId="61235F2D">
      <w:pPr>
        <w:snapToGrid w:val="0"/>
        <w:spacing w:line="360" w:lineRule="auto"/>
        <w:rPr>
          <w:rFonts w:ascii="宋体" w:hAnsi="宋体" w:cs="宋体"/>
          <w:sz w:val="24"/>
          <w:highlight w:val="none"/>
        </w:rPr>
      </w:pPr>
      <w:r>
        <w:rPr>
          <w:rFonts w:hint="eastAsia" w:ascii="宋体" w:hAnsi="宋体" w:eastAsia="宋体" w:cs="宋体"/>
          <w:strike w:val="0"/>
          <w:dstrike w:val="0"/>
          <w:sz w:val="24"/>
          <w:highlight w:val="none"/>
          <w:lang w:val="en-US" w:eastAsia="zh-CN"/>
        </w:rPr>
        <w:t>（2）报价情况说明(如供应商报价低于项目预算50%的，应当提交本文档，详细阐述不影响产品质量或者诚信履约的具体原因。</w:t>
      </w:r>
      <w:r>
        <w:rPr>
          <w:rFonts w:hint="eastAsia" w:ascii="宋体" w:hAnsi="宋体" w:cs="宋体"/>
          <w:sz w:val="24"/>
          <w:highlight w:val="none"/>
        </w:rPr>
        <w:t>……………………………（页码）</w:t>
      </w:r>
    </w:p>
    <w:p w14:paraId="376FB330">
      <w:pPr>
        <w:snapToGrid w:val="0"/>
        <w:spacing w:line="360" w:lineRule="auto"/>
        <w:ind w:right="480"/>
        <w:jc w:val="center"/>
        <w:rPr>
          <w:rFonts w:ascii="宋体" w:hAnsi="宋体" w:cs="宋体"/>
          <w:b/>
          <w:kern w:val="0"/>
          <w:sz w:val="32"/>
          <w:szCs w:val="32"/>
          <w:highlight w:val="none"/>
        </w:rPr>
      </w:pPr>
    </w:p>
    <w:p w14:paraId="18C79FBB">
      <w:pPr>
        <w:snapToGrid w:val="0"/>
        <w:spacing w:line="360" w:lineRule="auto"/>
        <w:ind w:right="480"/>
        <w:jc w:val="center"/>
        <w:rPr>
          <w:rFonts w:ascii="宋体" w:hAnsi="宋体" w:cs="宋体"/>
          <w:b/>
          <w:kern w:val="0"/>
          <w:sz w:val="32"/>
          <w:szCs w:val="32"/>
          <w:highlight w:val="none"/>
        </w:rPr>
      </w:pPr>
    </w:p>
    <w:p w14:paraId="63FF6280">
      <w:pPr>
        <w:snapToGrid w:val="0"/>
        <w:spacing w:line="360" w:lineRule="auto"/>
        <w:ind w:right="480"/>
        <w:jc w:val="center"/>
        <w:rPr>
          <w:rFonts w:ascii="宋体" w:hAnsi="宋体" w:cs="宋体"/>
          <w:b/>
          <w:kern w:val="0"/>
          <w:sz w:val="32"/>
          <w:szCs w:val="32"/>
          <w:highlight w:val="none"/>
        </w:rPr>
      </w:pPr>
    </w:p>
    <w:p w14:paraId="46031B10">
      <w:pPr>
        <w:snapToGrid w:val="0"/>
        <w:spacing w:line="360" w:lineRule="auto"/>
        <w:ind w:right="480"/>
        <w:jc w:val="center"/>
        <w:rPr>
          <w:rFonts w:ascii="宋体" w:hAnsi="宋体" w:cs="宋体"/>
          <w:b/>
          <w:kern w:val="0"/>
          <w:sz w:val="32"/>
          <w:szCs w:val="32"/>
          <w:highlight w:val="none"/>
        </w:rPr>
      </w:pPr>
    </w:p>
    <w:p w14:paraId="2C67B70E">
      <w:pPr>
        <w:snapToGrid w:val="0"/>
        <w:spacing w:line="360" w:lineRule="auto"/>
        <w:ind w:right="480"/>
        <w:jc w:val="center"/>
        <w:rPr>
          <w:rFonts w:ascii="宋体" w:hAnsi="宋体" w:cs="宋体"/>
          <w:b/>
          <w:kern w:val="0"/>
          <w:sz w:val="32"/>
          <w:szCs w:val="32"/>
          <w:highlight w:val="none"/>
        </w:rPr>
      </w:pPr>
    </w:p>
    <w:p w14:paraId="5FC14DCE">
      <w:pPr>
        <w:snapToGrid w:val="0"/>
        <w:spacing w:line="360" w:lineRule="auto"/>
        <w:ind w:right="480"/>
        <w:jc w:val="center"/>
        <w:rPr>
          <w:rFonts w:ascii="宋体" w:hAnsi="宋体" w:cs="宋体"/>
          <w:b/>
          <w:kern w:val="0"/>
          <w:sz w:val="32"/>
          <w:szCs w:val="32"/>
          <w:highlight w:val="none"/>
        </w:rPr>
      </w:pPr>
    </w:p>
    <w:p w14:paraId="57C4C43E">
      <w:pPr>
        <w:snapToGrid w:val="0"/>
        <w:spacing w:line="360" w:lineRule="auto"/>
        <w:ind w:right="480"/>
        <w:jc w:val="center"/>
        <w:rPr>
          <w:rFonts w:ascii="宋体" w:hAnsi="宋体" w:cs="宋体"/>
          <w:b/>
          <w:kern w:val="0"/>
          <w:sz w:val="32"/>
          <w:szCs w:val="32"/>
          <w:highlight w:val="none"/>
        </w:rPr>
      </w:pPr>
    </w:p>
    <w:p w14:paraId="66C0A596">
      <w:pPr>
        <w:snapToGrid w:val="0"/>
        <w:spacing w:line="360" w:lineRule="auto"/>
        <w:ind w:right="480"/>
        <w:jc w:val="center"/>
        <w:rPr>
          <w:rFonts w:ascii="宋体" w:hAnsi="宋体" w:cs="宋体"/>
          <w:b/>
          <w:kern w:val="0"/>
          <w:sz w:val="32"/>
          <w:szCs w:val="32"/>
          <w:highlight w:val="none"/>
        </w:rPr>
      </w:pPr>
    </w:p>
    <w:p w14:paraId="1EE6C0F8">
      <w:pPr>
        <w:snapToGrid w:val="0"/>
        <w:spacing w:line="360" w:lineRule="auto"/>
        <w:ind w:right="480"/>
        <w:jc w:val="center"/>
        <w:rPr>
          <w:rFonts w:ascii="宋体" w:hAnsi="宋体" w:cs="宋体"/>
          <w:b/>
          <w:kern w:val="0"/>
          <w:sz w:val="32"/>
          <w:szCs w:val="32"/>
          <w:highlight w:val="none"/>
        </w:rPr>
      </w:pPr>
    </w:p>
    <w:p w14:paraId="17E65CF9">
      <w:pPr>
        <w:snapToGrid w:val="0"/>
        <w:spacing w:line="360" w:lineRule="auto"/>
        <w:ind w:right="480"/>
        <w:jc w:val="center"/>
        <w:rPr>
          <w:rFonts w:ascii="宋体" w:hAnsi="宋体" w:cs="宋体"/>
          <w:b/>
          <w:kern w:val="0"/>
          <w:sz w:val="32"/>
          <w:szCs w:val="32"/>
          <w:highlight w:val="none"/>
        </w:rPr>
      </w:pPr>
    </w:p>
    <w:p w14:paraId="54036991">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headerReference r:id="rId18" w:type="first"/>
          <w:footerReference r:id="rId20" w:type="first"/>
          <w:headerReference r:id="rId17" w:type="default"/>
          <w:footerReference r:id="rId19" w:type="default"/>
          <w:pgSz w:w="11906" w:h="16838"/>
          <w:pgMar w:top="1440" w:right="1803" w:bottom="1440" w:left="1803" w:header="851" w:footer="992" w:gutter="0"/>
          <w:pgNumType w:fmt="decimal"/>
          <w:cols w:space="0" w:num="1"/>
          <w:titlePg/>
          <w:rtlGutter w:val="0"/>
          <w:docGrid w:linePitch="312" w:charSpace="0"/>
        </w:sectPr>
      </w:pPr>
    </w:p>
    <w:p w14:paraId="5227855A">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bookmarkStart w:id="422" w:name="_Toc26425"/>
      <w:bookmarkStart w:id="423" w:name="_Toc18859"/>
      <w:r>
        <w:rPr>
          <w:rFonts w:hint="eastAsia" w:ascii="宋体" w:hAnsi="宋体" w:eastAsia="宋体" w:cs="宋体"/>
          <w:kern w:val="2"/>
          <w:sz w:val="32"/>
          <w:szCs w:val="32"/>
          <w:highlight w:val="none"/>
        </w:rPr>
        <w:t>一、开标一览表（报价表）</w:t>
      </w:r>
      <w:bookmarkEnd w:id="422"/>
      <w:bookmarkEnd w:id="423"/>
      <w:r>
        <w:rPr>
          <w:rFonts w:hint="eastAsia" w:ascii="宋体" w:hAnsi="宋体" w:eastAsia="宋体" w:cs="宋体"/>
          <w:kern w:val="2"/>
          <w:sz w:val="32"/>
          <w:szCs w:val="32"/>
          <w:highlight w:val="none"/>
        </w:rPr>
        <w:t>、投标分项报价表</w:t>
      </w:r>
    </w:p>
    <w:p w14:paraId="6DED5F26">
      <w:pPr>
        <w:keepNext w:val="0"/>
        <w:keepLines w:val="0"/>
        <w:pageBreakBefore w:val="0"/>
        <w:kinsoku/>
        <w:wordWrap/>
        <w:overflowPunct/>
        <w:topLinePunct w:val="0"/>
        <w:autoSpaceDE/>
        <w:autoSpaceDN/>
        <w:bidi w:val="0"/>
        <w:snapToGrid w:val="0"/>
        <w:spacing w:line="312" w:lineRule="auto"/>
        <w:textAlignment w:val="auto"/>
        <w:rPr>
          <w:rFonts w:ascii="宋体" w:hAnsi="宋体" w:cs="宋体"/>
          <w:kern w:val="0"/>
          <w:sz w:val="24"/>
          <w:highlight w:val="none"/>
        </w:rPr>
      </w:pPr>
      <w:r>
        <w:rPr>
          <w:rFonts w:hint="eastAsia" w:ascii="宋体" w:hAnsi="宋体" w:cs="宋体"/>
          <w:sz w:val="24"/>
          <w:highlight w:val="none"/>
        </w:rPr>
        <w:t>（采购人）、（采购代理机构）</w:t>
      </w:r>
      <w:r>
        <w:rPr>
          <w:rFonts w:hint="eastAsia" w:ascii="宋体" w:hAnsi="宋体" w:cs="宋体"/>
          <w:kern w:val="0"/>
          <w:sz w:val="24"/>
          <w:highlight w:val="none"/>
          <w:lang w:val="zh-CN"/>
        </w:rPr>
        <w:t>：</w:t>
      </w:r>
    </w:p>
    <w:p w14:paraId="3C160033">
      <w:pPr>
        <w:keepNext w:val="0"/>
        <w:keepLines w:val="0"/>
        <w:pageBreakBefore w:val="0"/>
        <w:kinsoku/>
        <w:wordWrap/>
        <w:overflowPunct/>
        <w:topLinePunct w:val="0"/>
        <w:autoSpaceDE/>
        <w:autoSpaceDN/>
        <w:bidi w:val="0"/>
        <w:snapToGrid w:val="0"/>
        <w:spacing w:line="312" w:lineRule="auto"/>
        <w:ind w:firstLine="482"/>
        <w:textAlignment w:val="auto"/>
        <w:rPr>
          <w:rFonts w:ascii="宋体" w:hAnsi="宋体" w:cs="宋体"/>
          <w:kern w:val="0"/>
          <w:sz w:val="24"/>
          <w:highlight w:val="none"/>
          <w:lang w:val="zh-CN"/>
        </w:rPr>
      </w:pPr>
      <w:r>
        <w:rPr>
          <w:rFonts w:hint="eastAsia" w:ascii="宋体" w:hAnsi="宋体" w:cs="宋体"/>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highlight w:val="none"/>
        </w:rPr>
        <w:t>（项目名称）</w:t>
      </w:r>
      <w:r>
        <w:rPr>
          <w:rFonts w:hint="eastAsia" w:ascii="宋体" w:hAnsi="宋体" w:cs="宋体"/>
          <w:kern w:val="0"/>
          <w:sz w:val="24"/>
          <w:highlight w:val="none"/>
          <w:lang w:val="zh-CN"/>
        </w:rPr>
        <w:t>【招标编号：</w:t>
      </w:r>
      <w:r>
        <w:rPr>
          <w:rFonts w:hint="eastAsia" w:ascii="宋体" w:hAnsi="宋体" w:cs="宋体"/>
          <w:sz w:val="24"/>
          <w:highlight w:val="none"/>
        </w:rPr>
        <w:t>（采购编号）】的实施</w:t>
      </w:r>
      <w:r>
        <w:rPr>
          <w:rFonts w:hint="eastAsia" w:ascii="宋体" w:hAnsi="宋体" w:cs="宋体"/>
          <w:kern w:val="0"/>
          <w:sz w:val="24"/>
          <w:highlight w:val="none"/>
          <w:lang w:val="zh-CN"/>
        </w:rPr>
        <w:t>。</w:t>
      </w:r>
    </w:p>
    <w:p w14:paraId="3EC0FFD6">
      <w:pPr>
        <w:keepNext w:val="0"/>
        <w:keepLines w:val="0"/>
        <w:pageBreakBefore w:val="0"/>
        <w:kinsoku/>
        <w:wordWrap/>
        <w:overflowPunct/>
        <w:topLinePunct w:val="0"/>
        <w:autoSpaceDE/>
        <w:autoSpaceDN/>
        <w:bidi w:val="0"/>
        <w:spacing w:line="312" w:lineRule="auto"/>
        <w:jc w:val="center"/>
        <w:textAlignment w:val="auto"/>
        <w:rPr>
          <w:rFonts w:ascii="宋体" w:hAnsi="宋体" w:cs="宋体"/>
          <w:b/>
          <w:kern w:val="0"/>
          <w:sz w:val="24"/>
          <w:highlight w:val="none"/>
          <w:lang w:val="zh-CN"/>
        </w:rPr>
      </w:pPr>
      <w:r>
        <w:rPr>
          <w:rFonts w:hint="eastAsia" w:ascii="宋体" w:hAnsi="宋体" w:cs="宋体"/>
          <w:b/>
          <w:kern w:val="0"/>
          <w:sz w:val="24"/>
          <w:highlight w:val="none"/>
          <w:lang w:val="zh-CN"/>
        </w:rPr>
        <w:t>开标一览表（报价表）(单位均为人民币元)</w:t>
      </w:r>
    </w:p>
    <w:tbl>
      <w:tblPr>
        <w:tblStyle w:val="62"/>
        <w:tblW w:w="91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2266"/>
        <w:gridCol w:w="5776"/>
      </w:tblGrid>
      <w:tr w14:paraId="47F00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1077" w:type="dxa"/>
            <w:tcBorders>
              <w:top w:val="single" w:color="auto" w:sz="4" w:space="0"/>
              <w:left w:val="single" w:color="auto" w:sz="4" w:space="0"/>
              <w:bottom w:val="single" w:color="auto" w:sz="4" w:space="0"/>
              <w:right w:val="single" w:color="auto" w:sz="4" w:space="0"/>
            </w:tcBorders>
            <w:vAlign w:val="center"/>
          </w:tcPr>
          <w:p w14:paraId="22F4CA7B">
            <w:pPr>
              <w:keepNext w:val="0"/>
              <w:keepLines w:val="0"/>
              <w:pageBreakBefore w:val="0"/>
              <w:widowControl/>
              <w:kinsoku/>
              <w:wordWrap/>
              <w:overflowPunct/>
              <w:topLinePunct w:val="0"/>
              <w:autoSpaceDE/>
              <w:autoSpaceDN/>
              <w:bidi w:val="0"/>
              <w:adjustRightInd/>
              <w:spacing w:line="312" w:lineRule="auto"/>
              <w:jc w:val="center"/>
              <w:textAlignment w:val="auto"/>
              <w:rPr>
                <w:rFonts w:ascii="宋体" w:hAnsi="宋体" w:cs="宋体"/>
                <w:kern w:val="0"/>
                <w:sz w:val="24"/>
                <w:highlight w:val="none"/>
              </w:rPr>
            </w:pPr>
            <w:r>
              <w:rPr>
                <w:rFonts w:hint="eastAsia" w:ascii="宋体" w:hAnsi="宋体" w:cs="宋体"/>
                <w:kern w:val="0"/>
                <w:sz w:val="24"/>
                <w:highlight w:val="none"/>
              </w:rPr>
              <w:t>序号</w:t>
            </w:r>
          </w:p>
        </w:tc>
        <w:tc>
          <w:tcPr>
            <w:tcW w:w="2266" w:type="dxa"/>
            <w:tcBorders>
              <w:top w:val="single" w:color="auto" w:sz="4" w:space="0"/>
              <w:left w:val="single" w:color="auto" w:sz="4" w:space="0"/>
              <w:bottom w:val="single" w:color="auto" w:sz="4" w:space="0"/>
              <w:right w:val="single" w:color="auto" w:sz="4" w:space="0"/>
            </w:tcBorders>
            <w:vAlign w:val="center"/>
          </w:tcPr>
          <w:p w14:paraId="4ADCE850">
            <w:pPr>
              <w:keepNext w:val="0"/>
              <w:keepLines w:val="0"/>
              <w:pageBreakBefore w:val="0"/>
              <w:widowControl/>
              <w:kinsoku/>
              <w:wordWrap/>
              <w:overflowPunct/>
              <w:topLinePunct w:val="0"/>
              <w:autoSpaceDE/>
              <w:autoSpaceDN/>
              <w:bidi w:val="0"/>
              <w:adjustRightInd/>
              <w:spacing w:line="312" w:lineRule="auto"/>
              <w:jc w:val="center"/>
              <w:textAlignment w:val="auto"/>
              <w:rPr>
                <w:rFonts w:hint="eastAsia" w:ascii="宋体" w:hAnsi="宋体" w:cs="宋体"/>
                <w:kern w:val="0"/>
                <w:sz w:val="24"/>
                <w:highlight w:val="none"/>
              </w:rPr>
            </w:pPr>
            <w:r>
              <w:rPr>
                <w:rFonts w:hint="eastAsia" w:ascii="宋体" w:hAnsi="宋体" w:cs="宋体"/>
                <w:kern w:val="0"/>
                <w:sz w:val="24"/>
                <w:highlight w:val="none"/>
              </w:rPr>
              <w:t>项目名称</w:t>
            </w:r>
          </w:p>
        </w:tc>
        <w:tc>
          <w:tcPr>
            <w:tcW w:w="5776" w:type="dxa"/>
            <w:tcBorders>
              <w:top w:val="single" w:color="auto" w:sz="4" w:space="0"/>
              <w:left w:val="single" w:color="auto" w:sz="4" w:space="0"/>
              <w:bottom w:val="single" w:color="auto" w:sz="4" w:space="0"/>
              <w:right w:val="single" w:color="auto" w:sz="4" w:space="0"/>
            </w:tcBorders>
            <w:vAlign w:val="center"/>
          </w:tcPr>
          <w:p w14:paraId="3A2098DB">
            <w:pPr>
              <w:keepNext w:val="0"/>
              <w:keepLines w:val="0"/>
              <w:pageBreakBefore w:val="0"/>
              <w:widowControl/>
              <w:kinsoku/>
              <w:wordWrap/>
              <w:overflowPunct/>
              <w:topLinePunct w:val="0"/>
              <w:autoSpaceDE/>
              <w:autoSpaceDN/>
              <w:bidi w:val="0"/>
              <w:adjustRightInd/>
              <w:spacing w:line="312" w:lineRule="auto"/>
              <w:jc w:val="center"/>
              <w:textAlignment w:val="auto"/>
              <w:rPr>
                <w:rFonts w:hint="eastAsia" w:ascii="宋体" w:hAnsi="宋体" w:cs="宋体"/>
                <w:kern w:val="0"/>
                <w:sz w:val="24"/>
                <w:highlight w:val="none"/>
              </w:rPr>
            </w:pPr>
            <w:r>
              <w:rPr>
                <w:rFonts w:hint="eastAsia" w:ascii="宋体" w:hAnsi="宋体" w:cs="宋体"/>
                <w:kern w:val="0"/>
                <w:sz w:val="24"/>
                <w:highlight w:val="none"/>
              </w:rPr>
              <w:t>合同履约期限</w:t>
            </w:r>
          </w:p>
        </w:tc>
      </w:tr>
      <w:tr w14:paraId="06458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jc w:val="center"/>
        </w:trPr>
        <w:tc>
          <w:tcPr>
            <w:tcW w:w="1077" w:type="dxa"/>
            <w:tcBorders>
              <w:top w:val="single" w:color="auto" w:sz="4" w:space="0"/>
              <w:left w:val="single" w:color="auto" w:sz="4" w:space="0"/>
              <w:bottom w:val="single" w:color="auto" w:sz="4" w:space="0"/>
              <w:right w:val="single" w:color="auto" w:sz="4" w:space="0"/>
            </w:tcBorders>
            <w:vAlign w:val="center"/>
          </w:tcPr>
          <w:p w14:paraId="12AD8737">
            <w:pPr>
              <w:keepNext w:val="0"/>
              <w:keepLines w:val="0"/>
              <w:pageBreakBefore w:val="0"/>
              <w:widowControl/>
              <w:kinsoku/>
              <w:wordWrap/>
              <w:overflowPunct/>
              <w:topLinePunct w:val="0"/>
              <w:autoSpaceDE/>
              <w:autoSpaceDN/>
              <w:bidi w:val="0"/>
              <w:adjustRightInd/>
              <w:spacing w:line="312" w:lineRule="auto"/>
              <w:jc w:val="center"/>
              <w:textAlignment w:val="auto"/>
              <w:rPr>
                <w:rFonts w:ascii="宋体" w:hAnsi="宋体" w:cs="宋体"/>
                <w:kern w:val="0"/>
                <w:sz w:val="24"/>
                <w:highlight w:val="none"/>
              </w:rPr>
            </w:pPr>
            <w:r>
              <w:rPr>
                <w:rFonts w:hint="eastAsia" w:ascii="宋体" w:hAnsi="宋体" w:cs="宋体"/>
                <w:kern w:val="0"/>
                <w:sz w:val="24"/>
                <w:highlight w:val="none"/>
              </w:rPr>
              <w:t>1</w:t>
            </w:r>
          </w:p>
        </w:tc>
        <w:tc>
          <w:tcPr>
            <w:tcW w:w="2266" w:type="dxa"/>
            <w:tcBorders>
              <w:top w:val="single" w:color="auto" w:sz="4" w:space="0"/>
              <w:left w:val="single" w:color="auto" w:sz="4" w:space="0"/>
              <w:bottom w:val="single" w:color="auto" w:sz="4" w:space="0"/>
              <w:right w:val="single" w:color="auto" w:sz="4" w:space="0"/>
            </w:tcBorders>
            <w:vAlign w:val="center"/>
          </w:tcPr>
          <w:p w14:paraId="0A5BB863">
            <w:pPr>
              <w:keepNext w:val="0"/>
              <w:keepLines w:val="0"/>
              <w:pageBreakBefore w:val="0"/>
              <w:widowControl/>
              <w:kinsoku/>
              <w:wordWrap/>
              <w:overflowPunct/>
              <w:topLinePunct w:val="0"/>
              <w:autoSpaceDE/>
              <w:autoSpaceDN/>
              <w:bidi w:val="0"/>
              <w:adjustRightInd/>
              <w:spacing w:line="312" w:lineRule="auto"/>
              <w:jc w:val="center"/>
              <w:textAlignment w:val="auto"/>
              <w:rPr>
                <w:rFonts w:hint="eastAsia" w:ascii="宋体" w:hAnsi="宋体" w:eastAsia="宋体" w:cs="宋体"/>
                <w:kern w:val="0"/>
                <w:sz w:val="24"/>
                <w:highlight w:val="none"/>
                <w:lang w:eastAsia="zh-CN"/>
              </w:rPr>
            </w:pPr>
          </w:p>
        </w:tc>
        <w:tc>
          <w:tcPr>
            <w:tcW w:w="5776" w:type="dxa"/>
            <w:tcBorders>
              <w:top w:val="single" w:color="auto" w:sz="4" w:space="0"/>
              <w:left w:val="single" w:color="auto" w:sz="4" w:space="0"/>
              <w:bottom w:val="single" w:color="auto" w:sz="4" w:space="0"/>
              <w:right w:val="single" w:color="auto" w:sz="4" w:space="0"/>
            </w:tcBorders>
            <w:vAlign w:val="center"/>
          </w:tcPr>
          <w:p w14:paraId="7519240B">
            <w:pPr>
              <w:keepNext w:val="0"/>
              <w:keepLines w:val="0"/>
              <w:pageBreakBefore w:val="0"/>
              <w:widowControl/>
              <w:kinsoku/>
              <w:wordWrap/>
              <w:overflowPunct/>
              <w:topLinePunct w:val="0"/>
              <w:autoSpaceDE/>
              <w:autoSpaceDN/>
              <w:bidi w:val="0"/>
              <w:adjustRightInd/>
              <w:spacing w:line="312" w:lineRule="auto"/>
              <w:textAlignment w:val="auto"/>
              <w:rPr>
                <w:rFonts w:ascii="宋体" w:hAnsi="宋体" w:cs="宋体"/>
                <w:bCs/>
                <w:kern w:val="0"/>
                <w:sz w:val="24"/>
                <w:highlight w:val="none"/>
              </w:rPr>
            </w:pPr>
          </w:p>
        </w:tc>
      </w:tr>
      <w:tr w14:paraId="447D1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3343" w:type="dxa"/>
            <w:gridSpan w:val="2"/>
            <w:tcBorders>
              <w:top w:val="single" w:color="auto" w:sz="4" w:space="0"/>
              <w:left w:val="single" w:color="auto" w:sz="4" w:space="0"/>
              <w:bottom w:val="single" w:color="auto" w:sz="4" w:space="0"/>
              <w:right w:val="single" w:color="auto" w:sz="4" w:space="0"/>
            </w:tcBorders>
            <w:vAlign w:val="center"/>
          </w:tcPr>
          <w:p w14:paraId="2B8DB056">
            <w:pPr>
              <w:keepNext w:val="0"/>
              <w:keepLines w:val="0"/>
              <w:pageBreakBefore w:val="0"/>
              <w:widowControl/>
              <w:kinsoku/>
              <w:wordWrap/>
              <w:overflowPunct/>
              <w:topLinePunct w:val="0"/>
              <w:autoSpaceDE/>
              <w:autoSpaceDN/>
              <w:bidi w:val="0"/>
              <w:adjustRightInd/>
              <w:spacing w:line="312" w:lineRule="auto"/>
              <w:jc w:val="center"/>
              <w:textAlignment w:val="auto"/>
              <w:rPr>
                <w:rFonts w:ascii="宋体" w:hAnsi="宋体" w:cs="宋体"/>
                <w:kern w:val="0"/>
                <w:sz w:val="24"/>
                <w:highlight w:val="none"/>
              </w:rPr>
            </w:pPr>
            <w:r>
              <w:rPr>
                <w:rFonts w:hint="eastAsia" w:ascii="宋体" w:hAnsi="宋体" w:cs="宋体"/>
                <w:kern w:val="0"/>
                <w:sz w:val="24"/>
                <w:highlight w:val="none"/>
              </w:rPr>
              <w:t>投标总价</w:t>
            </w:r>
          </w:p>
        </w:tc>
        <w:tc>
          <w:tcPr>
            <w:tcW w:w="5776" w:type="dxa"/>
            <w:tcBorders>
              <w:top w:val="single" w:color="auto" w:sz="4" w:space="0"/>
              <w:left w:val="single" w:color="auto" w:sz="4" w:space="0"/>
              <w:bottom w:val="single" w:color="auto" w:sz="4" w:space="0"/>
              <w:right w:val="single" w:color="auto" w:sz="4" w:space="0"/>
            </w:tcBorders>
            <w:vAlign w:val="center"/>
          </w:tcPr>
          <w:p w14:paraId="2E252BFE">
            <w:pPr>
              <w:keepNext w:val="0"/>
              <w:keepLines w:val="0"/>
              <w:pageBreakBefore w:val="0"/>
              <w:widowControl/>
              <w:kinsoku/>
              <w:wordWrap/>
              <w:overflowPunct/>
              <w:topLinePunct w:val="0"/>
              <w:autoSpaceDE/>
              <w:autoSpaceDN/>
              <w:bidi w:val="0"/>
              <w:adjustRightInd/>
              <w:spacing w:line="312" w:lineRule="auto"/>
              <w:textAlignment w:val="auto"/>
              <w:rPr>
                <w:rFonts w:ascii="宋体" w:hAnsi="宋体" w:cs="宋体"/>
                <w:bCs/>
                <w:kern w:val="0"/>
                <w:sz w:val="24"/>
                <w:highlight w:val="none"/>
              </w:rPr>
            </w:pPr>
          </w:p>
        </w:tc>
      </w:tr>
      <w:tr w14:paraId="4974D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4" w:hRule="atLeast"/>
          <w:jc w:val="center"/>
        </w:trPr>
        <w:tc>
          <w:tcPr>
            <w:tcW w:w="3343" w:type="dxa"/>
            <w:gridSpan w:val="2"/>
            <w:tcBorders>
              <w:top w:val="single" w:color="auto" w:sz="4" w:space="0"/>
              <w:left w:val="single" w:color="auto" w:sz="4" w:space="0"/>
              <w:bottom w:val="single" w:color="auto" w:sz="4" w:space="0"/>
              <w:right w:val="single" w:color="auto" w:sz="4" w:space="0"/>
            </w:tcBorders>
            <w:vAlign w:val="center"/>
          </w:tcPr>
          <w:p w14:paraId="36F60632">
            <w:pPr>
              <w:keepNext w:val="0"/>
              <w:keepLines w:val="0"/>
              <w:pageBreakBefore w:val="0"/>
              <w:widowControl/>
              <w:kinsoku/>
              <w:wordWrap/>
              <w:overflowPunct/>
              <w:topLinePunct w:val="0"/>
              <w:autoSpaceDE/>
              <w:autoSpaceDN/>
              <w:bidi w:val="0"/>
              <w:adjustRightInd/>
              <w:spacing w:line="312" w:lineRule="auto"/>
              <w:jc w:val="center"/>
              <w:textAlignment w:val="auto"/>
              <w:rPr>
                <w:rFonts w:ascii="宋体" w:hAnsi="宋体" w:cs="宋体"/>
                <w:kern w:val="0"/>
                <w:sz w:val="24"/>
                <w:highlight w:val="none"/>
              </w:rPr>
            </w:pPr>
            <w:r>
              <w:rPr>
                <w:rFonts w:hint="eastAsia" w:ascii="宋体" w:hAnsi="宋体" w:cs="宋体"/>
                <w:kern w:val="0"/>
                <w:sz w:val="24"/>
                <w:highlight w:val="none"/>
              </w:rPr>
              <w:t>投标声明</w:t>
            </w:r>
          </w:p>
        </w:tc>
        <w:tc>
          <w:tcPr>
            <w:tcW w:w="5776" w:type="dxa"/>
            <w:tcBorders>
              <w:top w:val="single" w:color="auto" w:sz="4" w:space="0"/>
              <w:left w:val="single" w:color="auto" w:sz="4" w:space="0"/>
              <w:bottom w:val="single" w:color="auto" w:sz="4" w:space="0"/>
            </w:tcBorders>
            <w:vAlign w:val="center"/>
          </w:tcPr>
          <w:p w14:paraId="0B9B1FCA">
            <w:pPr>
              <w:keepNext w:val="0"/>
              <w:keepLines w:val="0"/>
              <w:pageBreakBefore w:val="0"/>
              <w:widowControl/>
              <w:kinsoku/>
              <w:wordWrap/>
              <w:overflowPunct/>
              <w:topLinePunct w:val="0"/>
              <w:autoSpaceDE/>
              <w:autoSpaceDN/>
              <w:bidi w:val="0"/>
              <w:adjustRightInd/>
              <w:spacing w:before="240" w:line="312" w:lineRule="auto"/>
              <w:jc w:val="center"/>
              <w:textAlignment w:val="auto"/>
              <w:rPr>
                <w:rFonts w:ascii="宋体" w:hAnsi="宋体" w:cs="宋体"/>
                <w:kern w:val="0"/>
                <w:sz w:val="24"/>
                <w:highlight w:val="none"/>
              </w:rPr>
            </w:pPr>
          </w:p>
        </w:tc>
      </w:tr>
    </w:tbl>
    <w:p w14:paraId="53CCE7E8">
      <w:pPr>
        <w:keepNext w:val="0"/>
        <w:keepLines w:val="0"/>
        <w:pageBreakBefore w:val="0"/>
        <w:kinsoku/>
        <w:wordWrap/>
        <w:overflowPunct/>
        <w:topLinePunct w:val="0"/>
        <w:autoSpaceDE/>
        <w:autoSpaceDN/>
        <w:bidi w:val="0"/>
        <w:snapToGrid w:val="0"/>
        <w:spacing w:line="312" w:lineRule="auto"/>
        <w:ind w:left="480"/>
        <w:textAlignment w:val="auto"/>
        <w:rPr>
          <w:rFonts w:ascii="宋体" w:hAnsi="宋体" w:cs="宋体"/>
          <w:b/>
          <w:kern w:val="0"/>
          <w:sz w:val="24"/>
          <w:highlight w:val="none"/>
          <w:lang w:val="zh-CN"/>
        </w:rPr>
      </w:pPr>
      <w:r>
        <w:rPr>
          <w:rFonts w:hint="eastAsia" w:ascii="宋体" w:hAnsi="宋体" w:cs="宋体"/>
          <w:b/>
          <w:kern w:val="0"/>
          <w:sz w:val="24"/>
          <w:highlight w:val="none"/>
          <w:lang w:val="zh-CN"/>
        </w:rPr>
        <w:t>注：</w:t>
      </w:r>
    </w:p>
    <w:p w14:paraId="50964D96">
      <w:pPr>
        <w:keepNext w:val="0"/>
        <w:keepLines w:val="0"/>
        <w:pageBreakBefore w:val="0"/>
        <w:kinsoku/>
        <w:wordWrap/>
        <w:overflowPunct/>
        <w:topLinePunct w:val="0"/>
        <w:autoSpaceDE/>
        <w:autoSpaceDN/>
        <w:bidi w:val="0"/>
        <w:spacing w:line="312" w:lineRule="auto"/>
        <w:ind w:left="-2" w:leftChars="-1" w:firstLine="480" w:firstLineChars="200"/>
        <w:textAlignment w:val="auto"/>
        <w:rPr>
          <w:rFonts w:ascii="宋体" w:hAnsi="宋体" w:cs="宋体"/>
          <w:kern w:val="0"/>
          <w:sz w:val="24"/>
          <w:highlight w:val="none"/>
          <w:lang w:val="zh-CN"/>
        </w:rPr>
      </w:pPr>
      <w:r>
        <w:rPr>
          <w:rFonts w:hint="eastAsia" w:ascii="宋体" w:hAnsi="宋体" w:cs="宋体"/>
          <w:kern w:val="0"/>
          <w:sz w:val="24"/>
          <w:highlight w:val="none"/>
          <w:lang w:val="zh-CN"/>
        </w:rPr>
        <w:t>1、投标人需按本表格式填写</w:t>
      </w:r>
      <w:r>
        <w:rPr>
          <w:rFonts w:hint="eastAsia" w:ascii="宋体" w:hAnsi="宋体" w:cs="宋体"/>
          <w:b/>
          <w:kern w:val="0"/>
          <w:sz w:val="24"/>
          <w:highlight w:val="none"/>
          <w:lang w:val="zh-CN"/>
        </w:rPr>
        <w:t>，</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kern w:val="0"/>
          <w:sz w:val="24"/>
          <w:highlight w:val="none"/>
          <w:lang w:val="zh-CN"/>
        </w:rPr>
        <w:t>。</w:t>
      </w:r>
    </w:p>
    <w:p w14:paraId="6CCA2C74">
      <w:pPr>
        <w:keepNext w:val="0"/>
        <w:keepLines w:val="0"/>
        <w:pageBreakBefore w:val="0"/>
        <w:kinsoku/>
        <w:wordWrap/>
        <w:overflowPunct/>
        <w:topLinePunct w:val="0"/>
        <w:autoSpaceDE/>
        <w:autoSpaceDN/>
        <w:bidi w:val="0"/>
        <w:spacing w:line="312" w:lineRule="auto"/>
        <w:ind w:firstLine="480" w:firstLineChars="200"/>
        <w:textAlignment w:val="auto"/>
        <w:rPr>
          <w:rFonts w:ascii="宋体" w:hAnsi="宋体" w:cs="宋体"/>
          <w:kern w:val="0"/>
          <w:sz w:val="24"/>
          <w:highlight w:val="none"/>
        </w:rPr>
      </w:pPr>
      <w:r>
        <w:rPr>
          <w:rFonts w:hint="eastAsia" w:ascii="宋体" w:hAnsi="宋体" w:cs="宋体"/>
          <w:kern w:val="0"/>
          <w:sz w:val="24"/>
          <w:highlight w:val="none"/>
          <w:lang w:val="zh-CN"/>
        </w:rPr>
        <w:t>2、有关本项目实施所涉及的一切费用均计入报价。</w:t>
      </w:r>
      <w:r>
        <w:rPr>
          <w:rFonts w:hint="eastAsia" w:ascii="宋体" w:hAnsi="宋体" w:cs="宋体"/>
          <w:b/>
          <w:kern w:val="0"/>
          <w:sz w:val="24"/>
          <w:highlight w:val="none"/>
          <w:lang w:val="zh-CN"/>
        </w:rPr>
        <w:t>采购人将以合同形式有偿取得货物或服务，不接受投标人给予的赠品、回扣或者与采购无关的其他商品、服务</w:t>
      </w:r>
      <w:r>
        <w:rPr>
          <w:rFonts w:hint="eastAsia" w:ascii="宋体" w:hAnsi="宋体" w:cs="宋体"/>
          <w:kern w:val="0"/>
          <w:sz w:val="24"/>
          <w:highlight w:val="none"/>
          <w:lang w:val="zh-CN"/>
        </w:rPr>
        <w:t>，</w:t>
      </w:r>
      <w:r>
        <w:rPr>
          <w:rFonts w:hint="eastAsia" w:ascii="宋体" w:hAnsi="宋体" w:cs="宋体"/>
          <w:b/>
          <w:kern w:val="0"/>
          <w:sz w:val="24"/>
          <w:highlight w:val="none"/>
          <w:lang w:val="zh-CN"/>
        </w:rPr>
        <w:t>不得出现“0元”“免费赠送”等形式的无偿报价，</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b/>
          <w:kern w:val="0"/>
          <w:sz w:val="24"/>
          <w:highlight w:val="none"/>
          <w:lang w:val="zh-CN"/>
        </w:rPr>
        <w:t>；采购内容未包含在《开标一览表（报价表）》名称栏中，投标人不能作出合理解释的，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14:paraId="7082F8BB">
      <w:pPr>
        <w:keepNext w:val="0"/>
        <w:keepLines w:val="0"/>
        <w:pageBreakBefore w:val="0"/>
        <w:kinsoku/>
        <w:wordWrap/>
        <w:overflowPunct/>
        <w:topLinePunct w:val="0"/>
        <w:autoSpaceDE/>
        <w:autoSpaceDN/>
        <w:bidi w:val="0"/>
        <w:snapToGrid w:val="0"/>
        <w:spacing w:line="312" w:lineRule="auto"/>
        <w:ind w:firstLine="480" w:firstLineChars="200"/>
        <w:jc w:val="left"/>
        <w:textAlignment w:val="auto"/>
        <w:rPr>
          <w:rFonts w:ascii="宋体" w:hAnsi="宋体" w:cs="宋体"/>
          <w:kern w:val="0"/>
          <w:sz w:val="24"/>
          <w:highlight w:val="none"/>
          <w:lang w:val="zh-CN"/>
        </w:rPr>
      </w:pPr>
      <w:r>
        <w:rPr>
          <w:rFonts w:hint="eastAsia" w:ascii="宋体" w:hAnsi="宋体" w:cs="宋体"/>
          <w:kern w:val="0"/>
          <w:sz w:val="24"/>
          <w:highlight w:val="none"/>
          <w:lang w:val="zh-CN"/>
        </w:rPr>
        <w:t>3、特别提示：采购代理机构将对项目名称和项目编号，中标供应商名称、地址和中标金额，主要中标标的名称、品牌（如果有）、规格型号、数量、单价等予以公示。</w:t>
      </w:r>
    </w:p>
    <w:p w14:paraId="537D53B9">
      <w:pPr>
        <w:keepNext w:val="0"/>
        <w:keepLines w:val="0"/>
        <w:pageBreakBefore w:val="0"/>
        <w:kinsoku/>
        <w:wordWrap/>
        <w:overflowPunct/>
        <w:topLinePunct w:val="0"/>
        <w:autoSpaceDE/>
        <w:autoSpaceDN/>
        <w:bidi w:val="0"/>
        <w:snapToGrid w:val="0"/>
        <w:spacing w:line="312" w:lineRule="auto"/>
        <w:ind w:firstLine="480" w:firstLineChars="200"/>
        <w:jc w:val="left"/>
        <w:textAlignment w:val="auto"/>
        <w:rPr>
          <w:rFonts w:hint="eastAsia" w:ascii="宋体" w:hAnsi="宋体" w:cs="宋体"/>
          <w:kern w:val="0"/>
          <w:sz w:val="24"/>
          <w:highlight w:val="none"/>
          <w:lang w:val="zh-CN"/>
        </w:rPr>
      </w:pPr>
      <w:r>
        <w:rPr>
          <w:rFonts w:ascii="宋体" w:hAnsi="宋体" w:cs="宋体"/>
          <w:kern w:val="0"/>
          <w:sz w:val="24"/>
          <w:szCs w:val="22"/>
          <w:highlight w:val="none"/>
          <w:lang w:val="zh-CN"/>
        </w:rPr>
        <w:t>4</w:t>
      </w:r>
      <w:r>
        <w:rPr>
          <w:rFonts w:hint="eastAsia" w:ascii="宋体" w:hAnsi="宋体" w:cs="宋体"/>
          <w:kern w:val="0"/>
          <w:sz w:val="24"/>
          <w:szCs w:val="22"/>
          <w:highlight w:val="none"/>
          <w:lang w:val="zh-CN"/>
        </w:rPr>
        <w:t>、</w:t>
      </w:r>
      <w:r>
        <w:rPr>
          <w:rFonts w:hint="eastAsia" w:ascii="宋体" w:hAnsi="宋体" w:cs="宋体"/>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FFA5695">
      <w:pPr>
        <w:keepNext w:val="0"/>
        <w:keepLines w:val="0"/>
        <w:pageBreakBefore w:val="0"/>
        <w:kinsoku/>
        <w:wordWrap/>
        <w:overflowPunct/>
        <w:topLinePunct w:val="0"/>
        <w:autoSpaceDE/>
        <w:autoSpaceDN/>
        <w:bidi w:val="0"/>
        <w:snapToGrid w:val="0"/>
        <w:spacing w:line="312" w:lineRule="auto"/>
        <w:ind w:firstLine="480" w:firstLineChars="200"/>
        <w:jc w:val="left"/>
        <w:textAlignment w:val="auto"/>
        <w:rPr>
          <w:rFonts w:ascii="宋体" w:hAnsi="宋体" w:eastAsia="宋体" w:cs="宋体"/>
          <w:kern w:val="2"/>
          <w:sz w:val="32"/>
          <w:szCs w:val="32"/>
          <w:highlight w:val="none"/>
        </w:rPr>
      </w:pPr>
      <w:r>
        <w:rPr>
          <w:rFonts w:hint="eastAsia" w:ascii="宋体" w:hAnsi="宋体" w:cs="宋体"/>
          <w:kern w:val="0"/>
          <w:sz w:val="24"/>
          <w:highlight w:val="none"/>
          <w:lang w:val="en-US" w:eastAsia="zh-CN"/>
        </w:rPr>
        <w:t>5、开标一览表（报价表）中的投标总价须与“投标分项报价表”中的“投标总价”保持一致。</w:t>
      </w:r>
    </w:p>
    <w:p w14:paraId="673563B7">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pgSz w:w="11906" w:h="16838"/>
          <w:pgMar w:top="1440" w:right="1803" w:bottom="1440" w:left="1803" w:header="851" w:footer="992" w:gutter="0"/>
          <w:pgNumType w:fmt="decimal"/>
          <w:cols w:space="0" w:num="1"/>
          <w:titlePg/>
          <w:rtlGutter w:val="0"/>
          <w:docGrid w:linePitch="312" w:charSpace="0"/>
        </w:sectPr>
      </w:pPr>
    </w:p>
    <w:p w14:paraId="2695C011">
      <w:pPr>
        <w:spacing w:line="360" w:lineRule="auto"/>
        <w:jc w:val="center"/>
        <w:rPr>
          <w:rFonts w:ascii="宋体" w:hAnsi="宋体" w:cs="宋体"/>
          <w:b/>
          <w:kern w:val="0"/>
          <w:sz w:val="24"/>
          <w:highlight w:val="none"/>
          <w:lang w:val="zh-CN"/>
        </w:rPr>
      </w:pPr>
      <w:bookmarkStart w:id="424" w:name="_Toc30621"/>
      <w:bookmarkStart w:id="425" w:name="_Toc25773"/>
      <w:r>
        <w:rPr>
          <w:rFonts w:hint="eastAsia" w:ascii="宋体" w:hAnsi="宋体" w:cs="宋体"/>
          <w:b/>
          <w:kern w:val="0"/>
          <w:sz w:val="24"/>
          <w:highlight w:val="none"/>
          <w:lang w:val="zh-CN"/>
        </w:rPr>
        <w:t>投标分项报价表(单位均为人民币元)</w:t>
      </w:r>
    </w:p>
    <w:tbl>
      <w:tblPr>
        <w:tblStyle w:val="62"/>
        <w:tblW w:w="8947" w:type="dxa"/>
        <w:jc w:val="center"/>
        <w:tblLayout w:type="fixed"/>
        <w:tblCellMar>
          <w:top w:w="0" w:type="dxa"/>
          <w:left w:w="108" w:type="dxa"/>
          <w:bottom w:w="0" w:type="dxa"/>
          <w:right w:w="108" w:type="dxa"/>
        </w:tblCellMar>
      </w:tblPr>
      <w:tblGrid>
        <w:gridCol w:w="817"/>
        <w:gridCol w:w="1703"/>
        <w:gridCol w:w="870"/>
        <w:gridCol w:w="1371"/>
        <w:gridCol w:w="1501"/>
        <w:gridCol w:w="1253"/>
        <w:gridCol w:w="1432"/>
      </w:tblGrid>
      <w:tr w14:paraId="2D3D21D5">
        <w:tblPrEx>
          <w:tblCellMar>
            <w:top w:w="0" w:type="dxa"/>
            <w:left w:w="108" w:type="dxa"/>
            <w:bottom w:w="0" w:type="dxa"/>
            <w:right w:w="108" w:type="dxa"/>
          </w:tblCellMar>
        </w:tblPrEx>
        <w:trPr>
          <w:trHeight w:val="673"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04988186">
            <w:pPr>
              <w:adjustRightInd/>
              <w:spacing w:before="50" w:after="50" w:line="360" w:lineRule="auto"/>
              <w:jc w:val="center"/>
              <w:rPr>
                <w:rFonts w:ascii="宋体" w:hAnsi="宋体" w:eastAsia="宋体" w:cs="宋体"/>
                <w:b/>
                <w:bCs/>
                <w:spacing w:val="20"/>
                <w:sz w:val="24"/>
                <w:highlight w:val="none"/>
              </w:rPr>
            </w:pPr>
            <w:r>
              <w:rPr>
                <w:rFonts w:hint="eastAsia" w:ascii="宋体" w:hAnsi="宋体" w:eastAsia="宋体" w:cs="宋体"/>
                <w:b/>
                <w:bCs/>
                <w:sz w:val="24"/>
                <w:highlight w:val="none"/>
                <w:lang w:bidi="ar"/>
              </w:rPr>
              <w:t>序号</w:t>
            </w:r>
          </w:p>
        </w:tc>
        <w:tc>
          <w:tcPr>
            <w:tcW w:w="1703" w:type="dxa"/>
            <w:tcBorders>
              <w:top w:val="single" w:color="auto" w:sz="4" w:space="0"/>
              <w:left w:val="nil"/>
              <w:bottom w:val="single" w:color="auto" w:sz="4" w:space="0"/>
              <w:right w:val="single" w:color="auto" w:sz="4" w:space="0"/>
            </w:tcBorders>
            <w:vAlign w:val="center"/>
          </w:tcPr>
          <w:p w14:paraId="2F6CE9F3">
            <w:pPr>
              <w:adjustRightInd/>
              <w:spacing w:before="50" w:after="50" w:line="360" w:lineRule="auto"/>
              <w:jc w:val="center"/>
              <w:rPr>
                <w:rFonts w:ascii="宋体" w:hAnsi="宋体" w:eastAsia="宋体" w:cs="宋体"/>
                <w:b/>
                <w:bCs/>
                <w:spacing w:val="20"/>
                <w:sz w:val="24"/>
                <w:highlight w:val="none"/>
              </w:rPr>
            </w:pPr>
            <w:r>
              <w:rPr>
                <w:rFonts w:hint="eastAsia" w:ascii="宋体" w:hAnsi="宋体" w:eastAsia="宋体" w:cs="宋体"/>
                <w:b/>
                <w:bCs/>
                <w:spacing w:val="20"/>
                <w:sz w:val="24"/>
                <w:highlight w:val="none"/>
                <w:lang w:bidi="ar"/>
              </w:rPr>
              <w:t>项目内容</w:t>
            </w:r>
          </w:p>
        </w:tc>
        <w:tc>
          <w:tcPr>
            <w:tcW w:w="870" w:type="dxa"/>
            <w:tcBorders>
              <w:top w:val="single" w:color="auto" w:sz="4" w:space="0"/>
              <w:left w:val="single" w:color="auto" w:sz="4" w:space="0"/>
              <w:bottom w:val="single" w:color="auto" w:sz="4" w:space="0"/>
              <w:right w:val="single" w:color="auto" w:sz="4" w:space="0"/>
            </w:tcBorders>
            <w:vAlign w:val="center"/>
          </w:tcPr>
          <w:p w14:paraId="767DF6B4">
            <w:pPr>
              <w:adjustRightInd/>
              <w:spacing w:before="50" w:after="50" w:line="360" w:lineRule="auto"/>
              <w:jc w:val="center"/>
              <w:rPr>
                <w:rFonts w:ascii="宋体" w:hAnsi="宋体" w:eastAsia="宋体" w:cs="宋体"/>
                <w:b/>
                <w:bCs/>
                <w:spacing w:val="20"/>
                <w:sz w:val="24"/>
                <w:highlight w:val="none"/>
                <w:lang w:bidi="ar"/>
              </w:rPr>
            </w:pPr>
            <w:r>
              <w:rPr>
                <w:rFonts w:hint="eastAsia" w:ascii="宋体" w:hAnsi="宋体" w:eastAsia="宋体" w:cs="宋体"/>
                <w:b/>
                <w:bCs/>
                <w:spacing w:val="20"/>
                <w:sz w:val="24"/>
                <w:highlight w:val="none"/>
                <w:lang w:bidi="ar"/>
              </w:rPr>
              <w:t>品牌</w:t>
            </w:r>
          </w:p>
        </w:tc>
        <w:tc>
          <w:tcPr>
            <w:tcW w:w="1371" w:type="dxa"/>
            <w:tcBorders>
              <w:top w:val="single" w:color="auto" w:sz="4" w:space="0"/>
              <w:left w:val="single" w:color="auto" w:sz="4" w:space="0"/>
              <w:bottom w:val="single" w:color="auto" w:sz="4" w:space="0"/>
              <w:right w:val="single" w:color="auto" w:sz="4" w:space="0"/>
            </w:tcBorders>
            <w:vAlign w:val="center"/>
          </w:tcPr>
          <w:p w14:paraId="2830D7D2">
            <w:pPr>
              <w:adjustRightInd/>
              <w:spacing w:before="50" w:after="50" w:line="360" w:lineRule="auto"/>
              <w:jc w:val="center"/>
              <w:rPr>
                <w:rFonts w:hint="eastAsia" w:ascii="宋体" w:hAnsi="宋体" w:eastAsia="宋体" w:cs="宋体"/>
                <w:b/>
                <w:bCs/>
                <w:spacing w:val="20"/>
                <w:sz w:val="24"/>
                <w:highlight w:val="none"/>
                <w:lang w:val="en-US" w:eastAsia="zh-CN" w:bidi="ar"/>
              </w:rPr>
            </w:pPr>
            <w:r>
              <w:rPr>
                <w:rFonts w:hint="eastAsia" w:ascii="宋体" w:hAnsi="宋体" w:eastAsia="宋体" w:cs="宋体"/>
                <w:b/>
                <w:bCs/>
                <w:spacing w:val="20"/>
                <w:sz w:val="24"/>
                <w:highlight w:val="none"/>
                <w:lang w:bidi="ar"/>
              </w:rPr>
              <w:t>规格</w:t>
            </w:r>
            <w:r>
              <w:rPr>
                <w:rFonts w:hint="eastAsia" w:ascii="宋体" w:hAnsi="宋体" w:cs="宋体"/>
                <w:b/>
                <w:bCs/>
                <w:spacing w:val="20"/>
                <w:sz w:val="24"/>
                <w:highlight w:val="none"/>
                <w:lang w:val="en-US" w:eastAsia="zh-CN" w:bidi="ar"/>
              </w:rPr>
              <w:t>参数</w:t>
            </w:r>
          </w:p>
        </w:tc>
        <w:tc>
          <w:tcPr>
            <w:tcW w:w="1501" w:type="dxa"/>
            <w:tcBorders>
              <w:top w:val="single" w:color="auto" w:sz="4" w:space="0"/>
              <w:left w:val="nil"/>
              <w:bottom w:val="single" w:color="auto" w:sz="4" w:space="0"/>
              <w:right w:val="single" w:color="auto" w:sz="4" w:space="0"/>
            </w:tcBorders>
            <w:vAlign w:val="center"/>
          </w:tcPr>
          <w:p w14:paraId="07DBA194">
            <w:pPr>
              <w:adjustRightInd/>
              <w:spacing w:before="50" w:after="50" w:line="360" w:lineRule="auto"/>
              <w:jc w:val="center"/>
              <w:rPr>
                <w:rFonts w:ascii="宋体" w:hAnsi="宋体" w:eastAsia="宋体" w:cs="宋体"/>
                <w:b/>
                <w:bCs/>
                <w:spacing w:val="20"/>
                <w:sz w:val="24"/>
                <w:highlight w:val="none"/>
              </w:rPr>
            </w:pPr>
            <w:r>
              <w:rPr>
                <w:rFonts w:hint="eastAsia" w:ascii="宋体" w:hAnsi="宋体" w:eastAsia="宋体" w:cs="宋体"/>
                <w:b/>
                <w:bCs/>
                <w:sz w:val="24"/>
                <w:highlight w:val="none"/>
                <w:lang w:bidi="ar"/>
              </w:rPr>
              <w:t>单位及数量</w:t>
            </w:r>
          </w:p>
        </w:tc>
        <w:tc>
          <w:tcPr>
            <w:tcW w:w="1253" w:type="dxa"/>
            <w:tcBorders>
              <w:top w:val="single" w:color="auto" w:sz="4" w:space="0"/>
              <w:left w:val="nil"/>
              <w:bottom w:val="single" w:color="auto" w:sz="4" w:space="0"/>
              <w:right w:val="single" w:color="auto" w:sz="4" w:space="0"/>
            </w:tcBorders>
            <w:vAlign w:val="center"/>
          </w:tcPr>
          <w:p w14:paraId="0EB13B9B">
            <w:pPr>
              <w:adjustRightInd/>
              <w:spacing w:before="50" w:after="50" w:line="360" w:lineRule="auto"/>
              <w:jc w:val="center"/>
              <w:rPr>
                <w:rFonts w:ascii="宋体" w:hAnsi="宋体" w:eastAsia="宋体" w:cs="宋体"/>
                <w:b/>
                <w:bCs/>
                <w:spacing w:val="20"/>
                <w:sz w:val="24"/>
                <w:highlight w:val="none"/>
              </w:rPr>
            </w:pPr>
            <w:r>
              <w:rPr>
                <w:rFonts w:hint="eastAsia" w:ascii="宋体" w:hAnsi="宋体" w:eastAsia="宋体" w:cs="宋体"/>
                <w:b/>
                <w:bCs/>
                <w:sz w:val="24"/>
                <w:highlight w:val="none"/>
                <w:lang w:bidi="ar"/>
              </w:rPr>
              <w:t>单价（元）</w:t>
            </w:r>
          </w:p>
        </w:tc>
        <w:tc>
          <w:tcPr>
            <w:tcW w:w="1432" w:type="dxa"/>
            <w:tcBorders>
              <w:top w:val="single" w:color="auto" w:sz="4" w:space="0"/>
              <w:left w:val="nil"/>
              <w:bottom w:val="single" w:color="auto" w:sz="4" w:space="0"/>
              <w:right w:val="single" w:color="auto" w:sz="4" w:space="0"/>
            </w:tcBorders>
            <w:vAlign w:val="center"/>
          </w:tcPr>
          <w:p w14:paraId="7F9045E6">
            <w:pPr>
              <w:adjustRightInd/>
              <w:spacing w:before="50" w:after="50" w:line="360" w:lineRule="auto"/>
              <w:jc w:val="center"/>
              <w:rPr>
                <w:rFonts w:ascii="宋体" w:hAnsi="宋体" w:eastAsia="宋体" w:cs="宋体"/>
                <w:b/>
                <w:bCs/>
                <w:spacing w:val="20"/>
                <w:sz w:val="24"/>
                <w:highlight w:val="none"/>
              </w:rPr>
            </w:pPr>
            <w:r>
              <w:rPr>
                <w:rFonts w:hint="eastAsia" w:ascii="宋体" w:hAnsi="宋体" w:eastAsia="宋体" w:cs="宋体"/>
                <w:b/>
                <w:bCs/>
                <w:sz w:val="24"/>
                <w:highlight w:val="none"/>
                <w:lang w:bidi="ar"/>
              </w:rPr>
              <w:t>金额（元）</w:t>
            </w:r>
          </w:p>
        </w:tc>
      </w:tr>
      <w:tr w14:paraId="5BE88F1B">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vAlign w:val="center"/>
          </w:tcPr>
          <w:p w14:paraId="55A63763">
            <w:pPr>
              <w:adjustRightInd/>
              <w:spacing w:before="50" w:after="50" w:line="360" w:lineRule="auto"/>
              <w:jc w:val="center"/>
              <w:rPr>
                <w:rFonts w:hint="eastAsia"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6A8ED583">
            <w:pPr>
              <w:adjustRightInd/>
              <w:spacing w:line="360" w:lineRule="auto"/>
              <w:jc w:val="center"/>
              <w:rPr>
                <w:rFonts w:hint="eastAsia" w:ascii="宋体" w:hAnsi="宋体" w:eastAsia="宋体" w:cs="宋体"/>
                <w:spacing w:val="20"/>
                <w:sz w:val="24"/>
                <w:highlight w:val="none"/>
                <w:lang w:val="en-US" w:eastAsia="zh-CN"/>
              </w:rPr>
            </w:pPr>
          </w:p>
        </w:tc>
        <w:tc>
          <w:tcPr>
            <w:tcW w:w="870" w:type="dxa"/>
            <w:tcBorders>
              <w:top w:val="single" w:color="auto" w:sz="4" w:space="0"/>
              <w:left w:val="single" w:color="auto" w:sz="4" w:space="0"/>
              <w:bottom w:val="single" w:color="auto" w:sz="4" w:space="0"/>
              <w:right w:val="single" w:color="auto" w:sz="4" w:space="0"/>
            </w:tcBorders>
            <w:vAlign w:val="center"/>
          </w:tcPr>
          <w:p w14:paraId="0BC8A6DD">
            <w:pPr>
              <w:adjustRightInd/>
              <w:spacing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09310DB8">
            <w:pPr>
              <w:adjustRightInd/>
              <w:spacing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0CCACDF2">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5D976F86">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23022FBF">
            <w:pPr>
              <w:adjustRightInd/>
              <w:spacing w:before="50" w:after="50" w:line="360" w:lineRule="auto"/>
              <w:jc w:val="center"/>
              <w:rPr>
                <w:rFonts w:ascii="宋体" w:hAnsi="宋体" w:eastAsia="宋体" w:cs="宋体"/>
                <w:spacing w:val="20"/>
                <w:sz w:val="24"/>
                <w:highlight w:val="none"/>
              </w:rPr>
            </w:pPr>
          </w:p>
        </w:tc>
      </w:tr>
      <w:tr w14:paraId="15ADABE6">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vAlign w:val="center"/>
          </w:tcPr>
          <w:p w14:paraId="3006EA0C">
            <w:pPr>
              <w:adjustRightInd/>
              <w:spacing w:before="50" w:after="50" w:line="360" w:lineRule="auto"/>
              <w:jc w:val="center"/>
              <w:rPr>
                <w:rFonts w:hint="default"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0F2C9712">
            <w:pPr>
              <w:adjustRightInd/>
              <w:spacing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4326C96A">
            <w:pPr>
              <w:adjustRightInd/>
              <w:spacing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14689120">
            <w:pPr>
              <w:adjustRightInd/>
              <w:spacing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4F491D84">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2D0AD643">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1E108B79">
            <w:pPr>
              <w:adjustRightInd/>
              <w:spacing w:before="50" w:after="50" w:line="360" w:lineRule="auto"/>
              <w:jc w:val="center"/>
              <w:rPr>
                <w:rFonts w:ascii="宋体" w:hAnsi="宋体" w:eastAsia="宋体" w:cs="宋体"/>
                <w:spacing w:val="20"/>
                <w:sz w:val="24"/>
                <w:highlight w:val="none"/>
              </w:rPr>
            </w:pPr>
          </w:p>
        </w:tc>
      </w:tr>
      <w:tr w14:paraId="5FF5BDBF">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vAlign w:val="center"/>
          </w:tcPr>
          <w:p w14:paraId="663D9DB9">
            <w:pPr>
              <w:adjustRightInd/>
              <w:spacing w:before="50" w:after="50" w:line="360" w:lineRule="auto"/>
              <w:jc w:val="center"/>
              <w:rPr>
                <w:rFonts w:hint="default"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739D459B">
            <w:pPr>
              <w:adjustRightInd/>
              <w:spacing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1640F155">
            <w:pPr>
              <w:adjustRightInd/>
              <w:spacing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6A80EC65">
            <w:pPr>
              <w:adjustRightInd/>
              <w:spacing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240A5A1F">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1EC49974">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2CA90D35">
            <w:pPr>
              <w:adjustRightInd/>
              <w:spacing w:before="50" w:after="50" w:line="360" w:lineRule="auto"/>
              <w:jc w:val="center"/>
              <w:rPr>
                <w:rFonts w:ascii="宋体" w:hAnsi="宋体" w:eastAsia="宋体" w:cs="宋体"/>
                <w:spacing w:val="20"/>
                <w:sz w:val="24"/>
                <w:highlight w:val="none"/>
              </w:rPr>
            </w:pPr>
          </w:p>
        </w:tc>
      </w:tr>
      <w:tr w14:paraId="2CAF0996">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vAlign w:val="center"/>
          </w:tcPr>
          <w:p w14:paraId="5BBEBF75">
            <w:pPr>
              <w:adjustRightInd/>
              <w:spacing w:before="50" w:after="50" w:line="360" w:lineRule="auto"/>
              <w:jc w:val="center"/>
              <w:rPr>
                <w:rFonts w:hint="default"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3021B391">
            <w:pPr>
              <w:adjustRightInd/>
              <w:spacing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11C6910A">
            <w:pPr>
              <w:adjustRightInd/>
              <w:spacing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79B100A9">
            <w:pPr>
              <w:adjustRightInd/>
              <w:spacing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7736DA9A">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53F629E4">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2217CB2B">
            <w:pPr>
              <w:adjustRightInd/>
              <w:spacing w:before="50" w:after="50" w:line="360" w:lineRule="auto"/>
              <w:jc w:val="center"/>
              <w:rPr>
                <w:rFonts w:ascii="宋体" w:hAnsi="宋体" w:eastAsia="宋体" w:cs="宋体"/>
                <w:spacing w:val="20"/>
                <w:sz w:val="24"/>
                <w:highlight w:val="none"/>
              </w:rPr>
            </w:pPr>
          </w:p>
        </w:tc>
      </w:tr>
      <w:tr w14:paraId="6E825CB7">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vAlign w:val="center"/>
          </w:tcPr>
          <w:p w14:paraId="62F4C49F">
            <w:pPr>
              <w:adjustRightInd/>
              <w:spacing w:before="50" w:after="50" w:line="360" w:lineRule="auto"/>
              <w:jc w:val="center"/>
              <w:rPr>
                <w:rFonts w:hint="eastAsia"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1472129C">
            <w:pPr>
              <w:adjustRightInd/>
              <w:spacing w:before="50" w:after="50" w:line="360" w:lineRule="auto"/>
              <w:jc w:val="center"/>
              <w:rPr>
                <w:rFonts w:hint="default" w:ascii="宋体" w:hAnsi="宋体" w:eastAsia="宋体" w:cs="宋体"/>
                <w:spacing w:val="20"/>
                <w:sz w:val="24"/>
                <w:highlight w:val="none"/>
                <w:lang w:val="en-US" w:eastAsia="zh-CN"/>
              </w:rPr>
            </w:pPr>
          </w:p>
        </w:tc>
        <w:tc>
          <w:tcPr>
            <w:tcW w:w="870" w:type="dxa"/>
            <w:tcBorders>
              <w:top w:val="single" w:color="auto" w:sz="4" w:space="0"/>
              <w:left w:val="single" w:color="auto" w:sz="4" w:space="0"/>
              <w:bottom w:val="single" w:color="auto" w:sz="4" w:space="0"/>
              <w:right w:val="single" w:color="auto" w:sz="4" w:space="0"/>
            </w:tcBorders>
            <w:vAlign w:val="center"/>
          </w:tcPr>
          <w:p w14:paraId="5219ECAD">
            <w:pPr>
              <w:adjustRightInd/>
              <w:spacing w:before="50" w:after="50"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0604DF0C">
            <w:pPr>
              <w:adjustRightInd/>
              <w:spacing w:before="50" w:after="50"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5DD315EE">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69D4A8D5">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3C30E0C9">
            <w:pPr>
              <w:adjustRightInd/>
              <w:spacing w:before="50" w:after="50" w:line="360" w:lineRule="auto"/>
              <w:jc w:val="center"/>
              <w:rPr>
                <w:rFonts w:ascii="宋体" w:hAnsi="宋体" w:eastAsia="宋体" w:cs="宋体"/>
                <w:spacing w:val="20"/>
                <w:sz w:val="24"/>
                <w:highlight w:val="none"/>
              </w:rPr>
            </w:pPr>
          </w:p>
        </w:tc>
      </w:tr>
      <w:tr w14:paraId="3BC3C7E0">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vAlign w:val="center"/>
          </w:tcPr>
          <w:p w14:paraId="1C42650D">
            <w:pPr>
              <w:adjustRightInd/>
              <w:spacing w:before="50" w:after="50" w:line="360" w:lineRule="auto"/>
              <w:jc w:val="center"/>
              <w:rPr>
                <w:rFonts w:hint="default"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6F39E831">
            <w:pPr>
              <w:adjustRightInd/>
              <w:spacing w:before="50" w:after="50"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2D287DA4">
            <w:pPr>
              <w:adjustRightInd/>
              <w:spacing w:before="50" w:after="50"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4B4689C0">
            <w:pPr>
              <w:adjustRightInd/>
              <w:spacing w:before="50" w:after="50"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1514AE40">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38AA0391">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622A085C">
            <w:pPr>
              <w:adjustRightInd/>
              <w:spacing w:before="50" w:after="50" w:line="360" w:lineRule="auto"/>
              <w:jc w:val="center"/>
              <w:rPr>
                <w:rFonts w:ascii="宋体" w:hAnsi="宋体" w:eastAsia="宋体" w:cs="宋体"/>
                <w:spacing w:val="20"/>
                <w:sz w:val="24"/>
                <w:highlight w:val="none"/>
              </w:rPr>
            </w:pPr>
          </w:p>
        </w:tc>
      </w:tr>
      <w:tr w14:paraId="3E97F00A">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vAlign w:val="center"/>
          </w:tcPr>
          <w:p w14:paraId="27A2A8BE">
            <w:pPr>
              <w:adjustRightInd/>
              <w:spacing w:before="50" w:after="50" w:line="360" w:lineRule="auto"/>
              <w:jc w:val="center"/>
              <w:rPr>
                <w:rFonts w:hint="default"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18634683">
            <w:pPr>
              <w:adjustRightInd/>
              <w:spacing w:before="50" w:after="50"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4C39EA4C">
            <w:pPr>
              <w:adjustRightInd/>
              <w:spacing w:before="50" w:after="50"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777224DC">
            <w:pPr>
              <w:adjustRightInd/>
              <w:spacing w:before="50" w:after="50"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378E665F">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4D733A75">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1B5C71B9">
            <w:pPr>
              <w:adjustRightInd/>
              <w:spacing w:before="50" w:after="50" w:line="360" w:lineRule="auto"/>
              <w:jc w:val="center"/>
              <w:rPr>
                <w:rFonts w:ascii="宋体" w:hAnsi="宋体" w:eastAsia="宋体" w:cs="宋体"/>
                <w:spacing w:val="20"/>
                <w:sz w:val="24"/>
                <w:highlight w:val="none"/>
              </w:rPr>
            </w:pPr>
          </w:p>
        </w:tc>
      </w:tr>
      <w:tr w14:paraId="579FDCBB">
        <w:tblPrEx>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6962EF19">
            <w:pPr>
              <w:adjustRightInd/>
              <w:spacing w:before="50" w:after="50" w:line="360" w:lineRule="auto"/>
              <w:jc w:val="center"/>
              <w:rPr>
                <w:rFonts w:hint="default" w:ascii="宋体" w:hAnsi="宋体" w:eastAsia="宋体" w:cs="宋体"/>
                <w:spacing w:val="20"/>
                <w:sz w:val="24"/>
                <w:highlight w:val="none"/>
                <w:lang w:val="en-US" w:eastAsia="zh-CN"/>
              </w:rPr>
            </w:pPr>
          </w:p>
        </w:tc>
        <w:tc>
          <w:tcPr>
            <w:tcW w:w="1703" w:type="dxa"/>
            <w:tcBorders>
              <w:top w:val="single" w:color="auto" w:sz="4" w:space="0"/>
              <w:left w:val="nil"/>
              <w:bottom w:val="single" w:color="auto" w:sz="4" w:space="0"/>
              <w:right w:val="single" w:color="auto" w:sz="4" w:space="0"/>
            </w:tcBorders>
            <w:vAlign w:val="center"/>
          </w:tcPr>
          <w:p w14:paraId="0E0D6E88">
            <w:pPr>
              <w:adjustRightInd/>
              <w:spacing w:before="50" w:after="50"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0714FCA9">
            <w:pPr>
              <w:adjustRightInd/>
              <w:spacing w:before="50" w:after="50"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4314DC43">
            <w:pPr>
              <w:adjustRightInd/>
              <w:spacing w:before="50" w:after="50"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530C5C65">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27EDED07">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5F844AAF">
            <w:pPr>
              <w:adjustRightInd/>
              <w:spacing w:before="50" w:after="50" w:line="360" w:lineRule="auto"/>
              <w:jc w:val="center"/>
              <w:rPr>
                <w:rFonts w:ascii="宋体" w:hAnsi="宋体" w:eastAsia="宋体" w:cs="宋体"/>
                <w:spacing w:val="20"/>
                <w:sz w:val="24"/>
                <w:highlight w:val="none"/>
              </w:rPr>
            </w:pPr>
          </w:p>
        </w:tc>
      </w:tr>
      <w:tr w14:paraId="79F1F501">
        <w:tblPrEx>
          <w:tblCellMar>
            <w:top w:w="0" w:type="dxa"/>
            <w:left w:w="108" w:type="dxa"/>
            <w:bottom w:w="0" w:type="dxa"/>
            <w:right w:w="108" w:type="dxa"/>
          </w:tblCellMar>
        </w:tblPrEx>
        <w:trPr>
          <w:trHeight w:val="351"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68227B94">
            <w:pPr>
              <w:adjustRightInd/>
              <w:spacing w:before="50" w:after="50" w:line="360" w:lineRule="auto"/>
              <w:jc w:val="center"/>
              <w:rPr>
                <w:rFonts w:ascii="宋体" w:hAnsi="宋体" w:eastAsia="宋体" w:cs="宋体"/>
                <w:spacing w:val="20"/>
                <w:sz w:val="24"/>
                <w:highlight w:val="none"/>
              </w:rPr>
            </w:pPr>
          </w:p>
        </w:tc>
        <w:tc>
          <w:tcPr>
            <w:tcW w:w="1703" w:type="dxa"/>
            <w:tcBorders>
              <w:top w:val="single" w:color="auto" w:sz="4" w:space="0"/>
              <w:left w:val="nil"/>
              <w:bottom w:val="single" w:color="auto" w:sz="4" w:space="0"/>
              <w:right w:val="single" w:color="auto" w:sz="4" w:space="0"/>
            </w:tcBorders>
            <w:vAlign w:val="center"/>
          </w:tcPr>
          <w:p w14:paraId="4284FBE2">
            <w:pPr>
              <w:adjustRightInd/>
              <w:spacing w:before="50" w:after="50"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663C2AB1">
            <w:pPr>
              <w:adjustRightInd/>
              <w:spacing w:before="50" w:after="50"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04C98D4A">
            <w:pPr>
              <w:adjustRightInd/>
              <w:spacing w:before="50" w:after="50"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3871FA56">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559751F4">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0EF5E11A">
            <w:pPr>
              <w:adjustRightInd/>
              <w:spacing w:before="50" w:after="50" w:line="360" w:lineRule="auto"/>
              <w:jc w:val="center"/>
              <w:rPr>
                <w:rFonts w:ascii="宋体" w:hAnsi="宋体" w:eastAsia="宋体" w:cs="宋体"/>
                <w:spacing w:val="20"/>
                <w:sz w:val="24"/>
                <w:highlight w:val="none"/>
              </w:rPr>
            </w:pPr>
          </w:p>
        </w:tc>
      </w:tr>
      <w:tr w14:paraId="71F57043">
        <w:tblPrEx>
          <w:tblCellMar>
            <w:top w:w="0" w:type="dxa"/>
            <w:left w:w="108" w:type="dxa"/>
            <w:bottom w:w="0" w:type="dxa"/>
            <w:right w:w="108" w:type="dxa"/>
          </w:tblCellMar>
        </w:tblPrEx>
        <w:trPr>
          <w:trHeight w:val="452"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1FBB30D5">
            <w:pPr>
              <w:adjustRightInd/>
              <w:spacing w:before="50" w:after="50" w:line="360" w:lineRule="auto"/>
              <w:jc w:val="center"/>
              <w:rPr>
                <w:rFonts w:ascii="宋体" w:hAnsi="宋体" w:eastAsia="宋体" w:cs="宋体"/>
                <w:spacing w:val="20"/>
                <w:sz w:val="24"/>
                <w:highlight w:val="none"/>
              </w:rPr>
            </w:pPr>
          </w:p>
        </w:tc>
        <w:tc>
          <w:tcPr>
            <w:tcW w:w="1703" w:type="dxa"/>
            <w:tcBorders>
              <w:top w:val="single" w:color="auto" w:sz="4" w:space="0"/>
              <w:left w:val="nil"/>
              <w:bottom w:val="single" w:color="auto" w:sz="4" w:space="0"/>
              <w:right w:val="single" w:color="auto" w:sz="4" w:space="0"/>
            </w:tcBorders>
            <w:vAlign w:val="center"/>
          </w:tcPr>
          <w:p w14:paraId="3748B2B2">
            <w:pPr>
              <w:adjustRightInd/>
              <w:spacing w:before="50" w:after="50"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67833F95">
            <w:pPr>
              <w:adjustRightInd/>
              <w:spacing w:before="50" w:after="50"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44B38456">
            <w:pPr>
              <w:adjustRightInd/>
              <w:spacing w:before="50" w:after="50"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5E5CB411">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5FCE0ECF">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280CD170">
            <w:pPr>
              <w:adjustRightInd/>
              <w:spacing w:before="50" w:after="50" w:line="360" w:lineRule="auto"/>
              <w:jc w:val="center"/>
              <w:rPr>
                <w:rFonts w:ascii="宋体" w:hAnsi="宋体" w:eastAsia="宋体" w:cs="宋体"/>
                <w:spacing w:val="20"/>
                <w:sz w:val="24"/>
                <w:highlight w:val="none"/>
              </w:rPr>
            </w:pPr>
          </w:p>
        </w:tc>
      </w:tr>
      <w:tr w14:paraId="436A25CF">
        <w:tblPrEx>
          <w:tblCellMar>
            <w:top w:w="0" w:type="dxa"/>
            <w:left w:w="108" w:type="dxa"/>
            <w:bottom w:w="0" w:type="dxa"/>
            <w:right w:w="108" w:type="dxa"/>
          </w:tblCellMar>
        </w:tblPrEx>
        <w:trPr>
          <w:trHeight w:val="520"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1A1A3338">
            <w:pPr>
              <w:adjustRightInd/>
              <w:spacing w:before="50" w:after="50" w:line="360" w:lineRule="auto"/>
              <w:jc w:val="center"/>
              <w:rPr>
                <w:rFonts w:ascii="宋体" w:hAnsi="宋体" w:eastAsia="宋体" w:cs="宋体"/>
                <w:spacing w:val="20"/>
                <w:sz w:val="24"/>
                <w:highlight w:val="none"/>
              </w:rPr>
            </w:pPr>
          </w:p>
        </w:tc>
        <w:tc>
          <w:tcPr>
            <w:tcW w:w="1703" w:type="dxa"/>
            <w:tcBorders>
              <w:top w:val="single" w:color="auto" w:sz="4" w:space="0"/>
              <w:left w:val="nil"/>
              <w:bottom w:val="single" w:color="auto" w:sz="4" w:space="0"/>
              <w:right w:val="single" w:color="auto" w:sz="4" w:space="0"/>
            </w:tcBorders>
            <w:vAlign w:val="center"/>
          </w:tcPr>
          <w:p w14:paraId="3538B1D4">
            <w:pPr>
              <w:adjustRightInd/>
              <w:spacing w:before="50" w:after="50" w:line="360" w:lineRule="auto"/>
              <w:jc w:val="center"/>
              <w:rPr>
                <w:rFonts w:ascii="宋体" w:hAnsi="宋体" w:eastAsia="宋体" w:cs="宋体"/>
                <w:spacing w:val="20"/>
                <w:sz w:val="24"/>
                <w:highlight w:val="none"/>
              </w:rPr>
            </w:pPr>
          </w:p>
        </w:tc>
        <w:tc>
          <w:tcPr>
            <w:tcW w:w="870" w:type="dxa"/>
            <w:tcBorders>
              <w:top w:val="single" w:color="auto" w:sz="4" w:space="0"/>
              <w:left w:val="single" w:color="auto" w:sz="4" w:space="0"/>
              <w:bottom w:val="single" w:color="auto" w:sz="4" w:space="0"/>
              <w:right w:val="single" w:color="auto" w:sz="4" w:space="0"/>
            </w:tcBorders>
            <w:vAlign w:val="center"/>
          </w:tcPr>
          <w:p w14:paraId="33C4B6FB">
            <w:pPr>
              <w:adjustRightInd/>
              <w:spacing w:before="50" w:after="50" w:line="360" w:lineRule="auto"/>
              <w:jc w:val="center"/>
              <w:rPr>
                <w:rFonts w:ascii="宋体" w:hAnsi="宋体" w:eastAsia="宋体" w:cs="宋体"/>
                <w:spacing w:val="20"/>
                <w:sz w:val="24"/>
                <w:highlight w:val="none"/>
              </w:rPr>
            </w:pPr>
          </w:p>
        </w:tc>
        <w:tc>
          <w:tcPr>
            <w:tcW w:w="1371" w:type="dxa"/>
            <w:tcBorders>
              <w:top w:val="single" w:color="auto" w:sz="4" w:space="0"/>
              <w:left w:val="single" w:color="auto" w:sz="4" w:space="0"/>
              <w:bottom w:val="single" w:color="auto" w:sz="4" w:space="0"/>
              <w:right w:val="single" w:color="auto" w:sz="4" w:space="0"/>
            </w:tcBorders>
            <w:vAlign w:val="center"/>
          </w:tcPr>
          <w:p w14:paraId="347D63A4">
            <w:pPr>
              <w:adjustRightInd/>
              <w:spacing w:before="50" w:after="50" w:line="360" w:lineRule="auto"/>
              <w:jc w:val="center"/>
              <w:rPr>
                <w:rFonts w:ascii="宋体" w:hAnsi="宋体" w:eastAsia="宋体" w:cs="宋体"/>
                <w:spacing w:val="20"/>
                <w:sz w:val="24"/>
                <w:highlight w:val="none"/>
              </w:rPr>
            </w:pPr>
          </w:p>
        </w:tc>
        <w:tc>
          <w:tcPr>
            <w:tcW w:w="1501" w:type="dxa"/>
            <w:tcBorders>
              <w:top w:val="single" w:color="auto" w:sz="4" w:space="0"/>
              <w:left w:val="nil"/>
              <w:bottom w:val="single" w:color="auto" w:sz="4" w:space="0"/>
              <w:right w:val="single" w:color="auto" w:sz="4" w:space="0"/>
            </w:tcBorders>
            <w:vAlign w:val="center"/>
          </w:tcPr>
          <w:p w14:paraId="4457A53D">
            <w:pPr>
              <w:adjustRightInd/>
              <w:spacing w:before="50" w:after="50" w:line="360" w:lineRule="auto"/>
              <w:jc w:val="center"/>
              <w:rPr>
                <w:rFonts w:ascii="宋体" w:hAnsi="宋体" w:eastAsia="宋体" w:cs="宋体"/>
                <w:spacing w:val="20"/>
                <w:sz w:val="24"/>
                <w:highlight w:val="none"/>
              </w:rPr>
            </w:pPr>
          </w:p>
        </w:tc>
        <w:tc>
          <w:tcPr>
            <w:tcW w:w="1253" w:type="dxa"/>
            <w:tcBorders>
              <w:top w:val="single" w:color="auto" w:sz="4" w:space="0"/>
              <w:left w:val="nil"/>
              <w:bottom w:val="single" w:color="auto" w:sz="4" w:space="0"/>
              <w:right w:val="single" w:color="auto" w:sz="4" w:space="0"/>
            </w:tcBorders>
            <w:vAlign w:val="center"/>
          </w:tcPr>
          <w:p w14:paraId="5E8D7EDD">
            <w:pPr>
              <w:adjustRightInd/>
              <w:spacing w:before="50" w:after="50" w:line="360" w:lineRule="auto"/>
              <w:jc w:val="center"/>
              <w:rPr>
                <w:rFonts w:ascii="宋体" w:hAnsi="宋体" w:eastAsia="宋体" w:cs="宋体"/>
                <w:spacing w:val="20"/>
                <w:sz w:val="24"/>
                <w:highlight w:val="none"/>
              </w:rPr>
            </w:pPr>
          </w:p>
        </w:tc>
        <w:tc>
          <w:tcPr>
            <w:tcW w:w="1432" w:type="dxa"/>
            <w:tcBorders>
              <w:top w:val="single" w:color="auto" w:sz="4" w:space="0"/>
              <w:left w:val="nil"/>
              <w:bottom w:val="single" w:color="auto" w:sz="4" w:space="0"/>
              <w:right w:val="single" w:color="auto" w:sz="4" w:space="0"/>
            </w:tcBorders>
            <w:vAlign w:val="center"/>
          </w:tcPr>
          <w:p w14:paraId="1E5E6286">
            <w:pPr>
              <w:adjustRightInd/>
              <w:spacing w:before="50" w:after="50" w:line="360" w:lineRule="auto"/>
              <w:jc w:val="center"/>
              <w:rPr>
                <w:rFonts w:ascii="宋体" w:hAnsi="宋体" w:eastAsia="宋体" w:cs="宋体"/>
                <w:spacing w:val="20"/>
                <w:sz w:val="24"/>
                <w:highlight w:val="none"/>
              </w:rPr>
            </w:pPr>
          </w:p>
        </w:tc>
      </w:tr>
      <w:tr w14:paraId="02B3A19B">
        <w:tblPrEx>
          <w:tblCellMar>
            <w:top w:w="0" w:type="dxa"/>
            <w:left w:w="108" w:type="dxa"/>
            <w:bottom w:w="0" w:type="dxa"/>
            <w:right w:w="108" w:type="dxa"/>
          </w:tblCellMar>
        </w:tblPrEx>
        <w:trPr>
          <w:jc w:val="center"/>
        </w:trPr>
        <w:tc>
          <w:tcPr>
            <w:tcW w:w="7515" w:type="dxa"/>
            <w:gridSpan w:val="6"/>
            <w:tcBorders>
              <w:top w:val="single" w:color="auto" w:sz="4" w:space="0"/>
              <w:left w:val="single" w:color="auto" w:sz="4" w:space="0"/>
              <w:bottom w:val="single" w:color="auto" w:sz="4" w:space="0"/>
              <w:right w:val="single" w:color="auto" w:sz="4" w:space="0"/>
            </w:tcBorders>
            <w:vAlign w:val="center"/>
          </w:tcPr>
          <w:p w14:paraId="121BCC67">
            <w:pPr>
              <w:adjustRightInd/>
              <w:spacing w:before="50" w:after="50" w:line="360" w:lineRule="auto"/>
              <w:jc w:val="center"/>
              <w:rPr>
                <w:rFonts w:ascii="宋体" w:hAnsi="宋体" w:eastAsia="宋体" w:cs="宋体"/>
                <w:spacing w:val="20"/>
                <w:sz w:val="24"/>
                <w:highlight w:val="none"/>
              </w:rPr>
            </w:pPr>
            <w:r>
              <w:rPr>
                <w:rFonts w:hint="eastAsia" w:ascii="宋体" w:hAnsi="宋体" w:eastAsia="宋体" w:cs="宋体"/>
                <w:spacing w:val="20"/>
                <w:sz w:val="24"/>
                <w:highlight w:val="none"/>
              </w:rPr>
              <w:t>投标总价</w:t>
            </w:r>
          </w:p>
        </w:tc>
        <w:tc>
          <w:tcPr>
            <w:tcW w:w="1432" w:type="dxa"/>
            <w:tcBorders>
              <w:top w:val="single" w:color="auto" w:sz="4" w:space="0"/>
              <w:left w:val="nil"/>
              <w:bottom w:val="single" w:color="auto" w:sz="4" w:space="0"/>
              <w:right w:val="single" w:color="auto" w:sz="4" w:space="0"/>
            </w:tcBorders>
            <w:vAlign w:val="center"/>
          </w:tcPr>
          <w:p w14:paraId="31DD1B40">
            <w:pPr>
              <w:adjustRightInd/>
              <w:spacing w:before="50" w:after="50" w:line="360" w:lineRule="auto"/>
              <w:jc w:val="center"/>
              <w:rPr>
                <w:rFonts w:ascii="宋体" w:hAnsi="宋体" w:eastAsia="宋体" w:cs="宋体"/>
                <w:spacing w:val="20"/>
                <w:sz w:val="24"/>
                <w:highlight w:val="none"/>
              </w:rPr>
            </w:pPr>
          </w:p>
        </w:tc>
      </w:tr>
    </w:tbl>
    <w:p w14:paraId="65E52535">
      <w:pPr>
        <w:widowControl/>
        <w:adjustRightInd/>
        <w:spacing w:line="360" w:lineRule="auto"/>
        <w:jc w:val="left"/>
        <w:rPr>
          <w:rFonts w:hAnsi="宋体" w:cs="宋体"/>
          <w:kern w:val="0"/>
          <w:szCs w:val="20"/>
          <w:highlight w:val="none"/>
        </w:rPr>
      </w:pPr>
    </w:p>
    <w:p w14:paraId="0697DD0D">
      <w:pPr>
        <w:spacing w:line="360" w:lineRule="auto"/>
        <w:rPr>
          <w:rFonts w:hAnsi="宋体" w:cs="宋体"/>
          <w:highlight w:val="none"/>
        </w:rPr>
      </w:pPr>
    </w:p>
    <w:p w14:paraId="1CF2E1D4">
      <w:pPr>
        <w:widowControl/>
        <w:adjustRightInd/>
        <w:spacing w:line="360" w:lineRule="auto"/>
        <w:jc w:val="left"/>
        <w:rPr>
          <w:kern w:val="0"/>
          <w:szCs w:val="20"/>
          <w:highlight w:val="none"/>
        </w:rPr>
      </w:pPr>
    </w:p>
    <w:p w14:paraId="18BF78BC">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投标人名称（</w:t>
      </w:r>
      <w:r>
        <w:rPr>
          <w:rFonts w:hint="eastAsia" w:ascii="宋体" w:hAnsi="宋体" w:cs="宋体"/>
          <w:sz w:val="24"/>
          <w:highlight w:val="none"/>
        </w:rPr>
        <w:t>电子签名</w:t>
      </w:r>
      <w:r>
        <w:rPr>
          <w:rFonts w:hint="eastAsia" w:ascii="宋体" w:hAnsi="宋体" w:cs="宋体"/>
          <w:kern w:val="0"/>
          <w:sz w:val="24"/>
          <w:highlight w:val="none"/>
          <w:lang w:val="zh-CN"/>
        </w:rPr>
        <w:t>）：</w:t>
      </w:r>
    </w:p>
    <w:p w14:paraId="6A09A7B5">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12280796">
      <w:pPr>
        <w:rPr>
          <w:rFonts w:ascii="宋体" w:hAnsi="宋体" w:cs="宋体"/>
          <w:sz w:val="32"/>
          <w:szCs w:val="32"/>
          <w:highlight w:val="none"/>
        </w:rPr>
      </w:pPr>
    </w:p>
    <w:p w14:paraId="4E53B3E2">
      <w:pPr>
        <w:pStyle w:val="25"/>
        <w:rPr>
          <w:highlight w:val="none"/>
        </w:rPr>
        <w:sectPr>
          <w:headerReference r:id="rId22" w:type="first"/>
          <w:footerReference r:id="rId25" w:type="first"/>
          <w:headerReference r:id="rId21" w:type="default"/>
          <w:footerReference r:id="rId23" w:type="default"/>
          <w:footerReference r:id="rId24" w:type="even"/>
          <w:pgSz w:w="11906" w:h="16838"/>
          <w:pgMar w:top="1440" w:right="1803" w:bottom="1440" w:left="1803" w:header="851" w:footer="992" w:gutter="0"/>
          <w:pgNumType w:fmt="decimal"/>
          <w:cols w:space="0" w:num="1"/>
          <w:titlePg/>
          <w:rtlGutter w:val="0"/>
          <w:docGrid w:linePitch="312" w:charSpace="0"/>
        </w:sectPr>
      </w:pPr>
    </w:p>
    <w:p w14:paraId="630FA29B">
      <w:pPr>
        <w:pStyle w:val="690"/>
        <w:keepNext w:val="0"/>
        <w:pageBreakBefore w:val="0"/>
        <w:tabs>
          <w:tab w:val="clear" w:pos="720"/>
        </w:tabs>
        <w:snapToGrid w:val="0"/>
        <w:spacing w:before="120" w:after="120"/>
        <w:jc w:val="both"/>
        <w:outlineLvl w:val="9"/>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t>二、报价情况说明(如供应商报价低于项目预算50%的，应当提交本文档，详细阐述不影响产品质量或者诚信履约的具体原因。</w:t>
      </w:r>
    </w:p>
    <w:p w14:paraId="5F660C5F">
      <w:pPr>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br w:type="page"/>
      </w:r>
    </w:p>
    <w:p w14:paraId="6BD3A332">
      <w:pPr>
        <w:pStyle w:val="690"/>
        <w:keepNext w:val="0"/>
        <w:pageBreakBefore w:val="0"/>
        <w:tabs>
          <w:tab w:val="clear" w:pos="720"/>
        </w:tabs>
        <w:snapToGrid w:val="0"/>
        <w:spacing w:before="120" w:after="120"/>
        <w:ind w:firstLine="643"/>
        <w:outlineLvl w:val="9"/>
        <w:rPr>
          <w:rFonts w:ascii="宋体" w:hAnsi="宋体" w:eastAsia="宋体" w:cs="宋体"/>
          <w:sz w:val="32"/>
          <w:szCs w:val="32"/>
          <w:highlight w:val="none"/>
        </w:rPr>
      </w:pPr>
      <w:r>
        <w:rPr>
          <w:rFonts w:hint="eastAsia" w:ascii="宋体" w:hAnsi="宋体" w:eastAsia="宋体" w:cs="宋体"/>
          <w:sz w:val="32"/>
          <w:szCs w:val="32"/>
          <w:highlight w:val="none"/>
          <w:lang w:val="en-US" w:eastAsia="zh-CN"/>
        </w:rPr>
        <w:t>三、</w:t>
      </w:r>
      <w:r>
        <w:rPr>
          <w:rFonts w:hint="eastAsia" w:ascii="宋体" w:hAnsi="宋体" w:eastAsia="宋体" w:cs="宋体"/>
          <w:sz w:val="32"/>
          <w:szCs w:val="32"/>
          <w:highlight w:val="none"/>
        </w:rPr>
        <w:t>中小企业声明函</w:t>
      </w:r>
      <w:bookmarkStart w:id="426" w:name="_Hlk101259491"/>
      <w:r>
        <w:rPr>
          <w:rFonts w:hint="eastAsia" w:ascii="宋体" w:hAnsi="宋体" w:eastAsia="宋体" w:cs="宋体"/>
          <w:sz w:val="32"/>
          <w:szCs w:val="32"/>
          <w:highlight w:val="none"/>
        </w:rPr>
        <w:t>（如果有）</w:t>
      </w:r>
      <w:bookmarkEnd w:id="424"/>
      <w:bookmarkEnd w:id="425"/>
      <w:bookmarkEnd w:id="426"/>
    </w:p>
    <w:p w14:paraId="2DE57694">
      <w:pPr>
        <w:widowControl/>
        <w:spacing w:line="360" w:lineRule="auto"/>
        <w:ind w:firstLine="120" w:firstLineChars="50"/>
        <w:jc w:val="left"/>
        <w:rPr>
          <w:rFonts w:ascii="宋体" w:hAnsi="宋体" w:cs="宋体"/>
          <w:b/>
          <w:sz w:val="24"/>
          <w:highlight w:val="none"/>
        </w:rPr>
      </w:pPr>
      <w:r>
        <w:rPr>
          <w:rFonts w:hint="eastAsia" w:ascii="宋体" w:hAnsi="宋体" w:cs="宋体"/>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highlight w:val="none"/>
        </w:rPr>
        <w:t>7</w:t>
      </w:r>
      <w:r>
        <w:rPr>
          <w:rFonts w:hint="eastAsia" w:ascii="宋体" w:hAnsi="宋体" w:cs="宋体"/>
          <w:b/>
          <w:sz w:val="24"/>
          <w:highlight w:val="none"/>
        </w:rPr>
        <w:t>）。]</w:t>
      </w:r>
    </w:p>
    <w:p w14:paraId="6F895BFE">
      <w:pPr>
        <w:pStyle w:val="690"/>
        <w:keepNext w:val="0"/>
        <w:pageBreakBefore w:val="0"/>
        <w:tabs>
          <w:tab w:val="clear" w:pos="720"/>
        </w:tabs>
        <w:snapToGrid w:val="0"/>
        <w:spacing w:before="120" w:after="120"/>
        <w:ind w:firstLine="643"/>
        <w:outlineLvl w:val="9"/>
        <w:rPr>
          <w:rFonts w:ascii="宋体" w:hAnsi="宋体" w:eastAsia="宋体" w:cs="宋体"/>
          <w:b w:val="0"/>
          <w:color w:val="FF0000"/>
          <w:sz w:val="32"/>
          <w:szCs w:val="32"/>
          <w:highlight w:val="none"/>
        </w:rPr>
      </w:pPr>
    </w:p>
    <w:p w14:paraId="39B5E7D1">
      <w:pPr>
        <w:spacing w:line="360" w:lineRule="auto"/>
        <w:ind w:right="420" w:firstLine="3614" w:firstLineChars="1000"/>
        <w:rPr>
          <w:rFonts w:ascii="宋体" w:hAnsi="宋体" w:cs="宋体"/>
          <w:b/>
          <w:kern w:val="0"/>
          <w:sz w:val="36"/>
          <w:szCs w:val="36"/>
          <w:highlight w:val="none"/>
        </w:rPr>
      </w:pPr>
    </w:p>
    <w:p w14:paraId="7E4AAB12">
      <w:pPr>
        <w:spacing w:line="360" w:lineRule="auto"/>
        <w:ind w:right="420" w:firstLine="3614" w:firstLineChars="1000"/>
        <w:rPr>
          <w:rFonts w:ascii="宋体" w:hAnsi="宋体" w:cs="宋体"/>
          <w:b/>
          <w:kern w:val="0"/>
          <w:sz w:val="36"/>
          <w:szCs w:val="36"/>
          <w:highlight w:val="none"/>
        </w:rPr>
      </w:pPr>
    </w:p>
    <w:p w14:paraId="06735ABE">
      <w:pPr>
        <w:spacing w:line="360" w:lineRule="auto"/>
        <w:ind w:right="420" w:firstLine="3614" w:firstLineChars="1000"/>
        <w:rPr>
          <w:rFonts w:ascii="宋体" w:hAnsi="宋体" w:cs="宋体"/>
          <w:b/>
          <w:kern w:val="0"/>
          <w:sz w:val="36"/>
          <w:szCs w:val="36"/>
          <w:highlight w:val="none"/>
        </w:rPr>
      </w:pPr>
    </w:p>
    <w:p w14:paraId="12386E01">
      <w:pPr>
        <w:spacing w:line="360" w:lineRule="auto"/>
        <w:ind w:right="420" w:firstLine="3614" w:firstLineChars="1000"/>
        <w:rPr>
          <w:rFonts w:ascii="宋体" w:hAnsi="宋体" w:cs="宋体"/>
          <w:b/>
          <w:kern w:val="0"/>
          <w:sz w:val="36"/>
          <w:szCs w:val="36"/>
          <w:highlight w:val="none"/>
        </w:rPr>
      </w:pPr>
    </w:p>
    <w:p w14:paraId="2661968F">
      <w:pPr>
        <w:spacing w:line="360" w:lineRule="auto"/>
        <w:ind w:right="420" w:firstLine="3614" w:firstLineChars="1000"/>
        <w:rPr>
          <w:rFonts w:ascii="宋体" w:hAnsi="宋体" w:cs="宋体"/>
          <w:b/>
          <w:kern w:val="0"/>
          <w:sz w:val="36"/>
          <w:szCs w:val="36"/>
          <w:highlight w:val="none"/>
        </w:rPr>
      </w:pPr>
    </w:p>
    <w:p w14:paraId="24F19356">
      <w:pPr>
        <w:spacing w:line="360" w:lineRule="auto"/>
        <w:ind w:right="420" w:firstLine="3614" w:firstLineChars="1000"/>
        <w:rPr>
          <w:rFonts w:ascii="宋体" w:hAnsi="宋体" w:cs="宋体"/>
          <w:b/>
          <w:kern w:val="0"/>
          <w:sz w:val="36"/>
          <w:szCs w:val="36"/>
          <w:highlight w:val="none"/>
        </w:rPr>
      </w:pPr>
    </w:p>
    <w:p w14:paraId="48AF3AFE">
      <w:pPr>
        <w:spacing w:line="360" w:lineRule="auto"/>
        <w:ind w:right="420" w:firstLine="3614" w:firstLineChars="1000"/>
        <w:rPr>
          <w:rFonts w:ascii="宋体" w:hAnsi="宋体" w:cs="宋体"/>
          <w:b/>
          <w:kern w:val="0"/>
          <w:sz w:val="36"/>
          <w:szCs w:val="36"/>
          <w:highlight w:val="none"/>
        </w:rPr>
      </w:pPr>
    </w:p>
    <w:p w14:paraId="7D0864FE">
      <w:pPr>
        <w:spacing w:line="360" w:lineRule="auto"/>
        <w:ind w:right="420" w:firstLine="3614" w:firstLineChars="1000"/>
        <w:rPr>
          <w:rFonts w:ascii="宋体" w:hAnsi="宋体" w:cs="宋体"/>
          <w:b/>
          <w:kern w:val="0"/>
          <w:sz w:val="36"/>
          <w:szCs w:val="36"/>
          <w:highlight w:val="none"/>
        </w:rPr>
      </w:pPr>
    </w:p>
    <w:p w14:paraId="2B0FEFD0">
      <w:pPr>
        <w:spacing w:line="360" w:lineRule="auto"/>
        <w:ind w:right="420" w:firstLine="3614" w:firstLineChars="1000"/>
        <w:rPr>
          <w:rFonts w:ascii="宋体" w:hAnsi="宋体" w:cs="宋体"/>
          <w:b/>
          <w:kern w:val="0"/>
          <w:sz w:val="36"/>
          <w:szCs w:val="36"/>
          <w:highlight w:val="none"/>
        </w:rPr>
      </w:pPr>
    </w:p>
    <w:p w14:paraId="2C0A84B1">
      <w:pPr>
        <w:spacing w:line="360" w:lineRule="auto"/>
        <w:ind w:right="420" w:firstLine="3614" w:firstLineChars="1000"/>
        <w:rPr>
          <w:rFonts w:ascii="宋体" w:hAnsi="宋体" w:cs="宋体"/>
          <w:b/>
          <w:kern w:val="0"/>
          <w:sz w:val="36"/>
          <w:szCs w:val="36"/>
          <w:highlight w:val="none"/>
        </w:rPr>
      </w:pPr>
    </w:p>
    <w:p w14:paraId="07447B86">
      <w:pPr>
        <w:spacing w:line="360" w:lineRule="auto"/>
        <w:ind w:right="420" w:firstLine="3614" w:firstLineChars="1000"/>
        <w:rPr>
          <w:rFonts w:ascii="宋体" w:hAnsi="宋体" w:cs="宋体"/>
          <w:b/>
          <w:kern w:val="0"/>
          <w:sz w:val="36"/>
          <w:szCs w:val="36"/>
          <w:highlight w:val="none"/>
        </w:rPr>
      </w:pPr>
    </w:p>
    <w:p w14:paraId="3E787E4F">
      <w:pPr>
        <w:spacing w:line="360" w:lineRule="auto"/>
        <w:ind w:right="420" w:firstLine="3614" w:firstLineChars="1000"/>
        <w:rPr>
          <w:rFonts w:ascii="宋体" w:hAnsi="宋体" w:cs="宋体"/>
          <w:b/>
          <w:kern w:val="0"/>
          <w:sz w:val="36"/>
          <w:szCs w:val="36"/>
          <w:highlight w:val="none"/>
        </w:rPr>
      </w:pPr>
    </w:p>
    <w:p w14:paraId="5D8A1EFA">
      <w:pPr>
        <w:spacing w:line="360" w:lineRule="auto"/>
        <w:ind w:right="420" w:firstLine="3614" w:firstLineChars="1000"/>
        <w:rPr>
          <w:rFonts w:ascii="宋体" w:hAnsi="宋体" w:cs="宋体"/>
          <w:b/>
          <w:kern w:val="0"/>
          <w:sz w:val="36"/>
          <w:szCs w:val="36"/>
          <w:highlight w:val="none"/>
        </w:rPr>
      </w:pPr>
    </w:p>
    <w:p w14:paraId="1838FE30">
      <w:pPr>
        <w:pageBreakBefore/>
        <w:widowControl/>
        <w:tabs>
          <w:tab w:val="left" w:pos="432"/>
        </w:tabs>
        <w:spacing w:before="100" w:beforeAutospacing="1" w:after="100" w:afterAutospacing="1" w:line="360" w:lineRule="auto"/>
        <w:ind w:left="1290" w:firstLine="1470" w:firstLineChars="700"/>
        <w:rPr>
          <w:rFonts w:ascii="宋体" w:hAnsi="宋体" w:cs="宋体"/>
          <w:highlight w:val="none"/>
        </w:rPr>
      </w:pPr>
      <w:bookmarkStart w:id="427" w:name="_Toc465665161"/>
      <w:r>
        <w:rPr>
          <w:rFonts w:hint="eastAsia" w:ascii="宋体" w:hAnsi="宋体" w:cs="宋体"/>
          <w:highlight w:val="none"/>
        </w:rPr>
        <w:t>附件</w:t>
      </w:r>
      <w:bookmarkEnd w:id="427"/>
    </w:p>
    <w:p w14:paraId="4C481485">
      <w:pPr>
        <w:spacing w:line="360" w:lineRule="auto"/>
        <w:rPr>
          <w:rFonts w:ascii="宋体" w:hAnsi="宋体" w:cs="宋体"/>
          <w:b/>
          <w:spacing w:val="6"/>
          <w:sz w:val="32"/>
          <w:szCs w:val="32"/>
          <w:highlight w:val="none"/>
        </w:rPr>
      </w:pPr>
      <w:r>
        <w:rPr>
          <w:rFonts w:hint="eastAsia" w:ascii="宋体" w:hAnsi="宋体" w:cs="宋体"/>
          <w:b/>
          <w:spacing w:val="6"/>
          <w:sz w:val="32"/>
          <w:szCs w:val="32"/>
          <w:highlight w:val="none"/>
        </w:rPr>
        <w:t>附件1：</w:t>
      </w:r>
    </w:p>
    <w:p w14:paraId="71987DC4">
      <w:pPr>
        <w:spacing w:line="360" w:lineRule="auto"/>
        <w:jc w:val="center"/>
        <w:rPr>
          <w:rFonts w:ascii="宋体" w:hAnsi="宋体" w:cs="宋体"/>
          <w:b/>
          <w:spacing w:val="6"/>
          <w:sz w:val="32"/>
          <w:szCs w:val="32"/>
          <w:highlight w:val="none"/>
        </w:rPr>
      </w:pPr>
      <w:bookmarkStart w:id="428" w:name="OLE_LINK13"/>
      <w:bookmarkStart w:id="429" w:name="OLE_LINK14"/>
      <w:r>
        <w:rPr>
          <w:rFonts w:hint="eastAsia" w:ascii="宋体" w:hAnsi="宋体" w:cs="宋体"/>
          <w:b/>
          <w:spacing w:val="6"/>
          <w:sz w:val="32"/>
          <w:szCs w:val="32"/>
          <w:highlight w:val="none"/>
        </w:rPr>
        <w:t>残疾人福利性单位声明函</w:t>
      </w:r>
    </w:p>
    <w:bookmarkEnd w:id="428"/>
    <w:bookmarkEnd w:id="429"/>
    <w:p w14:paraId="096E5ACC">
      <w:pPr>
        <w:spacing w:line="360" w:lineRule="auto"/>
        <w:rPr>
          <w:rFonts w:ascii="宋体" w:hAnsi="宋体" w:cs="宋体"/>
          <w:b/>
          <w:spacing w:val="6"/>
          <w:sz w:val="30"/>
          <w:szCs w:val="30"/>
          <w:highlight w:val="none"/>
        </w:rPr>
      </w:pPr>
    </w:p>
    <w:p w14:paraId="5A45F91D">
      <w:pPr>
        <w:spacing w:line="360" w:lineRule="auto"/>
        <w:ind w:firstLine="480" w:firstLineChars="200"/>
        <w:rPr>
          <w:rFonts w:ascii="宋体" w:hAnsi="宋体" w:cs="宋体"/>
          <w:sz w:val="24"/>
          <w:highlight w:val="none"/>
        </w:rPr>
      </w:pPr>
      <w:r>
        <w:rPr>
          <w:rFonts w:hint="eastAsia" w:ascii="宋体" w:hAnsi="宋体" w:cs="宋体"/>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highlight w:val="none"/>
          <w:u w:val="single"/>
        </w:rPr>
        <w:t>（采购人）</w:t>
      </w:r>
      <w:r>
        <w:rPr>
          <w:rFonts w:hint="eastAsia" w:ascii="宋体" w:hAnsi="宋体" w:cs="宋体"/>
          <w:sz w:val="24"/>
          <w:highlight w:val="none"/>
        </w:rPr>
        <w:t>_单位的_</w:t>
      </w:r>
      <w:r>
        <w:rPr>
          <w:rFonts w:hint="eastAsia" w:ascii="宋体" w:hAnsi="宋体" w:cs="宋体"/>
          <w:sz w:val="24"/>
          <w:highlight w:val="none"/>
          <w:u w:val="single"/>
        </w:rPr>
        <w:t>（项目名称）</w:t>
      </w:r>
      <w:r>
        <w:rPr>
          <w:rFonts w:hint="eastAsia" w:ascii="宋体" w:hAnsi="宋体" w:cs="宋体"/>
          <w:sz w:val="24"/>
          <w:highlight w:val="none"/>
        </w:rPr>
        <w:t>__项目采购活动提供本单位制造的货物（由本单位承担工程/提供服务），或者提供其他残疾人福利性单位制造的货物（不包括使用非残疾人福利性单位注册商标的货物）。</w:t>
      </w:r>
    </w:p>
    <w:p w14:paraId="4441E086">
      <w:pPr>
        <w:spacing w:line="360" w:lineRule="auto"/>
        <w:ind w:firstLine="480" w:firstLineChars="200"/>
        <w:rPr>
          <w:rFonts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553F7562">
      <w:pPr>
        <w:spacing w:line="360" w:lineRule="auto"/>
        <w:ind w:firstLine="480" w:firstLineChars="200"/>
        <w:rPr>
          <w:rFonts w:ascii="宋体" w:hAnsi="宋体" w:cs="宋体"/>
          <w:sz w:val="24"/>
          <w:highlight w:val="none"/>
        </w:rPr>
      </w:pPr>
    </w:p>
    <w:p w14:paraId="4ED2A24D">
      <w:pPr>
        <w:spacing w:line="360" w:lineRule="auto"/>
        <w:ind w:firstLine="480" w:firstLineChars="200"/>
        <w:rPr>
          <w:rFonts w:ascii="宋体" w:hAnsi="宋体" w:cs="宋体"/>
          <w:sz w:val="24"/>
          <w:highlight w:val="none"/>
        </w:rPr>
      </w:pPr>
    </w:p>
    <w:p w14:paraId="2995716C">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kern w:val="0"/>
          <w:sz w:val="24"/>
          <w:highlight w:val="none"/>
          <w:lang w:val="zh-CN"/>
        </w:rPr>
        <w:t>投标人名称（电子签名）</w:t>
      </w:r>
      <w:r>
        <w:rPr>
          <w:rFonts w:hint="eastAsia" w:ascii="宋体" w:hAnsi="宋体" w:cs="宋体"/>
          <w:sz w:val="24"/>
          <w:highlight w:val="none"/>
        </w:rPr>
        <w:t>：</w:t>
      </w:r>
    </w:p>
    <w:p w14:paraId="2E46DAF7">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日  期：</w:t>
      </w:r>
    </w:p>
    <w:p w14:paraId="6714C9A9">
      <w:pPr>
        <w:spacing w:line="360" w:lineRule="auto"/>
        <w:ind w:firstLine="480" w:firstLineChars="200"/>
        <w:rPr>
          <w:rFonts w:ascii="宋体" w:hAnsi="宋体" w:cs="宋体"/>
          <w:sz w:val="24"/>
          <w:highlight w:val="none"/>
        </w:rPr>
      </w:pPr>
    </w:p>
    <w:p w14:paraId="78E10847">
      <w:pPr>
        <w:spacing w:line="360" w:lineRule="auto"/>
        <w:ind w:firstLine="420" w:firstLineChars="200"/>
        <w:rPr>
          <w:rFonts w:ascii="宋体" w:hAnsi="宋体" w:cs="宋体"/>
          <w:highlight w:val="none"/>
        </w:rPr>
      </w:pPr>
    </w:p>
    <w:p w14:paraId="001D2EE3">
      <w:pPr>
        <w:spacing w:line="360" w:lineRule="auto"/>
        <w:ind w:firstLine="420" w:firstLineChars="200"/>
        <w:rPr>
          <w:rFonts w:ascii="宋体" w:hAnsi="宋体" w:cs="宋体"/>
          <w:highlight w:val="none"/>
        </w:rPr>
      </w:pPr>
    </w:p>
    <w:p w14:paraId="72F21B0D">
      <w:pPr>
        <w:spacing w:line="360" w:lineRule="auto"/>
        <w:ind w:firstLine="420" w:firstLineChars="200"/>
        <w:rPr>
          <w:rFonts w:ascii="宋体" w:hAnsi="宋体" w:cs="宋体"/>
          <w:highlight w:val="none"/>
        </w:rPr>
      </w:pPr>
    </w:p>
    <w:p w14:paraId="3FC37403">
      <w:pPr>
        <w:spacing w:line="360" w:lineRule="auto"/>
        <w:ind w:firstLine="420" w:firstLineChars="200"/>
        <w:rPr>
          <w:rFonts w:ascii="宋体" w:hAnsi="宋体" w:cs="宋体"/>
          <w:highlight w:val="none"/>
        </w:rPr>
      </w:pPr>
    </w:p>
    <w:p w14:paraId="5DB611FD">
      <w:pPr>
        <w:spacing w:line="360" w:lineRule="auto"/>
        <w:rPr>
          <w:rFonts w:ascii="宋体" w:hAnsi="宋体" w:cs="宋体"/>
          <w:b/>
          <w:sz w:val="24"/>
          <w:highlight w:val="none"/>
        </w:rPr>
      </w:pPr>
    </w:p>
    <w:p w14:paraId="1F5BE3BF">
      <w:pPr>
        <w:spacing w:line="360" w:lineRule="auto"/>
        <w:rPr>
          <w:rFonts w:ascii="宋体" w:hAnsi="宋体" w:cs="宋体"/>
          <w:b/>
          <w:sz w:val="24"/>
          <w:highlight w:val="none"/>
        </w:rPr>
      </w:pPr>
    </w:p>
    <w:p w14:paraId="5EE9774B">
      <w:pPr>
        <w:spacing w:line="360" w:lineRule="auto"/>
        <w:rPr>
          <w:rFonts w:ascii="宋体" w:hAnsi="宋体" w:cs="宋体"/>
          <w:b/>
          <w:sz w:val="24"/>
          <w:highlight w:val="none"/>
        </w:rPr>
      </w:pPr>
    </w:p>
    <w:p w14:paraId="0E047B1D">
      <w:pPr>
        <w:spacing w:line="360" w:lineRule="auto"/>
        <w:rPr>
          <w:rFonts w:ascii="宋体" w:hAnsi="宋体" w:cs="宋体"/>
          <w:b/>
          <w:sz w:val="24"/>
          <w:highlight w:val="none"/>
        </w:rPr>
      </w:pPr>
    </w:p>
    <w:p w14:paraId="6B1882F1">
      <w:pPr>
        <w:spacing w:line="360" w:lineRule="auto"/>
        <w:rPr>
          <w:rFonts w:ascii="宋体" w:hAnsi="宋体" w:cs="宋体"/>
          <w:b/>
          <w:sz w:val="24"/>
          <w:highlight w:val="none"/>
        </w:rPr>
      </w:pPr>
    </w:p>
    <w:p w14:paraId="677547F9">
      <w:pPr>
        <w:spacing w:line="360" w:lineRule="auto"/>
        <w:rPr>
          <w:rFonts w:ascii="宋体" w:hAnsi="宋体" w:cs="宋体"/>
          <w:b/>
          <w:sz w:val="24"/>
          <w:highlight w:val="none"/>
        </w:rPr>
      </w:pPr>
    </w:p>
    <w:p w14:paraId="4767DFDB">
      <w:pPr>
        <w:rPr>
          <w:rFonts w:ascii="宋体" w:hAnsi="宋体" w:cs="宋体"/>
          <w:b/>
          <w:spacing w:val="6"/>
          <w:sz w:val="32"/>
          <w:szCs w:val="32"/>
          <w:highlight w:val="none"/>
        </w:rPr>
      </w:pPr>
      <w:r>
        <w:rPr>
          <w:rFonts w:hint="eastAsia" w:ascii="宋体" w:hAnsi="宋体" w:cs="宋体"/>
          <w:b/>
          <w:spacing w:val="6"/>
          <w:sz w:val="32"/>
          <w:szCs w:val="32"/>
          <w:highlight w:val="none"/>
        </w:rPr>
        <w:br w:type="page"/>
      </w:r>
    </w:p>
    <w:p w14:paraId="0D8146A5">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附件2：质疑函范本及制作说明</w:t>
      </w:r>
    </w:p>
    <w:p w14:paraId="64E145B8">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质疑函范本</w:t>
      </w:r>
    </w:p>
    <w:p w14:paraId="35C90658">
      <w:pPr>
        <w:snapToGrid w:val="0"/>
        <w:spacing w:before="240" w:beforeLines="100" w:line="360" w:lineRule="auto"/>
        <w:rPr>
          <w:rFonts w:ascii="宋体" w:hAnsi="宋体" w:cs="宋体"/>
          <w:bCs/>
          <w:sz w:val="24"/>
          <w:highlight w:val="none"/>
        </w:rPr>
      </w:pPr>
      <w:r>
        <w:rPr>
          <w:rFonts w:hint="eastAsia" w:ascii="宋体" w:hAnsi="宋体" w:cs="宋体"/>
          <w:bCs/>
          <w:sz w:val="24"/>
          <w:highlight w:val="none"/>
        </w:rPr>
        <w:t>一、质疑供应商基本信息</w:t>
      </w:r>
    </w:p>
    <w:p w14:paraId="29138B2D">
      <w:pPr>
        <w:snapToGrid w:val="0"/>
        <w:spacing w:line="360" w:lineRule="auto"/>
        <w:rPr>
          <w:rFonts w:ascii="宋体" w:hAnsi="宋体" w:cs="宋体"/>
          <w:sz w:val="24"/>
          <w:highlight w:val="none"/>
          <w:u w:val="dotted"/>
        </w:rPr>
      </w:pPr>
      <w:r>
        <w:rPr>
          <w:rFonts w:hint="eastAsia" w:ascii="宋体" w:hAnsi="宋体" w:cs="宋体"/>
          <w:sz w:val="24"/>
          <w:highlight w:val="none"/>
        </w:rPr>
        <w:t>质疑供应商：</w:t>
      </w:r>
      <w:r>
        <w:rPr>
          <w:rFonts w:hint="eastAsia" w:ascii="宋体" w:hAnsi="宋体" w:cs="宋体"/>
          <w:sz w:val="24"/>
          <w:highlight w:val="none"/>
          <w:u w:val="dotted"/>
        </w:rPr>
        <w:t xml:space="preserve">                                        </w:t>
      </w:r>
    </w:p>
    <w:p w14:paraId="2A6C1D5D">
      <w:pPr>
        <w:snapToGrid w:val="0"/>
        <w:spacing w:line="360" w:lineRule="auto"/>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3567721B">
      <w:pPr>
        <w:snapToGrid w:val="0"/>
        <w:spacing w:line="360" w:lineRule="auto"/>
        <w:rPr>
          <w:rFonts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6ACEAD45">
      <w:pPr>
        <w:snapToGrid w:val="0"/>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p>
    <w:p w14:paraId="20DCB405">
      <w:pPr>
        <w:snapToGrid w:val="0"/>
        <w:spacing w:line="360" w:lineRule="auto"/>
        <w:rPr>
          <w:rFonts w:ascii="宋体" w:hAnsi="宋体" w:cs="宋体"/>
          <w:sz w:val="24"/>
          <w:highlight w:val="none"/>
        </w:rPr>
      </w:pP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6256A8F5">
      <w:pPr>
        <w:snapToGrid w:val="0"/>
        <w:spacing w:line="360" w:lineRule="auto"/>
        <w:rPr>
          <w:rFonts w:ascii="宋体" w:hAnsi="宋体" w:cs="宋体"/>
          <w:sz w:val="24"/>
          <w:highlight w:val="none"/>
        </w:rPr>
      </w:pPr>
      <w:r>
        <w:rPr>
          <w:rFonts w:hint="eastAsia" w:ascii="宋体" w:hAnsi="宋体" w:cs="宋体"/>
          <w:sz w:val="24"/>
          <w:highlight w:val="none"/>
        </w:rPr>
        <w:t xml:space="preserve">地址： </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4ACE71BA">
      <w:pPr>
        <w:snapToGrid w:val="0"/>
        <w:spacing w:line="360" w:lineRule="auto"/>
        <w:rPr>
          <w:rFonts w:ascii="宋体" w:hAnsi="宋体" w:cs="宋体"/>
          <w:bCs/>
          <w:sz w:val="24"/>
          <w:highlight w:val="none"/>
        </w:rPr>
      </w:pPr>
      <w:r>
        <w:rPr>
          <w:rFonts w:hint="eastAsia" w:ascii="宋体" w:hAnsi="宋体" w:cs="宋体"/>
          <w:bCs/>
          <w:sz w:val="24"/>
          <w:highlight w:val="none"/>
        </w:rPr>
        <w:t>二、质疑项目基本情况</w:t>
      </w:r>
    </w:p>
    <w:p w14:paraId="5D87C6BD">
      <w:pPr>
        <w:snapToGrid w:val="0"/>
        <w:spacing w:line="360" w:lineRule="auto"/>
        <w:rPr>
          <w:rFonts w:ascii="宋体" w:hAnsi="宋体" w:cs="宋体"/>
          <w:sz w:val="24"/>
          <w:highlight w:val="none"/>
        </w:rPr>
      </w:pPr>
      <w:r>
        <w:rPr>
          <w:rFonts w:hint="eastAsia" w:ascii="宋体" w:hAnsi="宋体" w:cs="宋体"/>
          <w:sz w:val="24"/>
          <w:highlight w:val="none"/>
        </w:rPr>
        <w:t>质疑项目的名称：</w:t>
      </w:r>
      <w:r>
        <w:rPr>
          <w:rFonts w:hint="eastAsia" w:ascii="宋体" w:hAnsi="宋体" w:cs="宋体"/>
          <w:sz w:val="24"/>
          <w:highlight w:val="none"/>
          <w:u w:val="dotted"/>
        </w:rPr>
        <w:t xml:space="preserve">                                      </w:t>
      </w:r>
    </w:p>
    <w:p w14:paraId="33524DED">
      <w:pPr>
        <w:snapToGrid w:val="0"/>
        <w:spacing w:line="360" w:lineRule="auto"/>
        <w:rPr>
          <w:rFonts w:ascii="宋体" w:hAnsi="宋体" w:cs="宋体"/>
          <w:sz w:val="24"/>
          <w:highlight w:val="none"/>
        </w:rPr>
      </w:pPr>
      <w:r>
        <w:rPr>
          <w:rFonts w:hint="eastAsia" w:ascii="宋体" w:hAnsi="宋体" w:cs="宋体"/>
          <w:sz w:val="24"/>
          <w:highlight w:val="none"/>
        </w:rPr>
        <w:t>质疑项目的编号：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2ED55EEB">
      <w:pPr>
        <w:snapToGrid w:val="0"/>
        <w:spacing w:line="360" w:lineRule="auto"/>
        <w:rPr>
          <w:rFonts w:ascii="宋体" w:hAnsi="宋体" w:cs="宋体"/>
          <w:sz w:val="24"/>
          <w:highlight w:val="none"/>
          <w:u w:val="dotted"/>
        </w:rPr>
      </w:pPr>
      <w:r>
        <w:rPr>
          <w:rFonts w:hint="eastAsia" w:ascii="宋体" w:hAnsi="宋体" w:cs="宋体"/>
          <w:sz w:val="24"/>
          <w:highlight w:val="none"/>
        </w:rPr>
        <w:t>采购人名称：</w:t>
      </w:r>
      <w:r>
        <w:rPr>
          <w:rFonts w:hint="eastAsia" w:ascii="宋体" w:hAnsi="宋体" w:cs="宋体"/>
          <w:sz w:val="24"/>
          <w:highlight w:val="none"/>
          <w:u w:val="dotted"/>
        </w:rPr>
        <w:t xml:space="preserve">                                         </w:t>
      </w:r>
    </w:p>
    <w:p w14:paraId="54B3E9E4">
      <w:pPr>
        <w:snapToGrid w:val="0"/>
        <w:spacing w:line="360" w:lineRule="auto"/>
        <w:rPr>
          <w:rFonts w:ascii="宋体" w:hAnsi="宋体" w:cs="宋体"/>
          <w:sz w:val="24"/>
          <w:highlight w:val="none"/>
        </w:rPr>
      </w:pPr>
      <w:r>
        <w:rPr>
          <w:rFonts w:hint="eastAsia" w:ascii="宋体" w:hAnsi="宋体" w:cs="宋体"/>
          <w:sz w:val="24"/>
          <w:highlight w:val="none"/>
        </w:rPr>
        <w:t>采购文件获取日期：</w:t>
      </w:r>
      <w:r>
        <w:rPr>
          <w:rFonts w:hint="eastAsia" w:ascii="宋体" w:hAnsi="宋体" w:cs="宋体"/>
          <w:sz w:val="24"/>
          <w:highlight w:val="none"/>
          <w:u w:val="dotted"/>
        </w:rPr>
        <w:t xml:space="preserve">                                           </w:t>
      </w:r>
    </w:p>
    <w:p w14:paraId="7C0342A3">
      <w:pPr>
        <w:snapToGrid w:val="0"/>
        <w:spacing w:line="360" w:lineRule="auto"/>
        <w:rPr>
          <w:rFonts w:ascii="宋体" w:hAnsi="宋体" w:cs="宋体"/>
          <w:bCs/>
          <w:sz w:val="24"/>
          <w:highlight w:val="none"/>
        </w:rPr>
      </w:pPr>
      <w:r>
        <w:rPr>
          <w:rFonts w:hint="eastAsia" w:ascii="宋体" w:hAnsi="宋体" w:cs="宋体"/>
          <w:bCs/>
          <w:sz w:val="24"/>
          <w:highlight w:val="none"/>
        </w:rPr>
        <w:t>三、质疑事项具体内容</w:t>
      </w:r>
    </w:p>
    <w:p w14:paraId="0F3B7479">
      <w:pPr>
        <w:snapToGrid w:val="0"/>
        <w:spacing w:line="360" w:lineRule="auto"/>
        <w:rPr>
          <w:rFonts w:ascii="宋体" w:hAnsi="宋体" w:cs="宋体"/>
          <w:sz w:val="24"/>
          <w:highlight w:val="none"/>
          <w:u w:val="dotted"/>
        </w:rPr>
      </w:pPr>
      <w:r>
        <w:rPr>
          <w:rFonts w:hint="eastAsia" w:ascii="宋体" w:hAnsi="宋体" w:cs="宋体"/>
          <w:sz w:val="24"/>
          <w:highlight w:val="none"/>
        </w:rPr>
        <w:t>质疑事项1：</w:t>
      </w:r>
      <w:r>
        <w:rPr>
          <w:rFonts w:hint="eastAsia" w:ascii="宋体" w:hAnsi="宋体" w:cs="宋体"/>
          <w:sz w:val="24"/>
          <w:highlight w:val="none"/>
          <w:u w:val="dotted"/>
        </w:rPr>
        <w:t xml:space="preserve">                                         </w:t>
      </w:r>
    </w:p>
    <w:p w14:paraId="3E96F461">
      <w:pPr>
        <w:snapToGrid w:val="0"/>
        <w:spacing w:line="360" w:lineRule="auto"/>
        <w:rPr>
          <w:rFonts w:ascii="宋体" w:hAnsi="宋体" w:cs="宋体"/>
          <w:sz w:val="24"/>
          <w:highlight w:val="none"/>
          <w:u w:val="dotted"/>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6F5F2D1F">
      <w:pPr>
        <w:snapToGrid w:val="0"/>
        <w:spacing w:line="360" w:lineRule="auto"/>
        <w:rPr>
          <w:rFonts w:ascii="宋体" w:hAnsi="宋体" w:cs="宋体"/>
          <w:sz w:val="24"/>
          <w:highlight w:val="none"/>
        </w:rPr>
      </w:pPr>
      <w:r>
        <w:rPr>
          <w:rFonts w:hint="eastAsia" w:ascii="宋体" w:hAnsi="宋体" w:cs="宋体"/>
          <w:sz w:val="24"/>
          <w:highlight w:val="none"/>
          <w:u w:val="dotted"/>
        </w:rPr>
        <w:t xml:space="preserve">                                                       </w:t>
      </w:r>
    </w:p>
    <w:p w14:paraId="17B6465A">
      <w:pPr>
        <w:snapToGrid w:val="0"/>
        <w:spacing w:line="360" w:lineRule="auto"/>
        <w:rPr>
          <w:rFonts w:ascii="宋体" w:hAnsi="宋体" w:cs="宋体"/>
          <w:sz w:val="24"/>
          <w:highlight w:val="none"/>
          <w:u w:val="dotted"/>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6A352C8D">
      <w:pPr>
        <w:snapToGrid w:val="0"/>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03B8D980">
      <w:pPr>
        <w:snapToGrid w:val="0"/>
        <w:spacing w:line="360" w:lineRule="auto"/>
        <w:rPr>
          <w:rFonts w:ascii="宋体" w:hAnsi="宋体" w:cs="宋体"/>
          <w:sz w:val="24"/>
          <w:highlight w:val="none"/>
          <w:u w:val="dotted"/>
        </w:rPr>
      </w:pPr>
      <w:r>
        <w:rPr>
          <w:rFonts w:hint="eastAsia" w:ascii="宋体" w:hAnsi="宋体" w:cs="宋体"/>
          <w:sz w:val="24"/>
          <w:highlight w:val="none"/>
        </w:rPr>
        <w:t>质疑事项2</w:t>
      </w:r>
    </w:p>
    <w:p w14:paraId="2AED1981">
      <w:pPr>
        <w:snapToGrid w:val="0"/>
        <w:spacing w:line="360" w:lineRule="auto"/>
        <w:rPr>
          <w:rFonts w:ascii="宋体" w:hAnsi="宋体" w:cs="宋体"/>
          <w:sz w:val="24"/>
          <w:highlight w:val="none"/>
        </w:rPr>
      </w:pPr>
      <w:r>
        <w:rPr>
          <w:rFonts w:hint="eastAsia" w:ascii="宋体" w:hAnsi="宋体" w:cs="宋体"/>
          <w:sz w:val="24"/>
          <w:highlight w:val="none"/>
        </w:rPr>
        <w:t>……</w:t>
      </w:r>
    </w:p>
    <w:p w14:paraId="0EDBF0A0">
      <w:pPr>
        <w:snapToGrid w:val="0"/>
        <w:spacing w:line="360" w:lineRule="auto"/>
        <w:rPr>
          <w:rFonts w:ascii="宋体" w:hAnsi="宋体" w:cs="宋体"/>
          <w:bCs/>
          <w:sz w:val="24"/>
          <w:highlight w:val="none"/>
        </w:rPr>
      </w:pPr>
      <w:r>
        <w:rPr>
          <w:rFonts w:hint="eastAsia" w:ascii="宋体" w:hAnsi="宋体" w:cs="宋体"/>
          <w:bCs/>
          <w:sz w:val="24"/>
          <w:highlight w:val="none"/>
        </w:rPr>
        <w:t>四、与质疑事项相关的质疑请求</w:t>
      </w:r>
    </w:p>
    <w:p w14:paraId="0D0F0A7D">
      <w:pPr>
        <w:snapToGrid w:val="0"/>
        <w:spacing w:line="360" w:lineRule="auto"/>
        <w:rPr>
          <w:rFonts w:ascii="宋体" w:hAnsi="宋体" w:cs="宋体"/>
          <w:sz w:val="24"/>
          <w:highlight w:val="none"/>
          <w:u w:val="dotted"/>
        </w:rPr>
      </w:pPr>
      <w:r>
        <w:rPr>
          <w:rFonts w:hint="eastAsia" w:ascii="宋体" w:hAnsi="宋体" w:cs="宋体"/>
          <w:sz w:val="24"/>
          <w:highlight w:val="none"/>
        </w:rPr>
        <w:t>请求：</w:t>
      </w:r>
      <w:r>
        <w:rPr>
          <w:rFonts w:hint="eastAsia" w:ascii="宋体" w:hAnsi="宋体" w:cs="宋体"/>
          <w:sz w:val="24"/>
          <w:highlight w:val="none"/>
          <w:u w:val="dotted"/>
        </w:rPr>
        <w:t xml:space="preserve">                                               </w:t>
      </w:r>
    </w:p>
    <w:p w14:paraId="2771FF11">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1ACC6BC4">
      <w:pPr>
        <w:spacing w:line="360" w:lineRule="auto"/>
        <w:rPr>
          <w:rFonts w:ascii="宋体" w:hAnsi="宋体" w:cs="宋体"/>
          <w:sz w:val="24"/>
          <w:highlight w:val="none"/>
        </w:rPr>
      </w:pPr>
      <w:r>
        <w:rPr>
          <w:rFonts w:hint="eastAsia" w:ascii="宋体" w:hAnsi="宋体" w:cs="宋体"/>
          <w:sz w:val="24"/>
          <w:highlight w:val="none"/>
        </w:rPr>
        <w:t xml:space="preserve">日期：    </w:t>
      </w:r>
    </w:p>
    <w:p w14:paraId="0955C819">
      <w:pPr>
        <w:spacing w:line="360" w:lineRule="auto"/>
        <w:jc w:val="center"/>
        <w:rPr>
          <w:rFonts w:ascii="宋体" w:hAnsi="宋体" w:cs="宋体"/>
          <w:b/>
          <w:bCs/>
          <w:sz w:val="24"/>
          <w:highlight w:val="none"/>
        </w:rPr>
      </w:pPr>
    </w:p>
    <w:p w14:paraId="3CB8378C">
      <w:pPr>
        <w:spacing w:line="360" w:lineRule="auto"/>
        <w:rPr>
          <w:rFonts w:ascii="宋体" w:hAnsi="宋体" w:cs="宋体"/>
          <w:b/>
          <w:sz w:val="24"/>
          <w:highlight w:val="none"/>
        </w:rPr>
      </w:pPr>
    </w:p>
    <w:p w14:paraId="7DF77658">
      <w:pPr>
        <w:spacing w:line="360" w:lineRule="auto"/>
        <w:rPr>
          <w:rFonts w:ascii="宋体" w:hAnsi="宋体" w:cs="宋体"/>
          <w:b/>
          <w:sz w:val="24"/>
          <w:highlight w:val="none"/>
        </w:rPr>
      </w:pPr>
    </w:p>
    <w:p w14:paraId="0C7369AE">
      <w:pPr>
        <w:spacing w:line="360" w:lineRule="auto"/>
        <w:rPr>
          <w:rFonts w:ascii="宋体" w:hAnsi="宋体" w:cs="宋体"/>
          <w:b/>
          <w:sz w:val="24"/>
          <w:highlight w:val="none"/>
        </w:rPr>
      </w:pPr>
      <w:r>
        <w:rPr>
          <w:rFonts w:hint="eastAsia" w:ascii="宋体" w:hAnsi="宋体" w:cs="宋体"/>
          <w:b/>
          <w:sz w:val="24"/>
          <w:highlight w:val="none"/>
        </w:rPr>
        <w:t>质疑函制作说明：</w:t>
      </w:r>
    </w:p>
    <w:p w14:paraId="04F57B74">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1.供应商提出质疑时，应提交质疑函和必要的证明材料。</w:t>
      </w:r>
    </w:p>
    <w:p w14:paraId="6A4265A9">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2.质疑供应商若委托代理人进行质疑的，质疑函应按要求列明“授权代表”的有关内容，并在附件中提交由质疑</w:t>
      </w:r>
      <w:r>
        <w:rPr>
          <w:rFonts w:hint="eastAsia" w:ascii="宋体" w:hAnsi="宋体" w:cs="宋体"/>
          <w:kern w:val="0"/>
          <w:sz w:val="24"/>
          <w:highlight w:val="none"/>
        </w:rPr>
        <w:t>供应商签署的授权委托书。授权委托书应载明代理人的姓名或者名称、代理事项、具体权限、期限和相关事项。</w:t>
      </w:r>
    </w:p>
    <w:p w14:paraId="774E97D4">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3.质疑供应商若对项目的某一分包进行质疑，质疑函中应列明具体分包号。</w:t>
      </w:r>
    </w:p>
    <w:p w14:paraId="5E94F843">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4.质疑函的质疑事项应具体、明确，并有必要的事实依据和法律依据。</w:t>
      </w:r>
    </w:p>
    <w:p w14:paraId="4DA2C65A">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5.质疑函的质疑请求应与质疑事项相关。</w:t>
      </w:r>
    </w:p>
    <w:p w14:paraId="41097CD3">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6.质疑供应商为自然人的，质疑函应由本人签字；质疑供应商为法人或者其他组织的，质疑函应由法定代表人、主要负责人，或者其授权代表签字或者盖章，并加盖公章。</w:t>
      </w:r>
    </w:p>
    <w:p w14:paraId="359AE594">
      <w:pPr>
        <w:widowControl/>
        <w:spacing w:line="360" w:lineRule="auto"/>
        <w:ind w:firstLine="600" w:firstLineChars="200"/>
        <w:jc w:val="left"/>
        <w:rPr>
          <w:rFonts w:ascii="宋体" w:hAnsi="宋体" w:cs="宋体"/>
          <w:sz w:val="30"/>
          <w:szCs w:val="30"/>
          <w:highlight w:val="none"/>
        </w:rPr>
      </w:pPr>
    </w:p>
    <w:p w14:paraId="59314DF2">
      <w:pPr>
        <w:spacing w:line="360" w:lineRule="auto"/>
        <w:jc w:val="center"/>
        <w:rPr>
          <w:rFonts w:ascii="宋体" w:hAnsi="宋体" w:cs="宋体"/>
          <w:b/>
          <w:spacing w:val="6"/>
          <w:sz w:val="32"/>
          <w:szCs w:val="32"/>
          <w:highlight w:val="none"/>
        </w:rPr>
      </w:pPr>
    </w:p>
    <w:p w14:paraId="2A0FD9B7">
      <w:pPr>
        <w:spacing w:line="360" w:lineRule="auto"/>
        <w:jc w:val="center"/>
        <w:rPr>
          <w:rFonts w:ascii="宋体" w:hAnsi="宋体" w:cs="宋体"/>
          <w:b/>
          <w:spacing w:val="6"/>
          <w:sz w:val="32"/>
          <w:szCs w:val="32"/>
          <w:highlight w:val="none"/>
        </w:rPr>
      </w:pPr>
    </w:p>
    <w:p w14:paraId="36199D91">
      <w:pPr>
        <w:spacing w:line="360" w:lineRule="auto"/>
        <w:jc w:val="center"/>
        <w:rPr>
          <w:rFonts w:ascii="宋体" w:hAnsi="宋体" w:cs="宋体"/>
          <w:b/>
          <w:spacing w:val="6"/>
          <w:sz w:val="32"/>
          <w:szCs w:val="32"/>
          <w:highlight w:val="none"/>
        </w:rPr>
      </w:pPr>
    </w:p>
    <w:p w14:paraId="4AC4FD35">
      <w:pPr>
        <w:spacing w:line="360" w:lineRule="auto"/>
        <w:jc w:val="center"/>
        <w:rPr>
          <w:rFonts w:ascii="宋体" w:hAnsi="宋体" w:cs="宋体"/>
          <w:b/>
          <w:spacing w:val="6"/>
          <w:sz w:val="32"/>
          <w:szCs w:val="32"/>
          <w:highlight w:val="none"/>
        </w:rPr>
      </w:pPr>
    </w:p>
    <w:p w14:paraId="290C0573">
      <w:pPr>
        <w:spacing w:line="360" w:lineRule="auto"/>
        <w:jc w:val="center"/>
        <w:rPr>
          <w:rFonts w:ascii="宋体" w:hAnsi="宋体" w:cs="宋体"/>
          <w:b/>
          <w:spacing w:val="6"/>
          <w:sz w:val="32"/>
          <w:szCs w:val="32"/>
          <w:highlight w:val="none"/>
        </w:rPr>
      </w:pPr>
    </w:p>
    <w:p w14:paraId="71E2FCD1">
      <w:pPr>
        <w:spacing w:line="360" w:lineRule="auto"/>
        <w:jc w:val="center"/>
        <w:rPr>
          <w:rFonts w:ascii="宋体" w:hAnsi="宋体" w:cs="宋体"/>
          <w:b/>
          <w:spacing w:val="6"/>
          <w:sz w:val="32"/>
          <w:szCs w:val="32"/>
          <w:highlight w:val="none"/>
        </w:rPr>
      </w:pPr>
    </w:p>
    <w:p w14:paraId="466E54B9">
      <w:pPr>
        <w:spacing w:line="360" w:lineRule="auto"/>
        <w:jc w:val="center"/>
        <w:rPr>
          <w:rFonts w:ascii="宋体" w:hAnsi="宋体" w:cs="宋体"/>
          <w:b/>
          <w:spacing w:val="6"/>
          <w:sz w:val="32"/>
          <w:szCs w:val="32"/>
          <w:highlight w:val="none"/>
        </w:rPr>
      </w:pPr>
    </w:p>
    <w:p w14:paraId="22A78D79">
      <w:pPr>
        <w:spacing w:line="360" w:lineRule="auto"/>
        <w:jc w:val="center"/>
        <w:rPr>
          <w:rFonts w:ascii="宋体" w:hAnsi="宋体" w:cs="宋体"/>
          <w:b/>
          <w:spacing w:val="6"/>
          <w:sz w:val="32"/>
          <w:szCs w:val="32"/>
          <w:highlight w:val="none"/>
        </w:rPr>
      </w:pPr>
    </w:p>
    <w:p w14:paraId="516AA729">
      <w:pPr>
        <w:spacing w:line="360" w:lineRule="auto"/>
        <w:jc w:val="center"/>
        <w:rPr>
          <w:rFonts w:ascii="宋体" w:hAnsi="宋体" w:cs="宋体"/>
          <w:b/>
          <w:spacing w:val="6"/>
          <w:sz w:val="32"/>
          <w:szCs w:val="32"/>
          <w:highlight w:val="none"/>
        </w:rPr>
      </w:pPr>
    </w:p>
    <w:p w14:paraId="3DA4C730">
      <w:pPr>
        <w:spacing w:line="360" w:lineRule="auto"/>
        <w:jc w:val="center"/>
        <w:rPr>
          <w:rFonts w:ascii="宋体" w:hAnsi="宋体" w:cs="宋体"/>
          <w:b/>
          <w:spacing w:val="6"/>
          <w:sz w:val="32"/>
          <w:szCs w:val="32"/>
          <w:highlight w:val="none"/>
        </w:rPr>
      </w:pPr>
    </w:p>
    <w:p w14:paraId="72CD3124">
      <w:pPr>
        <w:spacing w:line="360" w:lineRule="auto"/>
        <w:jc w:val="center"/>
        <w:rPr>
          <w:rFonts w:ascii="宋体" w:hAnsi="宋体" w:cs="宋体"/>
          <w:b/>
          <w:spacing w:val="6"/>
          <w:sz w:val="32"/>
          <w:szCs w:val="32"/>
          <w:highlight w:val="none"/>
        </w:rPr>
      </w:pPr>
    </w:p>
    <w:p w14:paraId="6EB8CF9C">
      <w:pPr>
        <w:spacing w:line="360" w:lineRule="auto"/>
        <w:jc w:val="center"/>
        <w:rPr>
          <w:rFonts w:ascii="宋体" w:hAnsi="宋体" w:cs="宋体"/>
          <w:b/>
          <w:spacing w:val="6"/>
          <w:sz w:val="32"/>
          <w:szCs w:val="32"/>
          <w:highlight w:val="none"/>
        </w:rPr>
      </w:pPr>
    </w:p>
    <w:p w14:paraId="31961D00">
      <w:pPr>
        <w:rPr>
          <w:rFonts w:hint="eastAsia" w:ascii="宋体" w:hAnsi="宋体" w:cs="宋体"/>
          <w:b/>
          <w:spacing w:val="6"/>
          <w:sz w:val="32"/>
          <w:szCs w:val="32"/>
          <w:highlight w:val="none"/>
        </w:rPr>
      </w:pPr>
      <w:r>
        <w:rPr>
          <w:rFonts w:hint="eastAsia" w:ascii="宋体" w:hAnsi="宋体" w:cs="宋体"/>
          <w:b/>
          <w:spacing w:val="6"/>
          <w:sz w:val="32"/>
          <w:szCs w:val="32"/>
          <w:highlight w:val="none"/>
        </w:rPr>
        <w:br w:type="page"/>
      </w:r>
    </w:p>
    <w:p w14:paraId="262A81BA">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附件3：投诉书范本及制作说明</w:t>
      </w:r>
    </w:p>
    <w:p w14:paraId="557508AD">
      <w:pPr>
        <w:spacing w:line="360" w:lineRule="auto"/>
        <w:jc w:val="center"/>
        <w:rPr>
          <w:rFonts w:ascii="宋体" w:hAnsi="宋体" w:cs="宋体"/>
          <w:b/>
          <w:sz w:val="24"/>
          <w:highlight w:val="none"/>
        </w:rPr>
      </w:pPr>
    </w:p>
    <w:p w14:paraId="764FD46F">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投诉书范本</w:t>
      </w:r>
    </w:p>
    <w:p w14:paraId="479704BD">
      <w:pPr>
        <w:spacing w:line="360" w:lineRule="auto"/>
        <w:rPr>
          <w:rFonts w:ascii="宋体" w:hAnsi="宋体" w:cs="宋体"/>
          <w:sz w:val="24"/>
          <w:highlight w:val="none"/>
        </w:rPr>
      </w:pPr>
      <w:r>
        <w:rPr>
          <w:rFonts w:hint="eastAsia" w:ascii="宋体" w:hAnsi="宋体" w:cs="宋体"/>
          <w:sz w:val="24"/>
          <w:highlight w:val="none"/>
        </w:rPr>
        <w:t>一、投诉相关主体基本情况</w:t>
      </w:r>
    </w:p>
    <w:p w14:paraId="452C4F6D">
      <w:pPr>
        <w:spacing w:line="360" w:lineRule="auto"/>
        <w:rPr>
          <w:rFonts w:ascii="宋体" w:hAnsi="宋体" w:cs="宋体"/>
          <w:sz w:val="24"/>
          <w:highlight w:val="none"/>
          <w:u w:val="dotted"/>
        </w:rPr>
      </w:pPr>
      <w:r>
        <w:rPr>
          <w:rFonts w:hint="eastAsia" w:ascii="宋体" w:hAnsi="宋体" w:cs="宋体"/>
          <w:sz w:val="24"/>
          <w:highlight w:val="none"/>
        </w:rPr>
        <w:t>投诉人：</w:t>
      </w:r>
      <w:r>
        <w:rPr>
          <w:rFonts w:hint="eastAsia" w:ascii="宋体" w:hAnsi="宋体" w:cs="宋体"/>
          <w:sz w:val="24"/>
          <w:highlight w:val="none"/>
          <w:u w:val="dotted"/>
        </w:rPr>
        <w:t xml:space="preserve">                                               </w:t>
      </w:r>
    </w:p>
    <w:p w14:paraId="461E8A9D">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9C87438">
      <w:pPr>
        <w:tabs>
          <w:tab w:val="left" w:pos="6510"/>
        </w:tabs>
        <w:spacing w:line="360" w:lineRule="auto"/>
        <w:jc w:val="left"/>
        <w:rPr>
          <w:rFonts w:ascii="宋体" w:hAnsi="宋体" w:cs="宋体"/>
          <w:sz w:val="24"/>
          <w:highlight w:val="none"/>
        </w:rPr>
      </w:pPr>
      <w:r>
        <w:rPr>
          <w:rFonts w:hint="eastAsia" w:ascii="宋体" w:hAnsi="宋体" w:cs="宋体"/>
          <w:sz w:val="24"/>
          <w:highlight w:val="none"/>
        </w:rPr>
        <w:t>法定代表人/主要负责人：</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6709CA25">
      <w:pPr>
        <w:tabs>
          <w:tab w:val="left" w:pos="6510"/>
        </w:tabs>
        <w:spacing w:line="360" w:lineRule="auto"/>
        <w:rPr>
          <w:rFonts w:ascii="宋体" w:hAnsi="宋体" w:cs="宋体"/>
          <w:sz w:val="24"/>
          <w:highlight w:val="none"/>
          <w:u w:val="dotted"/>
        </w:rPr>
      </w:pP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2F1F7F29">
      <w:pPr>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4092145D">
      <w:pPr>
        <w:spacing w:line="360" w:lineRule="auto"/>
        <w:rPr>
          <w:rFonts w:ascii="宋体" w:hAnsi="宋体" w:cs="宋体"/>
          <w:sz w:val="24"/>
          <w:highlight w:val="none"/>
          <w:u w:val="dotted"/>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r>
        <w:rPr>
          <w:rFonts w:hint="eastAsia" w:ascii="宋体" w:hAnsi="宋体" w:cs="宋体"/>
          <w:sz w:val="24"/>
          <w:highlight w:val="none"/>
          <w:u w:val="dotted"/>
        </w:rPr>
        <w:t xml:space="preserve">                   </w:t>
      </w:r>
    </w:p>
    <w:p w14:paraId="432E3293">
      <w:pPr>
        <w:spacing w:line="360" w:lineRule="auto"/>
        <w:rPr>
          <w:rFonts w:ascii="宋体" w:hAnsi="宋体" w:cs="宋体"/>
          <w:sz w:val="24"/>
          <w:highlight w:val="none"/>
          <w:u w:val="single"/>
        </w:rPr>
      </w:pPr>
      <w:r>
        <w:rPr>
          <w:rFonts w:hint="eastAsia" w:ascii="宋体" w:hAnsi="宋体" w:cs="宋体"/>
          <w:sz w:val="24"/>
          <w:highlight w:val="none"/>
        </w:rPr>
        <w:t>被投诉人1：</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15E1947">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0388EE5">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58B59AC0">
      <w:pPr>
        <w:spacing w:line="360" w:lineRule="auto"/>
        <w:rPr>
          <w:rFonts w:ascii="宋体" w:hAnsi="宋体" w:cs="宋体"/>
          <w:sz w:val="24"/>
          <w:highlight w:val="none"/>
        </w:rPr>
      </w:pPr>
      <w:r>
        <w:rPr>
          <w:rFonts w:hint="eastAsia" w:ascii="宋体" w:hAnsi="宋体" w:cs="宋体"/>
          <w:sz w:val="24"/>
          <w:highlight w:val="none"/>
        </w:rPr>
        <w:t>被投诉人2</w:t>
      </w:r>
    </w:p>
    <w:p w14:paraId="428AF938">
      <w:pPr>
        <w:spacing w:line="360" w:lineRule="auto"/>
        <w:rPr>
          <w:rFonts w:ascii="宋体" w:hAnsi="宋体" w:cs="宋体"/>
          <w:sz w:val="24"/>
          <w:highlight w:val="none"/>
          <w:u w:val="dotted"/>
        </w:rPr>
      </w:pPr>
      <w:r>
        <w:rPr>
          <w:rFonts w:hint="eastAsia" w:ascii="宋体" w:hAnsi="宋体" w:cs="宋体"/>
          <w:sz w:val="24"/>
          <w:highlight w:val="none"/>
        </w:rPr>
        <w:t>……</w:t>
      </w:r>
    </w:p>
    <w:p w14:paraId="530AD201">
      <w:pPr>
        <w:spacing w:line="360" w:lineRule="auto"/>
        <w:rPr>
          <w:rFonts w:ascii="宋体" w:hAnsi="宋体" w:cs="宋体"/>
          <w:sz w:val="24"/>
          <w:highlight w:val="none"/>
          <w:u w:val="single"/>
        </w:rPr>
      </w:pPr>
      <w:r>
        <w:rPr>
          <w:rFonts w:hint="eastAsia" w:ascii="宋体" w:hAnsi="宋体" w:cs="宋体"/>
          <w:sz w:val="24"/>
          <w:highlight w:val="none"/>
        </w:rPr>
        <w:t>相关供应商：</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408F94CE">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7A3DA7F2">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3BE89E60">
      <w:pPr>
        <w:spacing w:line="360" w:lineRule="auto"/>
        <w:rPr>
          <w:rFonts w:ascii="宋体" w:hAnsi="宋体" w:cs="宋体"/>
          <w:sz w:val="24"/>
          <w:highlight w:val="none"/>
        </w:rPr>
      </w:pPr>
      <w:r>
        <w:rPr>
          <w:rFonts w:hint="eastAsia" w:ascii="宋体" w:hAnsi="宋体" w:cs="宋体"/>
          <w:sz w:val="24"/>
          <w:highlight w:val="none"/>
        </w:rPr>
        <w:t>二、投诉项目基本情况</w:t>
      </w:r>
    </w:p>
    <w:p w14:paraId="04F06CC4">
      <w:pPr>
        <w:spacing w:line="360" w:lineRule="auto"/>
        <w:rPr>
          <w:rFonts w:ascii="宋体" w:hAnsi="宋体" w:cs="宋体"/>
          <w:sz w:val="24"/>
          <w:highlight w:val="none"/>
          <w:u w:val="dotted"/>
        </w:rPr>
      </w:pPr>
      <w:r>
        <w:rPr>
          <w:rFonts w:hint="eastAsia" w:ascii="宋体" w:hAnsi="宋体" w:cs="宋体"/>
          <w:sz w:val="24"/>
          <w:highlight w:val="none"/>
        </w:rPr>
        <w:t>采购项目名称：</w:t>
      </w:r>
      <w:r>
        <w:rPr>
          <w:rFonts w:hint="eastAsia" w:ascii="宋体" w:hAnsi="宋体" w:cs="宋体"/>
          <w:sz w:val="24"/>
          <w:highlight w:val="none"/>
          <w:u w:val="dotted"/>
        </w:rPr>
        <w:t xml:space="preserve">                                        </w:t>
      </w:r>
    </w:p>
    <w:p w14:paraId="4C5F0CC3">
      <w:pPr>
        <w:spacing w:line="360" w:lineRule="auto"/>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56DAB538">
      <w:pPr>
        <w:spacing w:line="360" w:lineRule="auto"/>
        <w:rPr>
          <w:rFonts w:ascii="宋体" w:hAnsi="宋体" w:cs="宋体"/>
          <w:sz w:val="24"/>
          <w:highlight w:val="none"/>
        </w:rPr>
      </w:pPr>
      <w:r>
        <w:rPr>
          <w:rFonts w:hint="eastAsia" w:ascii="宋体" w:hAnsi="宋体" w:cs="宋体"/>
          <w:sz w:val="24"/>
          <w:highlight w:val="none"/>
        </w:rPr>
        <w:t>采购人名称：</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4963D070">
      <w:pPr>
        <w:spacing w:line="360" w:lineRule="auto"/>
        <w:rPr>
          <w:rFonts w:ascii="宋体" w:hAnsi="宋体" w:cs="宋体"/>
          <w:sz w:val="24"/>
          <w:highlight w:val="none"/>
          <w:u w:val="single"/>
        </w:rPr>
      </w:pPr>
      <w:r>
        <w:rPr>
          <w:rFonts w:hint="eastAsia" w:ascii="宋体" w:hAnsi="宋体" w:cs="宋体"/>
          <w:sz w:val="24"/>
          <w:highlight w:val="none"/>
        </w:rPr>
        <w:t>代理机构名称：</w:t>
      </w:r>
      <w:r>
        <w:rPr>
          <w:rFonts w:hint="eastAsia" w:ascii="宋体" w:hAnsi="宋体" w:cs="宋体"/>
          <w:sz w:val="24"/>
          <w:highlight w:val="none"/>
          <w:u w:val="dotted"/>
        </w:rPr>
        <w:t xml:space="preserve">                                         </w:t>
      </w:r>
    </w:p>
    <w:p w14:paraId="7751811C">
      <w:pPr>
        <w:spacing w:line="360" w:lineRule="auto"/>
        <w:rPr>
          <w:rFonts w:ascii="宋体" w:hAnsi="宋体" w:cs="宋体"/>
          <w:sz w:val="24"/>
          <w:highlight w:val="none"/>
          <w:u w:val="dotted"/>
        </w:rPr>
      </w:pPr>
      <w:r>
        <w:rPr>
          <w:rFonts w:hint="eastAsia" w:ascii="宋体" w:hAnsi="宋体" w:cs="宋体"/>
          <w:sz w:val="24"/>
          <w:highlight w:val="none"/>
        </w:rPr>
        <w:t>采购文件公告: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347F67E3">
      <w:pPr>
        <w:spacing w:line="360" w:lineRule="auto"/>
        <w:rPr>
          <w:rFonts w:ascii="宋体" w:hAnsi="宋体" w:cs="宋体"/>
          <w:sz w:val="24"/>
          <w:highlight w:val="none"/>
          <w:u w:val="single"/>
        </w:rPr>
      </w:pPr>
      <w:r>
        <w:rPr>
          <w:rFonts w:hint="eastAsia" w:ascii="宋体" w:hAnsi="宋体" w:cs="宋体"/>
          <w:sz w:val="24"/>
          <w:highlight w:val="none"/>
        </w:rPr>
        <w:t>采购结果公告: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1F670A98">
      <w:pPr>
        <w:spacing w:line="360" w:lineRule="auto"/>
        <w:rPr>
          <w:rFonts w:ascii="宋体" w:hAnsi="宋体" w:cs="宋体"/>
          <w:sz w:val="24"/>
          <w:highlight w:val="none"/>
        </w:rPr>
      </w:pPr>
      <w:r>
        <w:rPr>
          <w:rFonts w:hint="eastAsia" w:ascii="宋体" w:hAnsi="宋体" w:cs="宋体"/>
          <w:sz w:val="24"/>
          <w:highlight w:val="none"/>
        </w:rPr>
        <w:t>三、质疑基本情况</w:t>
      </w:r>
    </w:p>
    <w:p w14:paraId="57E8362C">
      <w:pPr>
        <w:spacing w:line="360" w:lineRule="auto"/>
        <w:ind w:firstLine="480" w:firstLineChars="200"/>
        <w:rPr>
          <w:rFonts w:ascii="宋体" w:hAnsi="宋体" w:cs="宋体"/>
          <w:sz w:val="24"/>
          <w:highlight w:val="none"/>
          <w:u w:val="dotted"/>
        </w:rPr>
      </w:pPr>
      <w:r>
        <w:rPr>
          <w:rFonts w:hint="eastAsia" w:ascii="宋体" w:hAnsi="宋体" w:cs="宋体"/>
          <w:sz w:val="24"/>
          <w:highlight w:val="none"/>
        </w:rPr>
        <w:t>投诉人于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日,向</w:t>
      </w:r>
      <w:r>
        <w:rPr>
          <w:rFonts w:hint="eastAsia" w:ascii="宋体" w:hAnsi="宋体" w:cs="宋体"/>
          <w:sz w:val="24"/>
          <w:highlight w:val="none"/>
          <w:u w:val="dotted"/>
        </w:rPr>
        <w:t xml:space="preserve">                   </w:t>
      </w:r>
      <w:r>
        <w:rPr>
          <w:rFonts w:hint="eastAsia" w:ascii="宋体" w:hAnsi="宋体" w:cs="宋体"/>
          <w:sz w:val="24"/>
          <w:highlight w:val="none"/>
        </w:rPr>
        <w:t>提出质疑，质疑事项为：</w:t>
      </w:r>
      <w:r>
        <w:rPr>
          <w:rFonts w:hint="eastAsia" w:ascii="宋体" w:hAnsi="宋体" w:cs="宋体"/>
          <w:sz w:val="24"/>
          <w:highlight w:val="none"/>
          <w:u w:val="dotted"/>
        </w:rPr>
        <w:t xml:space="preserve">                                </w:t>
      </w:r>
    </w:p>
    <w:p w14:paraId="2AAFBE79">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1D400A3E">
      <w:pPr>
        <w:spacing w:line="360" w:lineRule="auto"/>
        <w:ind w:firstLine="360" w:firstLineChars="150"/>
        <w:rPr>
          <w:rFonts w:ascii="宋体" w:hAnsi="宋体" w:cs="宋体"/>
          <w:sz w:val="24"/>
          <w:highlight w:val="none"/>
        </w:rPr>
      </w:pPr>
      <w:r>
        <w:rPr>
          <w:rFonts w:hint="eastAsia" w:ascii="宋体" w:hAnsi="宋体" w:cs="宋体"/>
          <w:sz w:val="24"/>
          <w:highlight w:val="none"/>
          <w:u w:val="dotted"/>
        </w:rPr>
        <w:t>采购人/代理机构</w:t>
      </w:r>
      <w:r>
        <w:rPr>
          <w:rFonts w:hint="eastAsia" w:ascii="宋体" w:hAnsi="宋体" w:cs="宋体"/>
          <w:sz w:val="24"/>
          <w:highlight w:val="none"/>
        </w:rPr>
        <w:t>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日,就质疑事项作出了答复/没有在法定期限内作出答复。</w:t>
      </w:r>
    </w:p>
    <w:p w14:paraId="3085B826">
      <w:pPr>
        <w:spacing w:line="360" w:lineRule="auto"/>
        <w:rPr>
          <w:rFonts w:ascii="宋体" w:hAnsi="宋体" w:cs="宋体"/>
          <w:sz w:val="24"/>
          <w:highlight w:val="none"/>
        </w:rPr>
      </w:pPr>
      <w:r>
        <w:rPr>
          <w:rFonts w:hint="eastAsia" w:ascii="宋体" w:hAnsi="宋体" w:cs="宋体"/>
          <w:sz w:val="24"/>
          <w:highlight w:val="none"/>
        </w:rPr>
        <w:t>四、投诉事项具体内容</w:t>
      </w:r>
    </w:p>
    <w:p w14:paraId="16369807">
      <w:pPr>
        <w:spacing w:line="360" w:lineRule="auto"/>
        <w:rPr>
          <w:rFonts w:ascii="宋体" w:hAnsi="宋体" w:cs="宋体"/>
          <w:sz w:val="24"/>
          <w:highlight w:val="none"/>
          <w:u w:val="single"/>
        </w:rPr>
      </w:pPr>
      <w:r>
        <w:rPr>
          <w:rFonts w:hint="eastAsia" w:ascii="宋体" w:hAnsi="宋体" w:cs="宋体"/>
          <w:sz w:val="24"/>
          <w:highlight w:val="none"/>
        </w:rPr>
        <w:t>投诉事项 1：</w:t>
      </w:r>
      <w:r>
        <w:rPr>
          <w:rFonts w:hint="eastAsia" w:ascii="宋体" w:hAnsi="宋体" w:cs="宋体"/>
          <w:sz w:val="24"/>
          <w:highlight w:val="none"/>
          <w:u w:val="dotted"/>
        </w:rPr>
        <w:t xml:space="preserve">                                       </w:t>
      </w:r>
    </w:p>
    <w:p w14:paraId="79FDC9F9">
      <w:pPr>
        <w:spacing w:line="360" w:lineRule="auto"/>
        <w:rPr>
          <w:rFonts w:ascii="宋体" w:hAnsi="宋体" w:cs="宋体"/>
          <w:sz w:val="24"/>
          <w:highlight w:val="none"/>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48F39D2D">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5BB35B20">
      <w:pPr>
        <w:spacing w:line="360" w:lineRule="auto"/>
        <w:rPr>
          <w:rFonts w:ascii="宋体" w:hAnsi="宋体" w:cs="宋体"/>
          <w:sz w:val="24"/>
          <w:highlight w:val="none"/>
          <w:u w:val="single"/>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50FB08C5">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1FB69434">
      <w:pPr>
        <w:spacing w:line="360" w:lineRule="auto"/>
        <w:rPr>
          <w:rFonts w:ascii="宋体" w:hAnsi="宋体" w:cs="宋体"/>
          <w:sz w:val="24"/>
          <w:highlight w:val="none"/>
        </w:rPr>
      </w:pPr>
      <w:r>
        <w:rPr>
          <w:rFonts w:hint="eastAsia" w:ascii="宋体" w:hAnsi="宋体" w:cs="宋体"/>
          <w:sz w:val="24"/>
          <w:highlight w:val="none"/>
        </w:rPr>
        <w:t>投诉事项2</w:t>
      </w:r>
    </w:p>
    <w:p w14:paraId="380B98EE">
      <w:pPr>
        <w:spacing w:line="360" w:lineRule="auto"/>
        <w:rPr>
          <w:rFonts w:ascii="宋体" w:hAnsi="宋体" w:cs="宋体"/>
          <w:sz w:val="24"/>
          <w:highlight w:val="none"/>
          <w:u w:val="dotted"/>
        </w:rPr>
      </w:pPr>
      <w:r>
        <w:rPr>
          <w:rFonts w:hint="eastAsia" w:ascii="宋体" w:hAnsi="宋体" w:cs="宋体"/>
          <w:sz w:val="24"/>
          <w:highlight w:val="none"/>
        </w:rPr>
        <w:t>……</w:t>
      </w:r>
    </w:p>
    <w:p w14:paraId="756BBFDF">
      <w:pPr>
        <w:spacing w:line="360" w:lineRule="auto"/>
        <w:rPr>
          <w:rFonts w:ascii="宋体" w:hAnsi="宋体" w:cs="宋体"/>
          <w:sz w:val="24"/>
          <w:highlight w:val="none"/>
        </w:rPr>
      </w:pPr>
      <w:r>
        <w:rPr>
          <w:rFonts w:hint="eastAsia" w:ascii="宋体" w:hAnsi="宋体" w:cs="宋体"/>
          <w:sz w:val="24"/>
          <w:highlight w:val="none"/>
        </w:rPr>
        <w:t>五、与投诉事项相关的投诉请求</w:t>
      </w:r>
    </w:p>
    <w:p w14:paraId="0AEDAF6B">
      <w:pPr>
        <w:spacing w:line="360" w:lineRule="auto"/>
        <w:rPr>
          <w:rFonts w:ascii="宋体" w:hAnsi="宋体" w:cs="宋体"/>
          <w:sz w:val="24"/>
          <w:highlight w:val="none"/>
        </w:rPr>
      </w:pPr>
      <w:r>
        <w:rPr>
          <w:rFonts w:hint="eastAsia" w:ascii="宋体" w:hAnsi="宋体" w:cs="宋体"/>
          <w:sz w:val="24"/>
          <w:highlight w:val="none"/>
        </w:rPr>
        <w:t>请求：</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6B7A06B7">
      <w:pPr>
        <w:spacing w:line="360" w:lineRule="auto"/>
        <w:rPr>
          <w:rFonts w:ascii="宋体" w:hAnsi="宋体" w:cs="宋体"/>
          <w:sz w:val="24"/>
          <w:highlight w:val="none"/>
          <w:u w:val="single"/>
        </w:rPr>
      </w:pPr>
      <w:r>
        <w:rPr>
          <w:rFonts w:hint="eastAsia" w:ascii="宋体" w:hAnsi="宋体" w:cs="宋体"/>
          <w:sz w:val="24"/>
          <w:highlight w:val="none"/>
        </w:rPr>
        <w:t xml:space="preserve">                                                                                                    </w:t>
      </w:r>
    </w:p>
    <w:p w14:paraId="254CBDA2">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5A591324">
      <w:pPr>
        <w:spacing w:line="360" w:lineRule="auto"/>
        <w:rPr>
          <w:rFonts w:ascii="宋体" w:hAnsi="宋体" w:cs="宋体"/>
          <w:sz w:val="24"/>
          <w:highlight w:val="none"/>
        </w:rPr>
      </w:pPr>
      <w:r>
        <w:rPr>
          <w:rFonts w:hint="eastAsia" w:ascii="宋体" w:hAnsi="宋体" w:cs="宋体"/>
          <w:sz w:val="24"/>
          <w:highlight w:val="none"/>
        </w:rPr>
        <w:t xml:space="preserve">日期：    </w:t>
      </w:r>
    </w:p>
    <w:p w14:paraId="3E90C34E">
      <w:pPr>
        <w:spacing w:line="360" w:lineRule="auto"/>
        <w:rPr>
          <w:rFonts w:ascii="宋体" w:hAnsi="宋体" w:cs="宋体"/>
          <w:b/>
          <w:sz w:val="24"/>
          <w:highlight w:val="none"/>
        </w:rPr>
      </w:pPr>
    </w:p>
    <w:p w14:paraId="2B4DFC41">
      <w:pPr>
        <w:spacing w:line="360" w:lineRule="auto"/>
        <w:rPr>
          <w:rFonts w:ascii="宋体" w:hAnsi="宋体" w:cs="宋体"/>
          <w:b/>
          <w:sz w:val="24"/>
          <w:highlight w:val="none"/>
        </w:rPr>
      </w:pPr>
    </w:p>
    <w:p w14:paraId="4797D8A2">
      <w:pPr>
        <w:spacing w:line="360" w:lineRule="auto"/>
        <w:rPr>
          <w:rFonts w:ascii="宋体" w:hAnsi="宋体" w:cs="宋体"/>
          <w:b/>
          <w:sz w:val="24"/>
          <w:highlight w:val="none"/>
        </w:rPr>
      </w:pPr>
      <w:r>
        <w:rPr>
          <w:rFonts w:hint="eastAsia" w:ascii="宋体" w:hAnsi="宋体" w:cs="宋体"/>
          <w:b/>
          <w:sz w:val="24"/>
          <w:highlight w:val="none"/>
        </w:rPr>
        <w:t>投诉书制作说明：</w:t>
      </w:r>
    </w:p>
    <w:p w14:paraId="091ED414">
      <w:pPr>
        <w:widowControl/>
        <w:spacing w:line="360" w:lineRule="auto"/>
        <w:ind w:firstLine="480" w:firstLineChars="200"/>
        <w:rPr>
          <w:rFonts w:ascii="宋体" w:hAnsi="宋体" w:cs="宋体"/>
          <w:kern w:val="0"/>
          <w:sz w:val="24"/>
          <w:highlight w:val="none"/>
        </w:rPr>
      </w:pPr>
      <w:r>
        <w:rPr>
          <w:rFonts w:hint="eastAsia" w:ascii="宋体" w:hAnsi="宋体" w:cs="宋体"/>
          <w:sz w:val="24"/>
          <w:highlight w:val="none"/>
        </w:rPr>
        <w:t>1.投诉人提起投诉时，应当提交投诉书和必要的证明材料，并按照被投诉人和与投诉事项有关的供应商数量提供投诉书副本。</w:t>
      </w:r>
    </w:p>
    <w:p w14:paraId="1819363A">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2.投诉人若委托代理人进行投诉的，投诉书应按照要求列明“授权代表”的有关内容，并在附件中提交由</w:t>
      </w:r>
      <w:r>
        <w:rPr>
          <w:rFonts w:hint="eastAsia" w:ascii="宋体" w:hAnsi="宋体" w:cs="宋体"/>
          <w:kern w:val="0"/>
          <w:sz w:val="24"/>
          <w:highlight w:val="none"/>
        </w:rPr>
        <w:t>投诉人签署的授权委托书。授权委托书应当载明代理人的姓名或者名称、代理事项、具体权限、期限和相关事项。</w:t>
      </w:r>
    </w:p>
    <w:p w14:paraId="3AD9AFB7">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3.投诉人若对项目的某一分包进行投诉，投诉书应列明具体分包号。</w:t>
      </w:r>
    </w:p>
    <w:p w14:paraId="5826CB83">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4.投诉书应简要列明质疑事项，质疑函、质疑答复等作为附件材料提供。</w:t>
      </w:r>
    </w:p>
    <w:p w14:paraId="57E9F0F1">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5.投诉书的投诉事项应具体、明确，并有必要的事实依据和法律依据。</w:t>
      </w:r>
    </w:p>
    <w:p w14:paraId="0E600F74">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6.投诉书的投诉请求应与投诉事项相关。</w:t>
      </w:r>
    </w:p>
    <w:p w14:paraId="4D1C6E92">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7.投诉人为自然人的，投诉书应当由本人签字；投诉人为法人或者其他组织的，投诉书应当由法定代表人、主要负责人，或者其授权代表签字或者盖章，并加盖公章。</w:t>
      </w:r>
    </w:p>
    <w:p w14:paraId="1128DAF5">
      <w:pPr>
        <w:spacing w:line="360" w:lineRule="auto"/>
        <w:rPr>
          <w:rFonts w:ascii="宋体" w:hAnsi="宋体" w:cs="宋体"/>
          <w:b/>
          <w:sz w:val="24"/>
          <w:highlight w:val="none"/>
        </w:rPr>
      </w:pPr>
    </w:p>
    <w:p w14:paraId="53014380">
      <w:pPr>
        <w:autoSpaceDE w:val="0"/>
        <w:autoSpaceDN w:val="0"/>
        <w:jc w:val="center"/>
        <w:rPr>
          <w:rFonts w:ascii="宋体" w:hAnsi="宋体" w:cs="宋体"/>
          <w:b/>
          <w:bCs/>
          <w:sz w:val="32"/>
          <w:szCs w:val="32"/>
          <w:highlight w:val="none"/>
        </w:rPr>
      </w:pPr>
      <w:r>
        <w:rPr>
          <w:rFonts w:hint="eastAsia" w:ascii="宋体" w:hAnsi="宋体" w:cs="宋体"/>
          <w:b/>
          <w:spacing w:val="6"/>
          <w:sz w:val="32"/>
          <w:szCs w:val="32"/>
          <w:highlight w:val="none"/>
        </w:rPr>
        <w:t>附件4：</w:t>
      </w:r>
      <w:r>
        <w:rPr>
          <w:rFonts w:hint="eastAsia" w:ascii="宋体" w:hAnsi="宋体" w:cs="宋体"/>
          <w:b/>
          <w:bCs/>
          <w:sz w:val="32"/>
          <w:szCs w:val="32"/>
          <w:highlight w:val="none"/>
        </w:rPr>
        <w:t>业务专用章使用说明函</w:t>
      </w:r>
    </w:p>
    <w:p w14:paraId="5179E797">
      <w:pPr>
        <w:spacing w:line="360" w:lineRule="auto"/>
        <w:rPr>
          <w:rFonts w:ascii="宋体" w:hAnsi="宋体" w:cs="宋体"/>
          <w:color w:val="0000FF"/>
          <w:sz w:val="24"/>
          <w:highlight w:val="none"/>
          <w:u w:val="single"/>
        </w:rPr>
      </w:pPr>
    </w:p>
    <w:p w14:paraId="3EE98845">
      <w:pPr>
        <w:spacing w:line="360" w:lineRule="auto"/>
        <w:rPr>
          <w:rFonts w:ascii="宋体" w:hAnsi="宋体" w:cs="宋体"/>
          <w:sz w:val="24"/>
          <w:highlight w:val="none"/>
        </w:rPr>
      </w:pPr>
      <w:r>
        <w:rPr>
          <w:rFonts w:hint="eastAsia" w:ascii="宋体" w:hAnsi="宋体" w:cs="宋体"/>
          <w:sz w:val="24"/>
          <w:highlight w:val="none"/>
          <w:u w:val="single"/>
        </w:rPr>
        <w:t>（采购人）、（采购代理机构）：</w:t>
      </w:r>
    </w:p>
    <w:p w14:paraId="36796BAB">
      <w:pPr>
        <w:spacing w:line="360" w:lineRule="auto"/>
        <w:ind w:firstLine="480" w:firstLineChars="200"/>
        <w:rPr>
          <w:rFonts w:ascii="宋体" w:hAnsi="宋体" w:cs="宋体"/>
          <w:sz w:val="24"/>
          <w:highlight w:val="none"/>
        </w:rPr>
      </w:pPr>
      <w:r>
        <w:rPr>
          <w:rFonts w:hint="eastAsia" w:ascii="宋体" w:hAnsi="宋体" w:cs="宋体"/>
          <w:kern w:val="0"/>
          <w:sz w:val="24"/>
          <w:highlight w:val="none"/>
          <w:lang w:val="zh-CN"/>
        </w:rPr>
        <w:t>我方</w:t>
      </w:r>
      <w:r>
        <w:rPr>
          <w:rFonts w:hint="eastAsia" w:ascii="宋体" w:hAnsi="宋体" w:cs="宋体"/>
          <w:kern w:val="0"/>
          <w:sz w:val="24"/>
          <w:highlight w:val="none"/>
          <w:u w:val="single"/>
          <w:lang w:val="zh-CN"/>
        </w:rPr>
        <w:t xml:space="preserve">                         </w:t>
      </w:r>
      <w:r>
        <w:rPr>
          <w:rFonts w:hint="eastAsia" w:ascii="宋体" w:hAnsi="宋体" w:cs="宋体"/>
          <w:sz w:val="24"/>
          <w:highlight w:val="none"/>
        </w:rPr>
        <w:t>(投标人全称)是中华人民共和国依法登记注册的合法企业，</w:t>
      </w:r>
      <w:r>
        <w:rPr>
          <w:rFonts w:hint="eastAsia" w:ascii="宋体" w:hAnsi="宋体" w:cs="宋体"/>
          <w:bCs/>
          <w:sz w:val="24"/>
          <w:highlight w:val="none"/>
        </w:rPr>
        <w:t>在参加</w:t>
      </w:r>
      <w:r>
        <w:rPr>
          <w:rFonts w:hint="eastAsia" w:ascii="宋体" w:hAnsi="宋体" w:cs="宋体"/>
          <w:sz w:val="24"/>
          <w:highlight w:val="none"/>
        </w:rPr>
        <w:t>你方组织的（项目名称）【招标编号：（采购编号）】</w:t>
      </w:r>
      <w:r>
        <w:rPr>
          <w:rFonts w:hint="eastAsia" w:ascii="宋体" w:hAnsi="宋体" w:cs="宋体"/>
          <w:bCs/>
          <w:sz w:val="24"/>
          <w:highlight w:val="none"/>
        </w:rPr>
        <w:t>投标活动中作如下说明：</w:t>
      </w:r>
      <w:r>
        <w:rPr>
          <w:rFonts w:hint="eastAsia" w:ascii="宋体" w:hAnsi="宋体" w:cs="宋体"/>
          <w:sz w:val="24"/>
          <w:highlight w:val="none"/>
        </w:rPr>
        <w:t xml:space="preserve">我方所使用的“XX专用章”与法定名称章具有同等的法律效力，对使用“XX专用章”的行为予以完全承认，并愿意承担相应责任。   </w:t>
      </w:r>
    </w:p>
    <w:p w14:paraId="641622BB">
      <w:pPr>
        <w:spacing w:line="360" w:lineRule="auto"/>
        <w:ind w:firstLine="480" w:firstLineChars="200"/>
        <w:rPr>
          <w:rFonts w:ascii="宋体" w:hAnsi="宋体" w:cs="宋体"/>
          <w:sz w:val="24"/>
          <w:highlight w:val="none"/>
        </w:rPr>
      </w:pPr>
      <w:r>
        <w:rPr>
          <w:rFonts w:hint="eastAsia" w:ascii="宋体" w:hAnsi="宋体" w:cs="宋体"/>
          <w:sz w:val="24"/>
          <w:highlight w:val="none"/>
        </w:rPr>
        <w:t>特此说明。</w:t>
      </w:r>
    </w:p>
    <w:p w14:paraId="146DC6F7">
      <w:pPr>
        <w:spacing w:line="360" w:lineRule="auto"/>
        <w:ind w:firstLine="494"/>
        <w:rPr>
          <w:rFonts w:ascii="宋体" w:hAnsi="宋体" w:cs="宋体"/>
          <w:sz w:val="24"/>
          <w:highlight w:val="none"/>
        </w:rPr>
      </w:pPr>
    </w:p>
    <w:p w14:paraId="56ABE54C">
      <w:pPr>
        <w:spacing w:line="360" w:lineRule="auto"/>
        <w:ind w:firstLine="494"/>
        <w:rPr>
          <w:rFonts w:ascii="宋体" w:hAnsi="宋体" w:cs="宋体"/>
          <w:sz w:val="24"/>
          <w:highlight w:val="none"/>
        </w:rPr>
      </w:pPr>
    </w:p>
    <w:p w14:paraId="535A06DC">
      <w:pPr>
        <w:spacing w:line="360" w:lineRule="auto"/>
        <w:ind w:firstLine="494"/>
        <w:rPr>
          <w:rFonts w:ascii="宋体" w:hAnsi="宋体" w:cs="宋体"/>
          <w:sz w:val="24"/>
          <w:highlight w:val="none"/>
        </w:rPr>
      </w:pPr>
    </w:p>
    <w:p w14:paraId="158A6102">
      <w:pPr>
        <w:spacing w:line="360" w:lineRule="auto"/>
        <w:ind w:right="480" w:firstLine="4080" w:firstLineChars="1700"/>
        <w:rPr>
          <w:rFonts w:ascii="宋体" w:hAnsi="宋体" w:cs="宋体"/>
          <w:sz w:val="24"/>
          <w:highlight w:val="none"/>
        </w:rPr>
      </w:pPr>
      <w:r>
        <w:rPr>
          <w:rFonts w:hint="eastAsia" w:ascii="宋体" w:hAnsi="宋体" w:cs="宋体"/>
          <w:sz w:val="24"/>
          <w:highlight w:val="none"/>
        </w:rPr>
        <w:t>投标单位（法定名称章）：</w:t>
      </w:r>
    </w:p>
    <w:p w14:paraId="75FF8BE6">
      <w:pPr>
        <w:ind w:right="1440" w:firstLine="494"/>
        <w:jc w:val="center"/>
        <w:rPr>
          <w:rFonts w:ascii="宋体" w:hAnsi="宋体" w:cs="宋体"/>
          <w:sz w:val="24"/>
          <w:highlight w:val="none"/>
        </w:rPr>
      </w:pPr>
      <w:r>
        <w:rPr>
          <w:rFonts w:hint="eastAsia" w:ascii="宋体" w:hAnsi="宋体" w:cs="宋体"/>
          <w:sz w:val="24"/>
          <w:highlight w:val="none"/>
        </w:rPr>
        <w:t xml:space="preserve">                              日期：       年     月     日</w:t>
      </w:r>
    </w:p>
    <w:p w14:paraId="4E032626">
      <w:pPr>
        <w:rPr>
          <w:rFonts w:ascii="宋体" w:hAnsi="宋体" w:cs="宋体"/>
          <w:sz w:val="24"/>
          <w:highlight w:val="none"/>
        </w:rPr>
      </w:pPr>
      <w:r>
        <w:rPr>
          <w:rFonts w:hint="eastAsia" w:ascii="宋体" w:hAnsi="宋体" w:cs="宋体"/>
          <w:b/>
          <w:bCs/>
          <w:sz w:val="24"/>
          <w:highlight w:val="none"/>
        </w:rPr>
        <w:t>附：</w:t>
      </w:r>
    </w:p>
    <w:p w14:paraId="033835E5">
      <w:pPr>
        <w:spacing w:line="360" w:lineRule="auto"/>
        <w:rPr>
          <w:rFonts w:ascii="宋体" w:hAnsi="宋体" w:cs="宋体"/>
          <w:bCs/>
          <w:sz w:val="24"/>
          <w:highlight w:val="none"/>
        </w:rPr>
      </w:pPr>
      <w:r>
        <w:rPr>
          <w:rFonts w:hint="eastAsia" w:ascii="宋体" w:hAnsi="宋体" w:cs="宋体"/>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13D9FE3E">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13D9FE3E">
                      <w:pPr>
                        <w:jc w:val="center"/>
                      </w:pPr>
                    </w:p>
                  </w:txbxContent>
                </v:textbox>
              </v:rect>
            </w:pict>
          </mc:Fallback>
        </mc:AlternateContent>
      </w:r>
      <w:r>
        <w:rPr>
          <w:rFonts w:hint="eastAsia" w:ascii="宋体" w:hAnsi="宋体" w:cs="宋体"/>
          <w:b/>
          <w:bCs/>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55ACDDD3">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55ACDDD3">
                      <w:pPr>
                        <w:jc w:val="center"/>
                      </w:pPr>
                    </w:p>
                  </w:txbxContent>
                </v:textbox>
              </v:rect>
            </w:pict>
          </mc:Fallback>
        </mc:AlternateContent>
      </w:r>
      <w:r>
        <w:rPr>
          <w:rFonts w:hint="eastAsia" w:ascii="宋体" w:hAnsi="宋体" w:cs="宋体"/>
          <w:sz w:val="24"/>
          <w:highlight w:val="none"/>
        </w:rPr>
        <w:t>投标单位法定名称章（印模）                投标单位“XX专用章”（印模）</w:t>
      </w:r>
    </w:p>
    <w:p w14:paraId="3C176133">
      <w:pPr>
        <w:autoSpaceDE w:val="0"/>
        <w:autoSpaceDN w:val="0"/>
        <w:jc w:val="center"/>
        <w:rPr>
          <w:rFonts w:ascii="宋体" w:hAnsi="宋体" w:cs="宋体"/>
          <w:b/>
          <w:spacing w:val="6"/>
          <w:sz w:val="32"/>
          <w:szCs w:val="32"/>
          <w:highlight w:val="none"/>
        </w:rPr>
      </w:pPr>
    </w:p>
    <w:p w14:paraId="2B3C6135">
      <w:pPr>
        <w:autoSpaceDE w:val="0"/>
        <w:autoSpaceDN w:val="0"/>
        <w:jc w:val="center"/>
        <w:rPr>
          <w:rFonts w:ascii="宋体" w:hAnsi="宋体" w:cs="宋体"/>
          <w:b/>
          <w:spacing w:val="6"/>
          <w:sz w:val="32"/>
          <w:szCs w:val="32"/>
          <w:highlight w:val="none"/>
        </w:rPr>
      </w:pPr>
    </w:p>
    <w:p w14:paraId="30867C21">
      <w:pPr>
        <w:autoSpaceDE w:val="0"/>
        <w:autoSpaceDN w:val="0"/>
        <w:jc w:val="center"/>
        <w:rPr>
          <w:rFonts w:ascii="宋体" w:hAnsi="宋体" w:cs="宋体"/>
          <w:b/>
          <w:spacing w:val="6"/>
          <w:sz w:val="32"/>
          <w:szCs w:val="32"/>
          <w:highlight w:val="none"/>
        </w:rPr>
      </w:pPr>
    </w:p>
    <w:p w14:paraId="1453449B">
      <w:pPr>
        <w:autoSpaceDE w:val="0"/>
        <w:autoSpaceDN w:val="0"/>
        <w:jc w:val="center"/>
        <w:rPr>
          <w:rFonts w:ascii="宋体" w:hAnsi="宋体" w:cs="宋体"/>
          <w:b/>
          <w:spacing w:val="6"/>
          <w:sz w:val="32"/>
          <w:szCs w:val="32"/>
          <w:highlight w:val="none"/>
        </w:rPr>
      </w:pPr>
    </w:p>
    <w:p w14:paraId="48AB7CC6">
      <w:pPr>
        <w:autoSpaceDE w:val="0"/>
        <w:autoSpaceDN w:val="0"/>
        <w:jc w:val="center"/>
        <w:rPr>
          <w:rFonts w:ascii="宋体" w:hAnsi="宋体" w:cs="宋体"/>
          <w:b/>
          <w:spacing w:val="6"/>
          <w:sz w:val="32"/>
          <w:szCs w:val="32"/>
          <w:highlight w:val="none"/>
        </w:rPr>
      </w:pPr>
    </w:p>
    <w:p w14:paraId="0CD0431E">
      <w:pPr>
        <w:autoSpaceDE w:val="0"/>
        <w:autoSpaceDN w:val="0"/>
        <w:jc w:val="center"/>
        <w:rPr>
          <w:rFonts w:ascii="宋体" w:hAnsi="宋体" w:cs="宋体"/>
          <w:b/>
          <w:spacing w:val="6"/>
          <w:sz w:val="32"/>
          <w:szCs w:val="32"/>
          <w:highlight w:val="none"/>
        </w:rPr>
      </w:pPr>
    </w:p>
    <w:p w14:paraId="48ACA252">
      <w:pPr>
        <w:autoSpaceDE w:val="0"/>
        <w:autoSpaceDN w:val="0"/>
        <w:jc w:val="center"/>
        <w:rPr>
          <w:rFonts w:ascii="宋体" w:hAnsi="宋体" w:cs="宋体"/>
          <w:b/>
          <w:spacing w:val="6"/>
          <w:sz w:val="32"/>
          <w:szCs w:val="32"/>
          <w:highlight w:val="none"/>
        </w:rPr>
      </w:pPr>
    </w:p>
    <w:p w14:paraId="0983B8E6">
      <w:pPr>
        <w:autoSpaceDE w:val="0"/>
        <w:autoSpaceDN w:val="0"/>
        <w:jc w:val="center"/>
        <w:rPr>
          <w:rFonts w:ascii="宋体" w:hAnsi="宋体" w:cs="宋体"/>
          <w:b/>
          <w:spacing w:val="6"/>
          <w:sz w:val="32"/>
          <w:szCs w:val="32"/>
          <w:highlight w:val="none"/>
        </w:rPr>
      </w:pPr>
    </w:p>
    <w:p w14:paraId="2426F352">
      <w:pPr>
        <w:autoSpaceDE w:val="0"/>
        <w:autoSpaceDN w:val="0"/>
        <w:jc w:val="center"/>
        <w:rPr>
          <w:rFonts w:ascii="宋体" w:hAnsi="宋体" w:cs="宋体"/>
          <w:b/>
          <w:spacing w:val="6"/>
          <w:sz w:val="32"/>
          <w:szCs w:val="32"/>
          <w:highlight w:val="none"/>
        </w:rPr>
      </w:pPr>
    </w:p>
    <w:p w14:paraId="415DA7FE">
      <w:pPr>
        <w:autoSpaceDE w:val="0"/>
        <w:autoSpaceDN w:val="0"/>
        <w:jc w:val="center"/>
        <w:rPr>
          <w:rFonts w:ascii="宋体" w:hAnsi="宋体" w:cs="宋体"/>
          <w:b/>
          <w:spacing w:val="6"/>
          <w:sz w:val="32"/>
          <w:szCs w:val="32"/>
          <w:highlight w:val="none"/>
        </w:rPr>
      </w:pPr>
    </w:p>
    <w:p w14:paraId="5AE10819">
      <w:pPr>
        <w:autoSpaceDE w:val="0"/>
        <w:autoSpaceDN w:val="0"/>
        <w:jc w:val="center"/>
        <w:rPr>
          <w:rFonts w:ascii="宋体" w:hAnsi="宋体" w:cs="宋体"/>
          <w:b/>
          <w:spacing w:val="6"/>
          <w:sz w:val="32"/>
          <w:szCs w:val="32"/>
          <w:highlight w:val="none"/>
        </w:rPr>
      </w:pPr>
    </w:p>
    <w:p w14:paraId="2D21CEC4">
      <w:pPr>
        <w:autoSpaceDE w:val="0"/>
        <w:autoSpaceDN w:val="0"/>
        <w:jc w:val="center"/>
        <w:rPr>
          <w:rFonts w:ascii="宋体" w:hAnsi="宋体" w:cs="宋体"/>
          <w:b/>
          <w:spacing w:val="6"/>
          <w:sz w:val="32"/>
          <w:szCs w:val="32"/>
          <w:highlight w:val="none"/>
        </w:rPr>
      </w:pPr>
    </w:p>
    <w:p w14:paraId="4E3F2086">
      <w:pPr>
        <w:autoSpaceDE w:val="0"/>
        <w:autoSpaceDN w:val="0"/>
        <w:jc w:val="center"/>
        <w:rPr>
          <w:rFonts w:ascii="宋体" w:hAnsi="宋体" w:cs="宋体"/>
          <w:b/>
          <w:spacing w:val="6"/>
          <w:sz w:val="32"/>
          <w:szCs w:val="32"/>
          <w:highlight w:val="none"/>
        </w:rPr>
      </w:pPr>
    </w:p>
    <w:p w14:paraId="3F4F948D">
      <w:pPr>
        <w:autoSpaceDE w:val="0"/>
        <w:autoSpaceDN w:val="0"/>
        <w:jc w:val="center"/>
        <w:rPr>
          <w:rFonts w:ascii="宋体" w:hAnsi="宋体" w:cs="宋体"/>
          <w:b/>
          <w:spacing w:val="6"/>
          <w:sz w:val="32"/>
          <w:szCs w:val="32"/>
          <w:highlight w:val="none"/>
        </w:rPr>
      </w:pPr>
    </w:p>
    <w:p w14:paraId="5456B00D">
      <w:pPr>
        <w:autoSpaceDE w:val="0"/>
        <w:autoSpaceDN w:val="0"/>
        <w:jc w:val="center"/>
        <w:rPr>
          <w:rFonts w:ascii="宋体" w:hAnsi="宋体" w:cs="宋体"/>
          <w:b/>
          <w:spacing w:val="6"/>
          <w:sz w:val="32"/>
          <w:szCs w:val="32"/>
          <w:highlight w:val="none"/>
        </w:rPr>
      </w:pPr>
    </w:p>
    <w:p w14:paraId="4627ECF2">
      <w:pPr>
        <w:autoSpaceDE w:val="0"/>
        <w:autoSpaceDN w:val="0"/>
        <w:jc w:val="center"/>
        <w:rPr>
          <w:rFonts w:ascii="宋体" w:hAnsi="宋体" w:cs="宋体"/>
          <w:b/>
          <w:spacing w:val="6"/>
          <w:sz w:val="32"/>
          <w:szCs w:val="32"/>
          <w:highlight w:val="none"/>
        </w:rPr>
      </w:pPr>
    </w:p>
    <w:p w14:paraId="7DA9F3F7">
      <w:pPr>
        <w:snapToGrid w:val="0"/>
        <w:spacing w:line="360" w:lineRule="auto"/>
        <w:jc w:val="center"/>
        <w:rPr>
          <w:rFonts w:ascii="宋体" w:hAnsi="宋体" w:cs="宋体"/>
          <w:b/>
          <w:kern w:val="0"/>
          <w:sz w:val="32"/>
          <w:szCs w:val="32"/>
          <w:highlight w:val="none"/>
        </w:rPr>
      </w:pPr>
      <w:r>
        <w:rPr>
          <w:rFonts w:hint="eastAsia" w:ascii="宋体" w:hAnsi="宋体" w:cs="宋体"/>
          <w:b/>
          <w:kern w:val="0"/>
          <w:sz w:val="32"/>
          <w:szCs w:val="32"/>
          <w:highlight w:val="none"/>
        </w:rPr>
        <w:t>附件</w:t>
      </w:r>
      <w:r>
        <w:rPr>
          <w:rFonts w:ascii="宋体" w:hAnsi="宋体" w:cs="宋体"/>
          <w:b/>
          <w:kern w:val="0"/>
          <w:sz w:val="32"/>
          <w:szCs w:val="32"/>
          <w:highlight w:val="none"/>
        </w:rPr>
        <w:t>5</w:t>
      </w:r>
      <w:r>
        <w:rPr>
          <w:rFonts w:hint="eastAsia" w:ascii="宋体" w:hAnsi="宋体" w:cs="宋体"/>
          <w:b/>
          <w:kern w:val="0"/>
          <w:sz w:val="32"/>
          <w:szCs w:val="32"/>
          <w:highlight w:val="none"/>
        </w:rPr>
        <w:t>：联合协议</w:t>
      </w:r>
    </w:p>
    <w:p w14:paraId="56ECE695">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ascii="宋体" w:hAnsi="宋体" w:cs="宋体"/>
          <w:b/>
          <w:sz w:val="24"/>
          <w:highlight w:val="none"/>
        </w:rPr>
      </w:pPr>
      <w:r>
        <w:rPr>
          <w:rFonts w:hint="eastAsia" w:ascii="宋体" w:hAnsi="宋体" w:cs="宋体"/>
          <w:b/>
          <w:sz w:val="24"/>
          <w:highlight w:val="none"/>
        </w:rPr>
        <w:t>（以联合体形式投标的，提供联合协议；本项目不接受联合体投标或者投标人不以联合体形式投标的，则不需要提供）</w:t>
      </w:r>
    </w:p>
    <w:p w14:paraId="2BE6209B">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u w:val="single"/>
        </w:rPr>
        <w:t>（联合体所有成员名称）</w:t>
      </w:r>
      <w:r>
        <w:rPr>
          <w:rFonts w:hint="eastAsia" w:ascii="宋体" w:hAnsi="宋体" w:cs="宋体"/>
          <w:kern w:val="0"/>
          <w:sz w:val="24"/>
          <w:highlight w:val="none"/>
        </w:rPr>
        <w:t>自愿</w:t>
      </w:r>
      <w:r>
        <w:rPr>
          <w:rFonts w:hint="eastAsia" w:ascii="宋体" w:hAnsi="宋体" w:cs="宋体"/>
          <w:kern w:val="0"/>
          <w:sz w:val="24"/>
          <w:highlight w:val="none"/>
          <w:lang w:val="zh-CN"/>
        </w:rPr>
        <w:t>组成一个联合体，以一个投标人的身份</w:t>
      </w:r>
      <w:r>
        <w:rPr>
          <w:rFonts w:hint="eastAsia" w:ascii="宋体" w:hAnsi="宋体" w:cs="宋体"/>
          <w:kern w:val="0"/>
          <w:sz w:val="24"/>
          <w:highlight w:val="none"/>
        </w:rPr>
        <w:t>参加</w:t>
      </w:r>
      <w:r>
        <w:rPr>
          <w:rFonts w:hint="eastAsia" w:ascii="宋体" w:hAnsi="宋体" w:cs="宋体"/>
          <w:sz w:val="24"/>
          <w:highlight w:val="none"/>
        </w:rPr>
        <w:t>（项目名称）【招标编号：（采购编号）】</w:t>
      </w:r>
      <w:r>
        <w:rPr>
          <w:rFonts w:hint="eastAsia" w:ascii="宋体" w:hAnsi="宋体" w:cs="宋体"/>
          <w:kern w:val="0"/>
          <w:sz w:val="24"/>
          <w:highlight w:val="none"/>
          <w:lang w:val="zh-CN"/>
        </w:rPr>
        <w:t xml:space="preserve">投标。 </w:t>
      </w:r>
    </w:p>
    <w:p w14:paraId="0214510E">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一、各方一致决定，</w:t>
      </w:r>
      <w:r>
        <w:rPr>
          <w:rFonts w:hint="eastAsia" w:ascii="宋体" w:hAnsi="宋体" w:cs="宋体"/>
          <w:kern w:val="0"/>
          <w:sz w:val="24"/>
          <w:highlight w:val="none"/>
          <w:u w:val="single"/>
        </w:rPr>
        <w:t>（某联合体成员名称）</w:t>
      </w:r>
      <w:r>
        <w:rPr>
          <w:rFonts w:hint="eastAsia" w:ascii="宋体" w:hAnsi="宋体" w:cs="宋体"/>
          <w:kern w:val="0"/>
          <w:sz w:val="24"/>
          <w:highlight w:val="none"/>
        </w:rPr>
        <w:t>为联合体</w:t>
      </w:r>
      <w:r>
        <w:rPr>
          <w:rFonts w:hint="eastAsia" w:ascii="宋体" w:hAnsi="宋体" w:cs="宋体"/>
          <w:kern w:val="0"/>
          <w:sz w:val="24"/>
          <w:highlight w:val="none"/>
          <w:lang w:val="zh-CN"/>
        </w:rPr>
        <w:t>牵头人</w:t>
      </w:r>
      <w:r>
        <w:rPr>
          <w:rFonts w:hint="eastAsia" w:ascii="宋体" w:hAnsi="宋体" w:cs="宋体"/>
          <w:sz w:val="24"/>
          <w:highlight w:val="none"/>
        </w:rPr>
        <w:t>，代表所有联合体成员负责投标和合同实施阶段的主办、协调工作</w:t>
      </w:r>
      <w:r>
        <w:rPr>
          <w:rFonts w:hint="eastAsia" w:ascii="宋体" w:hAnsi="宋体" w:cs="宋体"/>
          <w:kern w:val="0"/>
          <w:sz w:val="24"/>
          <w:highlight w:val="none"/>
          <w:lang w:val="zh-CN"/>
        </w:rPr>
        <w:t>。</w:t>
      </w:r>
    </w:p>
    <w:p w14:paraId="4F7C6D1E">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二、</w:t>
      </w:r>
      <w:r>
        <w:rPr>
          <w:rFonts w:hint="eastAsia" w:ascii="宋体" w:hAnsi="宋体" w:cs="宋体"/>
          <w:sz w:val="24"/>
          <w:highlight w:val="none"/>
        </w:rPr>
        <w:t>所有联合体成员各方签署授权书，授权书载明的</w:t>
      </w:r>
      <w:r>
        <w:rPr>
          <w:rFonts w:hint="eastAsia" w:ascii="宋体" w:hAnsi="宋体" w:cs="宋体"/>
          <w:kern w:val="0"/>
          <w:sz w:val="24"/>
          <w:highlight w:val="none"/>
          <w:lang w:val="zh-CN"/>
        </w:rPr>
        <w:t>授权代表根据招标文件规定及投标内容而对采购人、采购代理机构所作的任何合法承诺，包括书面澄清及响应等均对联合投标各方产生约束力。</w:t>
      </w:r>
    </w:p>
    <w:p w14:paraId="710BE7E9">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三、本次联合投标中，分工如下：</w:t>
      </w:r>
    </w:p>
    <w:p w14:paraId="220BF284">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bookmarkStart w:id="430" w:name="_Hlk101134295"/>
      <w:r>
        <w:rPr>
          <w:rFonts w:hint="eastAsia" w:ascii="宋体" w:hAnsi="宋体" w:cs="宋体"/>
          <w:kern w:val="0"/>
          <w:sz w:val="24"/>
          <w:highlight w:val="none"/>
          <w:u w:val="single"/>
        </w:rPr>
        <w:t>（联合体成员1）</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2D54150C">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u w:val="single"/>
        </w:rPr>
        <w:t>（联合体成员</w:t>
      </w:r>
      <w:r>
        <w:rPr>
          <w:rFonts w:ascii="宋体" w:hAnsi="宋体" w:cs="宋体"/>
          <w:kern w:val="0"/>
          <w:sz w:val="24"/>
          <w:highlight w:val="none"/>
          <w:u w:val="single"/>
        </w:rPr>
        <w:t>2</w:t>
      </w:r>
      <w:r>
        <w:rPr>
          <w:rFonts w:hint="eastAsia" w:ascii="宋体" w:hAnsi="宋体" w:cs="宋体"/>
          <w:kern w:val="0"/>
          <w:sz w:val="24"/>
          <w:highlight w:val="none"/>
          <w:u w:val="single"/>
        </w:rPr>
        <w:t>）</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154A19A0">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w:t>
      </w:r>
    </w:p>
    <w:bookmarkEnd w:id="430"/>
    <w:p w14:paraId="5CE7C381">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1663F335">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（联合体成员</w:t>
      </w:r>
      <w:r>
        <w:rPr>
          <w:rFonts w:ascii="宋体" w:hAnsi="宋体" w:cs="宋体"/>
          <w:kern w:val="0"/>
          <w:sz w:val="24"/>
          <w:highlight w:val="none"/>
          <w:u w:val="single"/>
        </w:rPr>
        <w:t>X,</w:t>
      </w:r>
      <w:r>
        <w:rPr>
          <w:rFonts w:hint="eastAsia" w:ascii="宋体" w:hAnsi="宋体" w:cs="宋体"/>
          <w:kern w:val="0"/>
          <w:sz w:val="24"/>
          <w:highlight w:val="none"/>
          <w:u w:val="single"/>
        </w:rPr>
        <w:t>……）</w:t>
      </w:r>
      <w:r>
        <w:rPr>
          <w:rFonts w:hint="eastAsia" w:ascii="宋体" w:hAnsi="宋体" w:cs="宋体"/>
          <w:kern w:val="0"/>
          <w:sz w:val="24"/>
          <w:highlight w:val="none"/>
        </w:rPr>
        <w:t>提供的全部货物由小微企业制造，其合同份额占到合同总金额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42C892F7">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sz w:val="24"/>
          <w:highlight w:val="none"/>
        </w:rPr>
        <w:t>2、中小企业合同金额达到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highlight w:val="none"/>
          <w:lang w:val="zh-CN"/>
        </w:rPr>
        <w:t>）</w:t>
      </w:r>
    </w:p>
    <w:p w14:paraId="034079C8">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五、如果中标，</w:t>
      </w:r>
      <w:r>
        <w:rPr>
          <w:rFonts w:hint="eastAsia" w:ascii="宋体" w:hAnsi="宋体" w:cs="宋体"/>
          <w:sz w:val="24"/>
          <w:highlight w:val="none"/>
        </w:rPr>
        <w:t>联合体各成员方共同与采购人签订合同，并就采购合同约定的事项对采购人承担连带责任。</w:t>
      </w:r>
    </w:p>
    <w:p w14:paraId="10BA31FC">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六、有关本次联合投标的其他事宜：</w:t>
      </w:r>
    </w:p>
    <w:p w14:paraId="06456889">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1、联合体各方不再单独参加或者与其他供应商另外组成联合体参加同一合同项下的政府采购活动。</w:t>
      </w:r>
    </w:p>
    <w:p w14:paraId="2116DABA">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2、联合体中有同类资质的各方按照联合体分工承担相同工作的，按照资质等级较低的供应商确定资质等级。</w:t>
      </w:r>
    </w:p>
    <w:p w14:paraId="0553F2EB">
      <w:pPr>
        <w:keepNext w:val="0"/>
        <w:keepLines w:val="0"/>
        <w:pageBreakBefore w:val="0"/>
        <w:kinsoku/>
        <w:wordWrap/>
        <w:overflowPunct/>
        <w:topLinePunct w:val="0"/>
        <w:autoSpaceDE/>
        <w:autoSpaceDN/>
        <w:bidi w:val="0"/>
        <w:adjustRightInd w:val="0"/>
        <w:snapToGrid w:val="0"/>
        <w:spacing w:line="360" w:lineRule="auto"/>
        <w:ind w:firstLine="576"/>
        <w:textAlignment w:val="auto"/>
        <w:rPr>
          <w:rFonts w:ascii="宋体" w:hAnsi="宋体" w:cs="宋体"/>
          <w:kern w:val="0"/>
          <w:sz w:val="24"/>
          <w:highlight w:val="none"/>
          <w:lang w:val="zh-CN"/>
        </w:rPr>
      </w:pPr>
      <w:r>
        <w:rPr>
          <w:rFonts w:hint="eastAsia" w:ascii="宋体" w:hAnsi="宋体" w:cs="宋体"/>
          <w:kern w:val="0"/>
          <w:sz w:val="24"/>
          <w:highlight w:val="none"/>
          <w:lang w:val="zh-CN"/>
        </w:rPr>
        <w:t>3、本协议提交采购人、采购代理机构后，联合体各方不得以任何形式对上述内容进行修改或撤销。</w:t>
      </w:r>
    </w:p>
    <w:p w14:paraId="11BA9536">
      <w:pPr>
        <w:keepNext w:val="0"/>
        <w:keepLines w:val="0"/>
        <w:pageBreakBefore w:val="0"/>
        <w:kinsoku/>
        <w:wordWrap/>
        <w:overflowPunct/>
        <w:topLinePunct w:val="0"/>
        <w:autoSpaceDE/>
        <w:autoSpaceDN/>
        <w:bidi w:val="0"/>
        <w:adjustRightInd w:val="0"/>
        <w:snapToGrid w:val="0"/>
        <w:spacing w:line="360" w:lineRule="auto"/>
        <w:jc w:val="right"/>
        <w:textAlignment w:val="auto"/>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7498DFF6">
      <w:pPr>
        <w:keepNext w:val="0"/>
        <w:keepLines w:val="0"/>
        <w:pageBreakBefore w:val="0"/>
        <w:kinsoku/>
        <w:wordWrap/>
        <w:overflowPunct/>
        <w:topLinePunct w:val="0"/>
        <w:autoSpaceDE/>
        <w:autoSpaceDN/>
        <w:bidi w:val="0"/>
        <w:adjustRightInd w:val="0"/>
        <w:snapToGrid w:val="0"/>
        <w:spacing w:line="360" w:lineRule="auto"/>
        <w:jc w:val="right"/>
        <w:textAlignment w:val="auto"/>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12A19E9B">
      <w:pPr>
        <w:keepNext w:val="0"/>
        <w:keepLines w:val="0"/>
        <w:pageBreakBefore w:val="0"/>
        <w:kinsoku/>
        <w:wordWrap/>
        <w:overflowPunct/>
        <w:topLinePunct w:val="0"/>
        <w:autoSpaceDE/>
        <w:autoSpaceDN/>
        <w:bidi w:val="0"/>
        <w:adjustRightInd w:val="0"/>
        <w:snapToGrid w:val="0"/>
        <w:spacing w:line="360" w:lineRule="auto"/>
        <w:ind w:right="960"/>
        <w:jc w:val="center"/>
        <w:textAlignment w:val="auto"/>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70A60A2A">
      <w:pPr>
        <w:keepNext w:val="0"/>
        <w:keepLines w:val="0"/>
        <w:pageBreakBefore w:val="0"/>
        <w:kinsoku/>
        <w:wordWrap/>
        <w:overflowPunct/>
        <w:topLinePunct w:val="0"/>
        <w:autoSpaceDE/>
        <w:autoSpaceDN/>
        <w:bidi w:val="0"/>
        <w:adjustRightInd w:val="0"/>
        <w:snapToGrid w:val="0"/>
        <w:spacing w:line="360" w:lineRule="auto"/>
        <w:jc w:val="right"/>
        <w:textAlignment w:val="auto"/>
        <w:rPr>
          <w:rFonts w:ascii="宋体" w:hAnsi="宋体" w:cs="宋体"/>
          <w:kern w:val="0"/>
          <w:sz w:val="24"/>
          <w:highlight w:val="none"/>
          <w:lang w:val="zh-CN"/>
        </w:rPr>
      </w:pPr>
      <w:r>
        <w:rPr>
          <w:rFonts w:hint="eastAsia" w:ascii="宋体" w:hAnsi="宋体" w:cs="宋体"/>
          <w:kern w:val="0"/>
          <w:sz w:val="24"/>
          <w:highlight w:val="none"/>
          <w:lang w:val="zh-CN"/>
        </w:rPr>
        <w:t>日期：  年  月   日</w:t>
      </w:r>
    </w:p>
    <w:p w14:paraId="5F3D7527">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sz w:val="24"/>
          <w:highlight w:val="none"/>
        </w:rPr>
      </w:pPr>
      <w:r>
        <w:rPr>
          <w:rFonts w:hint="eastAsia" w:ascii="宋体" w:hAnsi="宋体" w:cs="宋体"/>
          <w:sz w:val="24"/>
          <w:highlight w:val="none"/>
        </w:rPr>
        <w:t>注：按本格式和要求提供。</w:t>
      </w:r>
    </w:p>
    <w:p w14:paraId="564CE6A9">
      <w:pPr>
        <w:rPr>
          <w:rFonts w:ascii="宋体" w:hAnsi="宋体" w:cs="宋体"/>
          <w:sz w:val="24"/>
          <w:highlight w:val="none"/>
        </w:rPr>
      </w:pPr>
      <w:r>
        <w:rPr>
          <w:rFonts w:hint="eastAsia" w:ascii="宋体" w:hAnsi="宋体" w:cs="宋体"/>
          <w:sz w:val="24"/>
          <w:highlight w:val="none"/>
        </w:rPr>
        <w:br w:type="page"/>
      </w:r>
    </w:p>
    <w:p w14:paraId="0E74A0EC">
      <w:pPr>
        <w:snapToGrid w:val="0"/>
        <w:spacing w:line="312" w:lineRule="auto"/>
        <w:jc w:val="center"/>
        <w:rPr>
          <w:rFonts w:ascii="宋体" w:hAnsi="宋体" w:cs="宋体"/>
          <w:b/>
          <w:kern w:val="0"/>
          <w:sz w:val="32"/>
          <w:szCs w:val="32"/>
          <w:highlight w:val="none"/>
        </w:rPr>
      </w:pPr>
      <w:r>
        <w:rPr>
          <w:rFonts w:hint="eastAsia" w:ascii="宋体" w:hAnsi="宋体" w:cs="宋体"/>
          <w:b/>
          <w:kern w:val="0"/>
          <w:sz w:val="32"/>
          <w:szCs w:val="32"/>
          <w:highlight w:val="none"/>
        </w:rPr>
        <w:t>附件</w:t>
      </w:r>
      <w:r>
        <w:rPr>
          <w:rFonts w:ascii="宋体" w:hAnsi="宋体" w:cs="宋体"/>
          <w:b/>
          <w:kern w:val="0"/>
          <w:sz w:val="32"/>
          <w:szCs w:val="32"/>
          <w:highlight w:val="none"/>
        </w:rPr>
        <w:t>6</w:t>
      </w:r>
      <w:r>
        <w:rPr>
          <w:rFonts w:hint="eastAsia" w:ascii="宋体" w:hAnsi="宋体" w:cs="宋体"/>
          <w:b/>
          <w:kern w:val="0"/>
          <w:sz w:val="32"/>
          <w:szCs w:val="32"/>
          <w:highlight w:val="none"/>
        </w:rPr>
        <w:t>：分包意向协议</w:t>
      </w:r>
    </w:p>
    <w:p w14:paraId="3840C4EA">
      <w:pPr>
        <w:widowControl/>
        <w:spacing w:line="312"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中标后以分包方式履行合同的，提供分包意向协议；采购人不同意分包或者投标人中标后不以分包方式履行合同的，则不需要提供。</w:t>
      </w:r>
      <w:r>
        <w:rPr>
          <w:rFonts w:hint="eastAsia" w:ascii="宋体" w:hAnsi="宋体" w:cs="宋体"/>
          <w:sz w:val="24"/>
          <w:highlight w:val="none"/>
        </w:rPr>
        <w:t>）</w:t>
      </w:r>
    </w:p>
    <w:p w14:paraId="53AC4072">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若成为</w:t>
      </w:r>
      <w:r>
        <w:rPr>
          <w:rFonts w:hint="eastAsia" w:ascii="宋体" w:hAnsi="宋体" w:cs="宋体"/>
          <w:sz w:val="24"/>
          <w:highlight w:val="none"/>
        </w:rPr>
        <w:t>（项目名称）【招标编号：（采购编号）】</w:t>
      </w:r>
      <w:r>
        <w:rPr>
          <w:rFonts w:hint="eastAsia" w:ascii="宋体" w:hAnsi="宋体" w:cs="宋体"/>
          <w:kern w:val="0"/>
          <w:sz w:val="24"/>
          <w:highlight w:val="none"/>
          <w:lang w:val="zh-CN"/>
        </w:rPr>
        <w:t>的中标供应商，将依法采取分包方式履行合同。</w:t>
      </w:r>
      <w:r>
        <w:rPr>
          <w:rFonts w:hint="eastAsia" w:ascii="宋体" w:hAnsi="宋体" w:cs="宋体"/>
          <w:kern w:val="0"/>
          <w:sz w:val="24"/>
          <w:highlight w:val="none"/>
          <w:u w:val="single"/>
        </w:rPr>
        <w:t>（投标人名称）</w:t>
      </w:r>
      <w:r>
        <w:rPr>
          <w:rFonts w:hint="eastAsia" w:ascii="宋体" w:hAnsi="宋体" w:cs="宋体"/>
          <w:kern w:val="0"/>
          <w:sz w:val="24"/>
          <w:highlight w:val="none"/>
        </w:rPr>
        <w:t>与</w:t>
      </w:r>
      <w:r>
        <w:rPr>
          <w:rFonts w:hint="eastAsia" w:ascii="宋体" w:hAnsi="宋体" w:cs="宋体"/>
          <w:kern w:val="0"/>
          <w:sz w:val="24"/>
          <w:highlight w:val="none"/>
          <w:u w:val="single"/>
        </w:rPr>
        <w:t>（所有分包供应商名称）</w:t>
      </w:r>
      <w:r>
        <w:rPr>
          <w:rFonts w:hint="eastAsia" w:ascii="宋体" w:hAnsi="宋体" w:cs="宋体"/>
          <w:kern w:val="0"/>
          <w:sz w:val="24"/>
          <w:highlight w:val="none"/>
        </w:rPr>
        <w:t>达成分包意向协议</w:t>
      </w:r>
      <w:r>
        <w:rPr>
          <w:rFonts w:hint="eastAsia" w:ascii="宋体" w:hAnsi="宋体" w:cs="宋体"/>
          <w:kern w:val="0"/>
          <w:sz w:val="24"/>
          <w:highlight w:val="none"/>
          <w:lang w:val="zh-CN"/>
        </w:rPr>
        <w:t xml:space="preserve">。 </w:t>
      </w:r>
    </w:p>
    <w:p w14:paraId="7CA2D444">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一、分包标的及数量</w:t>
      </w:r>
    </w:p>
    <w:p w14:paraId="386E5BF5">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（分包供应商1名称）</w:t>
      </w:r>
      <w:r>
        <w:rPr>
          <w:rFonts w:hint="eastAsia" w:ascii="宋体" w:hAnsi="宋体" w:cs="宋体"/>
          <w:kern w:val="0"/>
          <w:sz w:val="24"/>
          <w:highlight w:val="none"/>
          <w:lang w:val="zh-CN"/>
        </w:rPr>
        <w:t>，</w:t>
      </w:r>
      <w:r>
        <w:rPr>
          <w:rFonts w:hint="eastAsia" w:ascii="宋体" w:hAnsi="宋体" w:cs="宋体"/>
          <w:kern w:val="0"/>
          <w:sz w:val="24"/>
          <w:highlight w:val="none"/>
          <w:u w:val="single"/>
        </w:rPr>
        <w:t>（分包供应商1名称），</w:t>
      </w:r>
      <w:r>
        <w:rPr>
          <w:rFonts w:hint="eastAsia" w:ascii="宋体" w:hAnsi="宋体" w:cs="宋体"/>
          <w:kern w:val="0"/>
          <w:sz w:val="24"/>
          <w:highlight w:val="none"/>
          <w:lang w:val="zh-CN"/>
        </w:rPr>
        <w:t>具备承</w:t>
      </w:r>
      <w:r>
        <w:rPr>
          <w:rFonts w:hint="eastAsia" w:ascii="宋体" w:hAnsi="宋体" w:cs="宋体"/>
          <w:kern w:val="0"/>
          <w:sz w:val="24"/>
          <w:highlight w:val="none"/>
        </w:rPr>
        <w:t>担</w:t>
      </w:r>
      <w:r>
        <w:rPr>
          <w:rFonts w:hint="eastAsia" w:ascii="宋体" w:hAnsi="宋体" w:cs="宋体"/>
          <w:kern w:val="0"/>
          <w:sz w:val="24"/>
          <w:highlight w:val="none"/>
          <w:u w:val="single"/>
          <w:lang w:val="zh-CN"/>
        </w:rPr>
        <w:t>XX工作内容</w:t>
      </w:r>
      <w:r>
        <w:rPr>
          <w:rFonts w:hint="eastAsia" w:ascii="宋体" w:hAnsi="宋体" w:cs="宋体"/>
          <w:kern w:val="0"/>
          <w:sz w:val="24"/>
          <w:highlight w:val="none"/>
          <w:lang w:val="zh-CN"/>
        </w:rPr>
        <w:t>相应资质条件且不得再次分包；</w:t>
      </w:r>
    </w:p>
    <w:p w14:paraId="27D1E6CA">
      <w:pPr>
        <w:tabs>
          <w:tab w:val="left" w:pos="432"/>
        </w:tabs>
        <w:spacing w:line="312" w:lineRule="auto"/>
        <w:ind w:left="664" w:leftChars="316" w:firstLine="228" w:firstLineChars="95"/>
        <w:rPr>
          <w:rFonts w:ascii="宋体" w:hAnsi="宋体" w:cs="宋体"/>
          <w:kern w:val="0"/>
          <w:sz w:val="24"/>
          <w:highlight w:val="none"/>
        </w:rPr>
      </w:pPr>
      <w:r>
        <w:rPr>
          <w:rFonts w:hint="eastAsia" w:ascii="宋体" w:hAnsi="宋体" w:cs="宋体"/>
          <w:kern w:val="0"/>
          <w:sz w:val="24"/>
          <w:highlight w:val="none"/>
        </w:rPr>
        <w:t>……</w:t>
      </w:r>
    </w:p>
    <w:p w14:paraId="26CA26F3">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二、分包供应商中小企业合同份额</w:t>
      </w:r>
    </w:p>
    <w:p w14:paraId="17F5054C">
      <w:pPr>
        <w:snapToGrid w:val="0"/>
        <w:spacing w:line="312" w:lineRule="auto"/>
        <w:ind w:firstLine="576"/>
        <w:rPr>
          <w:rFonts w:ascii="宋体" w:hAnsi="宋体" w:cs="宋体"/>
          <w:b/>
          <w:kern w:val="0"/>
          <w:sz w:val="24"/>
          <w:highlight w:val="none"/>
          <w:lang w:val="zh-CN"/>
        </w:rPr>
      </w:pPr>
      <w:r>
        <w:rPr>
          <w:rFonts w:ascii="宋体" w:hAnsi="宋体" w:cs="宋体"/>
          <w:kern w:val="0"/>
          <w:sz w:val="24"/>
          <w:highlight w:val="none"/>
        </w:rPr>
        <w:t>1、</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……）提供的货物全部由小微企业制造，</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48438638">
      <w:pPr>
        <w:spacing w:line="312"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w:t>
      </w:r>
      <w:bookmarkStart w:id="431" w:name="_Hlk101133173"/>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要求合同分包形式参加的项目或采购包，供应商按招标文件第一部分招标公告申请人的资格要求中规定的</w:t>
      </w:r>
      <w:r>
        <w:rPr>
          <w:rFonts w:hint="eastAsia" w:ascii="宋体" w:hAnsi="宋体" w:cs="宋体"/>
          <w:b/>
          <w:kern w:val="0"/>
          <w:sz w:val="24"/>
          <w:highlight w:val="none"/>
          <w:lang w:val="zh-CN"/>
        </w:rPr>
        <w:t>分包意向协议</w:t>
      </w:r>
      <w:r>
        <w:rPr>
          <w:rFonts w:hint="eastAsia" w:ascii="宋体" w:hAnsi="宋体" w:cs="宋体"/>
          <w:b/>
          <w:bCs/>
          <w:sz w:val="24"/>
          <w:highlight w:val="none"/>
        </w:rPr>
        <w:t>中中小企业、小微企业合同金额应当达到的比例要求填写。</w:t>
      </w:r>
      <w:r>
        <w:rPr>
          <w:rFonts w:hint="eastAsia" w:ascii="宋体" w:hAnsi="宋体" w:cs="宋体"/>
          <w:b/>
          <w:bCs/>
          <w:kern w:val="0"/>
          <w:sz w:val="24"/>
          <w:highlight w:val="none"/>
          <w:lang w:val="zh-CN"/>
        </w:rPr>
        <w:t>）</w:t>
      </w:r>
      <w:bookmarkEnd w:id="431"/>
    </w:p>
    <w:p w14:paraId="71AF5692">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三、分包工作履行期限、地点、方式</w:t>
      </w:r>
    </w:p>
    <w:p w14:paraId="3727A26C">
      <w:pPr>
        <w:snapToGrid w:val="0"/>
        <w:spacing w:line="312" w:lineRule="auto"/>
        <w:ind w:firstLine="576"/>
        <w:rPr>
          <w:rFonts w:ascii="宋体" w:hAnsi="宋体" w:cs="宋体"/>
          <w:highlight w:val="none"/>
          <w:u w:val="single"/>
        </w:rPr>
      </w:pPr>
      <w:r>
        <w:rPr>
          <w:rFonts w:hint="eastAsia" w:ascii="宋体" w:hAnsi="宋体" w:cs="宋体"/>
          <w:highlight w:val="none"/>
          <w:u w:val="single"/>
        </w:rPr>
        <w:t xml:space="preserve">                                                                                  </w:t>
      </w:r>
    </w:p>
    <w:p w14:paraId="0A01394B">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四、质量</w:t>
      </w:r>
    </w:p>
    <w:p w14:paraId="7ACDDC4E">
      <w:pPr>
        <w:snapToGrid w:val="0"/>
        <w:spacing w:line="312"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32057CE4">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五、价款或者报酬</w:t>
      </w:r>
    </w:p>
    <w:p w14:paraId="4498EBF6">
      <w:pPr>
        <w:snapToGrid w:val="0"/>
        <w:spacing w:line="312" w:lineRule="auto"/>
        <w:ind w:left="573" w:leftChars="273"/>
        <w:rPr>
          <w:rFonts w:ascii="宋体" w:hAnsi="宋体" w:cs="宋体"/>
          <w:kern w:val="0"/>
          <w:sz w:val="24"/>
          <w:highlight w:val="none"/>
          <w:lang w:val="zh-CN"/>
        </w:rPr>
      </w:pPr>
      <w:r>
        <w:rPr>
          <w:rFonts w:hint="eastAsia" w:ascii="宋体" w:hAnsi="宋体" w:cs="宋体"/>
          <w:highlight w:val="none"/>
          <w:u w:val="single"/>
        </w:rPr>
        <w:t xml:space="preserve">                                                                                     </w:t>
      </w:r>
    </w:p>
    <w:p w14:paraId="494DF95E">
      <w:pPr>
        <w:snapToGrid w:val="0"/>
        <w:spacing w:line="312" w:lineRule="auto"/>
        <w:ind w:left="573" w:leftChars="273"/>
        <w:rPr>
          <w:rFonts w:ascii="宋体" w:hAnsi="宋体" w:cs="宋体"/>
          <w:kern w:val="0"/>
          <w:sz w:val="24"/>
          <w:highlight w:val="none"/>
          <w:lang w:val="zh-CN"/>
        </w:rPr>
      </w:pPr>
      <w:r>
        <w:rPr>
          <w:rFonts w:hint="eastAsia" w:ascii="宋体" w:hAnsi="宋体" w:cs="宋体"/>
          <w:kern w:val="0"/>
          <w:sz w:val="24"/>
          <w:highlight w:val="none"/>
          <w:lang w:val="zh-CN"/>
        </w:rPr>
        <w:t>六、违约责任</w:t>
      </w:r>
    </w:p>
    <w:p w14:paraId="2A5D5DA2">
      <w:pPr>
        <w:snapToGrid w:val="0"/>
        <w:spacing w:line="312"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783CD3CE">
      <w:pPr>
        <w:snapToGrid w:val="0"/>
        <w:spacing w:line="312"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七、争议解决的办法</w:t>
      </w:r>
    </w:p>
    <w:p w14:paraId="462872AA">
      <w:pPr>
        <w:snapToGrid w:val="0"/>
        <w:spacing w:line="312"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051ABD44">
      <w:pPr>
        <w:snapToGrid w:val="0"/>
        <w:spacing w:line="312" w:lineRule="auto"/>
        <w:ind w:left="5758" w:leftChars="342" w:hanging="5040" w:hangingChars="2100"/>
        <w:rPr>
          <w:rFonts w:ascii="宋体" w:hAnsi="宋体" w:cs="宋体"/>
          <w:kern w:val="0"/>
          <w:sz w:val="24"/>
          <w:highlight w:val="none"/>
          <w:lang w:val="zh-CN"/>
        </w:rPr>
      </w:pPr>
      <w:r>
        <w:rPr>
          <w:rFonts w:hint="eastAsia" w:ascii="宋体" w:hAnsi="宋体" w:cs="宋体"/>
          <w:kern w:val="0"/>
          <w:sz w:val="24"/>
          <w:highlight w:val="none"/>
          <w:lang w:val="zh-CN"/>
        </w:rPr>
        <w:t xml:space="preserve">                                          投标人名称(电子签名)：</w:t>
      </w:r>
    </w:p>
    <w:p w14:paraId="4FD7809F">
      <w:pPr>
        <w:snapToGrid w:val="0"/>
        <w:spacing w:line="312" w:lineRule="auto"/>
        <w:jc w:val="right"/>
        <w:rPr>
          <w:rFonts w:ascii="宋体" w:hAnsi="宋体" w:cs="宋体"/>
          <w:kern w:val="0"/>
          <w:sz w:val="24"/>
          <w:highlight w:val="none"/>
          <w:lang w:val="zh-CN"/>
        </w:rPr>
      </w:pPr>
      <w:r>
        <w:rPr>
          <w:rFonts w:hint="eastAsia" w:ascii="宋体" w:hAnsi="宋体" w:cs="宋体"/>
          <w:kern w:val="0"/>
          <w:sz w:val="24"/>
          <w:highlight w:val="none"/>
          <w:lang w:val="zh-CN"/>
        </w:rPr>
        <w:t>分包供应商名称(电子签名/公章)：</w:t>
      </w:r>
    </w:p>
    <w:p w14:paraId="0F21B4A7">
      <w:pPr>
        <w:spacing w:line="312" w:lineRule="auto"/>
        <w:jc w:val="right"/>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27B5A618">
      <w:pPr>
        <w:widowControl/>
        <w:adjustRightInd/>
        <w:jc w:val="left"/>
        <w:rPr>
          <w:rFonts w:ascii="宋体" w:hAnsi="宋体" w:cs="宋体"/>
          <w:sz w:val="24"/>
          <w:highlight w:val="none"/>
        </w:rPr>
      </w:pPr>
      <w:r>
        <w:rPr>
          <w:rFonts w:hint="eastAsia" w:ascii="宋体" w:hAnsi="宋体" w:cs="宋体"/>
          <w:sz w:val="24"/>
          <w:highlight w:val="none"/>
        </w:rPr>
        <w:t>注：按本格式和要求提供。</w:t>
      </w:r>
    </w:p>
    <w:p w14:paraId="383E1F19">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2B693CF2">
      <w:pPr>
        <w:snapToGrid w:val="0"/>
        <w:spacing w:line="312" w:lineRule="auto"/>
        <w:jc w:val="both"/>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附件7：中小企业声明函</w:t>
      </w:r>
    </w:p>
    <w:p w14:paraId="6E386EC7">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ascii="宋体" w:hAnsi="宋体" w:cs="宋体"/>
          <w:b/>
          <w:sz w:val="32"/>
          <w:szCs w:val="32"/>
          <w:highlight w:val="none"/>
        </w:rPr>
      </w:pPr>
      <w:r>
        <w:rPr>
          <w:rFonts w:hint="eastAsia" w:ascii="宋体" w:hAnsi="宋体" w:cs="宋体"/>
          <w:b/>
          <w:sz w:val="32"/>
          <w:szCs w:val="32"/>
          <w:highlight w:val="none"/>
        </w:rPr>
        <w:t>中小企业声明函（货物）</w:t>
      </w:r>
    </w:p>
    <w:p w14:paraId="010B0DAA">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 xml:space="preserve">本公司（联合体）郑重声明，根据《政府采购促进中小企业发展管理办法》（财库﹝2020﹞46 号）的规定，本公司（联合体）参加 </w:t>
      </w:r>
      <w:r>
        <w:rPr>
          <w:rFonts w:hint="eastAsia" w:ascii="宋体" w:hAnsi="宋体" w:cs="宋体"/>
          <w:sz w:val="24"/>
          <w:highlight w:val="none"/>
          <w:u w:val="single"/>
        </w:rPr>
        <w:t xml:space="preserve">（采购人） </w:t>
      </w:r>
      <w:r>
        <w:rPr>
          <w:rFonts w:hint="eastAsia" w:ascii="宋体" w:hAnsi="宋体" w:cs="宋体"/>
          <w:sz w:val="24"/>
          <w:highlight w:val="none"/>
        </w:rPr>
        <w:t xml:space="preserve">的 </w:t>
      </w:r>
      <w:r>
        <w:rPr>
          <w:rFonts w:hint="eastAsia" w:ascii="宋体" w:hAnsi="宋体" w:cs="宋体"/>
          <w:sz w:val="24"/>
          <w:highlight w:val="none"/>
          <w:u w:val="single"/>
        </w:rPr>
        <w:t>（项目名称）</w:t>
      </w:r>
      <w:r>
        <w:rPr>
          <w:rFonts w:hint="eastAsia" w:ascii="宋体" w:hAnsi="宋体" w:cs="宋体"/>
          <w:sz w:val="24"/>
          <w:highlight w:val="none"/>
        </w:rPr>
        <w:t xml:space="preserve"> 采购活动，提供的货物全部由符合政策要求的中小企业制造。相关企业（含联合体中的中小企业、签订分包意向协议的中小企业）的具体情况如下：</w:t>
      </w:r>
    </w:p>
    <w:p w14:paraId="445A5D74">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1.</w:t>
      </w:r>
      <w:r>
        <w:rPr>
          <w:rFonts w:hint="eastAsia" w:ascii="宋体" w:hAnsi="宋体" w:cs="宋体"/>
          <w:highlight w:val="none"/>
        </w:rPr>
        <w:t xml:space="preserve"> </w:t>
      </w:r>
      <w:r>
        <w:rPr>
          <w:rFonts w:hint="eastAsia" w:ascii="宋体" w:hAnsi="宋体" w:cs="宋体"/>
          <w:sz w:val="24"/>
          <w:highlight w:val="none"/>
          <w:u w:val="single"/>
        </w:rPr>
        <w:t>（标的名称</w:t>
      </w:r>
      <w:r>
        <w:rPr>
          <w:rFonts w:hint="eastAsia" w:ascii="宋体" w:hAnsi="宋体" w:cs="宋体"/>
          <w:sz w:val="24"/>
          <w:highlight w:val="none"/>
          <w:u w:val="single"/>
          <w:lang w:eastAsia="zh-CN"/>
        </w:rPr>
        <w:t>：提升泵2</w:t>
      </w:r>
      <w:r>
        <w:rPr>
          <w:rFonts w:hint="eastAsia" w:ascii="宋体" w:hAnsi="宋体" w:cs="宋体"/>
          <w:sz w:val="24"/>
          <w:highlight w:val="none"/>
          <w:u w:val="single"/>
        </w:rPr>
        <w:t>）</w:t>
      </w:r>
      <w:r>
        <w:rPr>
          <w:rFonts w:hint="eastAsia" w:ascii="宋体" w:hAnsi="宋体" w:cs="宋体"/>
          <w:b/>
          <w:bCs/>
          <w:i/>
          <w:iCs/>
          <w:color w:val="C00000"/>
          <w:sz w:val="24"/>
          <w:highlight w:val="none"/>
          <w:u w:val="single"/>
          <w:lang w:eastAsia="zh-CN"/>
        </w:rPr>
        <w:t>（</w:t>
      </w:r>
      <w:r>
        <w:rPr>
          <w:rFonts w:hint="eastAsia" w:ascii="宋体" w:hAnsi="宋体" w:cs="宋体"/>
          <w:b/>
          <w:bCs/>
          <w:i/>
          <w:iCs/>
          <w:color w:val="C00000"/>
          <w:sz w:val="24"/>
          <w:highlight w:val="none"/>
          <w:u w:val="single"/>
          <w:lang w:val="en-US" w:eastAsia="zh-CN"/>
        </w:rPr>
        <w:t>填写“第三部分  采购需求  五、设备清单  1、新增设备清单”对应的产品名称。如：提升泵2、提升泵3、提升泵4、提升泵5、提升泵6等</w:t>
      </w:r>
      <w:r>
        <w:rPr>
          <w:rFonts w:hint="eastAsia" w:ascii="宋体" w:hAnsi="宋体" w:cs="宋体"/>
          <w:b/>
          <w:bCs/>
          <w:i/>
          <w:iCs/>
          <w:color w:val="C00000"/>
          <w:sz w:val="24"/>
          <w:highlight w:val="none"/>
          <w:u w:val="single"/>
          <w:lang w:eastAsia="zh-CN"/>
        </w:rPr>
        <w:t>，</w:t>
      </w:r>
      <w:r>
        <w:rPr>
          <w:rFonts w:hint="eastAsia" w:ascii="宋体" w:hAnsi="宋体" w:cs="宋体"/>
          <w:b/>
          <w:bCs/>
          <w:i/>
          <w:iCs/>
          <w:color w:val="C00000"/>
          <w:sz w:val="24"/>
          <w:highlight w:val="none"/>
          <w:u w:val="single"/>
          <w:lang w:val="en-US" w:eastAsia="zh-CN"/>
        </w:rPr>
        <w:t>本部分内容仅作为参考提示，文件编制时请删除</w:t>
      </w:r>
      <w:r>
        <w:rPr>
          <w:rFonts w:hint="eastAsia" w:ascii="宋体" w:hAnsi="宋体" w:cs="宋体"/>
          <w:b/>
          <w:bCs/>
          <w:i/>
          <w:iCs/>
          <w:color w:val="C00000"/>
          <w:sz w:val="24"/>
          <w:highlight w:val="none"/>
          <w:u w:val="single"/>
          <w:lang w:eastAsia="zh-CN"/>
        </w:rPr>
        <w:t>）</w:t>
      </w:r>
      <w:r>
        <w:rPr>
          <w:rFonts w:hint="eastAsia" w:ascii="宋体" w:hAnsi="宋体" w:cs="宋体"/>
          <w:kern w:val="0"/>
          <w:sz w:val="24"/>
          <w:highlight w:val="none"/>
        </w:rPr>
        <w:t>，属于</w:t>
      </w:r>
      <w:r>
        <w:rPr>
          <w:rFonts w:hint="eastAsia" w:ascii="宋体" w:hAnsi="宋体" w:cs="宋体"/>
          <w:kern w:val="0"/>
          <w:sz w:val="24"/>
          <w:highlight w:val="none"/>
          <w:u w:val="single"/>
        </w:rPr>
        <w:t xml:space="preserve"> 工业 </w:t>
      </w:r>
      <w:r>
        <w:rPr>
          <w:rFonts w:hint="eastAsia" w:ascii="宋体" w:hAnsi="宋体" w:cs="宋体"/>
          <w:kern w:val="0"/>
          <w:sz w:val="24"/>
          <w:highlight w:val="none"/>
        </w:rPr>
        <w:t>行业</w:t>
      </w:r>
      <w:r>
        <w:rPr>
          <w:rFonts w:hint="eastAsia" w:ascii="宋体" w:hAnsi="宋体" w:cs="宋体"/>
          <w:kern w:val="0"/>
          <w:sz w:val="24"/>
          <w:highlight w:val="none"/>
          <w:lang w:eastAsia="zh-CN"/>
        </w:rPr>
        <w:t>。</w:t>
      </w:r>
      <w:r>
        <w:rPr>
          <w:rFonts w:hint="eastAsia" w:ascii="宋体" w:hAnsi="宋体" w:cs="宋体"/>
          <w:sz w:val="24"/>
          <w:highlight w:val="none"/>
        </w:rPr>
        <w:t xml:space="preserve"> ，属于 </w:t>
      </w:r>
      <w:r>
        <w:rPr>
          <w:rFonts w:hint="eastAsia" w:ascii="宋体" w:hAnsi="宋体" w:cs="宋体"/>
          <w:sz w:val="24"/>
          <w:highlight w:val="none"/>
          <w:u w:val="single"/>
        </w:rPr>
        <w:t>（采购文件中明确的所属行业</w:t>
      </w:r>
      <w:r>
        <w:rPr>
          <w:rFonts w:hint="eastAsia" w:ascii="宋体" w:hAnsi="宋体" w:cs="宋体"/>
          <w:sz w:val="24"/>
          <w:highlight w:val="none"/>
          <w:u w:val="single"/>
          <w:lang w:eastAsia="zh-CN"/>
        </w:rPr>
        <w:t>：</w:t>
      </w:r>
      <w:r>
        <w:rPr>
          <w:rFonts w:hint="eastAsia" w:ascii="宋体" w:hAnsi="宋体" w:cs="宋体"/>
          <w:sz w:val="24"/>
          <w:highlight w:val="none"/>
          <w:u w:val="single"/>
          <w:lang w:val="en-US" w:eastAsia="zh-CN"/>
        </w:rPr>
        <w:t>工业</w:t>
      </w:r>
      <w:r>
        <w:rPr>
          <w:rFonts w:hint="eastAsia" w:ascii="宋体" w:hAnsi="宋体" w:cs="宋体"/>
          <w:sz w:val="24"/>
          <w:highlight w:val="none"/>
          <w:u w:val="single"/>
        </w:rPr>
        <w:t>）</w:t>
      </w:r>
      <w:r>
        <w:rPr>
          <w:rFonts w:hint="eastAsia" w:ascii="宋体" w:hAnsi="宋体" w:cs="宋体"/>
          <w:sz w:val="24"/>
          <w:highlight w:val="none"/>
        </w:rPr>
        <w:t>行业 ；制造商为</w:t>
      </w:r>
      <w:r>
        <w:rPr>
          <w:rFonts w:hint="eastAsia" w:ascii="宋体" w:hAnsi="宋体" w:cs="宋体"/>
          <w:sz w:val="24"/>
          <w:highlight w:val="none"/>
          <w:u w:val="single"/>
        </w:rPr>
        <w:t xml:space="preserve"> （企业名称）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（中型企业、小型企业、微型企业）</w:t>
      </w:r>
      <w:r>
        <w:rPr>
          <w:rFonts w:hint="eastAsia" w:ascii="宋体" w:hAnsi="宋体" w:cs="宋体"/>
          <w:sz w:val="24"/>
          <w:highlight w:val="none"/>
        </w:rPr>
        <w:t xml:space="preserve"> ；</w:t>
      </w:r>
    </w:p>
    <w:p w14:paraId="0C573D7E">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highlight w:val="none"/>
        </w:rPr>
        <w:t xml:space="preserve"> </w:t>
      </w:r>
      <w:r>
        <w:rPr>
          <w:rFonts w:hint="eastAsia" w:ascii="宋体" w:hAnsi="宋体" w:cs="宋体"/>
          <w:sz w:val="24"/>
          <w:highlight w:val="none"/>
          <w:u w:val="single"/>
        </w:rPr>
        <w:t>（标的名称</w:t>
      </w:r>
      <w:r>
        <w:rPr>
          <w:rFonts w:hint="eastAsia" w:ascii="宋体" w:hAnsi="宋体" w:cs="宋体"/>
          <w:sz w:val="24"/>
          <w:highlight w:val="none"/>
          <w:u w:val="single"/>
          <w:lang w:eastAsia="zh-CN"/>
        </w:rPr>
        <w:t>：提升泵</w:t>
      </w:r>
      <w:r>
        <w:rPr>
          <w:rFonts w:hint="eastAsia" w:ascii="宋体" w:hAnsi="宋体" w:cs="宋体"/>
          <w:sz w:val="24"/>
          <w:highlight w:val="none"/>
          <w:u w:val="single"/>
          <w:lang w:val="en-US" w:eastAsia="zh-CN"/>
        </w:rPr>
        <w:t>3</w:t>
      </w:r>
      <w:r>
        <w:rPr>
          <w:rFonts w:hint="eastAsia" w:ascii="宋体" w:hAnsi="宋体" w:cs="宋体"/>
          <w:sz w:val="24"/>
          <w:highlight w:val="none"/>
          <w:u w:val="single"/>
        </w:rPr>
        <w:t>）</w:t>
      </w:r>
      <w:r>
        <w:rPr>
          <w:rFonts w:hint="eastAsia" w:ascii="宋体" w:hAnsi="宋体" w:cs="宋体"/>
          <w:sz w:val="24"/>
          <w:highlight w:val="none"/>
        </w:rPr>
        <w:t xml:space="preserve"> ，属于 </w:t>
      </w:r>
      <w:r>
        <w:rPr>
          <w:rFonts w:hint="eastAsia" w:ascii="宋体" w:hAnsi="宋体" w:cs="宋体"/>
          <w:sz w:val="24"/>
          <w:highlight w:val="none"/>
          <w:u w:val="single"/>
        </w:rPr>
        <w:t>（采购文件中明确的所属行业</w:t>
      </w:r>
      <w:r>
        <w:rPr>
          <w:rFonts w:hint="eastAsia" w:ascii="宋体" w:hAnsi="宋体" w:cs="宋体"/>
          <w:sz w:val="24"/>
          <w:highlight w:val="none"/>
          <w:u w:val="single"/>
          <w:lang w:eastAsia="zh-CN"/>
        </w:rPr>
        <w:t>：</w:t>
      </w:r>
      <w:r>
        <w:rPr>
          <w:rFonts w:hint="eastAsia" w:ascii="宋体" w:hAnsi="宋体" w:cs="宋体"/>
          <w:sz w:val="24"/>
          <w:highlight w:val="none"/>
          <w:u w:val="single"/>
          <w:lang w:val="en-US" w:eastAsia="zh-CN"/>
        </w:rPr>
        <w:t>工业</w:t>
      </w:r>
      <w:r>
        <w:rPr>
          <w:rFonts w:hint="eastAsia" w:ascii="宋体" w:hAnsi="宋体" w:cs="宋体"/>
          <w:sz w:val="24"/>
          <w:highlight w:val="none"/>
          <w:u w:val="single"/>
        </w:rPr>
        <w:t>）</w:t>
      </w:r>
      <w:r>
        <w:rPr>
          <w:rFonts w:hint="eastAsia" w:ascii="宋体" w:hAnsi="宋体" w:cs="宋体"/>
          <w:sz w:val="24"/>
          <w:highlight w:val="none"/>
        </w:rPr>
        <w:t>行业 ；制造商为</w:t>
      </w:r>
      <w:r>
        <w:rPr>
          <w:rFonts w:hint="eastAsia" w:ascii="宋体" w:hAnsi="宋体" w:cs="宋体"/>
          <w:sz w:val="24"/>
          <w:highlight w:val="none"/>
          <w:u w:val="single"/>
        </w:rPr>
        <w:t xml:space="preserve"> （企业名称）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（中型企业、小型企业、微型企业）</w:t>
      </w:r>
      <w:r>
        <w:rPr>
          <w:rFonts w:hint="eastAsia" w:ascii="宋体" w:hAnsi="宋体" w:cs="宋体"/>
          <w:sz w:val="24"/>
          <w:highlight w:val="none"/>
        </w:rPr>
        <w:t xml:space="preserve"> ；</w:t>
      </w:r>
    </w:p>
    <w:p w14:paraId="3D4AEBA2">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w:t>
      </w:r>
    </w:p>
    <w:p w14:paraId="2761EE74">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5B8CAE27">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065F445F">
      <w:pPr>
        <w:keepNext w:val="0"/>
        <w:keepLines w:val="0"/>
        <w:pageBreakBefore w:val="0"/>
        <w:widowControl w:val="0"/>
        <w:kinsoku/>
        <w:wordWrap/>
        <w:overflowPunct/>
        <w:topLinePunct w:val="0"/>
        <w:autoSpaceDE/>
        <w:autoSpaceDN/>
        <w:bidi w:val="0"/>
        <w:adjustRightInd w:val="0"/>
        <w:snapToGrid w:val="0"/>
        <w:spacing w:line="360" w:lineRule="auto"/>
        <w:ind w:firstLine="5160" w:firstLineChars="2150"/>
        <w:textAlignment w:val="auto"/>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1E1163F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kern w:val="0"/>
          <w:sz w:val="24"/>
          <w:highlight w:val="none"/>
          <w:lang w:val="zh-CN"/>
        </w:rPr>
      </w:pPr>
      <w:r>
        <w:rPr>
          <w:rFonts w:hint="eastAsia" w:ascii="宋体" w:hAnsi="宋体" w:cs="宋体"/>
          <w:kern w:val="0"/>
          <w:sz w:val="24"/>
          <w:highlight w:val="none"/>
          <w:lang w:val="zh-CN"/>
        </w:rPr>
        <w:t xml:space="preserve">                                           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27DCF897">
      <w:pPr>
        <w:keepNext w:val="0"/>
        <w:keepLines w:val="0"/>
        <w:pageBreakBefore w:val="0"/>
        <w:widowControl w:val="0"/>
        <w:kinsoku/>
        <w:wordWrap/>
        <w:overflowPunct/>
        <w:topLinePunct w:val="0"/>
        <w:autoSpaceDE/>
        <w:autoSpaceDN/>
        <w:bidi w:val="0"/>
        <w:adjustRightInd w:val="0"/>
        <w:spacing w:line="360" w:lineRule="auto"/>
        <w:jc w:val="left"/>
        <w:textAlignment w:val="auto"/>
        <w:rPr>
          <w:rFonts w:ascii="宋体" w:hAnsi="宋体" w:cs="宋体"/>
          <w:sz w:val="18"/>
          <w:szCs w:val="18"/>
          <w:highlight w:val="none"/>
        </w:rPr>
      </w:pPr>
      <w:r>
        <w:rPr>
          <w:rFonts w:hint="eastAsia" w:ascii="宋体" w:hAnsi="宋体" w:cs="宋体"/>
          <w:sz w:val="18"/>
          <w:szCs w:val="18"/>
          <w:highlight w:val="none"/>
        </w:rPr>
        <w:t>从业人员、营业收入、资产总额填报上一年度数据，无上一年度数据的新成立企业可不填报。</w:t>
      </w:r>
    </w:p>
    <w:p w14:paraId="6E9B4AF2">
      <w:pPr>
        <w:keepNext w:val="0"/>
        <w:keepLines w:val="0"/>
        <w:pageBreakBefore w:val="0"/>
        <w:widowControl w:val="0"/>
        <w:kinsoku/>
        <w:wordWrap/>
        <w:overflowPunct/>
        <w:topLinePunct w:val="0"/>
        <w:autoSpaceDE/>
        <w:autoSpaceDN/>
        <w:bidi w:val="0"/>
        <w:adjustRightInd w:val="0"/>
        <w:snapToGrid/>
        <w:spacing w:line="360" w:lineRule="auto"/>
        <w:ind w:right="420"/>
        <w:textAlignment w:val="auto"/>
        <w:rPr>
          <w:rFonts w:ascii="宋体" w:hAnsi="宋体" w:cs="宋体"/>
          <w:sz w:val="24"/>
          <w:highlight w:val="none"/>
        </w:rPr>
      </w:pPr>
      <w:r>
        <w:rPr>
          <w:rFonts w:hint="eastAsia" w:ascii="宋体" w:hAnsi="宋体" w:cs="宋体"/>
          <w:sz w:val="24"/>
          <w:highlight w:val="none"/>
        </w:rPr>
        <w:t>注：</w:t>
      </w:r>
    </w:p>
    <w:p w14:paraId="5ECADE5E">
      <w:pPr>
        <w:keepNext w:val="0"/>
        <w:keepLines w:val="0"/>
        <w:pageBreakBefore w:val="0"/>
        <w:widowControl w:val="0"/>
        <w:kinsoku/>
        <w:wordWrap/>
        <w:overflowPunct/>
        <w:topLinePunct w:val="0"/>
        <w:autoSpaceDE/>
        <w:autoSpaceDN/>
        <w:bidi w:val="0"/>
        <w:adjustRightInd w:val="0"/>
        <w:snapToGrid/>
        <w:spacing w:line="360" w:lineRule="auto"/>
        <w:ind w:right="420" w:firstLine="480" w:firstLineChars="200"/>
        <w:textAlignment w:val="auto"/>
        <w:rPr>
          <w:rFonts w:ascii="宋体" w:hAnsi="宋体" w:cs="宋体"/>
          <w:sz w:val="24"/>
          <w:highlight w:val="none"/>
        </w:rPr>
      </w:pPr>
      <w:r>
        <w:rPr>
          <w:rFonts w:hint="eastAsia" w:ascii="宋体" w:hAnsi="宋体" w:cs="宋体"/>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A64B20F">
      <w:pPr>
        <w:keepNext w:val="0"/>
        <w:keepLines w:val="0"/>
        <w:pageBreakBefore w:val="0"/>
        <w:widowControl w:val="0"/>
        <w:kinsoku/>
        <w:wordWrap/>
        <w:overflowPunct/>
        <w:topLinePunct w:val="0"/>
        <w:autoSpaceDE/>
        <w:autoSpaceDN/>
        <w:bidi w:val="0"/>
        <w:adjustRightInd w:val="0"/>
        <w:snapToGrid/>
        <w:spacing w:line="360" w:lineRule="auto"/>
        <w:ind w:right="420" w:firstLine="480" w:firstLineChars="200"/>
        <w:textAlignment w:val="auto"/>
        <w:rPr>
          <w:rFonts w:ascii="宋体" w:hAnsi="宋体" w:cs="宋体"/>
          <w:sz w:val="24"/>
          <w:highlight w:val="none"/>
        </w:rPr>
      </w:pPr>
      <w:r>
        <w:rPr>
          <w:rFonts w:hint="eastAsia" w:ascii="宋体" w:hAnsi="宋体" w:cs="宋体"/>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A3AD4F1">
      <w:pPr>
        <w:keepNext w:val="0"/>
        <w:keepLines w:val="0"/>
        <w:pageBreakBefore w:val="0"/>
        <w:widowControl w:val="0"/>
        <w:kinsoku/>
        <w:wordWrap/>
        <w:overflowPunct/>
        <w:topLinePunct w:val="0"/>
        <w:autoSpaceDE/>
        <w:autoSpaceDN/>
        <w:bidi w:val="0"/>
        <w:adjustRightInd w:val="0"/>
        <w:snapToGrid/>
        <w:spacing w:line="360" w:lineRule="auto"/>
        <w:ind w:right="420" w:firstLine="480" w:firstLineChars="200"/>
        <w:textAlignment w:val="auto"/>
        <w:rPr>
          <w:rFonts w:ascii="宋体" w:hAnsi="宋体" w:cs="宋体"/>
          <w:bCs/>
          <w:sz w:val="24"/>
          <w:highlight w:val="none"/>
        </w:rPr>
      </w:pPr>
      <w:r>
        <w:rPr>
          <w:rFonts w:hint="eastAsia" w:ascii="宋体" w:hAnsi="宋体" w:cs="宋体"/>
          <w:sz w:val="24"/>
          <w:highlight w:val="none"/>
        </w:rPr>
        <w:t>3、</w:t>
      </w:r>
      <w:r>
        <w:rPr>
          <w:rFonts w:hint="eastAsia" w:ascii="宋体" w:hAnsi="宋体" w:cs="宋体"/>
          <w:sz w:val="24"/>
          <w:highlight w:val="none"/>
          <w:lang w:bidi="ar"/>
        </w:rPr>
        <w:t>本项目对应的中小企业划分标准所属行业：</w:t>
      </w:r>
      <w:r>
        <w:rPr>
          <w:rFonts w:hint="eastAsia" w:ascii="宋体" w:hAnsi="宋体" w:cs="宋体"/>
          <w:b/>
          <w:bCs/>
          <w:sz w:val="24"/>
          <w:highlight w:val="none"/>
          <w:u w:val="single"/>
          <w:lang w:bidi="ar"/>
        </w:rPr>
        <w:t>工业</w:t>
      </w:r>
      <w:r>
        <w:rPr>
          <w:rFonts w:hint="eastAsia" w:ascii="宋体" w:hAnsi="宋体" w:cs="宋体"/>
          <w:sz w:val="24"/>
          <w:highlight w:val="none"/>
          <w:lang w:bidi="ar"/>
        </w:rPr>
        <w:t>。 划分标准：</w:t>
      </w:r>
      <w:r>
        <w:rPr>
          <w:rFonts w:hint="eastAsia" w:ascii="宋体" w:hAnsi="宋体" w:cs="宋体"/>
          <w:kern w:val="0"/>
          <w:sz w:val="24"/>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sectPr>
      <w:pgSz w:w="11906" w:h="16838"/>
      <w:pgMar w:top="1440" w:right="1803" w:bottom="1440" w:left="1803" w:header="851" w:footer="992" w:gutter="0"/>
      <w:pgNumType w:fmt="decimal"/>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549B5B">
    <w:pPr>
      <w:pStyle w:val="40"/>
      <w:framePr w:wrap="around" w:vAnchor="text" w:hAnchor="margin" w:xAlign="right" w:y="1"/>
      <w:rPr>
        <w:rStyle w:val="72"/>
      </w:rPr>
    </w:pPr>
    <w:r>
      <w:fldChar w:fldCharType="begin"/>
    </w:r>
    <w:r>
      <w:rPr>
        <w:rStyle w:val="72"/>
      </w:rPr>
      <w:instrText xml:space="preserve">PAGE  </w:instrText>
    </w:r>
    <w:r>
      <w:fldChar w:fldCharType="end"/>
    </w:r>
  </w:p>
  <w:p w14:paraId="2A034BBB">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180A5">
    <w:pPr>
      <w:pStyle w:val="40"/>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2C13C1">
                          <w:pPr>
                            <w:pStyle w:val="4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72C13C1">
                    <w:pPr>
                      <w:pStyle w:val="4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EB3D1">
    <w:pPr>
      <w:pStyle w:val="40"/>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38F26B">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F38F26B">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F023C">
    <w:pPr>
      <w:pStyle w:val="40"/>
      <w:rPr>
        <w:rFonts w:eastAsia="楷体"/>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DC8BF6">
                          <w:pPr>
                            <w:pStyle w:val="4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EDC8BF6">
                    <w:pPr>
                      <w:pStyle w:val="4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89145">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39780A">
                          <w:pPr>
                            <w:pStyle w:val="4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739780A">
                    <w:pPr>
                      <w:pStyle w:val="4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667BB">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2140BA">
                          <w:pPr>
                            <w:pStyle w:val="4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B2140BA">
                    <w:pPr>
                      <w:pStyle w:val="4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F55F0">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A6D18F">
                          <w:pPr>
                            <w:pStyle w:val="4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FA6D18F">
                    <w:pPr>
                      <w:pStyle w:val="40"/>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0F221">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2DB9FF">
                          <w:pPr>
                            <w:pStyle w:val="4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C2DB9FF">
                    <w:pPr>
                      <w:pStyle w:val="4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167CB">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2C9B45">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62C9B45">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A7BFB">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77129B">
                          <w:pPr>
                            <w:pStyle w:val="40"/>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277129B">
                    <w:pPr>
                      <w:pStyle w:val="40"/>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CDEA1">
    <w:pPr>
      <w:pStyle w:val="40"/>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247DC3">
                          <w:pPr>
                            <w:pStyle w:val="40"/>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9247DC3">
                    <w:pPr>
                      <w:pStyle w:val="40"/>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500EF">
    <w:pPr>
      <w:pStyle w:val="40"/>
      <w:framePr w:wrap="around" w:vAnchor="text" w:hAnchor="margin" w:xAlign="right" w:y="1"/>
      <w:rPr>
        <w:rStyle w:val="72"/>
      </w:rPr>
    </w:pPr>
    <w:r>
      <w:fldChar w:fldCharType="begin"/>
    </w:r>
    <w:r>
      <w:rPr>
        <w:rStyle w:val="72"/>
      </w:rPr>
      <w:instrText xml:space="preserve">PAGE  </w:instrText>
    </w:r>
    <w:r>
      <w:fldChar w:fldCharType="end"/>
    </w:r>
  </w:p>
  <w:p w14:paraId="5C04A780">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1C55E">
    <w:pPr>
      <w:pStyle w:val="40"/>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C154D9">
                          <w:pPr>
                            <w:pStyle w:val="40"/>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9C154D9">
                    <w:pPr>
                      <w:pStyle w:val="40"/>
                    </w:pPr>
                    <w:r>
                      <w:fldChar w:fldCharType="begin"/>
                    </w:r>
                    <w:r>
                      <w:instrText xml:space="preserve"> PAGE  \* MERGEFORMAT </w:instrText>
                    </w:r>
                    <w:r>
                      <w:fldChar w:fldCharType="separate"/>
                    </w:r>
                    <w:r>
                      <w:t>57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E5058">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111E1">
    <w:pPr>
      <w:pStyle w:val="41"/>
      <w:pBdr>
        <w:bottom w:val="none" w:color="auto" w:sz="0" w:space="1"/>
      </w:pBdr>
      <w:rPr>
        <w:rFonts w:hint="default"/>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3AAEF">
    <w:pPr>
      <w:pStyle w:val="41"/>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A2AFB">
    <w:pPr>
      <w:pStyle w:val="41"/>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89FC3">
    <w:pPr>
      <w:pStyle w:val="41"/>
      <w:rPr>
        <w:rFonts w:ascii="仿宋_GB2312" w:eastAsia="仿宋_GB2312"/>
        <w:b/>
        <w:i/>
        <w:u w:val="single"/>
      </w:rPr>
    </w:pPr>
    <w:r>
      <w:t></w:t>
    </w:r>
    <w:r>
      <w:rPr>
        <w:rFonts w:hint="eastAsia"/>
      </w:rPr>
      <w:t xml:space="preserve">                                                </w:t>
    </w:r>
    <w:r>
      <w:t xml:space="preserve"> 政府采购公开招标文件</w:t>
    </w:r>
  </w:p>
  <w:p w14:paraId="295AD4DF">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5B351">
    <w:pPr>
      <w:pStyle w:val="41"/>
      <w:jc w:val="right"/>
    </w:pPr>
    <w:r>
      <w:t></w:t>
    </w:r>
    <w:r>
      <w:rPr>
        <w:rFonts w:hint="eastAsia"/>
      </w:rPr>
      <w:t xml:space="preserve">                                                                    </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98E9D">
    <w:pPr>
      <w:pStyle w:val="41"/>
      <w:jc w:val="right"/>
      <w:rPr>
        <w:rFonts w:ascii="仿宋_GB2312" w:eastAsia="仿宋_GB2312"/>
        <w:b/>
        <w:i/>
        <w:u w:val="single"/>
      </w:rPr>
    </w:pPr>
    <w:r>
      <w:rPr>
        <w:rFonts w:hint="eastAsia"/>
      </w:rPr>
      <w:t xml:space="preserve">                                  </w:t>
    </w:r>
    <w:r>
      <w:t>政府采购公开招标文件</w:t>
    </w:r>
  </w:p>
  <w:p w14:paraId="2B6A172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510B4">
    <w:pPr>
      <w:pStyle w:val="41"/>
      <w:jc w:val="right"/>
    </w:pPr>
    <w:r>
      <w:rPr>
        <w:rFonts w:hint="eastAsia"/>
      </w:rPr>
      <w:t xml:space="preserve">                                                                                                        </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F0F5DD">
    <w:pPr>
      <w:pStyle w:val="41"/>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8479B">
    <w:pPr>
      <w:pStyle w:val="41"/>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292852"/>
    <w:multiLevelType w:val="singleLevel"/>
    <w:tmpl w:val="1C292852"/>
    <w:lvl w:ilvl="0" w:tentative="0">
      <w:start w:val="1"/>
      <w:numFmt w:val="decimal"/>
      <w:suff w:val="nothing"/>
      <w:lvlText w:val="（%1）"/>
      <w:lvlJc w:val="left"/>
    </w:lvl>
  </w:abstractNum>
  <w:abstractNum w:abstractNumId="1">
    <w:nsid w:val="2ADFCF57"/>
    <w:multiLevelType w:val="singleLevel"/>
    <w:tmpl w:val="2ADFCF57"/>
    <w:lvl w:ilvl="0" w:tentative="0">
      <w:start w:val="1"/>
      <w:numFmt w:val="bullet"/>
      <w:lvlText w:val=""/>
      <w:lvlJc w:val="left"/>
      <w:pPr>
        <w:ind w:left="420" w:hanging="420"/>
      </w:pPr>
      <w:rPr>
        <w:rFonts w:hint="default" w:ascii="Wingdings" w:hAnsi="Wingdings"/>
      </w:rPr>
    </w:lvl>
  </w:abstractNum>
  <w:abstractNum w:abstractNumId="2">
    <w:nsid w:val="4A13F3EA"/>
    <w:multiLevelType w:val="singleLevel"/>
    <w:tmpl w:val="4A13F3EA"/>
    <w:lvl w:ilvl="0" w:tentative="0">
      <w:start w:val="1"/>
      <w:numFmt w:val="bullet"/>
      <w:lvlText w:val=""/>
      <w:lvlJc w:val="left"/>
      <w:pPr>
        <w:ind w:left="420" w:hanging="420"/>
      </w:pPr>
      <w:rPr>
        <w:rFonts w:hint="default" w:ascii="Wingdings" w:hAnsi="Wingdings"/>
      </w:rPr>
    </w:lvl>
  </w:abstractNum>
  <w:abstractNum w:abstractNumId="3">
    <w:nsid w:val="4CA75A52"/>
    <w:multiLevelType w:val="multilevel"/>
    <w:tmpl w:val="4CA75A52"/>
    <w:lvl w:ilvl="0" w:tentative="0">
      <w:start w:val="1"/>
      <w:numFmt w:val="decimal"/>
      <w:pStyle w:val="978"/>
      <w:suff w:val="nothing"/>
      <w:lvlText w:val="（%1）"/>
      <w:lvlJc w:val="left"/>
      <w:pPr>
        <w:ind w:left="0" w:firstLine="0"/>
      </w:pPr>
      <w:rPr>
        <w:rFonts w:hint="eastAsia"/>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1" w:tentative="0">
      <w:start w:val="1"/>
      <w:numFmt w:val="decimal"/>
      <w:suff w:val="nothing"/>
      <w:lvlText w:val="%2）"/>
      <w:lvlJc w:val="left"/>
      <w:pPr>
        <w:ind w:left="130" w:firstLine="0"/>
      </w:pPr>
      <w:rPr>
        <w:rFonts w:hint="eastAsia"/>
      </w:rPr>
    </w:lvl>
    <w:lvl w:ilvl="2" w:tentative="0">
      <w:start w:val="1"/>
      <w:numFmt w:val="lowerRoman"/>
      <w:lvlText w:val="%3."/>
      <w:lvlJc w:val="right"/>
      <w:pPr>
        <w:ind w:left="550" w:firstLine="0"/>
      </w:pPr>
      <w:rPr>
        <w:rFonts w:hint="eastAsia"/>
      </w:rPr>
    </w:lvl>
    <w:lvl w:ilvl="3" w:tentative="0">
      <w:start w:val="1"/>
      <w:numFmt w:val="decimal"/>
      <w:lvlText w:val="%4）"/>
      <w:lvlJc w:val="left"/>
      <w:pPr>
        <w:ind w:left="970" w:firstLine="0"/>
      </w:pPr>
      <w:rPr>
        <w:rFonts w:hint="eastAsia"/>
      </w:rPr>
    </w:lvl>
    <w:lvl w:ilvl="4" w:tentative="0">
      <w:start w:val="1"/>
      <w:numFmt w:val="lowerLetter"/>
      <w:lvlText w:val="%5)"/>
      <w:lvlJc w:val="left"/>
      <w:pPr>
        <w:ind w:left="1390" w:firstLine="0"/>
      </w:pPr>
      <w:rPr>
        <w:rFonts w:hint="eastAsia"/>
      </w:rPr>
    </w:lvl>
    <w:lvl w:ilvl="5" w:tentative="0">
      <w:start w:val="1"/>
      <w:numFmt w:val="lowerRoman"/>
      <w:lvlText w:val="%6."/>
      <w:lvlJc w:val="right"/>
      <w:pPr>
        <w:ind w:left="1810" w:firstLine="0"/>
      </w:pPr>
      <w:rPr>
        <w:rFonts w:hint="eastAsia"/>
      </w:rPr>
    </w:lvl>
    <w:lvl w:ilvl="6" w:tentative="0">
      <w:start w:val="1"/>
      <w:numFmt w:val="decimal"/>
      <w:lvlText w:val="%7."/>
      <w:lvlJc w:val="left"/>
      <w:pPr>
        <w:ind w:left="2230" w:firstLine="0"/>
      </w:pPr>
      <w:rPr>
        <w:rFonts w:hint="eastAsia"/>
      </w:rPr>
    </w:lvl>
    <w:lvl w:ilvl="7" w:tentative="0">
      <w:start w:val="1"/>
      <w:numFmt w:val="lowerLetter"/>
      <w:lvlText w:val="%8)"/>
      <w:lvlJc w:val="left"/>
      <w:pPr>
        <w:ind w:left="2650" w:firstLine="0"/>
      </w:pPr>
      <w:rPr>
        <w:rFonts w:hint="eastAsia"/>
      </w:rPr>
    </w:lvl>
    <w:lvl w:ilvl="8" w:tentative="0">
      <w:start w:val="1"/>
      <w:numFmt w:val="lowerRoman"/>
      <w:lvlText w:val="%9."/>
      <w:lvlJc w:val="right"/>
      <w:pPr>
        <w:ind w:left="3070" w:firstLine="0"/>
      </w:pPr>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zMWZiOWRlMTk0MzBjYTg0NWY0YjkzOWFjNDAyNm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6B1"/>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767"/>
    <w:rsid w:val="001D1970"/>
    <w:rsid w:val="001D1D55"/>
    <w:rsid w:val="001D21EF"/>
    <w:rsid w:val="001D29A4"/>
    <w:rsid w:val="001D2B73"/>
    <w:rsid w:val="001D3136"/>
    <w:rsid w:val="001D330D"/>
    <w:rsid w:val="001D4AB6"/>
    <w:rsid w:val="001D4AD3"/>
    <w:rsid w:val="001D5281"/>
    <w:rsid w:val="001D7D62"/>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61DA"/>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BC9"/>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D7EB1"/>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1CD8"/>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2E206C"/>
    <w:rsid w:val="018D0F17"/>
    <w:rsid w:val="019F7441"/>
    <w:rsid w:val="01B37585"/>
    <w:rsid w:val="01D55165"/>
    <w:rsid w:val="01D76C89"/>
    <w:rsid w:val="01DF6BF8"/>
    <w:rsid w:val="01EC2C57"/>
    <w:rsid w:val="02296E92"/>
    <w:rsid w:val="02302F8F"/>
    <w:rsid w:val="024B1158"/>
    <w:rsid w:val="025F0711"/>
    <w:rsid w:val="026B2E25"/>
    <w:rsid w:val="027017EB"/>
    <w:rsid w:val="02824D4D"/>
    <w:rsid w:val="02DC4B10"/>
    <w:rsid w:val="02DD76CE"/>
    <w:rsid w:val="02F36323"/>
    <w:rsid w:val="02F5619C"/>
    <w:rsid w:val="0326446A"/>
    <w:rsid w:val="032D5555"/>
    <w:rsid w:val="03662D2A"/>
    <w:rsid w:val="036634D2"/>
    <w:rsid w:val="036D0D87"/>
    <w:rsid w:val="03B75F6E"/>
    <w:rsid w:val="03DD35E4"/>
    <w:rsid w:val="03E35CC9"/>
    <w:rsid w:val="04076900"/>
    <w:rsid w:val="041A5A3B"/>
    <w:rsid w:val="042311BA"/>
    <w:rsid w:val="042B157A"/>
    <w:rsid w:val="04394805"/>
    <w:rsid w:val="044B25C2"/>
    <w:rsid w:val="048F763B"/>
    <w:rsid w:val="049F330E"/>
    <w:rsid w:val="04AA775C"/>
    <w:rsid w:val="04AF1889"/>
    <w:rsid w:val="04F66F48"/>
    <w:rsid w:val="05251E14"/>
    <w:rsid w:val="05A16594"/>
    <w:rsid w:val="05A7762D"/>
    <w:rsid w:val="05E97064"/>
    <w:rsid w:val="060E5941"/>
    <w:rsid w:val="06110FAF"/>
    <w:rsid w:val="06493CA7"/>
    <w:rsid w:val="065A6178"/>
    <w:rsid w:val="066F1CF3"/>
    <w:rsid w:val="06930BB8"/>
    <w:rsid w:val="06CB0B55"/>
    <w:rsid w:val="07151AC9"/>
    <w:rsid w:val="07245D42"/>
    <w:rsid w:val="07264C62"/>
    <w:rsid w:val="073D09B5"/>
    <w:rsid w:val="0779354C"/>
    <w:rsid w:val="08061376"/>
    <w:rsid w:val="08202B5E"/>
    <w:rsid w:val="082C4885"/>
    <w:rsid w:val="08452D77"/>
    <w:rsid w:val="086401F8"/>
    <w:rsid w:val="086C0833"/>
    <w:rsid w:val="08751CAA"/>
    <w:rsid w:val="087E4C40"/>
    <w:rsid w:val="08A871D0"/>
    <w:rsid w:val="08C23B9D"/>
    <w:rsid w:val="08D66AD6"/>
    <w:rsid w:val="08DA33A3"/>
    <w:rsid w:val="08E80F13"/>
    <w:rsid w:val="09335624"/>
    <w:rsid w:val="0944690F"/>
    <w:rsid w:val="095073FA"/>
    <w:rsid w:val="09535675"/>
    <w:rsid w:val="095404D1"/>
    <w:rsid w:val="095F057D"/>
    <w:rsid w:val="09642282"/>
    <w:rsid w:val="09733572"/>
    <w:rsid w:val="09772C16"/>
    <w:rsid w:val="098353B5"/>
    <w:rsid w:val="09893C99"/>
    <w:rsid w:val="09A92330"/>
    <w:rsid w:val="09B06B87"/>
    <w:rsid w:val="09C13146"/>
    <w:rsid w:val="09C5466E"/>
    <w:rsid w:val="09D709B0"/>
    <w:rsid w:val="09E04166"/>
    <w:rsid w:val="0A1C0718"/>
    <w:rsid w:val="0A3E7710"/>
    <w:rsid w:val="0A5B7E63"/>
    <w:rsid w:val="0AA374A5"/>
    <w:rsid w:val="0AAB7649"/>
    <w:rsid w:val="0ABC5606"/>
    <w:rsid w:val="0AED013F"/>
    <w:rsid w:val="0B30404E"/>
    <w:rsid w:val="0B4C6C14"/>
    <w:rsid w:val="0B547599"/>
    <w:rsid w:val="0B631A88"/>
    <w:rsid w:val="0B683D45"/>
    <w:rsid w:val="0B7F3F11"/>
    <w:rsid w:val="0B884417"/>
    <w:rsid w:val="0BEA1661"/>
    <w:rsid w:val="0BF26547"/>
    <w:rsid w:val="0BF6188C"/>
    <w:rsid w:val="0BF73C91"/>
    <w:rsid w:val="0C170175"/>
    <w:rsid w:val="0C54217A"/>
    <w:rsid w:val="0C560098"/>
    <w:rsid w:val="0C571A41"/>
    <w:rsid w:val="0C5C1171"/>
    <w:rsid w:val="0C5E1CBC"/>
    <w:rsid w:val="0C615B50"/>
    <w:rsid w:val="0C8445DA"/>
    <w:rsid w:val="0C87121B"/>
    <w:rsid w:val="0CC007F7"/>
    <w:rsid w:val="0CC617AC"/>
    <w:rsid w:val="0CE618DF"/>
    <w:rsid w:val="0CFE707A"/>
    <w:rsid w:val="0D063BDA"/>
    <w:rsid w:val="0D08375F"/>
    <w:rsid w:val="0D184CFB"/>
    <w:rsid w:val="0D38114A"/>
    <w:rsid w:val="0D4A7419"/>
    <w:rsid w:val="0D78025D"/>
    <w:rsid w:val="0D827401"/>
    <w:rsid w:val="0D84094E"/>
    <w:rsid w:val="0D8A00E9"/>
    <w:rsid w:val="0D8D589E"/>
    <w:rsid w:val="0DA01C73"/>
    <w:rsid w:val="0DD63300"/>
    <w:rsid w:val="0DF50604"/>
    <w:rsid w:val="0DF702FE"/>
    <w:rsid w:val="0E060E51"/>
    <w:rsid w:val="0E176F6A"/>
    <w:rsid w:val="0E5604B2"/>
    <w:rsid w:val="0E67088D"/>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E514F2"/>
    <w:rsid w:val="0FED59A3"/>
    <w:rsid w:val="1008613E"/>
    <w:rsid w:val="10122236"/>
    <w:rsid w:val="102D01F2"/>
    <w:rsid w:val="10646583"/>
    <w:rsid w:val="107D4B15"/>
    <w:rsid w:val="107F794E"/>
    <w:rsid w:val="108A3C80"/>
    <w:rsid w:val="10C26171"/>
    <w:rsid w:val="10C80684"/>
    <w:rsid w:val="10F330DA"/>
    <w:rsid w:val="10F33360"/>
    <w:rsid w:val="10FC16EA"/>
    <w:rsid w:val="1101541A"/>
    <w:rsid w:val="110F1D40"/>
    <w:rsid w:val="11266F33"/>
    <w:rsid w:val="1147084D"/>
    <w:rsid w:val="118963A1"/>
    <w:rsid w:val="11C6522A"/>
    <w:rsid w:val="11E104CC"/>
    <w:rsid w:val="11E20309"/>
    <w:rsid w:val="12255233"/>
    <w:rsid w:val="123553DF"/>
    <w:rsid w:val="12530213"/>
    <w:rsid w:val="127723A9"/>
    <w:rsid w:val="12862074"/>
    <w:rsid w:val="12883966"/>
    <w:rsid w:val="129E45B4"/>
    <w:rsid w:val="12D81596"/>
    <w:rsid w:val="13072A44"/>
    <w:rsid w:val="1312540B"/>
    <w:rsid w:val="13283FE9"/>
    <w:rsid w:val="135F4BE2"/>
    <w:rsid w:val="139B1A0A"/>
    <w:rsid w:val="139D25C7"/>
    <w:rsid w:val="13BA312D"/>
    <w:rsid w:val="13BF3CE4"/>
    <w:rsid w:val="141008D8"/>
    <w:rsid w:val="14125FE6"/>
    <w:rsid w:val="143567BC"/>
    <w:rsid w:val="146D271E"/>
    <w:rsid w:val="14982588"/>
    <w:rsid w:val="149A5AD9"/>
    <w:rsid w:val="14A7619D"/>
    <w:rsid w:val="15007F69"/>
    <w:rsid w:val="150536C3"/>
    <w:rsid w:val="150C1963"/>
    <w:rsid w:val="151447A0"/>
    <w:rsid w:val="15273705"/>
    <w:rsid w:val="154A6454"/>
    <w:rsid w:val="15762120"/>
    <w:rsid w:val="15A31E4A"/>
    <w:rsid w:val="15AD67F9"/>
    <w:rsid w:val="15B1514C"/>
    <w:rsid w:val="15BE190C"/>
    <w:rsid w:val="16282019"/>
    <w:rsid w:val="16A8729C"/>
    <w:rsid w:val="16B33777"/>
    <w:rsid w:val="16BC70A7"/>
    <w:rsid w:val="16C6339E"/>
    <w:rsid w:val="16D30B5B"/>
    <w:rsid w:val="16D30DEE"/>
    <w:rsid w:val="172F2D79"/>
    <w:rsid w:val="17557BEF"/>
    <w:rsid w:val="17D349C1"/>
    <w:rsid w:val="181932FF"/>
    <w:rsid w:val="18244F26"/>
    <w:rsid w:val="1830729E"/>
    <w:rsid w:val="1870062C"/>
    <w:rsid w:val="18817102"/>
    <w:rsid w:val="18830A15"/>
    <w:rsid w:val="18852B28"/>
    <w:rsid w:val="188B5321"/>
    <w:rsid w:val="193F7E61"/>
    <w:rsid w:val="198771E8"/>
    <w:rsid w:val="19932372"/>
    <w:rsid w:val="19A20DD5"/>
    <w:rsid w:val="19AE03F1"/>
    <w:rsid w:val="1A071A03"/>
    <w:rsid w:val="1A1D6E1C"/>
    <w:rsid w:val="1A1F16AE"/>
    <w:rsid w:val="1A3B5C77"/>
    <w:rsid w:val="1A455DB0"/>
    <w:rsid w:val="1A984BAD"/>
    <w:rsid w:val="1AA074E4"/>
    <w:rsid w:val="1AB8220E"/>
    <w:rsid w:val="1AE4166C"/>
    <w:rsid w:val="1AF06CFB"/>
    <w:rsid w:val="1AF11B8D"/>
    <w:rsid w:val="1B11359C"/>
    <w:rsid w:val="1B2A271F"/>
    <w:rsid w:val="1B2E2CDC"/>
    <w:rsid w:val="1B530544"/>
    <w:rsid w:val="1B5E64BF"/>
    <w:rsid w:val="1B605CBE"/>
    <w:rsid w:val="1B713184"/>
    <w:rsid w:val="1B7C778D"/>
    <w:rsid w:val="1BA209CF"/>
    <w:rsid w:val="1BB4777D"/>
    <w:rsid w:val="1BC07B91"/>
    <w:rsid w:val="1BC760EE"/>
    <w:rsid w:val="1BD75AB8"/>
    <w:rsid w:val="1C0459C2"/>
    <w:rsid w:val="1C1B3B4A"/>
    <w:rsid w:val="1C88086E"/>
    <w:rsid w:val="1D266CE1"/>
    <w:rsid w:val="1D3963AF"/>
    <w:rsid w:val="1D5150D1"/>
    <w:rsid w:val="1D6A673C"/>
    <w:rsid w:val="1D9247AE"/>
    <w:rsid w:val="1DA4549D"/>
    <w:rsid w:val="1DB567EC"/>
    <w:rsid w:val="1DE2466D"/>
    <w:rsid w:val="1DF51A98"/>
    <w:rsid w:val="1DFE0969"/>
    <w:rsid w:val="1E051CD9"/>
    <w:rsid w:val="1E162569"/>
    <w:rsid w:val="1E3D060F"/>
    <w:rsid w:val="1E3F7D2E"/>
    <w:rsid w:val="1E4134E4"/>
    <w:rsid w:val="1E417A73"/>
    <w:rsid w:val="1E4748DF"/>
    <w:rsid w:val="1E5062B3"/>
    <w:rsid w:val="1E523514"/>
    <w:rsid w:val="1E714A66"/>
    <w:rsid w:val="1E802593"/>
    <w:rsid w:val="1E8B6156"/>
    <w:rsid w:val="1EA703CC"/>
    <w:rsid w:val="1EB7330C"/>
    <w:rsid w:val="1F011426"/>
    <w:rsid w:val="1F0A0FF3"/>
    <w:rsid w:val="1F47684D"/>
    <w:rsid w:val="1F5771FF"/>
    <w:rsid w:val="1FBD0D6B"/>
    <w:rsid w:val="1FD52574"/>
    <w:rsid w:val="1FE868A9"/>
    <w:rsid w:val="20034907"/>
    <w:rsid w:val="20173E4B"/>
    <w:rsid w:val="204E48BC"/>
    <w:rsid w:val="205F3D53"/>
    <w:rsid w:val="208921B3"/>
    <w:rsid w:val="20973DEB"/>
    <w:rsid w:val="20B26522"/>
    <w:rsid w:val="20B44310"/>
    <w:rsid w:val="210D1AC0"/>
    <w:rsid w:val="210F5D0D"/>
    <w:rsid w:val="211116EB"/>
    <w:rsid w:val="211440A7"/>
    <w:rsid w:val="21386E18"/>
    <w:rsid w:val="216133FC"/>
    <w:rsid w:val="21A61FC4"/>
    <w:rsid w:val="21D56769"/>
    <w:rsid w:val="21DB4920"/>
    <w:rsid w:val="21E52EF3"/>
    <w:rsid w:val="21FB5D7B"/>
    <w:rsid w:val="22015E94"/>
    <w:rsid w:val="220B1C3D"/>
    <w:rsid w:val="221D1D20"/>
    <w:rsid w:val="22334A87"/>
    <w:rsid w:val="22BE6801"/>
    <w:rsid w:val="233500BF"/>
    <w:rsid w:val="23377FF7"/>
    <w:rsid w:val="236A5949"/>
    <w:rsid w:val="236B425F"/>
    <w:rsid w:val="23836192"/>
    <w:rsid w:val="23901F29"/>
    <w:rsid w:val="239C0061"/>
    <w:rsid w:val="23A52DDC"/>
    <w:rsid w:val="23B908A4"/>
    <w:rsid w:val="23D13F67"/>
    <w:rsid w:val="23E95BEF"/>
    <w:rsid w:val="23FD0064"/>
    <w:rsid w:val="242F0117"/>
    <w:rsid w:val="245375B0"/>
    <w:rsid w:val="24642C0A"/>
    <w:rsid w:val="24B22173"/>
    <w:rsid w:val="24B95AD9"/>
    <w:rsid w:val="24BE24DA"/>
    <w:rsid w:val="24CF5825"/>
    <w:rsid w:val="24D63E34"/>
    <w:rsid w:val="24D663E6"/>
    <w:rsid w:val="24D77F2B"/>
    <w:rsid w:val="24E966FF"/>
    <w:rsid w:val="258B00E2"/>
    <w:rsid w:val="25A917A6"/>
    <w:rsid w:val="25BE27CC"/>
    <w:rsid w:val="25F74A5C"/>
    <w:rsid w:val="2628662C"/>
    <w:rsid w:val="262D45DE"/>
    <w:rsid w:val="267453E0"/>
    <w:rsid w:val="26871DC8"/>
    <w:rsid w:val="26A53EF9"/>
    <w:rsid w:val="26A64BBF"/>
    <w:rsid w:val="26A94201"/>
    <w:rsid w:val="26AC274F"/>
    <w:rsid w:val="27027B2E"/>
    <w:rsid w:val="27044A29"/>
    <w:rsid w:val="270A2DE7"/>
    <w:rsid w:val="27184562"/>
    <w:rsid w:val="271D34C8"/>
    <w:rsid w:val="276142BF"/>
    <w:rsid w:val="27783712"/>
    <w:rsid w:val="279067E2"/>
    <w:rsid w:val="27907362"/>
    <w:rsid w:val="27D238EF"/>
    <w:rsid w:val="27F9272A"/>
    <w:rsid w:val="28003354"/>
    <w:rsid w:val="28333E1D"/>
    <w:rsid w:val="28454BD6"/>
    <w:rsid w:val="28455253"/>
    <w:rsid w:val="28551971"/>
    <w:rsid w:val="285B1C53"/>
    <w:rsid w:val="289F7086"/>
    <w:rsid w:val="28C32028"/>
    <w:rsid w:val="28CC490F"/>
    <w:rsid w:val="28DE40AA"/>
    <w:rsid w:val="28FA1802"/>
    <w:rsid w:val="29345E77"/>
    <w:rsid w:val="294C65AD"/>
    <w:rsid w:val="295E05DF"/>
    <w:rsid w:val="29806583"/>
    <w:rsid w:val="298B3C4C"/>
    <w:rsid w:val="298B4347"/>
    <w:rsid w:val="29F26D24"/>
    <w:rsid w:val="2A15033F"/>
    <w:rsid w:val="2A1662C1"/>
    <w:rsid w:val="2A1C7367"/>
    <w:rsid w:val="2A2815FA"/>
    <w:rsid w:val="2A6D6092"/>
    <w:rsid w:val="2A7D76B4"/>
    <w:rsid w:val="2ADC41F2"/>
    <w:rsid w:val="2B09293F"/>
    <w:rsid w:val="2B437463"/>
    <w:rsid w:val="2B7807EE"/>
    <w:rsid w:val="2BA50BF7"/>
    <w:rsid w:val="2BBF00EC"/>
    <w:rsid w:val="2BC37CFD"/>
    <w:rsid w:val="2BD5237F"/>
    <w:rsid w:val="2BE536CE"/>
    <w:rsid w:val="2BE758D9"/>
    <w:rsid w:val="2BEA306D"/>
    <w:rsid w:val="2BF346BB"/>
    <w:rsid w:val="2C09049E"/>
    <w:rsid w:val="2C0A653C"/>
    <w:rsid w:val="2C191F85"/>
    <w:rsid w:val="2C3F67E2"/>
    <w:rsid w:val="2C87189D"/>
    <w:rsid w:val="2CA92052"/>
    <w:rsid w:val="2CBC2A9F"/>
    <w:rsid w:val="2CE82D6F"/>
    <w:rsid w:val="2D1C2FCC"/>
    <w:rsid w:val="2D343236"/>
    <w:rsid w:val="2D523C2C"/>
    <w:rsid w:val="2D575011"/>
    <w:rsid w:val="2D8763AA"/>
    <w:rsid w:val="2DD15014"/>
    <w:rsid w:val="2DF72DE4"/>
    <w:rsid w:val="2E0220AF"/>
    <w:rsid w:val="2E4B082A"/>
    <w:rsid w:val="2E5D4E86"/>
    <w:rsid w:val="2E5D790B"/>
    <w:rsid w:val="2E9A3C18"/>
    <w:rsid w:val="2EBB0FEE"/>
    <w:rsid w:val="2EC63002"/>
    <w:rsid w:val="2F0A6B38"/>
    <w:rsid w:val="2F2A7C22"/>
    <w:rsid w:val="2F454453"/>
    <w:rsid w:val="2F7760A6"/>
    <w:rsid w:val="2F946CCB"/>
    <w:rsid w:val="2FA87D10"/>
    <w:rsid w:val="2FD25781"/>
    <w:rsid w:val="2FDC745C"/>
    <w:rsid w:val="2FFD7934"/>
    <w:rsid w:val="3058256D"/>
    <w:rsid w:val="30733ACD"/>
    <w:rsid w:val="308C3862"/>
    <w:rsid w:val="309379D8"/>
    <w:rsid w:val="30A270F7"/>
    <w:rsid w:val="30DF1478"/>
    <w:rsid w:val="30EC586F"/>
    <w:rsid w:val="30FD0D95"/>
    <w:rsid w:val="313F54DB"/>
    <w:rsid w:val="319C6071"/>
    <w:rsid w:val="31AC537E"/>
    <w:rsid w:val="31E3679B"/>
    <w:rsid w:val="31E732FD"/>
    <w:rsid w:val="31F70125"/>
    <w:rsid w:val="325124C4"/>
    <w:rsid w:val="32517576"/>
    <w:rsid w:val="32BE5C2C"/>
    <w:rsid w:val="32DA45A6"/>
    <w:rsid w:val="32FB6478"/>
    <w:rsid w:val="33263B3F"/>
    <w:rsid w:val="3364747B"/>
    <w:rsid w:val="336963EB"/>
    <w:rsid w:val="337B4EAE"/>
    <w:rsid w:val="33816EEB"/>
    <w:rsid w:val="33EB55CD"/>
    <w:rsid w:val="33EC4C02"/>
    <w:rsid w:val="33EC5935"/>
    <w:rsid w:val="340D2360"/>
    <w:rsid w:val="3410665D"/>
    <w:rsid w:val="34211214"/>
    <w:rsid w:val="342E63AB"/>
    <w:rsid w:val="34321327"/>
    <w:rsid w:val="34950E68"/>
    <w:rsid w:val="34986E94"/>
    <w:rsid w:val="34AF62C9"/>
    <w:rsid w:val="34CB4388"/>
    <w:rsid w:val="34FA6E12"/>
    <w:rsid w:val="354D7158"/>
    <w:rsid w:val="358D5588"/>
    <w:rsid w:val="359B07CC"/>
    <w:rsid w:val="360474F9"/>
    <w:rsid w:val="362225FF"/>
    <w:rsid w:val="363A3B40"/>
    <w:rsid w:val="363B0967"/>
    <w:rsid w:val="365302AE"/>
    <w:rsid w:val="36607A0A"/>
    <w:rsid w:val="366E227C"/>
    <w:rsid w:val="366F2E0D"/>
    <w:rsid w:val="367B6A5C"/>
    <w:rsid w:val="36A74ADA"/>
    <w:rsid w:val="36AD60D5"/>
    <w:rsid w:val="36B224F9"/>
    <w:rsid w:val="36EC0CC9"/>
    <w:rsid w:val="373F410B"/>
    <w:rsid w:val="377919C7"/>
    <w:rsid w:val="379D320F"/>
    <w:rsid w:val="37B42000"/>
    <w:rsid w:val="37EE7094"/>
    <w:rsid w:val="38296C89"/>
    <w:rsid w:val="383002EB"/>
    <w:rsid w:val="38586797"/>
    <w:rsid w:val="385A0597"/>
    <w:rsid w:val="385D15DF"/>
    <w:rsid w:val="38A10D3E"/>
    <w:rsid w:val="38B54FF1"/>
    <w:rsid w:val="38BC0149"/>
    <w:rsid w:val="38D87D1C"/>
    <w:rsid w:val="390D379A"/>
    <w:rsid w:val="395835DE"/>
    <w:rsid w:val="39636459"/>
    <w:rsid w:val="396B7F6C"/>
    <w:rsid w:val="39B417A9"/>
    <w:rsid w:val="39FC5695"/>
    <w:rsid w:val="3A006D8E"/>
    <w:rsid w:val="3A3651E5"/>
    <w:rsid w:val="3A481410"/>
    <w:rsid w:val="3A744481"/>
    <w:rsid w:val="3A8C7BEF"/>
    <w:rsid w:val="3A906246"/>
    <w:rsid w:val="3AAF461F"/>
    <w:rsid w:val="3B1E7D78"/>
    <w:rsid w:val="3B2349B7"/>
    <w:rsid w:val="3B253993"/>
    <w:rsid w:val="3B3D0CDD"/>
    <w:rsid w:val="3B616CFF"/>
    <w:rsid w:val="3B6259F6"/>
    <w:rsid w:val="3B976654"/>
    <w:rsid w:val="3BA66882"/>
    <w:rsid w:val="3BC01EFC"/>
    <w:rsid w:val="3BC64BED"/>
    <w:rsid w:val="3BCA786A"/>
    <w:rsid w:val="3BD31E2F"/>
    <w:rsid w:val="3BF15831"/>
    <w:rsid w:val="3C105946"/>
    <w:rsid w:val="3C273E47"/>
    <w:rsid w:val="3C471448"/>
    <w:rsid w:val="3C5F759A"/>
    <w:rsid w:val="3C6C525A"/>
    <w:rsid w:val="3CC1392B"/>
    <w:rsid w:val="3CCE23CB"/>
    <w:rsid w:val="3CD17D17"/>
    <w:rsid w:val="3D16341B"/>
    <w:rsid w:val="3D3C7F39"/>
    <w:rsid w:val="3D440F09"/>
    <w:rsid w:val="3D4504A0"/>
    <w:rsid w:val="3D567E34"/>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C8520B"/>
    <w:rsid w:val="3EEC5AA8"/>
    <w:rsid w:val="3F060E16"/>
    <w:rsid w:val="3F1D1096"/>
    <w:rsid w:val="3F2F0234"/>
    <w:rsid w:val="3F6363FE"/>
    <w:rsid w:val="3F756B8F"/>
    <w:rsid w:val="3F7A2278"/>
    <w:rsid w:val="3F7B465B"/>
    <w:rsid w:val="3F95482B"/>
    <w:rsid w:val="4019356B"/>
    <w:rsid w:val="401C35B7"/>
    <w:rsid w:val="40390546"/>
    <w:rsid w:val="40592157"/>
    <w:rsid w:val="406E1CAE"/>
    <w:rsid w:val="40A0133A"/>
    <w:rsid w:val="40C31A53"/>
    <w:rsid w:val="40C37A4F"/>
    <w:rsid w:val="40FF545D"/>
    <w:rsid w:val="410067C8"/>
    <w:rsid w:val="414B0BB4"/>
    <w:rsid w:val="418F0D2A"/>
    <w:rsid w:val="41D01505"/>
    <w:rsid w:val="41E06866"/>
    <w:rsid w:val="41EF371A"/>
    <w:rsid w:val="42474939"/>
    <w:rsid w:val="424C3C57"/>
    <w:rsid w:val="42613FF3"/>
    <w:rsid w:val="42660D96"/>
    <w:rsid w:val="428667D2"/>
    <w:rsid w:val="428B7A9F"/>
    <w:rsid w:val="42CD1CE0"/>
    <w:rsid w:val="42E1381E"/>
    <w:rsid w:val="42ED6459"/>
    <w:rsid w:val="42FE58DD"/>
    <w:rsid w:val="43174B3D"/>
    <w:rsid w:val="433D3B47"/>
    <w:rsid w:val="434B790E"/>
    <w:rsid w:val="4360274F"/>
    <w:rsid w:val="43977AB6"/>
    <w:rsid w:val="43A3342B"/>
    <w:rsid w:val="43AC2684"/>
    <w:rsid w:val="43C77C27"/>
    <w:rsid w:val="43CB767A"/>
    <w:rsid w:val="43D40857"/>
    <w:rsid w:val="43DE09EE"/>
    <w:rsid w:val="44002FAD"/>
    <w:rsid w:val="449101DD"/>
    <w:rsid w:val="44DE1391"/>
    <w:rsid w:val="44ED24F2"/>
    <w:rsid w:val="451B225C"/>
    <w:rsid w:val="452410C9"/>
    <w:rsid w:val="45317DFB"/>
    <w:rsid w:val="456D3CE4"/>
    <w:rsid w:val="4579042C"/>
    <w:rsid w:val="457F0571"/>
    <w:rsid w:val="45851176"/>
    <w:rsid w:val="45C63B94"/>
    <w:rsid w:val="45F5079E"/>
    <w:rsid w:val="460E7DA5"/>
    <w:rsid w:val="46422483"/>
    <w:rsid w:val="4659254A"/>
    <w:rsid w:val="465B0637"/>
    <w:rsid w:val="465E3F0D"/>
    <w:rsid w:val="466A16E6"/>
    <w:rsid w:val="46893F2B"/>
    <w:rsid w:val="46B4090A"/>
    <w:rsid w:val="46C4686E"/>
    <w:rsid w:val="477B778F"/>
    <w:rsid w:val="478203EC"/>
    <w:rsid w:val="47B025FA"/>
    <w:rsid w:val="4809698F"/>
    <w:rsid w:val="48112003"/>
    <w:rsid w:val="4811697D"/>
    <w:rsid w:val="487A3E25"/>
    <w:rsid w:val="48822F7C"/>
    <w:rsid w:val="488B5503"/>
    <w:rsid w:val="48937E21"/>
    <w:rsid w:val="489A0361"/>
    <w:rsid w:val="48B94FF3"/>
    <w:rsid w:val="48E37AAB"/>
    <w:rsid w:val="48FD4B4C"/>
    <w:rsid w:val="490A68E0"/>
    <w:rsid w:val="491055FE"/>
    <w:rsid w:val="49461447"/>
    <w:rsid w:val="495B0E0B"/>
    <w:rsid w:val="495F5B3E"/>
    <w:rsid w:val="496F77D7"/>
    <w:rsid w:val="497654FD"/>
    <w:rsid w:val="49B64211"/>
    <w:rsid w:val="49D84DFC"/>
    <w:rsid w:val="49E901DB"/>
    <w:rsid w:val="49F6167F"/>
    <w:rsid w:val="4A064FA0"/>
    <w:rsid w:val="4A16615C"/>
    <w:rsid w:val="4A4424D7"/>
    <w:rsid w:val="4A517597"/>
    <w:rsid w:val="4A524841"/>
    <w:rsid w:val="4AB82D0F"/>
    <w:rsid w:val="4AD4326F"/>
    <w:rsid w:val="4AEB7664"/>
    <w:rsid w:val="4AFD7C19"/>
    <w:rsid w:val="4B0567D1"/>
    <w:rsid w:val="4B236AAE"/>
    <w:rsid w:val="4B707271"/>
    <w:rsid w:val="4B865DDB"/>
    <w:rsid w:val="4B9739F7"/>
    <w:rsid w:val="4BEE2503"/>
    <w:rsid w:val="4C245A30"/>
    <w:rsid w:val="4CB6685F"/>
    <w:rsid w:val="4CC367FE"/>
    <w:rsid w:val="4CEC01D8"/>
    <w:rsid w:val="4D077F3C"/>
    <w:rsid w:val="4D123355"/>
    <w:rsid w:val="4D2A3B31"/>
    <w:rsid w:val="4D312C52"/>
    <w:rsid w:val="4D8657A4"/>
    <w:rsid w:val="4D905305"/>
    <w:rsid w:val="4D964A72"/>
    <w:rsid w:val="4D9C1254"/>
    <w:rsid w:val="4E177742"/>
    <w:rsid w:val="4E4D2BE1"/>
    <w:rsid w:val="4E793892"/>
    <w:rsid w:val="4E800872"/>
    <w:rsid w:val="4E8B428F"/>
    <w:rsid w:val="4EC569ED"/>
    <w:rsid w:val="4ED50EA1"/>
    <w:rsid w:val="4EEC050C"/>
    <w:rsid w:val="4F104EC3"/>
    <w:rsid w:val="4F47354A"/>
    <w:rsid w:val="4F911C54"/>
    <w:rsid w:val="4FC253BF"/>
    <w:rsid w:val="4FE625E0"/>
    <w:rsid w:val="500F13D7"/>
    <w:rsid w:val="5021480F"/>
    <w:rsid w:val="503801CC"/>
    <w:rsid w:val="50426A5E"/>
    <w:rsid w:val="50962ECB"/>
    <w:rsid w:val="50A42E38"/>
    <w:rsid w:val="50A4577F"/>
    <w:rsid w:val="50B73D1F"/>
    <w:rsid w:val="50BD5BC9"/>
    <w:rsid w:val="50C03AEB"/>
    <w:rsid w:val="50C11EEE"/>
    <w:rsid w:val="50E97CFC"/>
    <w:rsid w:val="50FA4028"/>
    <w:rsid w:val="510D65B7"/>
    <w:rsid w:val="511157AB"/>
    <w:rsid w:val="5142540C"/>
    <w:rsid w:val="518832C8"/>
    <w:rsid w:val="518E5010"/>
    <w:rsid w:val="519D3C50"/>
    <w:rsid w:val="51A0432A"/>
    <w:rsid w:val="51A86090"/>
    <w:rsid w:val="51B7396D"/>
    <w:rsid w:val="521F2462"/>
    <w:rsid w:val="521F697C"/>
    <w:rsid w:val="522E4CC3"/>
    <w:rsid w:val="5244713B"/>
    <w:rsid w:val="52615633"/>
    <w:rsid w:val="526F4DE4"/>
    <w:rsid w:val="52977FD4"/>
    <w:rsid w:val="52A25790"/>
    <w:rsid w:val="52A96B6F"/>
    <w:rsid w:val="52B45975"/>
    <w:rsid w:val="52C87406"/>
    <w:rsid w:val="52D94AA4"/>
    <w:rsid w:val="52EA3A62"/>
    <w:rsid w:val="52F50BB8"/>
    <w:rsid w:val="53097272"/>
    <w:rsid w:val="53544462"/>
    <w:rsid w:val="5397158E"/>
    <w:rsid w:val="53AC1C18"/>
    <w:rsid w:val="53DA4CD1"/>
    <w:rsid w:val="54013861"/>
    <w:rsid w:val="54487265"/>
    <w:rsid w:val="544D6070"/>
    <w:rsid w:val="54605E1E"/>
    <w:rsid w:val="54684D4C"/>
    <w:rsid w:val="547E6196"/>
    <w:rsid w:val="54B3506A"/>
    <w:rsid w:val="54CA0D16"/>
    <w:rsid w:val="54DD4057"/>
    <w:rsid w:val="54DF0B0E"/>
    <w:rsid w:val="54E7490F"/>
    <w:rsid w:val="550764A4"/>
    <w:rsid w:val="550B2BF6"/>
    <w:rsid w:val="55214EB5"/>
    <w:rsid w:val="55364EFD"/>
    <w:rsid w:val="554C6B67"/>
    <w:rsid w:val="555D4828"/>
    <w:rsid w:val="557A4C8B"/>
    <w:rsid w:val="558931E1"/>
    <w:rsid w:val="55923347"/>
    <w:rsid w:val="55925180"/>
    <w:rsid w:val="55983B1B"/>
    <w:rsid w:val="55A8376B"/>
    <w:rsid w:val="55DC29B6"/>
    <w:rsid w:val="55DD4241"/>
    <w:rsid w:val="566B6D1E"/>
    <w:rsid w:val="566E7804"/>
    <w:rsid w:val="56C650FB"/>
    <w:rsid w:val="56C67981"/>
    <w:rsid w:val="56E62E61"/>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7E00F16"/>
    <w:rsid w:val="58191E0F"/>
    <w:rsid w:val="584E5E80"/>
    <w:rsid w:val="58917D2F"/>
    <w:rsid w:val="5894085C"/>
    <w:rsid w:val="58AE4F0C"/>
    <w:rsid w:val="58B85899"/>
    <w:rsid w:val="58E363A9"/>
    <w:rsid w:val="59166304"/>
    <w:rsid w:val="591E678C"/>
    <w:rsid w:val="59412D9B"/>
    <w:rsid w:val="595E1678"/>
    <w:rsid w:val="596D5BD4"/>
    <w:rsid w:val="597E3DD8"/>
    <w:rsid w:val="59AD65B4"/>
    <w:rsid w:val="59B30532"/>
    <w:rsid w:val="59B352CD"/>
    <w:rsid w:val="59D445FB"/>
    <w:rsid w:val="59E2253B"/>
    <w:rsid w:val="59F80043"/>
    <w:rsid w:val="5A09252F"/>
    <w:rsid w:val="5A0B2778"/>
    <w:rsid w:val="5A2A7C7B"/>
    <w:rsid w:val="5A3E2560"/>
    <w:rsid w:val="5A4D4415"/>
    <w:rsid w:val="5A5D3B6E"/>
    <w:rsid w:val="5A637A76"/>
    <w:rsid w:val="5A695D47"/>
    <w:rsid w:val="5A6D33BA"/>
    <w:rsid w:val="5A792B1F"/>
    <w:rsid w:val="5A874767"/>
    <w:rsid w:val="5AA85BE2"/>
    <w:rsid w:val="5AAD6F28"/>
    <w:rsid w:val="5AD63A24"/>
    <w:rsid w:val="5B2E1A1D"/>
    <w:rsid w:val="5B3D1DFD"/>
    <w:rsid w:val="5B5A45CD"/>
    <w:rsid w:val="5B843A1C"/>
    <w:rsid w:val="5B873E3F"/>
    <w:rsid w:val="5BB24332"/>
    <w:rsid w:val="5C02690E"/>
    <w:rsid w:val="5C196DA7"/>
    <w:rsid w:val="5C2A048C"/>
    <w:rsid w:val="5C5477DD"/>
    <w:rsid w:val="5C6E1A72"/>
    <w:rsid w:val="5C80234E"/>
    <w:rsid w:val="5C8A680C"/>
    <w:rsid w:val="5CF44684"/>
    <w:rsid w:val="5D0C4701"/>
    <w:rsid w:val="5D0F0395"/>
    <w:rsid w:val="5D221076"/>
    <w:rsid w:val="5D397964"/>
    <w:rsid w:val="5D5A391C"/>
    <w:rsid w:val="5D5F10C0"/>
    <w:rsid w:val="5D891B7B"/>
    <w:rsid w:val="5D8D2BF6"/>
    <w:rsid w:val="5DAD38EE"/>
    <w:rsid w:val="5E006862"/>
    <w:rsid w:val="5E0207B9"/>
    <w:rsid w:val="5E1834A1"/>
    <w:rsid w:val="5E1F7BDF"/>
    <w:rsid w:val="5E261785"/>
    <w:rsid w:val="5E4A7017"/>
    <w:rsid w:val="5E552BBA"/>
    <w:rsid w:val="5E611C10"/>
    <w:rsid w:val="5E762B94"/>
    <w:rsid w:val="5E7A0F3F"/>
    <w:rsid w:val="5EE026B8"/>
    <w:rsid w:val="5EFC7377"/>
    <w:rsid w:val="5F06174D"/>
    <w:rsid w:val="5F117C07"/>
    <w:rsid w:val="5F3A3602"/>
    <w:rsid w:val="5F45733B"/>
    <w:rsid w:val="5F6277C6"/>
    <w:rsid w:val="5F6D0B1D"/>
    <w:rsid w:val="5F8D0B82"/>
    <w:rsid w:val="5FBB771C"/>
    <w:rsid w:val="5FCC5339"/>
    <w:rsid w:val="5FE34A5B"/>
    <w:rsid w:val="5FFE1E36"/>
    <w:rsid w:val="60232584"/>
    <w:rsid w:val="607330CE"/>
    <w:rsid w:val="60825176"/>
    <w:rsid w:val="609F2AC4"/>
    <w:rsid w:val="60C5340A"/>
    <w:rsid w:val="60DC0119"/>
    <w:rsid w:val="60FA2EE8"/>
    <w:rsid w:val="61054A27"/>
    <w:rsid w:val="610A52BC"/>
    <w:rsid w:val="611D2366"/>
    <w:rsid w:val="61421856"/>
    <w:rsid w:val="615227C4"/>
    <w:rsid w:val="615D0EE2"/>
    <w:rsid w:val="61654E3F"/>
    <w:rsid w:val="6182292A"/>
    <w:rsid w:val="619F7F92"/>
    <w:rsid w:val="61E81EE3"/>
    <w:rsid w:val="61F94C26"/>
    <w:rsid w:val="62000E56"/>
    <w:rsid w:val="624F3E49"/>
    <w:rsid w:val="62632286"/>
    <w:rsid w:val="62885958"/>
    <w:rsid w:val="62F40B65"/>
    <w:rsid w:val="62FC2CFE"/>
    <w:rsid w:val="63024505"/>
    <w:rsid w:val="635335A3"/>
    <w:rsid w:val="635600A5"/>
    <w:rsid w:val="635B1DB5"/>
    <w:rsid w:val="63711FED"/>
    <w:rsid w:val="63880DDC"/>
    <w:rsid w:val="638D750D"/>
    <w:rsid w:val="63AC6CC0"/>
    <w:rsid w:val="63E82E51"/>
    <w:rsid w:val="64011514"/>
    <w:rsid w:val="64055776"/>
    <w:rsid w:val="64240056"/>
    <w:rsid w:val="643E143A"/>
    <w:rsid w:val="64491666"/>
    <w:rsid w:val="648B6EEF"/>
    <w:rsid w:val="64C158BF"/>
    <w:rsid w:val="64CE2EAA"/>
    <w:rsid w:val="64D2274E"/>
    <w:rsid w:val="64DB0A9B"/>
    <w:rsid w:val="64FB126F"/>
    <w:rsid w:val="653C3090"/>
    <w:rsid w:val="65711CFD"/>
    <w:rsid w:val="65854376"/>
    <w:rsid w:val="658767BE"/>
    <w:rsid w:val="65892531"/>
    <w:rsid w:val="659C776A"/>
    <w:rsid w:val="65B73D1B"/>
    <w:rsid w:val="65DA0D53"/>
    <w:rsid w:val="65E322FD"/>
    <w:rsid w:val="66195831"/>
    <w:rsid w:val="661E23B8"/>
    <w:rsid w:val="662E75B1"/>
    <w:rsid w:val="66342C2E"/>
    <w:rsid w:val="663E784C"/>
    <w:rsid w:val="668138C4"/>
    <w:rsid w:val="668B6A45"/>
    <w:rsid w:val="672F3F24"/>
    <w:rsid w:val="673E055F"/>
    <w:rsid w:val="67551CE3"/>
    <w:rsid w:val="67A22552"/>
    <w:rsid w:val="67B22DCC"/>
    <w:rsid w:val="67BE71AA"/>
    <w:rsid w:val="67D90273"/>
    <w:rsid w:val="67DE5875"/>
    <w:rsid w:val="67E33780"/>
    <w:rsid w:val="67E55852"/>
    <w:rsid w:val="67EB1AB4"/>
    <w:rsid w:val="67FA1285"/>
    <w:rsid w:val="680B2BF3"/>
    <w:rsid w:val="682A055F"/>
    <w:rsid w:val="68551F4F"/>
    <w:rsid w:val="687C10C9"/>
    <w:rsid w:val="68840C16"/>
    <w:rsid w:val="68876EFB"/>
    <w:rsid w:val="68884654"/>
    <w:rsid w:val="689F444F"/>
    <w:rsid w:val="68B96DBB"/>
    <w:rsid w:val="68CA2805"/>
    <w:rsid w:val="68E937A3"/>
    <w:rsid w:val="693E15D3"/>
    <w:rsid w:val="69627681"/>
    <w:rsid w:val="69643717"/>
    <w:rsid w:val="6977531D"/>
    <w:rsid w:val="69833C22"/>
    <w:rsid w:val="69C82B4D"/>
    <w:rsid w:val="69CC2BFF"/>
    <w:rsid w:val="69FD55B8"/>
    <w:rsid w:val="6A0B1C62"/>
    <w:rsid w:val="6A2406C8"/>
    <w:rsid w:val="6A367445"/>
    <w:rsid w:val="6A5B0A3A"/>
    <w:rsid w:val="6ADE0BD1"/>
    <w:rsid w:val="6AE96859"/>
    <w:rsid w:val="6B147746"/>
    <w:rsid w:val="6B24787C"/>
    <w:rsid w:val="6B3B52B9"/>
    <w:rsid w:val="6B573233"/>
    <w:rsid w:val="6B5B6274"/>
    <w:rsid w:val="6B935D53"/>
    <w:rsid w:val="6BFE34F4"/>
    <w:rsid w:val="6C152AE5"/>
    <w:rsid w:val="6C196F71"/>
    <w:rsid w:val="6C226FCB"/>
    <w:rsid w:val="6C31226F"/>
    <w:rsid w:val="6C552F0B"/>
    <w:rsid w:val="6C8C67B7"/>
    <w:rsid w:val="6C9D744C"/>
    <w:rsid w:val="6CCF3746"/>
    <w:rsid w:val="6D167928"/>
    <w:rsid w:val="6D26299B"/>
    <w:rsid w:val="6D4772EC"/>
    <w:rsid w:val="6D9078AF"/>
    <w:rsid w:val="6DAA3FEF"/>
    <w:rsid w:val="6DC0172B"/>
    <w:rsid w:val="6DC86CC5"/>
    <w:rsid w:val="6DCB690C"/>
    <w:rsid w:val="6DD41A5B"/>
    <w:rsid w:val="6DDA4528"/>
    <w:rsid w:val="6DF43C2E"/>
    <w:rsid w:val="6DF51CA3"/>
    <w:rsid w:val="6E771638"/>
    <w:rsid w:val="6E8335BD"/>
    <w:rsid w:val="6E8C1058"/>
    <w:rsid w:val="6E8E12EF"/>
    <w:rsid w:val="6E972936"/>
    <w:rsid w:val="6ED446C5"/>
    <w:rsid w:val="6F030DBF"/>
    <w:rsid w:val="6F2A7D94"/>
    <w:rsid w:val="6F8331F1"/>
    <w:rsid w:val="6FAE1A09"/>
    <w:rsid w:val="6FD75BF8"/>
    <w:rsid w:val="707723D0"/>
    <w:rsid w:val="70D31FDB"/>
    <w:rsid w:val="70F5661B"/>
    <w:rsid w:val="71025602"/>
    <w:rsid w:val="71360107"/>
    <w:rsid w:val="713B688E"/>
    <w:rsid w:val="715440AF"/>
    <w:rsid w:val="7177214E"/>
    <w:rsid w:val="71D43752"/>
    <w:rsid w:val="71ED109E"/>
    <w:rsid w:val="71F1796A"/>
    <w:rsid w:val="71FB09CF"/>
    <w:rsid w:val="72154626"/>
    <w:rsid w:val="72262B5D"/>
    <w:rsid w:val="72280D97"/>
    <w:rsid w:val="72283FF7"/>
    <w:rsid w:val="722E7212"/>
    <w:rsid w:val="723A0474"/>
    <w:rsid w:val="725923E4"/>
    <w:rsid w:val="72864BF7"/>
    <w:rsid w:val="729023FC"/>
    <w:rsid w:val="72E64E56"/>
    <w:rsid w:val="73273DC5"/>
    <w:rsid w:val="73C0646E"/>
    <w:rsid w:val="73C337A4"/>
    <w:rsid w:val="742222F5"/>
    <w:rsid w:val="74476126"/>
    <w:rsid w:val="74706664"/>
    <w:rsid w:val="747F3682"/>
    <w:rsid w:val="74930F19"/>
    <w:rsid w:val="749C4185"/>
    <w:rsid w:val="75067759"/>
    <w:rsid w:val="752E6DCD"/>
    <w:rsid w:val="7551380D"/>
    <w:rsid w:val="75600BE5"/>
    <w:rsid w:val="7564475C"/>
    <w:rsid w:val="7583797F"/>
    <w:rsid w:val="75D20F1D"/>
    <w:rsid w:val="75DA2C18"/>
    <w:rsid w:val="75F54412"/>
    <w:rsid w:val="76086D93"/>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8F148D9"/>
    <w:rsid w:val="7904172F"/>
    <w:rsid w:val="790F7E27"/>
    <w:rsid w:val="792A231A"/>
    <w:rsid w:val="792E63AA"/>
    <w:rsid w:val="79316829"/>
    <w:rsid w:val="79427801"/>
    <w:rsid w:val="794E487B"/>
    <w:rsid w:val="797E66A9"/>
    <w:rsid w:val="798518A4"/>
    <w:rsid w:val="79A97383"/>
    <w:rsid w:val="79E27E8B"/>
    <w:rsid w:val="79F850CE"/>
    <w:rsid w:val="79FD443C"/>
    <w:rsid w:val="79FF3026"/>
    <w:rsid w:val="7A1D1975"/>
    <w:rsid w:val="7A3E5150"/>
    <w:rsid w:val="7A4670D6"/>
    <w:rsid w:val="7A534B63"/>
    <w:rsid w:val="7A596B7D"/>
    <w:rsid w:val="7A615382"/>
    <w:rsid w:val="7A67303B"/>
    <w:rsid w:val="7AA2777D"/>
    <w:rsid w:val="7AAB1D04"/>
    <w:rsid w:val="7ABA4368"/>
    <w:rsid w:val="7AD05746"/>
    <w:rsid w:val="7AEB0963"/>
    <w:rsid w:val="7B101E72"/>
    <w:rsid w:val="7B257FFD"/>
    <w:rsid w:val="7B343476"/>
    <w:rsid w:val="7B5A2978"/>
    <w:rsid w:val="7B5A7E4C"/>
    <w:rsid w:val="7B667AF9"/>
    <w:rsid w:val="7B7468F8"/>
    <w:rsid w:val="7BBA6CA8"/>
    <w:rsid w:val="7BEE0103"/>
    <w:rsid w:val="7BEE3655"/>
    <w:rsid w:val="7BFD063E"/>
    <w:rsid w:val="7C0A0FE4"/>
    <w:rsid w:val="7C254906"/>
    <w:rsid w:val="7C590818"/>
    <w:rsid w:val="7C5A08E1"/>
    <w:rsid w:val="7C7C10F6"/>
    <w:rsid w:val="7C853BEA"/>
    <w:rsid w:val="7C881368"/>
    <w:rsid w:val="7C926DE2"/>
    <w:rsid w:val="7CB579CC"/>
    <w:rsid w:val="7CCF360A"/>
    <w:rsid w:val="7CE27788"/>
    <w:rsid w:val="7D0C32F1"/>
    <w:rsid w:val="7D0F408D"/>
    <w:rsid w:val="7D491C6C"/>
    <w:rsid w:val="7D5429C0"/>
    <w:rsid w:val="7D6E6D43"/>
    <w:rsid w:val="7DB57A34"/>
    <w:rsid w:val="7DE60973"/>
    <w:rsid w:val="7DEF0916"/>
    <w:rsid w:val="7E1E5218"/>
    <w:rsid w:val="7E9A4E1F"/>
    <w:rsid w:val="7E9A5639"/>
    <w:rsid w:val="7EA7723A"/>
    <w:rsid w:val="7EE230FA"/>
    <w:rsid w:val="7EEB4AED"/>
    <w:rsid w:val="7EF56FBB"/>
    <w:rsid w:val="7F0768EB"/>
    <w:rsid w:val="7F143BEC"/>
    <w:rsid w:val="7F715AF2"/>
    <w:rsid w:val="7F886E69"/>
    <w:rsid w:val="BB7FA927"/>
    <w:rsid w:val="F26CC5D5"/>
    <w:rsid w:val="F5FFD31F"/>
    <w:rsid w:val="FFCF177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2"/>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83"/>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qFormat/>
    <w:uiPriority w:val="0"/>
    <w:pPr>
      <w:ind w:firstLine="420"/>
    </w:pPr>
    <w:rPr>
      <w:rFonts w:hAnsi="Calibri" w:cs="Times New Roman"/>
      <w:snapToGrid/>
      <w:szCs w:val="20"/>
    </w:rPr>
  </w:style>
  <w:style w:type="paragraph" w:styleId="25">
    <w:name w:val="Body Text Indent"/>
    <w:basedOn w:val="1"/>
    <w:next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8"/>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00"/>
    <w:qFormat/>
    <w:uiPriority w:val="0"/>
    <w:rPr>
      <w:b/>
      <w:bCs/>
    </w:rPr>
  </w:style>
  <w:style w:type="paragraph" w:styleId="61">
    <w:name w:val="Body Text First Indent 2"/>
    <w:basedOn w:val="25"/>
    <w:next w:val="1"/>
    <w:link w:val="124"/>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styleId="79">
    <w:name w:val="List Paragraph"/>
    <w:basedOn w:val="1"/>
    <w:qFormat/>
    <w:uiPriority w:val="34"/>
    <w:pPr>
      <w:spacing w:line="360" w:lineRule="auto"/>
      <w:ind w:firstLine="200" w:firstLineChars="200"/>
    </w:pPr>
    <w:rPr>
      <w:rFonts w:eastAsia="楷体_GB2312" w:cs="Lucida Sans"/>
      <w:sz w:val="24"/>
    </w:rPr>
  </w:style>
  <w:style w:type="character" w:customStyle="1" w:styleId="80">
    <w:name w:val="标题 4 Char"/>
    <w:qFormat/>
    <w:uiPriority w:val="0"/>
    <w:rPr>
      <w:rFonts w:ascii="Arial" w:hAnsi="Arial" w:eastAsia="黑体"/>
      <w:b/>
      <w:kern w:val="2"/>
      <w:sz w:val="28"/>
    </w:rPr>
  </w:style>
  <w:style w:type="character" w:customStyle="1" w:styleId="81">
    <w:name w:val="标题 2 字符"/>
    <w:qFormat/>
    <w:uiPriority w:val="1"/>
    <w:rPr>
      <w:rFonts w:ascii="仿宋_GB2312" w:hAnsi="Times New Roman" w:eastAsia="仿宋_GB2312" w:cs="Times New Roman"/>
      <w:b/>
      <w:kern w:val="2"/>
      <w:sz w:val="24"/>
      <w:lang w:val="zh-CN"/>
    </w:rPr>
  </w:style>
  <w:style w:type="character" w:customStyle="1" w:styleId="82">
    <w:name w:val="标题 5 字符"/>
    <w:link w:val="6"/>
    <w:qFormat/>
    <w:uiPriority w:val="9"/>
    <w:rPr>
      <w:b/>
      <w:bCs/>
      <w:kern w:val="2"/>
      <w:sz w:val="28"/>
      <w:szCs w:val="28"/>
    </w:rPr>
  </w:style>
  <w:style w:type="character" w:customStyle="1" w:styleId="83">
    <w:name w:val="标题 6 字符"/>
    <w:link w:val="7"/>
    <w:qFormat/>
    <w:uiPriority w:val="0"/>
    <w:rPr>
      <w:rFonts w:ascii="Arial" w:hAnsi="Arial" w:eastAsia="黑体"/>
      <w:b/>
      <w:bCs/>
      <w:kern w:val="2"/>
      <w:sz w:val="24"/>
      <w:szCs w:val="24"/>
    </w:rPr>
  </w:style>
  <w:style w:type="paragraph" w:customStyle="1" w:styleId="8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5">
    <w:name w:val="_Style 3"/>
    <w:basedOn w:val="1"/>
    <w:qFormat/>
    <w:uiPriority w:val="0"/>
    <w:pPr>
      <w:adjustRightInd/>
      <w:ind w:firstLine="420" w:firstLineChars="200"/>
    </w:pPr>
    <w:rPr>
      <w:rFonts w:eastAsia="仿宋_GB2312"/>
      <w:sz w:val="28"/>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locked/>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semiHidden/>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字符"/>
    <w:link w:val="60"/>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
    <w:qFormat/>
    <w:locked/>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qFormat/>
    <w:uiPriority w:val="9"/>
    <w:rPr>
      <w:b/>
      <w:bCs/>
      <w:kern w:val="2"/>
      <w:sz w:val="32"/>
      <w:szCs w:val="32"/>
    </w:rPr>
  </w:style>
  <w:style w:type="character" w:customStyle="1" w:styleId="121">
    <w:name w:val="样式6 Char"/>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qFormat/>
    <w:uiPriority w:val="0"/>
    <w:rPr>
      <w:rFonts w:ascii="仿宋_GB2312" w:eastAsia="仿宋_GB2312"/>
      <w:b/>
      <w:bCs/>
      <w:kern w:val="2"/>
      <w:sz w:val="24"/>
      <w:szCs w:val="24"/>
      <w:lang w:val="zh-CN" w:eastAsia="zh-CN" w:bidi="ar-SA"/>
    </w:rPr>
  </w:style>
  <w:style w:type="character" w:customStyle="1" w:styleId="124">
    <w:name w:val="正文文本首行缩进 2 字符"/>
    <w:link w:val="61"/>
    <w:qFormat/>
    <w:uiPriority w:val="0"/>
    <w:rPr>
      <w:rFonts w:ascii="宋体" w:hAnsi="宋体"/>
      <w:kern w:val="2"/>
      <w:sz w:val="21"/>
      <w:szCs w:val="24"/>
    </w:rPr>
  </w:style>
  <w:style w:type="character" w:customStyle="1" w:styleId="125">
    <w:name w:val="font11"/>
    <w:qFormat/>
    <w:uiPriority w:val="0"/>
    <w:rPr>
      <w:rFonts w:hint="default" w:ascii="Times New Roman" w:hAnsi="Times New Roman" w:cs="Times New Roman"/>
      <w:color w:val="000000"/>
      <w:sz w:val="22"/>
      <w:szCs w:val="22"/>
      <w:u w:val="none"/>
    </w:rPr>
  </w:style>
  <w:style w:type="character" w:customStyle="1" w:styleId="126">
    <w:name w:val="表正文 Char1"/>
    <w:qFormat/>
    <w:uiPriority w:val="0"/>
    <w:rPr>
      <w:rFonts w:ascii="宋体" w:eastAsia="宋体"/>
      <w:snapToGrid w:val="0"/>
      <w:color w:val="000000"/>
      <w:kern w:val="28"/>
      <w:sz w:val="28"/>
    </w:rPr>
  </w:style>
  <w:style w:type="character" w:customStyle="1" w:styleId="127">
    <w:name w:val="blue1"/>
    <w:basedOn w:val="69"/>
    <w:qFormat/>
    <w:uiPriority w:val="0"/>
    <w:rPr>
      <w:rFonts w:ascii="Arial" w:hAnsi="Arial" w:eastAsia="黑体" w:cs="Arial"/>
      <w:snapToGrid w:val="0"/>
      <w:kern w:val="0"/>
      <w:szCs w:val="21"/>
    </w:rPr>
  </w:style>
  <w:style w:type="character" w:customStyle="1" w:styleId="128">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qFormat/>
    <w:uiPriority w:val="0"/>
    <w:rPr>
      <w:rFonts w:ascii="仿宋_GB2312" w:hAnsi="仿宋" w:eastAsia="仿宋_GB2312"/>
      <w:kern w:val="2"/>
      <w:sz w:val="24"/>
      <w:szCs w:val="24"/>
    </w:rPr>
  </w:style>
  <w:style w:type="character" w:customStyle="1" w:styleId="131">
    <w:name w:val="样式4 Char"/>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qFormat/>
    <w:uiPriority w:val="6"/>
    <w:rPr>
      <w:kern w:val="1"/>
      <w:sz w:val="21"/>
    </w:rPr>
  </w:style>
  <w:style w:type="character" w:customStyle="1" w:styleId="136">
    <w:name w:val="副标题 字符"/>
    <w:link w:val="47"/>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semiHidden/>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locked/>
    <w:uiPriority w:val="0"/>
    <w:rPr>
      <w:rFonts w:eastAsia="宋体"/>
      <w:kern w:val="2"/>
      <w:sz w:val="21"/>
      <w:szCs w:val="24"/>
      <w:lang w:val="en-US" w:eastAsia="zh-CN" w:bidi="ar-SA"/>
    </w:rPr>
  </w:style>
  <w:style w:type="character" w:customStyle="1" w:styleId="149">
    <w:name w:val="font41"/>
    <w:basedOn w:val="69"/>
    <w:qFormat/>
    <w:uiPriority w:val="0"/>
    <w:rPr>
      <w:rFonts w:hint="eastAsia" w:ascii="仿宋_GB2312" w:eastAsia="仿宋_GB2312" w:cs="仿宋_GB2312"/>
      <w:color w:val="000000"/>
      <w:sz w:val="22"/>
      <w:szCs w:val="22"/>
      <w:u w:val="none"/>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字符"/>
    <w:link w:val="36"/>
    <w:qFormat/>
    <w:uiPriority w:val="0"/>
    <w:rPr>
      <w:rFonts w:ascii="宋体"/>
      <w:kern w:val="2"/>
      <w:sz w:val="24"/>
      <w:szCs w:val="21"/>
      <w:lang w:val="zh-CN"/>
    </w:rPr>
  </w:style>
  <w:style w:type="character" w:customStyle="1" w:styleId="183">
    <w:name w:val="标题 9 字符"/>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字符1"/>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字符"/>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字符"/>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字符"/>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79"/>
    <w:link w:val="257"/>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7"/>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5"/>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8"/>
    <w:qFormat/>
    <w:uiPriority w:val="0"/>
    <w:rPr>
      <w:b/>
      <w:bCs/>
      <w:kern w:val="2"/>
      <w:sz w:val="24"/>
      <w:szCs w:val="24"/>
    </w:rPr>
  </w:style>
  <w:style w:type="character" w:customStyle="1" w:styleId="307">
    <w:name w:val="正文文本缩进 2 字符"/>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5"/>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19"/>
    <w:qFormat/>
    <w:uiPriority w:val="0"/>
    <w:rPr>
      <w:kern w:val="2"/>
      <w:sz w:val="21"/>
      <w:szCs w:val="24"/>
    </w:rPr>
  </w:style>
  <w:style w:type="character" w:customStyle="1" w:styleId="344">
    <w:name w:val="签名 字符"/>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9"/>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5"/>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7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0"/>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6"/>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4"/>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5"/>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6"/>
    <w:next w:val="236"/>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6"/>
    <w:next w:val="236"/>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next w:val="1"/>
    <w:qFormat/>
    <w:uiPriority w:val="0"/>
    <w:pPr>
      <w:snapToGrid w:val="0"/>
      <w:ind w:firstLine="42" w:firstLineChars="21"/>
    </w:pPr>
    <w:rPr>
      <w:rFonts w:ascii="宋体" w:hAnsi="宋体"/>
      <w:kern w:val="0"/>
      <w:sz w:val="20"/>
      <w:szCs w:val="20"/>
    </w:rPr>
  </w:style>
  <w:style w:type="paragraph" w:customStyle="1" w:styleId="627">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84"/>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84"/>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84"/>
    <w:qFormat/>
    <w:uiPriority w:val="0"/>
    <w:pPr>
      <w:tabs>
        <w:tab w:val="left" w:pos="1260"/>
        <w:tab w:val="left" w:pos="1680"/>
        <w:tab w:val="left" w:pos="2100"/>
      </w:tabs>
      <w:ind w:left="0"/>
      <w:outlineLvl w:val="3"/>
    </w:pPr>
  </w:style>
  <w:style w:type="paragraph" w:customStyle="1" w:styleId="654">
    <w:name w:val="一级条标题"/>
    <w:basedOn w:val="655"/>
    <w:next w:val="84"/>
    <w:qFormat/>
    <w:uiPriority w:val="0"/>
    <w:pPr>
      <w:tabs>
        <w:tab w:val="left" w:pos="1260"/>
        <w:tab w:val="left" w:pos="1680"/>
      </w:tabs>
      <w:spacing w:before="0" w:beforeLines="0" w:after="0" w:afterLines="0"/>
      <w:ind w:left="1680"/>
      <w:outlineLvl w:val="2"/>
    </w:pPr>
  </w:style>
  <w:style w:type="paragraph" w:customStyle="1" w:styleId="655">
    <w:name w:val="章标题"/>
    <w:next w:val="84"/>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5"/>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84"/>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84"/>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2"/>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79"/>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6"/>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6"/>
    <w:next w:val="1"/>
    <w:qFormat/>
    <w:uiPriority w:val="0"/>
    <w:pPr>
      <w:tabs>
        <w:tab w:val="left" w:pos="1080"/>
      </w:tabs>
      <w:ind w:left="1080" w:hanging="1080"/>
    </w:pPr>
  </w:style>
  <w:style w:type="paragraph" w:customStyle="1" w:styleId="894">
    <w:name w:val="数字标题1"/>
    <w:basedOn w:val="2"/>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2"/>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2"/>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79"/>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正文7"/>
    <w:basedOn w:val="1"/>
    <w:qFormat/>
    <w:uiPriority w:val="0"/>
    <w:pPr>
      <w:spacing w:line="318" w:lineRule="atLeast"/>
      <w:ind w:left="369" w:firstLine="369"/>
      <w:textAlignment w:val="baseline"/>
    </w:pPr>
    <w:rPr>
      <w:rFonts w:ascii="宋体"/>
      <w:szCs w:val="20"/>
    </w:rPr>
  </w:style>
  <w:style w:type="paragraph" w:customStyle="1" w:styleId="963">
    <w:name w:val="自动更正"/>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64">
    <w:name w:val="WPSOffice手动目录 1"/>
    <w:qFormat/>
    <w:uiPriority w:val="0"/>
    <w:rPr>
      <w:rFonts w:ascii="Times New Roman" w:hAnsi="Times New Roman" w:eastAsia="宋体" w:cs="Times New Roman"/>
      <w:lang w:val="en-US" w:eastAsia="zh-CN" w:bidi="ar-SA"/>
    </w:rPr>
  </w:style>
  <w:style w:type="character" w:customStyle="1" w:styleId="965">
    <w:name w:val="font171"/>
    <w:basedOn w:val="69"/>
    <w:qFormat/>
    <w:uiPriority w:val="0"/>
    <w:rPr>
      <w:rFonts w:ascii="Calibri" w:hAnsi="Calibri" w:cs="Calibri"/>
      <w:color w:val="000000"/>
      <w:sz w:val="20"/>
      <w:szCs w:val="20"/>
      <w:u w:val="none"/>
    </w:rPr>
  </w:style>
  <w:style w:type="character" w:customStyle="1" w:styleId="966">
    <w:name w:val="font181"/>
    <w:basedOn w:val="69"/>
    <w:qFormat/>
    <w:uiPriority w:val="0"/>
    <w:rPr>
      <w:rFonts w:hint="default" w:ascii="Calibri" w:hAnsi="Calibri" w:cs="Calibri"/>
      <w:color w:val="000000"/>
      <w:sz w:val="20"/>
      <w:szCs w:val="20"/>
      <w:u w:val="none"/>
    </w:rPr>
  </w:style>
  <w:style w:type="character" w:customStyle="1" w:styleId="967">
    <w:name w:val="font191"/>
    <w:basedOn w:val="69"/>
    <w:qFormat/>
    <w:uiPriority w:val="0"/>
    <w:rPr>
      <w:rFonts w:hint="default" w:ascii="Calibri" w:hAnsi="Calibri" w:cs="Calibri"/>
      <w:color w:val="000000"/>
      <w:sz w:val="20"/>
      <w:szCs w:val="20"/>
      <w:u w:val="none"/>
    </w:rPr>
  </w:style>
  <w:style w:type="paragraph" w:customStyle="1" w:styleId="968">
    <w:name w:val="招标_表格2"/>
    <w:basedOn w:val="1"/>
    <w:next w:val="1"/>
    <w:qFormat/>
    <w:uiPriority w:val="0"/>
    <w:rPr>
      <w:rFonts w:hint="eastAsia" w:ascii="宋体" w:hAnsi="宋体"/>
      <w:sz w:val="20"/>
      <w:szCs w:val="20"/>
    </w:rPr>
  </w:style>
  <w:style w:type="character" w:customStyle="1" w:styleId="969">
    <w:name w:val="font112"/>
    <w:basedOn w:val="69"/>
    <w:qFormat/>
    <w:uiPriority w:val="0"/>
    <w:rPr>
      <w:rFonts w:hint="eastAsia" w:ascii="宋体" w:hAnsi="宋体" w:eastAsia="宋体" w:cs="宋体"/>
      <w:color w:val="000000"/>
      <w:sz w:val="20"/>
      <w:szCs w:val="20"/>
      <w:u w:val="none"/>
    </w:rPr>
  </w:style>
  <w:style w:type="character" w:customStyle="1" w:styleId="970">
    <w:name w:val="font201"/>
    <w:basedOn w:val="69"/>
    <w:qFormat/>
    <w:uiPriority w:val="0"/>
    <w:rPr>
      <w:rFonts w:hint="default" w:ascii="Calibri" w:hAnsi="Calibri" w:cs="Calibri"/>
      <w:color w:val="000000"/>
      <w:sz w:val="20"/>
      <w:szCs w:val="20"/>
      <w:u w:val="none"/>
    </w:rPr>
  </w:style>
  <w:style w:type="character" w:customStyle="1" w:styleId="971">
    <w:name w:val="font212"/>
    <w:basedOn w:val="69"/>
    <w:qFormat/>
    <w:uiPriority w:val="0"/>
    <w:rPr>
      <w:rFonts w:hint="default" w:ascii="Calibri" w:hAnsi="Calibri" w:cs="Calibri"/>
      <w:color w:val="000000"/>
      <w:sz w:val="20"/>
      <w:szCs w:val="20"/>
      <w:u w:val="none"/>
    </w:rPr>
  </w:style>
  <w:style w:type="character" w:customStyle="1" w:styleId="972">
    <w:name w:val="font101"/>
    <w:basedOn w:val="69"/>
    <w:qFormat/>
    <w:uiPriority w:val="0"/>
    <w:rPr>
      <w:rFonts w:hint="eastAsia" w:ascii="宋体" w:hAnsi="宋体" w:eastAsia="宋体" w:cs="宋体"/>
      <w:color w:val="000000"/>
      <w:sz w:val="20"/>
      <w:szCs w:val="20"/>
      <w:u w:val="none"/>
    </w:rPr>
  </w:style>
  <w:style w:type="character" w:customStyle="1" w:styleId="973">
    <w:name w:val="font221"/>
    <w:basedOn w:val="69"/>
    <w:qFormat/>
    <w:uiPriority w:val="0"/>
    <w:rPr>
      <w:rFonts w:hint="default" w:ascii="Calibri" w:hAnsi="Calibri" w:cs="Calibri"/>
      <w:color w:val="000000"/>
      <w:sz w:val="20"/>
      <w:szCs w:val="20"/>
      <w:u w:val="none"/>
    </w:rPr>
  </w:style>
  <w:style w:type="character" w:customStyle="1" w:styleId="974">
    <w:name w:val="font131"/>
    <w:basedOn w:val="69"/>
    <w:qFormat/>
    <w:uiPriority w:val="0"/>
    <w:rPr>
      <w:rFonts w:hint="eastAsia" w:ascii="宋体" w:hAnsi="宋体" w:eastAsia="宋体" w:cs="宋体"/>
      <w:b/>
      <w:bCs/>
      <w:color w:val="000000"/>
      <w:sz w:val="20"/>
      <w:szCs w:val="20"/>
      <w:u w:val="none"/>
    </w:rPr>
  </w:style>
  <w:style w:type="paragraph" w:customStyle="1" w:styleId="975">
    <w:name w:val="detailed-parameter"/>
    <w:basedOn w:val="1"/>
    <w:qFormat/>
    <w:uiPriority w:val="0"/>
    <w:pPr>
      <w:spacing w:before="100" w:beforeAutospacing="1" w:after="100" w:afterAutospacing="1"/>
    </w:pPr>
  </w:style>
  <w:style w:type="paragraph" w:customStyle="1" w:styleId="976">
    <w:name w:val="n正文"/>
    <w:basedOn w:val="1"/>
    <w:qFormat/>
    <w:uiPriority w:val="0"/>
    <w:pPr>
      <w:widowControl/>
      <w:spacing w:line="480" w:lineRule="auto"/>
      <w:ind w:firstLine="480" w:firstLineChars="200"/>
      <w:jc w:val="left"/>
    </w:pPr>
    <w:rPr>
      <w:rFonts w:ascii="Calibri" w:hAnsi="Calibri"/>
      <w:kern w:val="0"/>
      <w:sz w:val="24"/>
    </w:rPr>
  </w:style>
  <w:style w:type="paragraph" w:customStyle="1" w:styleId="977">
    <w:name w:val="正文 "/>
    <w:basedOn w:val="1"/>
    <w:qFormat/>
    <w:uiPriority w:val="0"/>
    <w:pPr>
      <w:widowControl w:val="0"/>
      <w:adjustRightInd w:val="0"/>
      <w:spacing w:line="318" w:lineRule="atLeast"/>
      <w:ind w:left="369" w:firstLine="369"/>
      <w:jc w:val="both"/>
      <w:textAlignment w:val="baseline"/>
    </w:pPr>
    <w:rPr>
      <w:rFonts w:ascii="宋体" w:hAnsi="Times New Roman" w:eastAsia="宋体" w:cs="Times New Roman"/>
      <w:sz w:val="21"/>
      <w:szCs w:val="20"/>
    </w:rPr>
  </w:style>
  <w:style w:type="paragraph" w:customStyle="1" w:styleId="978">
    <w:name w:val="正文（1）"/>
    <w:basedOn w:val="1"/>
    <w:qFormat/>
    <w:uiPriority w:val="0"/>
    <w:pPr>
      <w:widowControl/>
      <w:numPr>
        <w:ilvl w:val="0"/>
        <w:numId w:val="1"/>
      </w:numPr>
      <w:spacing w:line="360" w:lineRule="auto"/>
      <w:jc w:val="left"/>
    </w:pPr>
    <w:rPr>
      <w:rFonts w:ascii="Times New Roman" w:hAnsi="Times New Roman" w:eastAsia="宋体"/>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1.png"/><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73</Pages>
  <Words>17579</Words>
  <Characters>18797</Characters>
  <Lines>1</Lines>
  <Paragraphs>1</Paragraphs>
  <TotalTime>0</TotalTime>
  <ScaleCrop>false</ScaleCrop>
  <LinksUpToDate>false</LinksUpToDate>
  <CharactersWithSpaces>19013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May</cp:lastModifiedBy>
  <cp:lastPrinted>2024-09-29T16:18:00Z</cp:lastPrinted>
  <dcterms:modified xsi:type="dcterms:W3CDTF">2025-04-07T10:50:56Z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EECE5D9F05644DF89E115DAE23D5F4DA_13</vt:lpwstr>
  </property>
  <property fmtid="{D5CDD505-2E9C-101B-9397-08002B2CF9AE}" pid="5" name="KSOTemplateDocerSaveRecord">
    <vt:lpwstr>eyJoZGlkIjoiOTAzMWZiOWRlMTk0MzBjYTg0NWY0YjkzOWFjNDAyNmQiLCJ1c2VySWQiOiIxNzg2MzQ1MCJ9</vt:lpwstr>
  </property>
</Properties>
</file>