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4FD4">
      <w:pPr>
        <w:tabs>
          <w:tab w:val="left" w:pos="1276"/>
        </w:tabs>
        <w:spacing w:line="360" w:lineRule="auto"/>
        <w:ind w:left="420" w:leftChars="200" w:right="420" w:rightChars="200"/>
        <w:jc w:val="center"/>
        <w:rPr>
          <w:rFonts w:ascii="宋体" w:cs="宋体"/>
          <w:b/>
          <w:sz w:val="32"/>
          <w:szCs w:val="32"/>
        </w:rPr>
      </w:pPr>
    </w:p>
    <w:p w14:paraId="600A057B">
      <w:pPr>
        <w:tabs>
          <w:tab w:val="left" w:pos="1276"/>
        </w:tabs>
        <w:spacing w:line="720" w:lineRule="auto"/>
        <w:ind w:left="420" w:leftChars="200" w:right="420" w:rightChars="200"/>
        <w:jc w:val="center"/>
        <w:rPr>
          <w:rFonts w:hint="eastAsia" w:ascii="宋体" w:hAnsi="宋体" w:eastAsia="宋体" w:cs="宋体"/>
          <w:b/>
          <w:sz w:val="36"/>
          <w:szCs w:val="36"/>
          <w:lang w:eastAsia="zh-CN"/>
        </w:rPr>
      </w:pPr>
      <w:r>
        <w:rPr>
          <w:rFonts w:hint="eastAsia" w:ascii="宋体" w:hAnsi="宋体" w:cs="宋体"/>
          <w:b/>
          <w:sz w:val="36"/>
          <w:szCs w:val="36"/>
          <w:lang w:eastAsia="zh-CN"/>
        </w:rPr>
        <w:t>仙居县台创基地未来乡村项目渔耕体验区配套道路</w:t>
      </w:r>
    </w:p>
    <w:p w14:paraId="2C1EEAB2">
      <w:pPr>
        <w:tabs>
          <w:tab w:val="left" w:pos="1276"/>
        </w:tabs>
        <w:spacing w:line="720" w:lineRule="auto"/>
        <w:ind w:left="420" w:leftChars="200" w:right="420" w:rightChars="200"/>
        <w:jc w:val="center"/>
        <w:rPr>
          <w:rFonts w:ascii="宋体" w:cs="宋体"/>
          <w:b/>
          <w:sz w:val="44"/>
          <w:szCs w:val="44"/>
        </w:rPr>
      </w:pPr>
      <w:r>
        <w:rPr>
          <w:rFonts w:hint="eastAsia" w:ascii="宋体" w:hAnsi="宋体" w:cs="宋体"/>
          <w:b/>
          <w:sz w:val="44"/>
          <w:szCs w:val="44"/>
        </w:rPr>
        <w:t>（非政府采购类）</w:t>
      </w:r>
    </w:p>
    <w:p w14:paraId="5E665C38">
      <w:pPr>
        <w:pStyle w:val="3"/>
      </w:pPr>
      <w:r>
        <w:rPr>
          <w:rFonts w:hint="eastAsia"/>
        </w:rPr>
        <w:t xml:space="preserve">  </w:t>
      </w:r>
    </w:p>
    <w:p w14:paraId="6CD10F98">
      <w:pPr>
        <w:tabs>
          <w:tab w:val="left" w:pos="1276"/>
        </w:tabs>
        <w:rPr>
          <w:rFonts w:ascii="宋体" w:cs="宋体"/>
          <w:b/>
          <w:szCs w:val="21"/>
        </w:rPr>
      </w:pPr>
    </w:p>
    <w:p w14:paraId="7E593CDB">
      <w:pPr>
        <w:tabs>
          <w:tab w:val="left" w:pos="1276"/>
        </w:tabs>
        <w:rPr>
          <w:rFonts w:ascii="宋体" w:cs="宋体"/>
          <w:b/>
          <w:szCs w:val="21"/>
        </w:rPr>
      </w:pPr>
    </w:p>
    <w:p w14:paraId="0A373790">
      <w:pPr>
        <w:tabs>
          <w:tab w:val="left" w:pos="1276"/>
        </w:tabs>
        <w:rPr>
          <w:rFonts w:ascii="宋体" w:cs="宋体"/>
          <w:b/>
          <w:szCs w:val="21"/>
        </w:rPr>
      </w:pPr>
    </w:p>
    <w:p w14:paraId="7717F693">
      <w:pPr>
        <w:tabs>
          <w:tab w:val="left" w:pos="1276"/>
        </w:tabs>
        <w:rPr>
          <w:rFonts w:ascii="宋体" w:cs="宋体"/>
          <w:b/>
          <w:szCs w:val="21"/>
        </w:rPr>
      </w:pPr>
    </w:p>
    <w:p w14:paraId="761C289E">
      <w:pPr>
        <w:tabs>
          <w:tab w:val="left" w:pos="1276"/>
        </w:tabs>
        <w:spacing w:line="360" w:lineRule="auto"/>
        <w:jc w:val="center"/>
        <w:rPr>
          <w:rFonts w:ascii="宋体" w:cs="宋体"/>
          <w:b/>
          <w:spacing w:val="-20"/>
          <w:sz w:val="84"/>
          <w:szCs w:val="84"/>
        </w:rPr>
      </w:pPr>
      <w:r>
        <w:rPr>
          <w:rFonts w:hint="eastAsia" w:ascii="宋体" w:hAnsi="宋体" w:cs="宋体"/>
          <w:b/>
          <w:spacing w:val="-28"/>
          <w:sz w:val="84"/>
          <w:szCs w:val="84"/>
          <w:highlight w:val="none"/>
          <w:lang w:eastAsia="zh-CN"/>
        </w:rPr>
        <w:t>竞争性磋商</w:t>
      </w:r>
      <w:r>
        <w:rPr>
          <w:rFonts w:hint="eastAsia" w:ascii="宋体" w:hAnsi="宋体" w:cs="宋体"/>
          <w:b/>
          <w:spacing w:val="-28"/>
          <w:sz w:val="84"/>
          <w:szCs w:val="84"/>
          <w:highlight w:val="none"/>
        </w:rPr>
        <w:t>采购文</w:t>
      </w:r>
      <w:r>
        <w:rPr>
          <w:rFonts w:hint="eastAsia" w:ascii="宋体" w:hAnsi="宋体" w:cs="宋体"/>
          <w:b/>
          <w:spacing w:val="-28"/>
          <w:sz w:val="84"/>
          <w:szCs w:val="84"/>
        </w:rPr>
        <w:t>件</w:t>
      </w:r>
    </w:p>
    <w:p w14:paraId="6CCA728B">
      <w:pPr>
        <w:jc w:val="center"/>
        <w:rPr>
          <w:rFonts w:ascii="宋体" w:cs="宋体"/>
          <w:b/>
          <w:szCs w:val="21"/>
        </w:rPr>
      </w:pPr>
    </w:p>
    <w:p w14:paraId="567B7321">
      <w:pPr>
        <w:rPr>
          <w:rFonts w:ascii="宋体" w:cs="宋体"/>
          <w:b/>
          <w:szCs w:val="21"/>
        </w:rPr>
      </w:pPr>
    </w:p>
    <w:p w14:paraId="33216657">
      <w:pPr>
        <w:jc w:val="center"/>
        <w:rPr>
          <w:rFonts w:ascii="宋体" w:cs="宋体"/>
          <w:b/>
          <w:szCs w:val="21"/>
        </w:rPr>
      </w:pPr>
    </w:p>
    <w:p w14:paraId="4C009C7F">
      <w:pPr>
        <w:jc w:val="center"/>
        <w:rPr>
          <w:rFonts w:ascii="宋体" w:cs="宋体"/>
          <w:b/>
          <w:szCs w:val="21"/>
        </w:rPr>
      </w:pPr>
    </w:p>
    <w:p w14:paraId="4ECC1BB4">
      <w:pPr>
        <w:rPr>
          <w:rFonts w:ascii="宋体" w:cs="宋体"/>
          <w:b/>
          <w:szCs w:val="21"/>
        </w:rPr>
      </w:pPr>
    </w:p>
    <w:p w14:paraId="5B45D060">
      <w:pPr>
        <w:rPr>
          <w:rFonts w:ascii="宋体" w:cs="宋体"/>
          <w:b/>
          <w:szCs w:val="21"/>
        </w:rPr>
      </w:pPr>
    </w:p>
    <w:p w14:paraId="6C703E12">
      <w:pPr>
        <w:pStyle w:val="48"/>
        <w:numPr>
          <w:ilvl w:val="6"/>
          <w:numId w:val="0"/>
        </w:numPr>
        <w:tabs>
          <w:tab w:val="clear" w:pos="3364"/>
        </w:tabs>
        <w:ind w:left="2944"/>
      </w:pPr>
    </w:p>
    <w:p w14:paraId="01F33518">
      <w:pPr>
        <w:jc w:val="center"/>
        <w:rPr>
          <w:rFonts w:ascii="宋体" w:cs="宋体"/>
          <w:b/>
          <w:szCs w:val="21"/>
        </w:rPr>
      </w:pPr>
    </w:p>
    <w:p w14:paraId="594E0C16">
      <w:pPr>
        <w:jc w:val="center"/>
        <w:rPr>
          <w:rFonts w:ascii="宋体" w:cs="宋体"/>
          <w:b/>
          <w:szCs w:val="21"/>
        </w:rPr>
      </w:pPr>
    </w:p>
    <w:p w14:paraId="12AB5A59">
      <w:pPr>
        <w:jc w:val="center"/>
        <w:rPr>
          <w:rFonts w:ascii="宋体" w:cs="宋体"/>
          <w:b/>
          <w:szCs w:val="21"/>
        </w:rPr>
      </w:pPr>
    </w:p>
    <w:p w14:paraId="45D5CD03">
      <w:pPr>
        <w:pStyle w:val="17"/>
        <w:ind w:firstLine="420"/>
      </w:pPr>
    </w:p>
    <w:p w14:paraId="7BCCB2A4">
      <w:pPr>
        <w:jc w:val="center"/>
        <w:rPr>
          <w:rFonts w:ascii="宋体" w:cs="宋体"/>
          <w:b/>
          <w:szCs w:val="21"/>
        </w:rPr>
      </w:pPr>
    </w:p>
    <w:p w14:paraId="324349DD">
      <w:pPr>
        <w:spacing w:before="152" w:beforeLines="50" w:after="152" w:afterLines="50" w:line="720" w:lineRule="auto"/>
        <w:ind w:firstLine="900" w:firstLineChars="300"/>
        <w:jc w:val="center"/>
        <w:rPr>
          <w:rFonts w:ascii="宋体" w:cs="宋体"/>
          <w:spacing w:val="20"/>
          <w:sz w:val="30"/>
          <w:szCs w:val="30"/>
        </w:rPr>
      </w:pPr>
      <w:r>
        <w:rPr>
          <w:rFonts w:hint="eastAsia" w:ascii="宋体" w:hAnsi="宋体" w:cs="宋体"/>
          <w:sz w:val="30"/>
          <w:szCs w:val="30"/>
        </w:rPr>
        <w:t>采购单位：</w:t>
      </w:r>
      <w:r>
        <w:rPr>
          <w:rFonts w:hint="eastAsia" w:ascii="宋体" w:hAnsi="宋体" w:cs="宋体"/>
          <w:sz w:val="30"/>
          <w:szCs w:val="30"/>
          <w:lang w:eastAsia="zh-CN"/>
        </w:rPr>
        <w:t>浙江仙台旅游发展有限公司</w:t>
      </w:r>
      <w:r>
        <w:rPr>
          <w:rFonts w:hint="eastAsia" w:ascii="宋体" w:hAnsi="宋体" w:cs="宋体"/>
          <w:spacing w:val="20"/>
          <w:sz w:val="30"/>
          <w:szCs w:val="30"/>
        </w:rPr>
        <w:t>（盖章）</w:t>
      </w:r>
    </w:p>
    <w:p w14:paraId="73B66F0D">
      <w:pPr>
        <w:spacing w:before="152" w:beforeLines="50" w:after="152" w:afterLines="50" w:line="720" w:lineRule="auto"/>
        <w:ind w:firstLine="2400" w:firstLineChars="800"/>
        <w:rPr>
          <w:rFonts w:ascii="宋体" w:cs="宋体"/>
          <w:sz w:val="30"/>
          <w:szCs w:val="30"/>
        </w:rPr>
      </w:pPr>
      <w:r>
        <w:rPr>
          <w:rFonts w:hint="eastAsia" w:ascii="宋体" w:hAnsi="宋体" w:cs="宋体"/>
          <w:sz w:val="30"/>
          <w:szCs w:val="30"/>
        </w:rPr>
        <w:t>代理机构：浙江聚信工程管理有限公司（盖章）</w:t>
      </w:r>
    </w:p>
    <w:p w14:paraId="110153FA">
      <w:pPr>
        <w:spacing w:before="152" w:beforeLines="50" w:after="152" w:afterLines="50" w:line="480" w:lineRule="auto"/>
        <w:jc w:val="center"/>
        <w:rPr>
          <w:rFonts w:ascii="宋体" w:cs="宋体"/>
          <w:sz w:val="30"/>
          <w:szCs w:val="30"/>
        </w:rPr>
      </w:pPr>
      <w:r>
        <w:rPr>
          <w:rFonts w:hint="eastAsia" w:ascii="宋体" w:hAnsi="宋体" w:cs="宋体"/>
          <w:sz w:val="30"/>
          <w:szCs w:val="30"/>
        </w:rPr>
        <w:t>二〇二</w:t>
      </w:r>
      <w:r>
        <w:rPr>
          <w:rFonts w:hint="eastAsia" w:ascii="宋体" w:hAnsi="宋体" w:cs="宋体"/>
          <w:sz w:val="30"/>
          <w:szCs w:val="30"/>
          <w:lang w:val="en-US" w:eastAsia="zh-CN"/>
        </w:rPr>
        <w:t>五</w:t>
      </w:r>
      <w:r>
        <w:rPr>
          <w:rFonts w:hint="eastAsia" w:ascii="宋体" w:hAnsi="宋体" w:cs="宋体"/>
          <w:sz w:val="30"/>
          <w:szCs w:val="30"/>
        </w:rPr>
        <w:t>年</w:t>
      </w:r>
      <w:r>
        <w:rPr>
          <w:rFonts w:hint="eastAsia" w:ascii="宋体" w:hAnsi="宋体" w:cs="宋体"/>
          <w:sz w:val="30"/>
          <w:szCs w:val="30"/>
          <w:lang w:val="en-US" w:eastAsia="zh-CN"/>
        </w:rPr>
        <w:t>三</w:t>
      </w:r>
      <w:r>
        <w:rPr>
          <w:rFonts w:hint="eastAsia" w:ascii="宋体" w:hAnsi="宋体" w:cs="宋体"/>
          <w:sz w:val="30"/>
          <w:szCs w:val="30"/>
        </w:rPr>
        <w:t>月</w:t>
      </w:r>
      <w:r>
        <w:rPr>
          <w:rFonts w:ascii="宋体" w:hAnsi="宋体" w:cs="宋体"/>
          <w:sz w:val="30"/>
          <w:szCs w:val="30"/>
        </w:rPr>
        <w:t xml:space="preserve"> </w:t>
      </w:r>
    </w:p>
    <w:p w14:paraId="73CD652D">
      <w:pPr>
        <w:tabs>
          <w:tab w:val="center" w:pos="4422"/>
          <w:tab w:val="left" w:pos="5310"/>
        </w:tabs>
        <w:spacing w:line="360" w:lineRule="auto"/>
        <w:jc w:val="center"/>
        <w:rPr>
          <w:rFonts w:ascii="宋体" w:cs="宋体"/>
          <w:b/>
          <w:sz w:val="44"/>
          <w:szCs w:val="44"/>
        </w:rPr>
        <w:sectPr>
          <w:headerReference r:id="rId6" w:type="first"/>
          <w:headerReference r:id="rId4" w:type="default"/>
          <w:footerReference r:id="rId7" w:type="default"/>
          <w:headerReference r:id="rId5" w:type="even"/>
          <w:footerReference r:id="rId8" w:type="even"/>
          <w:pgSz w:w="11905" w:h="16838"/>
          <w:pgMar w:top="720" w:right="720" w:bottom="720" w:left="720" w:header="907" w:footer="924" w:gutter="0"/>
          <w:cols w:space="0" w:num="1"/>
          <w:titlePg/>
          <w:docGrid w:type="lines" w:linePitch="304" w:charSpace="0"/>
        </w:sectPr>
      </w:pPr>
    </w:p>
    <w:p w14:paraId="3FAA4F37">
      <w:pPr>
        <w:spacing w:line="480" w:lineRule="auto"/>
        <w:jc w:val="center"/>
        <w:rPr>
          <w:rFonts w:ascii="宋体" w:cs="宋体"/>
          <w:b/>
          <w:sz w:val="32"/>
          <w:szCs w:val="32"/>
        </w:rPr>
      </w:pPr>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14:paraId="16DCD685">
      <w:pPr>
        <w:pStyle w:val="29"/>
        <w:tabs>
          <w:tab w:val="right" w:leader="dot" w:pos="8731"/>
          <w:tab w:val="clear" w:pos="8494"/>
        </w:tabs>
        <w:rPr>
          <w:rFonts w:hint="eastAsia" w:asciiTheme="minorEastAsia" w:hAnsiTheme="minorEastAsia" w:eastAsiaTheme="minorEastAsia" w:cstheme="minorEastAsia"/>
          <w:sz w:val="24"/>
        </w:rPr>
      </w:pPr>
      <w:r>
        <w:rPr>
          <w:rFonts w:ascii="Arial" w:hAnsi="Arial" w:cs="Arial"/>
          <w:sz w:val="21"/>
          <w:szCs w:val="21"/>
        </w:rPr>
        <w:fldChar w:fldCharType="begin"/>
      </w:r>
      <w:r>
        <w:rPr>
          <w:rFonts w:ascii="Arial" w:hAnsi="Arial" w:cs="Arial"/>
          <w:sz w:val="21"/>
          <w:szCs w:val="21"/>
        </w:rPr>
        <w:instrText xml:space="preserve"> TOC \o "1-2" \h \z \u </w:instrText>
      </w:r>
      <w:r>
        <w:rPr>
          <w:rFonts w:ascii="Arial" w:hAnsi="Arial" w:cs="Arial"/>
          <w:sz w:val="21"/>
          <w:szCs w:val="21"/>
        </w:rPr>
        <w:fldChar w:fldCharType="separate"/>
      </w:r>
      <w:r>
        <w:fldChar w:fldCharType="begin"/>
      </w:r>
      <w:r>
        <w:instrText xml:space="preserve"> HYPERLINK \l "_Toc23384" </w:instrText>
      </w:r>
      <w:r>
        <w:fldChar w:fldCharType="separate"/>
      </w:r>
      <w:r>
        <w:rPr>
          <w:rFonts w:hint="eastAsia" w:asciiTheme="minorEastAsia" w:hAnsiTheme="minorEastAsia" w:eastAsiaTheme="minorEastAsia" w:cstheme="minorEastAsia"/>
          <w:sz w:val="24"/>
        </w:rPr>
        <w:t>第一章  招标公告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_Toc23384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039C5D3">
      <w:pPr>
        <w:pStyle w:val="29"/>
        <w:tabs>
          <w:tab w:val="right" w:leader="dot" w:pos="8731"/>
          <w:tab w:val="clear" w:pos="8494"/>
        </w:tabs>
        <w:rPr>
          <w:rFonts w:hint="eastAsia" w:asciiTheme="minorEastAsia" w:hAnsiTheme="minorEastAsia" w:eastAsiaTheme="minorEastAsia" w:cstheme="minorEastAsia"/>
          <w:sz w:val="24"/>
        </w:rPr>
      </w:pPr>
      <w:r>
        <w:fldChar w:fldCharType="begin"/>
      </w:r>
      <w:r>
        <w:instrText xml:space="preserve"> HYPERLINK \l "_Toc8834" </w:instrText>
      </w:r>
      <w:r>
        <w:fldChar w:fldCharType="separate"/>
      </w:r>
      <w:r>
        <w:rPr>
          <w:rFonts w:hint="eastAsia" w:asciiTheme="minorEastAsia" w:hAnsiTheme="minorEastAsia" w:eastAsiaTheme="minorEastAsia" w:cstheme="minorEastAsia"/>
          <w:sz w:val="24"/>
        </w:rPr>
        <w:t>第二章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_Toc8834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5DC8AF59">
      <w:pPr>
        <w:pStyle w:val="29"/>
        <w:tabs>
          <w:tab w:val="right" w:leader="dot" w:pos="8731"/>
          <w:tab w:val="clear" w:pos="8494"/>
        </w:tabs>
        <w:rPr>
          <w:rFonts w:hint="eastAsia" w:asciiTheme="minorEastAsia" w:hAnsiTheme="minorEastAsia" w:eastAsiaTheme="minorEastAsia" w:cstheme="minorEastAsia"/>
          <w:sz w:val="24"/>
          <w:lang w:val="en-US" w:eastAsia="zh-CN"/>
        </w:rPr>
      </w:pPr>
      <w:r>
        <w:fldChar w:fldCharType="begin"/>
      </w:r>
      <w:r>
        <w:instrText xml:space="preserve"> HYPERLINK \l "_Toc23973" </w:instrText>
      </w:r>
      <w:r>
        <w:fldChar w:fldCharType="separate"/>
      </w:r>
      <w:r>
        <w:rPr>
          <w:rFonts w:hint="eastAsia" w:asciiTheme="minorEastAsia" w:hAnsiTheme="minorEastAsia" w:eastAsiaTheme="minorEastAsia" w:cstheme="minorEastAsia"/>
          <w:sz w:val="24"/>
        </w:rPr>
        <w:t xml:space="preserve">第三章  </w:t>
      </w:r>
      <w:r>
        <w:rPr>
          <w:rFonts w:hint="eastAsia" w:asciiTheme="minorEastAsia" w:hAnsiTheme="minorEastAsia" w:eastAsiaTheme="minorEastAsia" w:cstheme="minorEastAsia"/>
          <w:sz w:val="24"/>
          <w:lang w:val="en-US" w:eastAsia="zh-CN"/>
        </w:rPr>
        <w:t>磋商</w:t>
      </w:r>
      <w:r>
        <w:rPr>
          <w:rFonts w:hint="eastAsia" w:asciiTheme="minorEastAsia" w:hAnsiTheme="minorEastAsia" w:eastAsiaTheme="minorEastAsia" w:cstheme="minorEastAsia"/>
          <w:sz w:val="24"/>
        </w:rPr>
        <w:t>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1</w:t>
      </w:r>
    </w:p>
    <w:p w14:paraId="7256AD4E">
      <w:pPr>
        <w:pStyle w:val="29"/>
        <w:tabs>
          <w:tab w:val="right" w:leader="dot" w:pos="8731"/>
          <w:tab w:val="clear" w:pos="8494"/>
        </w:tabs>
        <w:rPr>
          <w:rFonts w:hint="eastAsia" w:asciiTheme="minorEastAsia" w:hAnsiTheme="minorEastAsia" w:eastAsiaTheme="minorEastAsia" w:cstheme="minorEastAsia"/>
          <w:sz w:val="24"/>
        </w:rPr>
      </w:pPr>
      <w:r>
        <w:fldChar w:fldCharType="begin"/>
      </w:r>
      <w:r>
        <w:instrText xml:space="preserve"> HYPERLINK \l "_Toc27647" </w:instrText>
      </w:r>
      <w:r>
        <w:fldChar w:fldCharType="separate"/>
      </w:r>
      <w:r>
        <w:rPr>
          <w:rFonts w:hint="eastAsia" w:asciiTheme="minorEastAsia" w:hAnsiTheme="minorEastAsia" w:eastAsiaTheme="minorEastAsia" w:cstheme="minorEastAsia"/>
          <w:sz w:val="24"/>
        </w:rPr>
        <w:t xml:space="preserve">第四章  </w:t>
      </w:r>
      <w:r>
        <w:rPr>
          <w:rFonts w:hint="eastAsia" w:asciiTheme="minorEastAsia" w:hAnsiTheme="minorEastAsia" w:eastAsiaTheme="minorEastAsia" w:cstheme="minorEastAsia"/>
          <w:sz w:val="24"/>
          <w:lang w:val="en-US" w:eastAsia="zh-CN"/>
        </w:rPr>
        <w:t>磋商</w:t>
      </w:r>
      <w:r>
        <w:rPr>
          <w:rFonts w:hint="eastAsia" w:asciiTheme="minorEastAsia" w:hAnsiTheme="minorEastAsia" w:eastAsiaTheme="minorEastAsia" w:cstheme="minorEastAsia"/>
          <w:sz w:val="24"/>
        </w:rPr>
        <w:t>评审办法</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_Toc27647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620712F">
      <w:pPr>
        <w:pStyle w:val="29"/>
        <w:tabs>
          <w:tab w:val="right" w:leader="dot" w:pos="8731"/>
          <w:tab w:val="clear" w:pos="8494"/>
        </w:tabs>
        <w:rPr>
          <w:rFonts w:hint="eastAsia" w:asciiTheme="minorEastAsia" w:hAnsiTheme="minorEastAsia" w:eastAsiaTheme="minorEastAsia" w:cstheme="minorEastAsia"/>
          <w:sz w:val="24"/>
        </w:rPr>
      </w:pPr>
      <w:r>
        <w:fldChar w:fldCharType="begin"/>
      </w:r>
      <w:r>
        <w:instrText xml:space="preserve"> HYPERLINK \l "_Toc1386" </w:instrText>
      </w:r>
      <w:r>
        <w:fldChar w:fldCharType="separate"/>
      </w:r>
      <w:r>
        <w:rPr>
          <w:rFonts w:hint="eastAsia" w:asciiTheme="minorEastAsia" w:hAnsiTheme="minorEastAsia" w:eastAsiaTheme="minorEastAsia" w:cstheme="minorEastAsia"/>
          <w:sz w:val="24"/>
        </w:rPr>
        <w:t>第五章  合同条款及格式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_Toc1386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2943F7">
      <w:pPr>
        <w:pStyle w:val="29"/>
        <w:tabs>
          <w:tab w:val="right" w:leader="dot" w:pos="8731"/>
          <w:tab w:val="clear" w:pos="8494"/>
        </w:tabs>
        <w:rPr>
          <w:rFonts w:hint="eastAsia" w:eastAsiaTheme="minorEastAsia"/>
          <w:lang w:val="en-US" w:eastAsia="zh-CN"/>
        </w:rPr>
      </w:pPr>
      <w:r>
        <w:fldChar w:fldCharType="begin"/>
      </w:r>
      <w:r>
        <w:instrText xml:space="preserve"> HYPERLINK \l "_Toc27016" </w:instrText>
      </w:r>
      <w:r>
        <w:fldChar w:fldCharType="separate"/>
      </w:r>
      <w:r>
        <w:rPr>
          <w:rFonts w:hint="eastAsia" w:asciiTheme="minorEastAsia" w:hAnsiTheme="minorEastAsia" w:eastAsiaTheme="minorEastAsia" w:cstheme="minorEastAsia"/>
          <w:sz w:val="24"/>
        </w:rPr>
        <w:t>第六章  投标文件格式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en-US" w:eastAsia="zh-CN"/>
        </w:rPr>
        <w:t>5</w:t>
      </w:r>
    </w:p>
    <w:p w14:paraId="686E4BF3">
      <w:pPr>
        <w:pStyle w:val="29"/>
        <w:tabs>
          <w:tab w:val="right" w:leader="dot" w:pos="8731"/>
          <w:tab w:val="clear" w:pos="8494"/>
        </w:tabs>
        <w:rPr>
          <w:rFonts w:hint="eastAsia"/>
        </w:rPr>
      </w:pPr>
    </w:p>
    <w:p w14:paraId="0E66EDA7">
      <w:pPr>
        <w:pStyle w:val="3"/>
        <w:spacing w:before="304" w:beforeLines="100" w:after="304" w:afterLines="100" w:line="480" w:lineRule="auto"/>
        <w:jc w:val="center"/>
        <w:rPr>
          <w:rFonts w:ascii="宋体" w:cs="宋体"/>
          <w:sz w:val="32"/>
          <w:szCs w:val="32"/>
        </w:rPr>
        <w:sectPr>
          <w:pgSz w:w="11905" w:h="16838"/>
          <w:pgMar w:top="1417" w:right="1587" w:bottom="1417" w:left="1587" w:header="907" w:footer="924" w:gutter="0"/>
          <w:pgNumType w:start="1"/>
          <w:cols w:space="0" w:num="1"/>
          <w:docGrid w:type="lines" w:linePitch="304" w:charSpace="0"/>
        </w:sectPr>
      </w:pPr>
      <w:r>
        <w:rPr>
          <w:rFonts w:ascii="Arial" w:hAnsi="Arial" w:cs="Arial"/>
          <w:szCs w:val="21"/>
        </w:rPr>
        <w:fldChar w:fldCharType="end"/>
      </w:r>
    </w:p>
    <w:p w14:paraId="7E627B56">
      <w:pPr>
        <w:pStyle w:val="3"/>
        <w:tabs>
          <w:tab w:val="left" w:pos="2033"/>
        </w:tabs>
        <w:spacing w:line="240" w:lineRule="auto"/>
        <w:jc w:val="left"/>
        <w:rPr>
          <w:rFonts w:hint="eastAsia" w:ascii="宋体" w:eastAsia="宋体" w:cs="宋体"/>
          <w:sz w:val="32"/>
          <w:szCs w:val="32"/>
          <w:lang w:eastAsia="zh-CN"/>
        </w:rPr>
        <w:sectPr>
          <w:type w:val="continuous"/>
          <w:pgSz w:w="11905" w:h="16838"/>
          <w:pgMar w:top="1417" w:right="1587" w:bottom="1417" w:left="1587" w:header="907" w:footer="924" w:gutter="0"/>
          <w:cols w:space="0" w:num="1"/>
          <w:docGrid w:type="lines" w:linePitch="304" w:charSpace="0"/>
        </w:sectPr>
      </w:pPr>
      <w:r>
        <w:rPr>
          <w:rFonts w:hint="eastAsia" w:ascii="宋体" w:cs="宋体"/>
          <w:sz w:val="32"/>
          <w:szCs w:val="32"/>
          <w:lang w:eastAsia="zh-CN"/>
        </w:rPr>
        <w:tab/>
      </w:r>
    </w:p>
    <w:p w14:paraId="7B97315E">
      <w:pPr>
        <w:pStyle w:val="3"/>
        <w:spacing w:before="0" w:after="0" w:line="360" w:lineRule="auto"/>
        <w:jc w:val="center"/>
        <w:rPr>
          <w:rFonts w:ascii="宋体" w:cs="宋体"/>
          <w:sz w:val="32"/>
          <w:szCs w:val="32"/>
        </w:rPr>
      </w:pPr>
      <w:bookmarkStart w:id="0" w:name="_Toc23384"/>
      <w:r>
        <w:rPr>
          <w:rFonts w:hint="eastAsia" w:ascii="宋体" w:hAnsi="宋体" w:cs="宋体"/>
          <w:sz w:val="32"/>
          <w:szCs w:val="32"/>
        </w:rPr>
        <w:t xml:space="preserve">第一章 </w:t>
      </w:r>
      <w:r>
        <w:rPr>
          <w:rFonts w:ascii="宋体" w:hAnsi="宋体" w:cs="宋体"/>
          <w:sz w:val="32"/>
          <w:szCs w:val="32"/>
        </w:rPr>
        <w:t xml:space="preserve"> </w:t>
      </w:r>
      <w:r>
        <w:rPr>
          <w:rFonts w:hint="eastAsia" w:ascii="宋体" w:hAnsi="宋体" w:cs="宋体"/>
          <w:sz w:val="32"/>
          <w:szCs w:val="32"/>
        </w:rPr>
        <w:t>招标公告</w:t>
      </w:r>
      <w:bookmarkEnd w:id="0"/>
    </w:p>
    <w:p w14:paraId="6E435EE3">
      <w:pPr>
        <w:rPr>
          <w:rFonts w:ascii="宋体" w:cs="宋体"/>
          <w:kern w:val="0"/>
          <w:szCs w:val="21"/>
        </w:rPr>
      </w:pPr>
      <w:bookmarkStart w:id="1" w:name="_Toc508888794"/>
    </w:p>
    <w:tbl>
      <w:tblPr>
        <w:tblStyle w:val="36"/>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0C35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855" w:type="dxa"/>
          </w:tcPr>
          <w:p w14:paraId="4C930084">
            <w:pPr>
              <w:pStyle w:val="33"/>
              <w:spacing w:before="0" w:beforeAutospacing="0" w:after="0" w:afterAutospacing="0" w:line="360" w:lineRule="auto"/>
              <w:rPr>
                <w:rFonts w:hint="eastAsia" w:cs="宋体"/>
                <w:color w:val="auto"/>
                <w:sz w:val="21"/>
                <w:szCs w:val="21"/>
              </w:rPr>
            </w:pPr>
            <w:r>
              <w:rPr>
                <w:rFonts w:hint="eastAsia" w:cs="宋体"/>
                <w:color w:val="auto"/>
                <w:sz w:val="21"/>
                <w:szCs w:val="21"/>
              </w:rPr>
              <w:t>项目概况：</w:t>
            </w:r>
          </w:p>
          <w:p w14:paraId="313D3D44">
            <w:pPr>
              <w:spacing w:line="360" w:lineRule="auto"/>
              <w:ind w:firstLine="420" w:firstLineChars="200"/>
              <w:rPr>
                <w:rFonts w:hint="eastAsia" w:ascii="宋体" w:hAnsi="宋体" w:cs="宋体"/>
                <w:b/>
                <w:szCs w:val="21"/>
              </w:rPr>
            </w:pP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仙居县台创基地未来乡村项目渔耕体验区配套道路</w:t>
            </w:r>
            <w:r>
              <w:rPr>
                <w:rFonts w:hint="eastAsia" w:ascii="宋体" w:hAnsi="宋体" w:cs="宋体"/>
                <w:color w:val="000000"/>
                <w:szCs w:val="21"/>
                <w:u w:val="single"/>
              </w:rPr>
              <w:t xml:space="preserve"> 的</w:t>
            </w:r>
            <w:r>
              <w:rPr>
                <w:rFonts w:hint="eastAsia" w:ascii="宋体" w:hAnsi="宋体" w:cs="宋体"/>
                <w:color w:val="000000"/>
                <w:szCs w:val="21"/>
              </w:rPr>
              <w:t>潜在供应商应在</w:t>
            </w:r>
            <w:r>
              <w:rPr>
                <w:rFonts w:hint="eastAsia" w:ascii="宋体" w:hAnsi="宋体" w:cs="宋体"/>
                <w:color w:val="000000"/>
                <w:szCs w:val="21"/>
                <w:u w:val="single"/>
              </w:rPr>
              <w:t xml:space="preserve"> 线上获取 </w:t>
            </w:r>
            <w:r>
              <w:rPr>
                <w:rFonts w:hint="eastAsia" w:ascii="宋体" w:hAnsi="宋体" w:cs="宋体"/>
                <w:color w:val="000000"/>
                <w:szCs w:val="21"/>
              </w:rPr>
              <w:t>获取（下载）采购文件，并于</w:t>
            </w:r>
            <w:r>
              <w:rPr>
                <w:rFonts w:hint="eastAsia" w:ascii="宋体" w:hAnsi="宋体" w:cs="宋体"/>
                <w:color w:val="0000FF"/>
                <w:szCs w:val="21"/>
                <w:u w:val="single"/>
              </w:rPr>
              <w:t xml:space="preserve"> 202</w:t>
            </w:r>
            <w:r>
              <w:rPr>
                <w:rFonts w:hint="eastAsia" w:ascii="宋体" w:hAnsi="宋体" w:cs="宋体"/>
                <w:color w:val="0000FF"/>
                <w:szCs w:val="21"/>
                <w:u w:val="single"/>
                <w:lang w:val="en-US" w:eastAsia="zh-CN"/>
              </w:rPr>
              <w:t>5</w:t>
            </w:r>
            <w:r>
              <w:rPr>
                <w:rFonts w:hint="eastAsia" w:ascii="宋体" w:hAnsi="宋体" w:cs="宋体"/>
                <w:color w:val="0000FF"/>
                <w:szCs w:val="21"/>
                <w:u w:val="single"/>
              </w:rPr>
              <w:t>年</w:t>
            </w:r>
            <w:r>
              <w:rPr>
                <w:rFonts w:hint="eastAsia" w:ascii="宋体" w:hAnsi="宋体" w:cs="宋体"/>
                <w:color w:val="0000FF"/>
                <w:szCs w:val="21"/>
                <w:u w:val="single"/>
                <w:lang w:val="en-US" w:eastAsia="zh-CN"/>
              </w:rPr>
              <w:t xml:space="preserve"> 03</w:t>
            </w:r>
            <w:r>
              <w:rPr>
                <w:rFonts w:hint="eastAsia" w:ascii="宋体" w:hAnsi="宋体" w:cs="宋体"/>
                <w:color w:val="0000FF"/>
                <w:szCs w:val="21"/>
                <w:highlight w:val="none"/>
                <w:u w:val="single"/>
                <w:lang w:val="en-US" w:eastAsia="zh-CN"/>
              </w:rPr>
              <w:t xml:space="preserve"> </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 xml:space="preserve"> 17 </w:t>
            </w:r>
            <w:r>
              <w:rPr>
                <w:rFonts w:hint="eastAsia" w:ascii="宋体" w:hAnsi="宋体" w:cs="宋体"/>
                <w:color w:val="0000FF"/>
                <w:szCs w:val="21"/>
                <w:highlight w:val="none"/>
                <w:u w:val="single"/>
              </w:rPr>
              <w:t>日 09：00</w:t>
            </w:r>
            <w:r>
              <w:rPr>
                <w:rFonts w:hint="eastAsia" w:ascii="宋体" w:hAnsi="宋体" w:cs="宋体"/>
                <w:color w:val="000000"/>
                <w:szCs w:val="21"/>
                <w:highlight w:val="none"/>
                <w:u w:val="single"/>
              </w:rPr>
              <w:t>（北京</w:t>
            </w:r>
            <w:r>
              <w:rPr>
                <w:rFonts w:hint="eastAsia" w:ascii="宋体" w:hAnsi="宋体" w:cs="宋体"/>
                <w:color w:val="000000"/>
                <w:szCs w:val="21"/>
                <w:u w:val="single"/>
              </w:rPr>
              <w:t>时间）前提交（上传）响应文件。</w:t>
            </w:r>
          </w:p>
        </w:tc>
      </w:tr>
    </w:tbl>
    <w:p w14:paraId="4013A601">
      <w:pPr>
        <w:pStyle w:val="33"/>
        <w:widowControl w:val="0"/>
        <w:numPr>
          <w:ilvl w:val="0"/>
          <w:numId w:val="3"/>
        </w:numPr>
        <w:spacing w:before="152" w:beforeLines="5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项目基本情况</w:t>
      </w:r>
    </w:p>
    <w:p w14:paraId="7B4CD832">
      <w:pPr>
        <w:spacing w:line="360" w:lineRule="auto"/>
        <w:ind w:firstLine="420" w:firstLineChars="200"/>
        <w:rPr>
          <w:rFonts w:hint="eastAsia" w:ascii="宋体" w:hAnsi="宋体" w:eastAsia="宋体" w:cs="宋体"/>
          <w:b/>
          <w:bCs/>
          <w:kern w:val="0"/>
          <w:szCs w:val="21"/>
          <w:lang w:eastAsia="zh-CN"/>
        </w:rPr>
      </w:pPr>
      <w:r>
        <w:rPr>
          <w:rFonts w:hint="eastAsia" w:ascii="宋体" w:hAnsi="宋体" w:cs="宋体"/>
          <w:kern w:val="0"/>
          <w:szCs w:val="21"/>
        </w:rPr>
        <w:t>1.项目编号</w:t>
      </w:r>
      <w:r>
        <w:rPr>
          <w:rFonts w:hint="eastAsia" w:ascii="宋体" w:hAnsi="宋体" w:cs="宋体"/>
          <w:kern w:val="0"/>
          <w:szCs w:val="21"/>
          <w:highlight w:val="none"/>
        </w:rPr>
        <w:t>：</w:t>
      </w:r>
      <w:r>
        <w:rPr>
          <w:rFonts w:hint="eastAsia" w:ascii="宋体" w:hAnsi="宋体" w:cs="宋体"/>
          <w:kern w:val="0"/>
          <w:szCs w:val="21"/>
          <w:highlight w:val="none"/>
          <w:lang w:eastAsia="zh-CN"/>
        </w:rPr>
        <w:t>ZJJX-25CG-006</w:t>
      </w:r>
    </w:p>
    <w:p w14:paraId="4B1223DF">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2.项目名称：</w:t>
      </w:r>
      <w:r>
        <w:rPr>
          <w:rFonts w:hint="eastAsia" w:ascii="宋体" w:hAnsi="宋体" w:cs="宋体"/>
          <w:kern w:val="0"/>
          <w:szCs w:val="21"/>
          <w:lang w:eastAsia="zh-CN"/>
        </w:rPr>
        <w:t>仙居县台创基地未来乡村项目渔耕体验区配套道路</w:t>
      </w:r>
    </w:p>
    <w:p w14:paraId="0B9677D4">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3.采购方式：</w:t>
      </w:r>
      <w:r>
        <w:rPr>
          <w:rFonts w:hint="eastAsia" w:ascii="宋体" w:hAnsi="宋体" w:cs="宋体"/>
          <w:kern w:val="0"/>
          <w:szCs w:val="21"/>
          <w:lang w:eastAsia="zh-CN"/>
        </w:rPr>
        <w:t>竞争性磋商</w:t>
      </w:r>
    </w:p>
    <w:p w14:paraId="705EC9FA">
      <w:pPr>
        <w:spacing w:line="360" w:lineRule="auto"/>
        <w:ind w:firstLine="420" w:firstLineChars="200"/>
        <w:rPr>
          <w:rFonts w:hint="eastAsia" w:ascii="宋体" w:hAnsi="宋体" w:cs="宋体"/>
          <w:kern w:val="0"/>
          <w:szCs w:val="21"/>
        </w:rPr>
      </w:pPr>
      <w:r>
        <w:rPr>
          <w:rFonts w:hint="eastAsia" w:ascii="宋体" w:hAnsi="宋体" w:cs="宋体"/>
          <w:kern w:val="0"/>
          <w:szCs w:val="21"/>
        </w:rPr>
        <w:t>4.采购需求：</w:t>
      </w:r>
    </w:p>
    <w:tbl>
      <w:tblPr>
        <w:tblStyle w:val="36"/>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60"/>
        <w:gridCol w:w="735"/>
        <w:gridCol w:w="660"/>
        <w:gridCol w:w="1177"/>
        <w:gridCol w:w="1125"/>
        <w:gridCol w:w="1960"/>
        <w:gridCol w:w="1365"/>
      </w:tblGrid>
      <w:tr w14:paraId="16BB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8" w:type="dxa"/>
            <w:vAlign w:val="center"/>
          </w:tcPr>
          <w:p w14:paraId="39E90C1B">
            <w:pPr>
              <w:adjustRightInd w:val="0"/>
              <w:spacing w:line="336" w:lineRule="auto"/>
              <w:jc w:val="center"/>
              <w:rPr>
                <w:rFonts w:hint="eastAsia" w:ascii="宋体" w:hAnsi="宋体" w:cs="宋体"/>
                <w:szCs w:val="21"/>
              </w:rPr>
            </w:pPr>
            <w:r>
              <w:rPr>
                <w:rFonts w:hint="eastAsia" w:ascii="宋体" w:hAnsi="宋体" w:cs="宋体"/>
                <w:szCs w:val="21"/>
              </w:rPr>
              <w:t>序号</w:t>
            </w:r>
          </w:p>
        </w:tc>
        <w:tc>
          <w:tcPr>
            <w:tcW w:w="1860" w:type="dxa"/>
            <w:vAlign w:val="center"/>
          </w:tcPr>
          <w:p w14:paraId="7338493A">
            <w:pPr>
              <w:adjustRightInd w:val="0"/>
              <w:spacing w:line="336" w:lineRule="auto"/>
              <w:jc w:val="center"/>
              <w:rPr>
                <w:rFonts w:hint="eastAsia" w:ascii="宋体" w:hAnsi="宋体" w:cs="宋体"/>
                <w:szCs w:val="21"/>
              </w:rPr>
            </w:pPr>
            <w:r>
              <w:rPr>
                <w:rFonts w:hint="eastAsia" w:ascii="宋体" w:hAnsi="宋体" w:cs="宋体"/>
                <w:szCs w:val="21"/>
              </w:rPr>
              <w:t>项目名称</w:t>
            </w:r>
          </w:p>
        </w:tc>
        <w:tc>
          <w:tcPr>
            <w:tcW w:w="735" w:type="dxa"/>
            <w:vAlign w:val="center"/>
          </w:tcPr>
          <w:p w14:paraId="320AA1FA">
            <w:pPr>
              <w:adjustRightInd w:val="0"/>
              <w:spacing w:line="336" w:lineRule="auto"/>
              <w:jc w:val="center"/>
              <w:rPr>
                <w:rFonts w:hint="eastAsia" w:ascii="宋体" w:hAnsi="宋体" w:cs="宋体"/>
                <w:szCs w:val="21"/>
              </w:rPr>
            </w:pPr>
            <w:r>
              <w:rPr>
                <w:rFonts w:hint="eastAsia" w:ascii="宋体" w:hAnsi="宋体" w:cs="宋体"/>
                <w:szCs w:val="21"/>
              </w:rPr>
              <w:t>数量</w:t>
            </w:r>
          </w:p>
        </w:tc>
        <w:tc>
          <w:tcPr>
            <w:tcW w:w="660" w:type="dxa"/>
            <w:vAlign w:val="center"/>
          </w:tcPr>
          <w:p w14:paraId="31560EA2">
            <w:pPr>
              <w:adjustRightInd w:val="0"/>
              <w:spacing w:line="336" w:lineRule="auto"/>
              <w:jc w:val="center"/>
              <w:rPr>
                <w:rFonts w:hint="eastAsia" w:ascii="宋体" w:hAnsi="宋体" w:cs="宋体"/>
                <w:szCs w:val="21"/>
              </w:rPr>
            </w:pPr>
            <w:r>
              <w:rPr>
                <w:rFonts w:hint="eastAsia" w:ascii="宋体" w:hAnsi="宋体" w:cs="宋体"/>
                <w:szCs w:val="21"/>
              </w:rPr>
              <w:t>单位</w:t>
            </w:r>
          </w:p>
        </w:tc>
        <w:tc>
          <w:tcPr>
            <w:tcW w:w="1177" w:type="dxa"/>
            <w:vAlign w:val="center"/>
          </w:tcPr>
          <w:p w14:paraId="3AADE6FF">
            <w:pPr>
              <w:adjustRightInd w:val="0"/>
              <w:spacing w:line="336" w:lineRule="auto"/>
              <w:jc w:val="center"/>
              <w:rPr>
                <w:rFonts w:hint="eastAsia" w:ascii="宋体" w:hAnsi="宋体" w:cs="宋体"/>
                <w:szCs w:val="21"/>
              </w:rPr>
            </w:pPr>
            <w:r>
              <w:rPr>
                <w:rFonts w:hint="eastAsia" w:ascii="宋体" w:hAnsi="宋体" w:cs="宋体"/>
                <w:szCs w:val="21"/>
              </w:rPr>
              <w:t>预算金额（万元）</w:t>
            </w:r>
          </w:p>
        </w:tc>
        <w:tc>
          <w:tcPr>
            <w:tcW w:w="1125" w:type="dxa"/>
            <w:vAlign w:val="center"/>
          </w:tcPr>
          <w:p w14:paraId="177C4626">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最高限价（万元）</w:t>
            </w:r>
          </w:p>
        </w:tc>
        <w:tc>
          <w:tcPr>
            <w:tcW w:w="1960" w:type="dxa"/>
            <w:vAlign w:val="center"/>
          </w:tcPr>
          <w:p w14:paraId="305F51B5">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标项基本概况介绍</w:t>
            </w:r>
          </w:p>
        </w:tc>
        <w:tc>
          <w:tcPr>
            <w:tcW w:w="1365" w:type="dxa"/>
            <w:vAlign w:val="center"/>
          </w:tcPr>
          <w:p w14:paraId="4AF6BE1C">
            <w:pPr>
              <w:adjustRightInd w:val="0"/>
              <w:spacing w:line="336" w:lineRule="auto"/>
              <w:jc w:val="center"/>
              <w:rPr>
                <w:rFonts w:hint="eastAsia" w:ascii="宋体" w:hAnsi="宋体" w:cs="宋体"/>
                <w:szCs w:val="21"/>
              </w:rPr>
            </w:pPr>
            <w:r>
              <w:rPr>
                <w:rFonts w:hint="eastAsia" w:ascii="宋体" w:hAnsi="宋体" w:cs="宋体"/>
                <w:kern w:val="0"/>
                <w:szCs w:val="21"/>
              </w:rPr>
              <w:t>备注</w:t>
            </w:r>
          </w:p>
        </w:tc>
      </w:tr>
      <w:tr w14:paraId="6EF0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828" w:type="dxa"/>
            <w:vAlign w:val="center"/>
          </w:tcPr>
          <w:p w14:paraId="71E2C928">
            <w:pPr>
              <w:widowControl/>
              <w:spacing w:before="100" w:after="100" w:line="336" w:lineRule="auto"/>
              <w:jc w:val="center"/>
              <w:rPr>
                <w:rFonts w:hint="eastAsia" w:ascii="宋体" w:hAnsi="宋体" w:cs="宋体"/>
                <w:szCs w:val="21"/>
              </w:rPr>
            </w:pPr>
            <w:r>
              <w:rPr>
                <w:rFonts w:hint="eastAsia" w:ascii="宋体" w:hAnsi="宋体" w:cs="宋体"/>
                <w:kern w:val="0"/>
                <w:szCs w:val="21"/>
              </w:rPr>
              <w:t>1</w:t>
            </w:r>
          </w:p>
        </w:tc>
        <w:tc>
          <w:tcPr>
            <w:tcW w:w="1860" w:type="dxa"/>
            <w:vAlign w:val="center"/>
          </w:tcPr>
          <w:p w14:paraId="36F05027">
            <w:pPr>
              <w:widowControl/>
              <w:spacing w:line="336" w:lineRule="auto"/>
              <w:jc w:val="center"/>
              <w:rPr>
                <w:rFonts w:hint="eastAsia" w:ascii="宋体" w:hAnsi="宋体" w:eastAsia="宋体" w:cs="宋体"/>
                <w:szCs w:val="21"/>
                <w:lang w:eastAsia="zh-CN"/>
              </w:rPr>
            </w:pPr>
            <w:r>
              <w:rPr>
                <w:rFonts w:hint="eastAsia" w:ascii="宋体" w:hAnsi="宋体" w:cs="宋体"/>
                <w:kern w:val="0"/>
                <w:szCs w:val="21"/>
                <w:lang w:eastAsia="zh-CN"/>
              </w:rPr>
              <w:t>仙居县台创基地未来乡村项目渔耕体验区配套道路</w:t>
            </w:r>
          </w:p>
        </w:tc>
        <w:tc>
          <w:tcPr>
            <w:tcW w:w="735" w:type="dxa"/>
            <w:vAlign w:val="center"/>
          </w:tcPr>
          <w:p w14:paraId="014BC005">
            <w:pPr>
              <w:widowControl/>
              <w:spacing w:before="100" w:after="100"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660" w:type="dxa"/>
            <w:vAlign w:val="center"/>
          </w:tcPr>
          <w:p w14:paraId="3FB89305">
            <w:pPr>
              <w:widowControl/>
              <w:spacing w:before="100" w:after="100" w:line="336" w:lineRule="auto"/>
              <w:jc w:val="center"/>
              <w:rPr>
                <w:rFonts w:hint="eastAsia" w:ascii="宋体" w:hAnsi="宋体" w:eastAsia="宋体" w:cs="宋体"/>
                <w:szCs w:val="21"/>
                <w:lang w:val="en-US" w:eastAsia="zh-CN"/>
              </w:rPr>
            </w:pPr>
            <w:r>
              <w:rPr>
                <w:rFonts w:hint="eastAsia" w:ascii="宋体" w:hAnsi="宋体" w:cs="宋体"/>
                <w:szCs w:val="21"/>
                <w:lang w:val="en-US" w:eastAsia="zh-CN"/>
              </w:rPr>
              <w:t>项</w:t>
            </w:r>
          </w:p>
        </w:tc>
        <w:tc>
          <w:tcPr>
            <w:tcW w:w="1177" w:type="dxa"/>
            <w:vAlign w:val="center"/>
          </w:tcPr>
          <w:p w14:paraId="753A06CE">
            <w:pPr>
              <w:widowControl/>
              <w:spacing w:before="100" w:after="100" w:line="336" w:lineRule="auto"/>
              <w:jc w:val="center"/>
              <w:rPr>
                <w:rFonts w:hint="eastAsia" w:ascii="宋体" w:hAnsi="宋体" w:eastAsia="宋体" w:cs="宋体"/>
                <w:szCs w:val="21"/>
                <w:lang w:eastAsia="zh-CN"/>
              </w:rPr>
            </w:pPr>
            <w:r>
              <w:rPr>
                <w:rFonts w:hint="eastAsia" w:ascii="宋体" w:hAnsi="宋体"/>
                <w:kern w:val="28"/>
                <w:sz w:val="24"/>
                <w:lang w:eastAsia="zh-CN"/>
              </w:rPr>
              <w:t>101.8422</w:t>
            </w:r>
          </w:p>
        </w:tc>
        <w:tc>
          <w:tcPr>
            <w:tcW w:w="1125" w:type="dxa"/>
            <w:vAlign w:val="center"/>
          </w:tcPr>
          <w:p w14:paraId="20AAC379">
            <w:pPr>
              <w:widowControl/>
              <w:spacing w:before="100" w:after="100" w:line="336" w:lineRule="auto"/>
              <w:jc w:val="center"/>
              <w:rPr>
                <w:rFonts w:hint="default" w:ascii="宋体" w:hAnsi="宋体" w:eastAsia="宋体" w:cs="宋体"/>
                <w:szCs w:val="21"/>
                <w:lang w:val="en-US" w:eastAsia="zh-CN"/>
              </w:rPr>
            </w:pPr>
            <w:r>
              <w:rPr>
                <w:rFonts w:hint="eastAsia" w:ascii="宋体" w:hAnsi="宋体" w:cs="宋体"/>
                <w:szCs w:val="21"/>
                <w:lang w:val="en-US" w:eastAsia="zh-CN"/>
              </w:rPr>
              <w:t>93.6948</w:t>
            </w:r>
          </w:p>
        </w:tc>
        <w:tc>
          <w:tcPr>
            <w:tcW w:w="1960" w:type="dxa"/>
            <w:vAlign w:val="center"/>
          </w:tcPr>
          <w:p w14:paraId="2688D847">
            <w:pPr>
              <w:adjustRightInd w:val="0"/>
              <w:spacing w:line="336" w:lineRule="auto"/>
              <w:jc w:val="center"/>
              <w:rPr>
                <w:rFonts w:hint="eastAsia" w:ascii="宋体" w:hAnsi="宋体" w:cs="宋体"/>
                <w:szCs w:val="21"/>
              </w:rPr>
            </w:pPr>
            <w:r>
              <w:rPr>
                <w:rFonts w:hint="eastAsia" w:ascii="宋体" w:hAnsi="宋体" w:cs="宋体"/>
                <w:szCs w:val="21"/>
              </w:rPr>
              <w:t>本项目由采购人提供的施工图纸及预算书中所包含的工程等项目组成。具体内容详见发包人提供的工程量清单及编制说明。</w:t>
            </w:r>
          </w:p>
        </w:tc>
        <w:tc>
          <w:tcPr>
            <w:tcW w:w="1365" w:type="dxa"/>
            <w:vAlign w:val="center"/>
          </w:tcPr>
          <w:p w14:paraId="12281E71">
            <w:pPr>
              <w:adjustRightInd w:val="0"/>
              <w:spacing w:line="336" w:lineRule="auto"/>
              <w:jc w:val="center"/>
              <w:rPr>
                <w:rFonts w:hint="eastAsia" w:ascii="宋体" w:hAnsi="宋体" w:cs="宋体"/>
                <w:szCs w:val="21"/>
                <w:highlight w:val="yellow"/>
              </w:rPr>
            </w:pPr>
            <w:r>
              <w:rPr>
                <w:rFonts w:hint="eastAsia" w:ascii="宋体" w:hAnsi="宋体" w:cs="宋体"/>
                <w:szCs w:val="21"/>
              </w:rPr>
              <w:t>/</w:t>
            </w:r>
          </w:p>
        </w:tc>
      </w:tr>
    </w:tbl>
    <w:p w14:paraId="27535753">
      <w:pPr>
        <w:pStyle w:val="16"/>
        <w:spacing w:after="0" w:line="400" w:lineRule="exact"/>
        <w:ind w:firstLine="420" w:firstLineChars="200"/>
        <w:rPr>
          <w:rFonts w:hint="eastAsia" w:ascii="宋体" w:hAnsi="宋体" w:cs="宋体"/>
        </w:rPr>
      </w:pPr>
      <w:r>
        <w:rPr>
          <w:rFonts w:hint="eastAsia" w:ascii="宋体" w:hAnsi="宋体" w:cs="宋体"/>
          <w:kern w:val="0"/>
          <w:szCs w:val="21"/>
        </w:rPr>
        <w:t>5.合同履行期</w:t>
      </w:r>
      <w:r>
        <w:rPr>
          <w:rFonts w:hint="eastAsia" w:ascii="宋体" w:hAnsi="宋体" w:cs="宋体"/>
          <w:kern w:val="0"/>
          <w:szCs w:val="21"/>
          <w:highlight w:val="none"/>
        </w:rPr>
        <w:t>限：</w:t>
      </w:r>
      <w:r>
        <w:rPr>
          <w:rFonts w:hint="eastAsia" w:ascii="宋体" w:hAnsi="宋体"/>
          <w:szCs w:val="21"/>
          <w:highlight w:val="none"/>
        </w:rPr>
        <w:t>详见</w:t>
      </w:r>
      <w:r>
        <w:rPr>
          <w:rFonts w:hint="eastAsia" w:ascii="宋体" w:hAnsi="宋体"/>
          <w:kern w:val="0"/>
          <w:highlight w:val="none"/>
        </w:rPr>
        <w:t>采购文件。</w:t>
      </w:r>
      <w:r>
        <w:rPr>
          <w:rFonts w:hint="eastAsia" w:ascii="宋体" w:hAnsi="宋体"/>
          <w:kern w:val="0"/>
        </w:rPr>
        <w:t> </w:t>
      </w:r>
    </w:p>
    <w:p w14:paraId="7CB52F4A">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申请人的资格要求</w:t>
      </w:r>
    </w:p>
    <w:p w14:paraId="4E12133D">
      <w:pPr>
        <w:spacing w:line="360" w:lineRule="auto"/>
        <w:ind w:firstLine="420" w:firstLineChars="200"/>
        <w:rPr>
          <w:rFonts w:hint="eastAsia" w:ascii="宋体" w:hAnsi="宋体" w:cs="宋体"/>
          <w:kern w:val="0"/>
          <w:szCs w:val="21"/>
        </w:rPr>
      </w:pPr>
      <w:r>
        <w:rPr>
          <w:rFonts w:hint="eastAsia" w:ascii="宋体" w:hAnsi="宋体" w:cs="宋体"/>
          <w:kern w:val="0"/>
          <w:szCs w:val="21"/>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6FB36399">
      <w:pPr>
        <w:spacing w:line="360" w:lineRule="auto"/>
        <w:ind w:firstLine="420" w:firstLineChars="200"/>
        <w:rPr>
          <w:rFonts w:hint="eastAsia" w:ascii="宋体" w:hAnsi="宋体" w:cs="宋体"/>
          <w:color w:val="FF0000"/>
          <w:kern w:val="0"/>
          <w:szCs w:val="21"/>
          <w:shd w:val="clear" w:color="auto" w:fill="FFFFFF"/>
        </w:rPr>
      </w:pPr>
      <w:r>
        <w:rPr>
          <w:rFonts w:hint="eastAsia" w:ascii="宋体" w:hAnsi="宋体" w:cs="宋体"/>
          <w:kern w:val="0"/>
          <w:szCs w:val="21"/>
        </w:rPr>
        <w:t>2.本项目的特定资格要求：（1）具备公路工程施工总承包三级及以上资质，并在人员、设备、资金等方面具有相应的施工能力。若为公路工程施工总承包一级及以上资质的应列入交通运输部网站（http：//www.moc.gov.cn/）中“全国公路建设市场信用信息管理系统”中最新公布的公路工程施工资质企业名录，且投标人名称与上述名录相符；（2）企业具有安全生产许可证，且在有效期内。</w:t>
      </w:r>
    </w:p>
    <w:p w14:paraId="773AAA47">
      <w:pPr>
        <w:spacing w:line="360" w:lineRule="auto"/>
        <w:ind w:firstLine="420" w:firstLineChars="200"/>
        <w:rPr>
          <w:rFonts w:hint="eastAsia" w:ascii="宋体" w:hAnsi="宋体" w:cs="宋体"/>
          <w:kern w:val="0"/>
          <w:szCs w:val="21"/>
        </w:rPr>
      </w:pPr>
      <w:r>
        <w:rPr>
          <w:rFonts w:hint="eastAsia" w:ascii="宋体" w:hAnsi="宋体" w:cs="宋体"/>
          <w:kern w:val="0"/>
          <w:szCs w:val="21"/>
        </w:rPr>
        <w:t>3.本项目不接受联合体投标。</w:t>
      </w:r>
    </w:p>
    <w:p w14:paraId="1FB3CE42">
      <w:pPr>
        <w:pStyle w:val="16"/>
        <w:ind w:firstLine="420" w:firstLineChars="200"/>
        <w:rPr>
          <w:rFonts w:hint="eastAsia" w:ascii="宋体" w:hAnsi="宋体" w:cs="宋体"/>
          <w:szCs w:val="21"/>
        </w:rPr>
      </w:pPr>
      <w:r>
        <w:rPr>
          <w:rFonts w:hint="eastAsia" w:ascii="宋体" w:hAnsi="宋体" w:cs="宋体"/>
          <w:szCs w:val="21"/>
        </w:rPr>
        <w:t>注：本项目在评标时进行资格审查，请投标人仔细阅读以上资格条件要求并自查，投标时投标文件中请附招标文件要求的所有资格证明资料。</w:t>
      </w:r>
    </w:p>
    <w:p w14:paraId="00AECD3C">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获取采购文件</w:t>
      </w:r>
    </w:p>
    <w:p w14:paraId="4AEF2C6E">
      <w:pPr>
        <w:spacing w:line="360" w:lineRule="auto"/>
        <w:ind w:firstLine="420" w:firstLineChars="200"/>
        <w:rPr>
          <w:rFonts w:hint="eastAsia" w:ascii="宋体" w:hAnsi="宋体" w:cs="宋体"/>
          <w:kern w:val="0"/>
          <w:szCs w:val="21"/>
        </w:rPr>
      </w:pPr>
      <w:r>
        <w:rPr>
          <w:rFonts w:hint="eastAsia" w:ascii="宋体" w:hAnsi="宋体" w:cs="宋体"/>
          <w:kern w:val="0"/>
          <w:szCs w:val="21"/>
        </w:rPr>
        <w:t>1.时间： / 至</w:t>
      </w:r>
      <w:r>
        <w:rPr>
          <w:rFonts w:hint="eastAsia" w:ascii="宋体" w:hAnsi="宋体" w:cs="宋体"/>
          <w:color w:val="0000FF"/>
          <w:kern w:val="0"/>
          <w:szCs w:val="21"/>
          <w:highlight w:val="none"/>
        </w:rPr>
        <w:t>202</w:t>
      </w:r>
      <w:r>
        <w:rPr>
          <w:rFonts w:hint="eastAsia" w:ascii="宋体" w:hAnsi="宋体" w:cs="宋体"/>
          <w:color w:val="0000FF"/>
          <w:kern w:val="0"/>
          <w:szCs w:val="21"/>
          <w:highlight w:val="none"/>
          <w:lang w:val="en-US" w:eastAsia="zh-CN"/>
        </w:rPr>
        <w:t>5</w:t>
      </w:r>
      <w:r>
        <w:rPr>
          <w:rFonts w:hint="eastAsia" w:ascii="宋体" w:hAnsi="宋体" w:cs="宋体"/>
          <w:color w:val="0000FF"/>
          <w:kern w:val="0"/>
          <w:szCs w:val="21"/>
          <w:highlight w:val="none"/>
        </w:rPr>
        <w:t>年</w:t>
      </w:r>
      <w:r>
        <w:rPr>
          <w:rFonts w:hint="eastAsia" w:ascii="宋体" w:hAnsi="宋体" w:cs="宋体"/>
          <w:color w:val="0000FF"/>
          <w:kern w:val="0"/>
          <w:szCs w:val="21"/>
          <w:highlight w:val="none"/>
          <w:lang w:val="en-US" w:eastAsia="zh-CN"/>
        </w:rPr>
        <w:t xml:space="preserve">03 </w:t>
      </w:r>
      <w:r>
        <w:rPr>
          <w:rFonts w:hint="eastAsia" w:ascii="宋体" w:hAnsi="宋体" w:cs="宋体"/>
          <w:color w:val="0000FF"/>
          <w:kern w:val="0"/>
          <w:szCs w:val="21"/>
          <w:highlight w:val="none"/>
        </w:rPr>
        <w:t>月</w:t>
      </w:r>
      <w:r>
        <w:rPr>
          <w:rFonts w:hint="eastAsia" w:ascii="宋体" w:hAnsi="宋体" w:cs="宋体"/>
          <w:color w:val="0000FF"/>
          <w:kern w:val="0"/>
          <w:szCs w:val="21"/>
          <w:highlight w:val="none"/>
          <w:lang w:val="en-US" w:eastAsia="zh-CN"/>
        </w:rPr>
        <w:t xml:space="preserve"> 17 </w:t>
      </w:r>
      <w:r>
        <w:rPr>
          <w:rFonts w:hint="eastAsia" w:ascii="宋体" w:hAnsi="宋体" w:cs="宋体"/>
          <w:color w:val="0000FF"/>
          <w:kern w:val="0"/>
          <w:szCs w:val="21"/>
          <w:highlight w:val="none"/>
        </w:rPr>
        <w:t>日</w:t>
      </w:r>
      <w:r>
        <w:rPr>
          <w:rFonts w:hint="eastAsia" w:ascii="宋体" w:hAnsi="宋体" w:cs="宋体"/>
          <w:kern w:val="0"/>
          <w:szCs w:val="21"/>
          <w:highlight w:val="none"/>
        </w:rPr>
        <w:t>09：00</w:t>
      </w:r>
      <w:r>
        <w:rPr>
          <w:rFonts w:hint="eastAsia" w:ascii="宋体" w:hAnsi="宋体" w:cs="宋体"/>
          <w:kern w:val="0"/>
          <w:szCs w:val="21"/>
        </w:rPr>
        <w:t>（上午8：00-11：30 ，下午2：00-5：00，节假日除外）</w:t>
      </w:r>
    </w:p>
    <w:p w14:paraId="64BED1EF">
      <w:pPr>
        <w:spacing w:line="360" w:lineRule="auto"/>
        <w:ind w:firstLine="420" w:firstLineChars="200"/>
        <w:rPr>
          <w:rFonts w:hint="eastAsia" w:ascii="宋体" w:hAnsi="宋体" w:cs="宋体"/>
          <w:kern w:val="0"/>
          <w:szCs w:val="21"/>
        </w:rPr>
      </w:pPr>
      <w:r>
        <w:rPr>
          <w:rFonts w:hint="eastAsia" w:ascii="宋体" w:hAnsi="宋体" w:cs="宋体"/>
          <w:kern w:val="0"/>
          <w:szCs w:val="21"/>
        </w:rPr>
        <w:t>2.地点（网址）：乐采云平台（https：//www.lecaiyun.com）</w:t>
      </w:r>
    </w:p>
    <w:p w14:paraId="0A9D4354">
      <w:pPr>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3.方式：供应商登录乐采云平台（https：//www.lecaiyun.com）在线申请获取采购文件（进入“项目采购”应用，在获取采购文件菜单中选择项目，申请获取采购文件）。 </w:t>
      </w:r>
    </w:p>
    <w:p w14:paraId="1A10CB99">
      <w:pPr>
        <w:spacing w:line="360" w:lineRule="auto"/>
        <w:ind w:firstLine="420" w:firstLineChars="200"/>
        <w:rPr>
          <w:rFonts w:hint="eastAsia" w:ascii="宋体" w:hAnsi="宋体" w:cs="宋体"/>
          <w:kern w:val="0"/>
          <w:szCs w:val="21"/>
        </w:rPr>
      </w:pPr>
      <w:r>
        <w:rPr>
          <w:rFonts w:hint="eastAsia" w:ascii="宋体" w:hAnsi="宋体" w:cs="宋体"/>
          <w:kern w:val="0"/>
          <w:szCs w:val="21"/>
        </w:rPr>
        <w:t>4.售价（元）：</w:t>
      </w:r>
      <w:r>
        <w:rPr>
          <w:rFonts w:hint="eastAsia" w:ascii="宋体" w:hAnsi="宋体" w:cs="宋体"/>
          <w:bCs/>
          <w:kern w:val="0"/>
          <w:szCs w:val="21"/>
        </w:rPr>
        <w:t>0元</w:t>
      </w:r>
    </w:p>
    <w:p w14:paraId="76B72674">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响应文件提交</w:t>
      </w:r>
    </w:p>
    <w:p w14:paraId="5D622073">
      <w:pPr>
        <w:pStyle w:val="33"/>
        <w:widowControl w:val="0"/>
        <w:spacing w:before="0" w:beforeAutospacing="0" w:after="0" w:afterAutospacing="0" w:line="360" w:lineRule="auto"/>
        <w:ind w:left="420"/>
        <w:jc w:val="both"/>
        <w:rPr>
          <w:rFonts w:hint="eastAsia" w:cs="宋体"/>
          <w:color w:val="auto"/>
          <w:sz w:val="21"/>
          <w:szCs w:val="21"/>
        </w:rPr>
      </w:pPr>
      <w:r>
        <w:rPr>
          <w:rFonts w:hint="eastAsia" w:cs="宋体"/>
          <w:color w:val="auto"/>
          <w:sz w:val="21"/>
          <w:szCs w:val="21"/>
        </w:rPr>
        <w:t>1.开标时间：</w:t>
      </w:r>
      <w:r>
        <w:rPr>
          <w:rFonts w:hint="eastAsia" w:cs="宋体"/>
          <w:color w:val="0000FF"/>
          <w:sz w:val="21"/>
          <w:szCs w:val="21"/>
          <w:highlight w:val="none"/>
        </w:rPr>
        <w:t>202</w:t>
      </w:r>
      <w:r>
        <w:rPr>
          <w:rFonts w:hint="eastAsia" w:cs="宋体"/>
          <w:color w:val="0000FF"/>
          <w:sz w:val="21"/>
          <w:szCs w:val="21"/>
          <w:highlight w:val="none"/>
          <w:lang w:val="en-US" w:eastAsia="zh-CN"/>
        </w:rPr>
        <w:t>5</w:t>
      </w:r>
      <w:r>
        <w:rPr>
          <w:rFonts w:hint="eastAsia" w:cs="宋体"/>
          <w:color w:val="0000FF"/>
          <w:sz w:val="21"/>
          <w:szCs w:val="21"/>
          <w:highlight w:val="none"/>
        </w:rPr>
        <w:t>年</w:t>
      </w:r>
      <w:r>
        <w:rPr>
          <w:rFonts w:hint="eastAsia" w:cs="宋体"/>
          <w:color w:val="0000FF"/>
          <w:sz w:val="21"/>
          <w:szCs w:val="21"/>
          <w:highlight w:val="none"/>
          <w:lang w:val="en-US" w:eastAsia="zh-CN"/>
        </w:rPr>
        <w:t xml:space="preserve"> 03 </w:t>
      </w:r>
      <w:r>
        <w:rPr>
          <w:rFonts w:hint="eastAsia" w:cs="宋体"/>
          <w:color w:val="0000FF"/>
          <w:sz w:val="21"/>
          <w:szCs w:val="21"/>
          <w:highlight w:val="none"/>
        </w:rPr>
        <w:t>月</w:t>
      </w:r>
      <w:r>
        <w:rPr>
          <w:rFonts w:hint="eastAsia" w:cs="宋体"/>
          <w:color w:val="0000FF"/>
          <w:sz w:val="21"/>
          <w:szCs w:val="21"/>
          <w:highlight w:val="none"/>
          <w:lang w:val="en-US" w:eastAsia="zh-CN"/>
        </w:rPr>
        <w:t xml:space="preserve"> 17 </w:t>
      </w:r>
      <w:bookmarkStart w:id="399" w:name="_GoBack"/>
      <w:bookmarkEnd w:id="399"/>
      <w:r>
        <w:rPr>
          <w:rFonts w:hint="eastAsia" w:cs="宋体"/>
          <w:color w:val="0000FF"/>
          <w:sz w:val="21"/>
          <w:szCs w:val="21"/>
          <w:highlight w:val="none"/>
        </w:rPr>
        <w:t>日</w:t>
      </w:r>
      <w:r>
        <w:rPr>
          <w:rFonts w:hint="eastAsia" w:cs="宋体"/>
          <w:color w:val="auto"/>
          <w:sz w:val="21"/>
          <w:szCs w:val="21"/>
          <w:highlight w:val="none"/>
        </w:rPr>
        <w:t>09：00</w:t>
      </w:r>
      <w:r>
        <w:rPr>
          <w:rFonts w:hint="eastAsia" w:cs="宋体"/>
          <w:color w:val="auto"/>
          <w:sz w:val="21"/>
          <w:szCs w:val="21"/>
        </w:rPr>
        <w:t>（北京时间）</w:t>
      </w:r>
    </w:p>
    <w:p w14:paraId="52CBA3E5">
      <w:pPr>
        <w:autoSpaceDE w:val="0"/>
        <w:autoSpaceDN w:val="0"/>
        <w:adjustRightInd w:val="0"/>
        <w:snapToGrid w:val="0"/>
        <w:spacing w:line="312" w:lineRule="auto"/>
        <w:ind w:firstLine="480"/>
        <w:rPr>
          <w:rFonts w:hint="eastAsia" w:ascii="宋体" w:hAnsi="宋体" w:cs="宋体"/>
          <w:kern w:val="0"/>
          <w:szCs w:val="21"/>
        </w:rPr>
      </w:pPr>
      <w:r>
        <w:rPr>
          <w:rFonts w:hint="eastAsia" w:ascii="宋体" w:hAnsi="宋体" w:cs="宋体"/>
          <w:kern w:val="0"/>
          <w:szCs w:val="21"/>
        </w:rPr>
        <w:t>2.投标地点（网址）：</w:t>
      </w:r>
    </w:p>
    <w:p w14:paraId="63986401">
      <w:pPr>
        <w:autoSpaceDE w:val="0"/>
        <w:autoSpaceDN w:val="0"/>
        <w:adjustRightInd w:val="0"/>
        <w:snapToGrid w:val="0"/>
        <w:spacing w:line="312" w:lineRule="auto"/>
        <w:ind w:firstLine="480"/>
        <w:rPr>
          <w:rFonts w:hint="eastAsia" w:ascii="宋体" w:hAnsi="宋体" w:cs="宋体"/>
          <w:kern w:val="0"/>
          <w:szCs w:val="21"/>
        </w:rPr>
      </w:pPr>
      <w:r>
        <w:rPr>
          <w:rFonts w:hint="eastAsia" w:ascii="宋体" w:hAnsi="宋体" w:cs="宋体"/>
          <w:kern w:val="0"/>
          <w:szCs w:val="21"/>
        </w:rPr>
        <w:t>（1）电子响应文件：乐采云平台（https：//www.lecaiyun.com）在线递交。</w:t>
      </w:r>
    </w:p>
    <w:p w14:paraId="1C41F421">
      <w:pPr>
        <w:autoSpaceDE w:val="0"/>
        <w:autoSpaceDN w:val="0"/>
        <w:adjustRightInd w:val="0"/>
        <w:snapToGrid w:val="0"/>
        <w:spacing w:line="312" w:lineRule="auto"/>
        <w:ind w:firstLine="480"/>
        <w:rPr>
          <w:rFonts w:hint="eastAsia" w:ascii="宋体" w:hAnsi="宋体" w:cs="宋体"/>
          <w:kern w:val="0"/>
          <w:szCs w:val="21"/>
        </w:rPr>
      </w:pPr>
      <w:r>
        <w:rPr>
          <w:rFonts w:hint="eastAsia" w:ascii="宋体" w:hAnsi="宋体" w:cs="宋体"/>
          <w:kern w:val="0"/>
          <w:szCs w:val="21"/>
        </w:rPr>
        <w:t>（2）备份电子响应文件：</w:t>
      </w:r>
      <w:r>
        <w:fldChar w:fldCharType="begin"/>
      </w:r>
      <w:r>
        <w:instrText xml:space="preserve">HYPERLINK "mailto:供应商自行确定是否提交；若提交请将备份电子投标文件打包压缩加密（未加密造成泄密的由供应商自行承担）后以电子邮件的形式发送至3565238819@qq.com。"</w:instrText>
      </w:r>
      <w:r>
        <w:fldChar w:fldCharType="separate"/>
      </w:r>
      <w:r>
        <w:rPr>
          <w:rStyle w:val="43"/>
          <w:rFonts w:hint="eastAsia" w:ascii="宋体" w:hAnsi="宋体" w:cs="宋体"/>
          <w:color w:val="auto"/>
          <w:kern w:val="0"/>
          <w:szCs w:val="21"/>
        </w:rPr>
        <w:t>供应商自行确定是否提交；若提交请将备份电子投标文件打包压缩加密（未加密造成泄密的由供应商自行承担）后以电子邮件的形式发送至</w:t>
      </w:r>
      <w:r>
        <w:rPr>
          <w:rStyle w:val="43"/>
          <w:rFonts w:hint="eastAsia" w:ascii="宋体" w:hAnsi="宋体" w:cs="宋体"/>
          <w:color w:val="auto"/>
          <w:kern w:val="0"/>
          <w:szCs w:val="21"/>
          <w:lang w:eastAsia="zh-CN"/>
        </w:rPr>
        <w:t>2231993302</w:t>
      </w:r>
      <w:r>
        <w:rPr>
          <w:rStyle w:val="43"/>
          <w:rFonts w:hint="eastAsia" w:ascii="宋体" w:hAnsi="宋体" w:cs="宋体"/>
          <w:color w:val="auto"/>
          <w:kern w:val="0"/>
          <w:szCs w:val="21"/>
        </w:rPr>
        <w:t>@qq.com。</w:t>
      </w:r>
      <w:r>
        <w:rPr>
          <w:rStyle w:val="43"/>
          <w:rFonts w:ascii="宋体" w:hAnsi="宋体" w:cs="宋体"/>
          <w:color w:val="auto"/>
          <w:kern w:val="0"/>
          <w:szCs w:val="21"/>
        </w:rPr>
        <w:fldChar w:fldCharType="end"/>
      </w:r>
      <w:r>
        <w:rPr>
          <w:rFonts w:hint="eastAsia" w:ascii="宋体" w:hAnsi="宋体" w:cs="宋体"/>
          <w:kern w:val="0"/>
          <w:szCs w:val="21"/>
          <w:u w:val="single"/>
        </w:rPr>
        <w:t>逾期发送的将被视为未提交。</w:t>
      </w:r>
    </w:p>
    <w:p w14:paraId="07A43388">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响应文件开启</w:t>
      </w:r>
    </w:p>
    <w:p w14:paraId="0E26EBBD">
      <w:pPr>
        <w:pStyle w:val="33"/>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1.开启时间：</w:t>
      </w:r>
      <w:r>
        <w:rPr>
          <w:rFonts w:hint="eastAsia" w:cs="宋体"/>
          <w:color w:val="0000FF"/>
          <w:sz w:val="21"/>
          <w:szCs w:val="21"/>
          <w:u w:val="single"/>
        </w:rPr>
        <w:t>202</w:t>
      </w:r>
      <w:r>
        <w:rPr>
          <w:rFonts w:hint="eastAsia" w:cs="宋体"/>
          <w:color w:val="0000FF"/>
          <w:sz w:val="21"/>
          <w:szCs w:val="21"/>
          <w:u w:val="single"/>
          <w:lang w:val="en-US" w:eastAsia="zh-CN"/>
        </w:rPr>
        <w:t>5</w:t>
      </w:r>
      <w:r>
        <w:rPr>
          <w:rFonts w:hint="eastAsia" w:cs="宋体"/>
          <w:color w:val="0000FF"/>
          <w:sz w:val="21"/>
          <w:szCs w:val="21"/>
          <w:u w:val="single"/>
        </w:rPr>
        <w:t>年</w:t>
      </w:r>
      <w:r>
        <w:rPr>
          <w:rFonts w:hint="eastAsia" w:cs="宋体"/>
          <w:color w:val="0000FF"/>
          <w:sz w:val="21"/>
          <w:szCs w:val="21"/>
          <w:highlight w:val="none"/>
          <w:u w:val="single"/>
          <w:lang w:val="en-US" w:eastAsia="zh-CN"/>
        </w:rPr>
        <w:t xml:space="preserve"> 03 </w:t>
      </w:r>
      <w:r>
        <w:rPr>
          <w:rFonts w:hint="eastAsia" w:cs="宋体"/>
          <w:color w:val="0000FF"/>
          <w:sz w:val="21"/>
          <w:szCs w:val="21"/>
          <w:highlight w:val="none"/>
          <w:u w:val="single"/>
        </w:rPr>
        <w:t>月</w:t>
      </w:r>
      <w:r>
        <w:rPr>
          <w:rFonts w:hint="eastAsia" w:cs="宋体"/>
          <w:color w:val="0000FF"/>
          <w:sz w:val="21"/>
          <w:szCs w:val="21"/>
          <w:highlight w:val="none"/>
          <w:u w:val="single"/>
          <w:lang w:val="en-US" w:eastAsia="zh-CN"/>
        </w:rPr>
        <w:t xml:space="preserve"> 17 </w:t>
      </w:r>
      <w:r>
        <w:rPr>
          <w:rFonts w:hint="eastAsia" w:cs="宋体"/>
          <w:color w:val="0000FF"/>
          <w:sz w:val="21"/>
          <w:szCs w:val="21"/>
          <w:highlight w:val="none"/>
          <w:u w:val="single"/>
        </w:rPr>
        <w:t>日</w:t>
      </w:r>
      <w:r>
        <w:rPr>
          <w:rFonts w:hint="eastAsia" w:cs="宋体"/>
          <w:color w:val="auto"/>
          <w:sz w:val="21"/>
          <w:szCs w:val="21"/>
          <w:highlight w:val="none"/>
          <w:u w:val="single"/>
        </w:rPr>
        <w:t>09</w:t>
      </w:r>
      <w:r>
        <w:rPr>
          <w:rFonts w:hint="eastAsia" w:cs="宋体"/>
          <w:color w:val="auto"/>
          <w:sz w:val="21"/>
          <w:szCs w:val="21"/>
          <w:u w:val="single"/>
        </w:rPr>
        <w:t xml:space="preserve">：00 </w:t>
      </w:r>
      <w:r>
        <w:rPr>
          <w:rFonts w:hint="eastAsia" w:cs="宋体"/>
          <w:color w:val="auto"/>
          <w:sz w:val="21"/>
          <w:szCs w:val="21"/>
        </w:rPr>
        <w:t>（北京时间）</w:t>
      </w:r>
    </w:p>
    <w:p w14:paraId="68E86D31">
      <w:pPr>
        <w:pStyle w:val="33"/>
        <w:spacing w:before="0" w:beforeAutospacing="0" w:after="0" w:afterAutospacing="0" w:line="360" w:lineRule="auto"/>
        <w:ind w:firstLine="420" w:firstLineChars="200"/>
        <w:rPr>
          <w:rFonts w:hint="eastAsia" w:cs="宋体"/>
          <w:color w:val="auto"/>
          <w:sz w:val="21"/>
          <w:szCs w:val="21"/>
          <w:u w:val="single"/>
        </w:rPr>
      </w:pPr>
      <w:r>
        <w:rPr>
          <w:rFonts w:hint="eastAsia" w:cs="宋体"/>
          <w:color w:val="auto"/>
          <w:sz w:val="21"/>
          <w:szCs w:val="21"/>
        </w:rPr>
        <w:t>2.地点：</w:t>
      </w:r>
      <w:r>
        <w:rPr>
          <w:rFonts w:hint="eastAsia" w:cs="宋体"/>
          <w:color w:val="auto"/>
          <w:sz w:val="21"/>
          <w:szCs w:val="21"/>
          <w:u w:val="single"/>
        </w:rPr>
        <w:t>在乐采云平台（https：//www.lecaiyun.com）上开启响应文件，投标人无需在开标当天到达开标现场，但须准时在线参加，直至项目开评标结束。</w:t>
      </w:r>
    </w:p>
    <w:p w14:paraId="222AA0B0">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投标保证金缴纳形式：</w:t>
      </w:r>
    </w:p>
    <w:p w14:paraId="233CE687">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1.投标保证金：</w:t>
      </w:r>
      <w:r>
        <w:rPr>
          <w:rFonts w:hint="eastAsia" w:cs="宋体"/>
          <w:b/>
          <w:bCs/>
          <w:sz w:val="21"/>
          <w:szCs w:val="21"/>
        </w:rPr>
        <w:t>本项目不需要缴纳保证金</w:t>
      </w:r>
      <w:r>
        <w:rPr>
          <w:rFonts w:hint="eastAsia" w:ascii="宋体" w:hAnsi="宋体" w:cs="宋体"/>
          <w:b/>
          <w:bCs/>
          <w:kern w:val="0"/>
          <w:szCs w:val="21"/>
        </w:rPr>
        <w:t>。</w:t>
      </w:r>
    </w:p>
    <w:p w14:paraId="7463D816">
      <w:pPr>
        <w:spacing w:line="360" w:lineRule="auto"/>
        <w:ind w:firstLine="420" w:firstLineChars="200"/>
        <w:rPr>
          <w:rFonts w:hint="eastAsia" w:ascii="宋体" w:hAnsi="宋体" w:cs="宋体"/>
          <w:kern w:val="0"/>
          <w:szCs w:val="21"/>
        </w:rPr>
      </w:pPr>
      <w:r>
        <w:rPr>
          <w:rFonts w:hint="eastAsia" w:ascii="宋体" w:hAnsi="宋体" w:cs="宋体"/>
          <w:kern w:val="0"/>
          <w:szCs w:val="21"/>
        </w:rPr>
        <w:t>2.缴纳形式：银行汇票、电汇、转账、保函。投标人采用银行汇票、电汇、转账的保证金必须在投标截止时间前以投标单位名义从其账户汇入浙江聚信工程管理有限公司指定账户，并注明项目名称。否则将视为未响应招标文件提交投标保证金要求而拒绝其投标。</w:t>
      </w:r>
    </w:p>
    <w:p w14:paraId="5BB7CEE0">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账户名称：浙江聚信工程管理有限公司</w:t>
      </w:r>
    </w:p>
    <w:p w14:paraId="1116128E">
      <w:pPr>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开户银行：中国工商银行仙居县城南支行</w:t>
      </w:r>
    </w:p>
    <w:p w14:paraId="3130B53B">
      <w:pPr>
        <w:spacing w:line="360" w:lineRule="auto"/>
        <w:ind w:firstLine="422" w:firstLineChars="200"/>
        <w:rPr>
          <w:rFonts w:hint="eastAsia" w:ascii="宋体" w:hAnsi="宋体" w:cs="宋体"/>
          <w:szCs w:val="21"/>
          <w:u w:val="single"/>
        </w:rPr>
      </w:pPr>
      <w:r>
        <w:rPr>
          <w:rFonts w:hint="eastAsia" w:ascii="宋体" w:hAnsi="宋体" w:cs="宋体"/>
          <w:b/>
          <w:bCs/>
          <w:kern w:val="0"/>
          <w:szCs w:val="21"/>
        </w:rPr>
        <w:t>账    号：1207 0521 0920 0024 692</w:t>
      </w:r>
    </w:p>
    <w:p w14:paraId="68E9FA90">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公告期限</w:t>
      </w:r>
    </w:p>
    <w:p w14:paraId="27C71F5D">
      <w:pPr>
        <w:pStyle w:val="33"/>
        <w:spacing w:before="0" w:beforeAutospacing="0" w:after="0" w:afterAutospacing="0" w:line="360" w:lineRule="auto"/>
        <w:ind w:firstLine="420" w:firstLineChars="200"/>
        <w:rPr>
          <w:rFonts w:hint="eastAsia" w:cs="宋体"/>
          <w:color w:val="auto"/>
          <w:sz w:val="21"/>
          <w:szCs w:val="21"/>
        </w:rPr>
      </w:pPr>
      <w:r>
        <w:rPr>
          <w:rFonts w:hint="eastAsia" w:cs="宋体"/>
          <w:color w:val="auto"/>
          <w:sz w:val="21"/>
          <w:szCs w:val="21"/>
        </w:rPr>
        <w:t>自本公告发布之日起</w:t>
      </w:r>
      <w:r>
        <w:rPr>
          <w:rFonts w:hint="eastAsia" w:cs="宋体"/>
          <w:color w:val="auto"/>
          <w:sz w:val="21"/>
          <w:szCs w:val="21"/>
          <w:lang w:val="en-US" w:eastAsia="zh-CN"/>
        </w:rPr>
        <w:t>3</w:t>
      </w:r>
      <w:r>
        <w:rPr>
          <w:rFonts w:hint="eastAsia" w:cs="宋体"/>
          <w:color w:val="auto"/>
          <w:sz w:val="21"/>
          <w:szCs w:val="21"/>
        </w:rPr>
        <w:t>个工作日。</w:t>
      </w:r>
    </w:p>
    <w:p w14:paraId="01350912">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其他补充事宜</w:t>
      </w:r>
    </w:p>
    <w:p w14:paraId="05875DB3">
      <w:pPr>
        <w:numPr>
          <w:ilvl w:val="0"/>
          <w:numId w:val="4"/>
        </w:numPr>
        <w:spacing w:line="360" w:lineRule="auto"/>
        <w:ind w:left="0" w:firstLine="210" w:firstLineChars="100"/>
        <w:rPr>
          <w:rFonts w:hint="eastAsia" w:ascii="宋体" w:hAnsi="宋体" w:cs="宋体"/>
          <w:kern w:val="0"/>
          <w:szCs w:val="21"/>
        </w:rPr>
      </w:pP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7E5CA59">
      <w:pPr>
        <w:numPr>
          <w:ilvl w:val="0"/>
          <w:numId w:val="4"/>
        </w:numPr>
        <w:spacing w:line="360" w:lineRule="auto"/>
        <w:ind w:left="0" w:firstLine="210" w:firstLineChars="100"/>
        <w:rPr>
          <w:rFonts w:hint="eastAsia" w:ascii="宋体" w:hAnsi="宋体" w:cs="宋体"/>
          <w:b/>
          <w:szCs w:val="21"/>
        </w:rPr>
      </w:pPr>
      <w:r>
        <w:rPr>
          <w:rFonts w:hint="eastAsia" w:ascii="宋体" w:hAnsi="宋体" w:cs="宋体"/>
          <w:kern w:val="0"/>
          <w:szCs w:val="21"/>
        </w:rPr>
        <w:t>其他事项：在线响应（电子交易）说明</w:t>
      </w:r>
    </w:p>
    <w:p w14:paraId="25E2B782">
      <w:pPr>
        <w:spacing w:line="360" w:lineRule="auto"/>
        <w:ind w:firstLine="420" w:firstLineChars="200"/>
        <w:rPr>
          <w:rFonts w:hint="eastAsia" w:ascii="宋体" w:hAnsi="宋体" w:cs="宋体"/>
          <w:kern w:val="0"/>
          <w:szCs w:val="21"/>
        </w:rPr>
      </w:pPr>
      <w:r>
        <w:rPr>
          <w:rFonts w:hint="eastAsia" w:ascii="宋体" w:hAnsi="宋体" w:cs="宋体"/>
          <w:kern w:val="0"/>
          <w:szCs w:val="21"/>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4E2A9F04">
      <w:pPr>
        <w:spacing w:line="360" w:lineRule="auto"/>
        <w:ind w:firstLine="420" w:firstLineChars="200"/>
        <w:rPr>
          <w:rFonts w:hint="eastAsia" w:ascii="宋体" w:hAnsi="宋体" w:cs="宋体"/>
          <w:kern w:val="0"/>
          <w:szCs w:val="21"/>
        </w:rPr>
      </w:pPr>
      <w:r>
        <w:rPr>
          <w:rFonts w:hint="eastAsia" w:ascii="宋体" w:hAnsi="宋体" w:cs="宋体"/>
          <w:kern w:val="0"/>
          <w:szCs w:val="21"/>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4E81B062">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（3）供应商通过乐采云平台电子投标工具（政采云电子交易客户端）编制响应文件，电子投标工具请投标供应商自行前往浙江省政府采购网下载并安装（下载网址：</w:t>
      </w:r>
      <w:r>
        <w:fldChar w:fldCharType="begin"/>
      </w:r>
      <w:r>
        <w:instrText xml:space="preserve"> HYPERLINK "http://zfcg.czt.zj.gov.cn/bidClientTemplate/2019-09-24/12975.html）。" </w:instrText>
      </w:r>
      <w:r>
        <w:fldChar w:fldCharType="separate"/>
      </w:r>
      <w:r>
        <w:rPr>
          <w:rStyle w:val="43"/>
          <w:rFonts w:hint="eastAsia" w:ascii="宋体" w:hAnsi="宋体" w:cs="宋体"/>
          <w:color w:val="auto"/>
          <w:kern w:val="0"/>
          <w:szCs w:val="21"/>
        </w:rPr>
        <w:t>http：//zfcg.czt.zj.gov.cn/bidClientTemplate/2019-09-24/12975.html）。</w:t>
      </w:r>
      <w:r>
        <w:rPr>
          <w:rStyle w:val="43"/>
          <w:rFonts w:hint="eastAsia" w:ascii="宋体" w:hAnsi="宋体" w:cs="宋体"/>
          <w:color w:val="auto"/>
          <w:kern w:val="0"/>
          <w:szCs w:val="21"/>
        </w:rPr>
        <w:fldChar w:fldCharType="end"/>
      </w:r>
    </w:p>
    <w:p w14:paraId="6388560A">
      <w:pPr>
        <w:spacing w:line="360" w:lineRule="auto"/>
        <w:ind w:firstLine="420" w:firstLineChars="200"/>
        <w:rPr>
          <w:rFonts w:hint="eastAsia" w:ascii="宋体" w:hAnsi="宋体" w:cs="宋体"/>
          <w:kern w:val="0"/>
          <w:szCs w:val="21"/>
        </w:rPr>
      </w:pPr>
      <w:r>
        <w:rPr>
          <w:rFonts w:hint="eastAsia" w:ascii="宋体" w:hAnsi="宋体" w:cs="宋体"/>
          <w:kern w:val="0"/>
          <w:szCs w:val="21"/>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7CA6153A">
      <w:pPr>
        <w:numPr>
          <w:ilvl w:val="0"/>
          <w:numId w:val="4"/>
        </w:numPr>
        <w:spacing w:line="360" w:lineRule="auto"/>
        <w:ind w:left="0" w:firstLine="211" w:firstLineChars="100"/>
        <w:rPr>
          <w:rFonts w:hint="eastAsia" w:ascii="宋体" w:hAnsi="宋体" w:cs="宋体"/>
          <w:b/>
          <w:bCs/>
          <w:kern w:val="0"/>
          <w:szCs w:val="21"/>
        </w:rPr>
      </w:pPr>
      <w:r>
        <w:rPr>
          <w:rFonts w:hint="eastAsia" w:ascii="宋体" w:hAnsi="宋体" w:cs="宋体"/>
          <w:b/>
          <w:bCs/>
          <w:kern w:val="0"/>
          <w:szCs w:val="21"/>
        </w:rPr>
        <w:t>其他事项有关说明 </w:t>
      </w:r>
    </w:p>
    <w:p w14:paraId="451BE149">
      <w:pPr>
        <w:spacing w:line="360" w:lineRule="auto"/>
        <w:ind w:firstLine="420" w:firstLineChars="200"/>
        <w:rPr>
          <w:rFonts w:hint="eastAsia" w:ascii="宋体" w:hAnsi="宋体" w:cs="宋体"/>
          <w:kern w:val="0"/>
          <w:szCs w:val="21"/>
        </w:rPr>
      </w:pPr>
      <w:r>
        <w:rPr>
          <w:rFonts w:hint="eastAsia" w:ascii="宋体" w:hAnsi="宋体" w:cs="宋体"/>
          <w:kern w:val="0"/>
          <w:szCs w:val="21"/>
        </w:rPr>
        <w:t>（1）成交供应商应在合同签订前完成乐采云平台全部注册步骤并成为正式注册入库供应商，否则将导致合同款无法正常支付，责任由成交供应商承担。“浙江省政府采购供应商”注册事宜详见浙江省政府采购网官网介绍，客服、技术支持：400-881-7190。</w:t>
      </w:r>
    </w:p>
    <w:p w14:paraId="50B55E1E">
      <w:pPr>
        <w:widowControl/>
        <w:adjustRightInd w:val="0"/>
        <w:snapToGrid w:val="0"/>
        <w:spacing w:line="360" w:lineRule="auto"/>
        <w:ind w:firstLine="420" w:firstLineChars="200"/>
        <w:jc w:val="left"/>
        <w:rPr>
          <w:rFonts w:hint="eastAsia" w:ascii="宋体" w:hAnsi="宋体" w:cs="宋体"/>
          <w:szCs w:val="21"/>
        </w:rPr>
      </w:pPr>
      <w:r>
        <w:rPr>
          <w:rFonts w:hint="eastAsia" w:ascii="宋体" w:hAnsi="宋体" w:cs="宋体"/>
          <w:kern w:val="0"/>
          <w:szCs w:val="21"/>
        </w:rPr>
        <w:t>（2）本项目相关公告发布网站：</w:t>
      </w:r>
      <w:r>
        <w:rPr>
          <w:rFonts w:hint="eastAsia" w:ascii="宋体" w:hAnsi="宋体" w:cs="宋体"/>
          <w:szCs w:val="21"/>
        </w:rPr>
        <w:t>“浙江政府采购网”（http：//www.zjzfcg.gov.cn）和“仙居县公共资源交易网”</w:t>
      </w:r>
      <w:r>
        <w:fldChar w:fldCharType="begin"/>
      </w:r>
      <w:r>
        <w:instrText xml:space="preserve"> HYPERLINK "http://www.xjztb.cn）。项目如有更正或澄清公告，请各供应商自行及时登陆上述网站查看，采购代理机构不再作出书面通知。" </w:instrText>
      </w:r>
      <w:r>
        <w:fldChar w:fldCharType="separate"/>
      </w:r>
      <w:r>
        <w:rPr>
          <w:rFonts w:hint="eastAsia" w:ascii="宋体" w:hAnsi="宋体" w:cs="宋体"/>
          <w:szCs w:val="21"/>
          <w:u w:val="single"/>
        </w:rPr>
        <w:t>http：//www.zjxj.gov.cn/col/col1229347417/index.html）。项目如有更正或澄清公告，请各供应商自行及时登录上述网站查看，采购代理机构不再作出书面通知。</w:t>
      </w:r>
      <w:r>
        <w:rPr>
          <w:rFonts w:hint="eastAsia" w:ascii="宋体" w:hAnsi="宋体" w:cs="宋体"/>
          <w:szCs w:val="21"/>
          <w:u w:val="single"/>
        </w:rPr>
        <w:fldChar w:fldCharType="end"/>
      </w:r>
    </w:p>
    <w:p w14:paraId="79FC3274">
      <w:pPr>
        <w:spacing w:line="360" w:lineRule="auto"/>
        <w:ind w:firstLine="420" w:firstLineChars="200"/>
        <w:rPr>
          <w:rFonts w:hint="eastAsia" w:ascii="宋体" w:hAnsi="宋体" w:cs="宋体"/>
          <w:kern w:val="0"/>
          <w:szCs w:val="21"/>
        </w:rPr>
      </w:pPr>
      <w:r>
        <w:rPr>
          <w:rFonts w:hint="eastAsia" w:ascii="宋体" w:hAnsi="宋体" w:cs="宋体"/>
          <w:kern w:val="0"/>
          <w:szCs w:val="21"/>
        </w:rPr>
        <w:t>（3）供应商如在采购代理机构发布本项目更正、补充或澄清公告前获取采购文件的，请自行登录相关网站查看更正、补充或澄清公告内容，采购代理机构不再就上述内容作出书面通知。</w:t>
      </w:r>
    </w:p>
    <w:p w14:paraId="436DEB75">
      <w:pPr>
        <w:pStyle w:val="33"/>
        <w:widowControl w:val="0"/>
        <w:spacing w:before="0" w:beforeAutospacing="0" w:after="0" w:afterAutospacing="0" w:line="360" w:lineRule="auto"/>
        <w:ind w:left="420"/>
        <w:jc w:val="both"/>
        <w:rPr>
          <w:rFonts w:hint="eastAsia" w:cs="宋体"/>
          <w:b/>
          <w:color w:val="auto"/>
          <w:kern w:val="2"/>
          <w:sz w:val="21"/>
          <w:szCs w:val="21"/>
        </w:rPr>
      </w:pPr>
      <w:r>
        <w:rPr>
          <w:rFonts w:hint="eastAsia" w:cs="宋体"/>
          <w:color w:val="auto"/>
          <w:sz w:val="21"/>
          <w:szCs w:val="21"/>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5CA3EE4A">
      <w:pPr>
        <w:pStyle w:val="33"/>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rPr>
      </w:pPr>
      <w:r>
        <w:rPr>
          <w:rFonts w:hint="eastAsia" w:cs="宋体"/>
          <w:b/>
          <w:color w:val="auto"/>
          <w:kern w:val="2"/>
          <w:sz w:val="21"/>
          <w:szCs w:val="21"/>
        </w:rPr>
        <w:t>对本次采购提出询问、质疑，请按以下方式联系</w:t>
      </w:r>
    </w:p>
    <w:p w14:paraId="27B73C77">
      <w:pPr>
        <w:pStyle w:val="33"/>
        <w:spacing w:before="0" w:beforeAutospacing="0" w:after="0" w:afterAutospacing="0" w:line="336" w:lineRule="auto"/>
        <w:ind w:firstLine="420" w:firstLineChars="200"/>
        <w:rPr>
          <w:rFonts w:hint="eastAsia" w:cs="宋体"/>
          <w:color w:val="auto"/>
          <w:sz w:val="21"/>
          <w:szCs w:val="21"/>
        </w:rPr>
      </w:pPr>
      <w:r>
        <w:rPr>
          <w:rFonts w:hint="eastAsia" w:cs="宋体"/>
          <w:color w:val="auto"/>
          <w:sz w:val="21"/>
          <w:szCs w:val="21"/>
        </w:rPr>
        <w:t>1.采购人信息</w:t>
      </w:r>
    </w:p>
    <w:p w14:paraId="4174BC84">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名   称：</w:t>
      </w:r>
      <w:r>
        <w:rPr>
          <w:rFonts w:hint="eastAsia" w:cs="宋体"/>
          <w:color w:val="auto"/>
          <w:sz w:val="21"/>
          <w:szCs w:val="21"/>
          <w:lang w:eastAsia="zh-CN"/>
        </w:rPr>
        <w:t>浙江仙台旅游发展有限公司</w:t>
      </w:r>
      <w:r>
        <w:rPr>
          <w:rFonts w:hint="eastAsia" w:cs="宋体"/>
          <w:color w:val="auto"/>
          <w:sz w:val="21"/>
          <w:szCs w:val="21"/>
        </w:rPr>
        <w:t xml:space="preserve">  </w:t>
      </w:r>
    </w:p>
    <w:p w14:paraId="0037B3B6">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地   址：仙居县 </w:t>
      </w:r>
    </w:p>
    <w:p w14:paraId="4383F97B">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项目联系人：</w:t>
      </w:r>
      <w:r>
        <w:rPr>
          <w:rFonts w:hint="eastAsia" w:cs="宋体"/>
          <w:color w:val="auto"/>
          <w:sz w:val="21"/>
          <w:szCs w:val="21"/>
          <w:lang w:eastAsia="zh-CN"/>
        </w:rPr>
        <w:t>蔡先生</w:t>
      </w:r>
      <w:r>
        <w:rPr>
          <w:rFonts w:hint="eastAsia" w:cs="宋体"/>
          <w:color w:val="auto"/>
          <w:sz w:val="21"/>
          <w:szCs w:val="21"/>
        </w:rPr>
        <w:t>　　　　　　　　</w:t>
      </w:r>
    </w:p>
    <w:p w14:paraId="13E06BF2">
      <w:pPr>
        <w:pStyle w:val="33"/>
        <w:spacing w:before="0" w:beforeAutospacing="0" w:after="0" w:afterAutospacing="0" w:line="336" w:lineRule="auto"/>
        <w:ind w:left="420" w:leftChars="200" w:firstLine="210" w:firstLineChars="100"/>
        <w:rPr>
          <w:rFonts w:hint="eastAsia" w:eastAsia="宋体" w:cs="宋体"/>
          <w:color w:val="auto"/>
          <w:sz w:val="21"/>
          <w:szCs w:val="21"/>
          <w:highlight w:val="yellow"/>
          <w:lang w:eastAsia="zh-CN"/>
        </w:rPr>
      </w:pPr>
      <w:r>
        <w:rPr>
          <w:rFonts w:hint="eastAsia" w:cs="宋体"/>
          <w:color w:val="auto"/>
          <w:sz w:val="21"/>
          <w:szCs w:val="21"/>
        </w:rPr>
        <w:t>项目联系方式</w:t>
      </w:r>
      <w:r>
        <w:rPr>
          <w:rFonts w:hint="eastAsia" w:cs="宋体"/>
          <w:color w:val="auto"/>
          <w:sz w:val="21"/>
          <w:szCs w:val="21"/>
          <w:highlight w:val="none"/>
        </w:rPr>
        <w:t>：</w:t>
      </w:r>
      <w:r>
        <w:rPr>
          <w:rFonts w:hint="eastAsia" w:cs="宋体"/>
          <w:color w:val="auto"/>
          <w:sz w:val="21"/>
          <w:szCs w:val="21"/>
          <w:highlight w:val="none"/>
          <w:lang w:eastAsia="zh-CN"/>
        </w:rPr>
        <w:t>0576-87774380</w:t>
      </w:r>
    </w:p>
    <w:p w14:paraId="4BA973C4">
      <w:pPr>
        <w:pStyle w:val="33"/>
        <w:spacing w:before="0" w:beforeAutospacing="0" w:after="0" w:afterAutospacing="0" w:line="336" w:lineRule="auto"/>
        <w:ind w:left="420" w:leftChars="200"/>
        <w:rPr>
          <w:rFonts w:hint="eastAsia" w:cs="宋体"/>
          <w:color w:val="auto"/>
          <w:sz w:val="21"/>
          <w:szCs w:val="21"/>
        </w:rPr>
      </w:pPr>
      <w:r>
        <w:rPr>
          <w:rFonts w:hint="eastAsia" w:cs="宋体"/>
          <w:color w:val="auto"/>
          <w:sz w:val="21"/>
          <w:szCs w:val="21"/>
        </w:rPr>
        <w:t>2.采购代理机构信息</w:t>
      </w:r>
    </w:p>
    <w:p w14:paraId="72993B4F">
      <w:pPr>
        <w:pStyle w:val="33"/>
        <w:spacing w:before="0" w:beforeAutospacing="0" w:after="0" w:afterAutospacing="0" w:line="336" w:lineRule="auto"/>
        <w:ind w:firstLine="630" w:firstLineChars="300"/>
        <w:rPr>
          <w:rFonts w:hint="eastAsia" w:cs="宋体"/>
          <w:color w:val="auto"/>
          <w:sz w:val="21"/>
          <w:szCs w:val="21"/>
        </w:rPr>
      </w:pPr>
      <w:r>
        <w:rPr>
          <w:rFonts w:hint="eastAsia" w:cs="宋体"/>
          <w:color w:val="auto"/>
          <w:sz w:val="21"/>
          <w:szCs w:val="21"/>
        </w:rPr>
        <w:t>名  称：浙江聚信工程管理有限公司 </w:t>
      </w:r>
    </w:p>
    <w:p w14:paraId="5A4B9B4A">
      <w:pPr>
        <w:pStyle w:val="33"/>
        <w:spacing w:before="0" w:beforeAutospacing="0" w:after="0" w:afterAutospacing="0" w:line="336" w:lineRule="auto"/>
        <w:ind w:firstLine="630" w:firstLineChars="300"/>
        <w:rPr>
          <w:rFonts w:hint="eastAsia" w:cs="宋体"/>
          <w:color w:val="auto"/>
          <w:sz w:val="21"/>
          <w:szCs w:val="21"/>
        </w:rPr>
      </w:pPr>
      <w:r>
        <w:rPr>
          <w:rFonts w:hint="eastAsia" w:cs="宋体"/>
          <w:color w:val="auto"/>
          <w:sz w:val="21"/>
          <w:szCs w:val="21"/>
        </w:rPr>
        <w:t>地  址：仙居县光明西路434号 </w:t>
      </w:r>
    </w:p>
    <w:p w14:paraId="06A42EB6">
      <w:pPr>
        <w:pStyle w:val="33"/>
        <w:spacing w:before="0" w:beforeAutospacing="0" w:after="0" w:afterAutospacing="0" w:line="336" w:lineRule="auto"/>
        <w:ind w:firstLine="630" w:firstLineChars="300"/>
        <w:rPr>
          <w:rFonts w:hint="eastAsia" w:eastAsia="宋体" w:cs="宋体"/>
          <w:color w:val="auto"/>
          <w:sz w:val="21"/>
          <w:szCs w:val="21"/>
          <w:lang w:eastAsia="zh-CN"/>
        </w:rPr>
      </w:pPr>
      <w:r>
        <w:rPr>
          <w:rFonts w:hint="eastAsia" w:cs="宋体"/>
          <w:color w:val="auto"/>
          <w:sz w:val="21"/>
          <w:szCs w:val="21"/>
        </w:rPr>
        <w:t>联 系 人：</w:t>
      </w:r>
      <w:r>
        <w:rPr>
          <w:rFonts w:hint="eastAsia" w:cs="宋体"/>
          <w:color w:val="auto"/>
          <w:sz w:val="21"/>
          <w:szCs w:val="21"/>
          <w:lang w:eastAsia="zh-CN"/>
        </w:rPr>
        <w:t>方先生</w:t>
      </w:r>
    </w:p>
    <w:p w14:paraId="4F0BFCDF">
      <w:pPr>
        <w:pStyle w:val="33"/>
        <w:spacing w:before="0" w:beforeAutospacing="0" w:after="0" w:afterAutospacing="0" w:line="336" w:lineRule="auto"/>
        <w:ind w:firstLine="420" w:firstLineChars="200"/>
        <w:rPr>
          <w:rFonts w:hint="eastAsia" w:cs="宋体"/>
          <w:color w:val="auto"/>
          <w:sz w:val="21"/>
          <w:szCs w:val="21"/>
        </w:rPr>
      </w:pPr>
      <w:r>
        <w:rPr>
          <w:rFonts w:hint="eastAsia" w:cs="宋体"/>
          <w:color w:val="auto"/>
          <w:sz w:val="21"/>
          <w:szCs w:val="21"/>
        </w:rPr>
        <w:t> 联系方式：0576-87785155</w:t>
      </w:r>
    </w:p>
    <w:p w14:paraId="104012F2">
      <w:pPr>
        <w:pStyle w:val="33"/>
        <w:spacing w:before="0" w:beforeAutospacing="0" w:after="0" w:afterAutospacing="0" w:line="336" w:lineRule="auto"/>
        <w:ind w:firstLine="630" w:firstLineChars="300"/>
        <w:rPr>
          <w:rFonts w:hint="eastAsia" w:cs="宋体"/>
          <w:color w:val="auto"/>
          <w:sz w:val="21"/>
          <w:szCs w:val="21"/>
        </w:rPr>
      </w:pPr>
      <w:r>
        <w:rPr>
          <w:rFonts w:hint="eastAsia" w:cs="宋体"/>
          <w:color w:val="auto"/>
          <w:sz w:val="21"/>
          <w:szCs w:val="21"/>
        </w:rPr>
        <w:t>质疑联系人：</w:t>
      </w:r>
      <w:r>
        <w:rPr>
          <w:rFonts w:hint="eastAsia" w:cs="宋体"/>
          <w:color w:val="auto"/>
          <w:sz w:val="21"/>
          <w:szCs w:val="21"/>
          <w:lang w:val="en-US" w:eastAsia="zh-CN"/>
        </w:rPr>
        <w:t>赵</w:t>
      </w:r>
      <w:r>
        <w:rPr>
          <w:rFonts w:hint="eastAsia" w:cs="宋体"/>
          <w:color w:val="auto"/>
          <w:sz w:val="21"/>
          <w:szCs w:val="21"/>
        </w:rPr>
        <w:t>女士</w:t>
      </w:r>
    </w:p>
    <w:p w14:paraId="12B5A1AE">
      <w:pPr>
        <w:pStyle w:val="33"/>
        <w:spacing w:before="0" w:beforeAutospacing="0" w:after="0" w:afterAutospacing="0" w:line="336" w:lineRule="auto"/>
        <w:ind w:firstLine="630" w:firstLineChars="300"/>
        <w:rPr>
          <w:rFonts w:hint="eastAsia" w:cs="宋体"/>
          <w:color w:val="auto"/>
          <w:sz w:val="21"/>
          <w:szCs w:val="21"/>
        </w:rPr>
      </w:pPr>
      <w:r>
        <w:rPr>
          <w:rFonts w:hint="eastAsia" w:cs="宋体"/>
          <w:color w:val="auto"/>
          <w:sz w:val="21"/>
          <w:szCs w:val="21"/>
        </w:rPr>
        <w:t>质疑联系方式：0576-87785155</w:t>
      </w:r>
    </w:p>
    <w:p w14:paraId="24FB6042">
      <w:pPr>
        <w:pStyle w:val="33"/>
        <w:spacing w:before="0" w:beforeAutospacing="0" w:after="0" w:afterAutospacing="0" w:line="336" w:lineRule="auto"/>
        <w:ind w:left="630" w:leftChars="200" w:hanging="210" w:hangingChars="100"/>
        <w:rPr>
          <w:rFonts w:hint="eastAsia" w:cs="宋体"/>
          <w:color w:val="auto"/>
          <w:sz w:val="21"/>
          <w:szCs w:val="21"/>
        </w:rPr>
      </w:pPr>
      <w:r>
        <w:rPr>
          <w:rFonts w:hint="eastAsia" w:cs="宋体"/>
          <w:color w:val="auto"/>
          <w:sz w:val="21"/>
          <w:szCs w:val="21"/>
        </w:rPr>
        <w:t>3.监督机构信息</w:t>
      </w:r>
    </w:p>
    <w:p w14:paraId="5F49C341">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名   称：仙居县国资工作中心 </w:t>
      </w:r>
    </w:p>
    <w:p w14:paraId="284011A0">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地    址：仙居县南峰街道环城南路500号</w:t>
      </w:r>
    </w:p>
    <w:p w14:paraId="529F22FA">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联 系</w:t>
      </w:r>
      <w:r>
        <w:rPr>
          <w:rFonts w:hint="eastAsia" w:cs="宋体"/>
          <w:color w:val="auto"/>
          <w:sz w:val="21"/>
          <w:szCs w:val="21"/>
          <w:highlight w:val="none"/>
        </w:rPr>
        <w:t xml:space="preserve"> 人：</w:t>
      </w:r>
      <w:r>
        <w:rPr>
          <w:rFonts w:hint="eastAsia" w:cs="宋体"/>
          <w:color w:val="auto"/>
          <w:sz w:val="21"/>
          <w:szCs w:val="21"/>
          <w:highlight w:val="none"/>
          <w:lang w:val="en-US" w:eastAsia="zh-CN"/>
        </w:rPr>
        <w:t>徐女士</w:t>
      </w:r>
      <w:r>
        <w:rPr>
          <w:rFonts w:hint="eastAsia" w:cs="宋体"/>
          <w:color w:val="auto"/>
          <w:sz w:val="21"/>
          <w:szCs w:val="21"/>
          <w:highlight w:val="none"/>
        </w:rPr>
        <w:t> </w:t>
      </w:r>
    </w:p>
    <w:p w14:paraId="7DF3F093">
      <w:pPr>
        <w:pStyle w:val="33"/>
        <w:spacing w:before="0" w:beforeAutospacing="0" w:after="0" w:afterAutospacing="0" w:line="336" w:lineRule="auto"/>
        <w:ind w:left="420" w:leftChars="200" w:firstLine="210" w:firstLineChars="100"/>
        <w:rPr>
          <w:rFonts w:hint="eastAsia" w:cs="宋体"/>
          <w:color w:val="auto"/>
          <w:sz w:val="21"/>
          <w:szCs w:val="21"/>
        </w:rPr>
      </w:pPr>
      <w:r>
        <w:rPr>
          <w:rFonts w:hint="eastAsia" w:cs="宋体"/>
          <w:color w:val="auto"/>
          <w:sz w:val="21"/>
          <w:szCs w:val="21"/>
        </w:rPr>
        <w:t>联系电话：0576-87772238 </w:t>
      </w:r>
    </w:p>
    <w:p w14:paraId="3844A188">
      <w:pPr>
        <w:pStyle w:val="3"/>
        <w:spacing w:before="0" w:after="0" w:line="336" w:lineRule="auto"/>
        <w:jc w:val="center"/>
        <w:rPr>
          <w:rFonts w:ascii="宋体" w:cs="宋体"/>
          <w:sz w:val="32"/>
          <w:szCs w:val="32"/>
        </w:rPr>
        <w:sectPr>
          <w:pgSz w:w="11905" w:h="16838"/>
          <w:pgMar w:top="1417" w:right="1587" w:bottom="1417" w:left="1587" w:header="907" w:footer="924" w:gutter="0"/>
          <w:cols w:space="0" w:num="1"/>
          <w:docGrid w:type="lines" w:linePitch="304" w:charSpace="0"/>
        </w:sectPr>
      </w:pPr>
    </w:p>
    <w:bookmarkEnd w:id="1"/>
    <w:p w14:paraId="5EB8D241">
      <w:pPr>
        <w:pStyle w:val="3"/>
        <w:spacing w:before="0" w:after="0" w:line="360" w:lineRule="auto"/>
        <w:jc w:val="center"/>
        <w:rPr>
          <w:rFonts w:hint="eastAsia" w:ascii="宋体" w:hAnsi="宋体" w:cs="宋体"/>
          <w:sz w:val="32"/>
          <w:szCs w:val="32"/>
        </w:rPr>
      </w:pPr>
      <w:bookmarkStart w:id="2" w:name="_Toc8834"/>
      <w:r>
        <w:rPr>
          <w:rFonts w:hint="eastAsia" w:ascii="宋体" w:hAnsi="宋体" w:cs="宋体"/>
          <w:sz w:val="32"/>
          <w:szCs w:val="32"/>
        </w:rPr>
        <w:t>第二章  采购需求</w:t>
      </w:r>
      <w:bookmarkEnd w:id="2"/>
    </w:p>
    <w:p w14:paraId="2A9BD8C6">
      <w:pPr>
        <w:spacing w:line="360" w:lineRule="auto"/>
        <w:rPr>
          <w:rFonts w:hint="eastAsia" w:ascii="宋体" w:hAnsi="宋体" w:cs="宋体"/>
          <w:b/>
          <w:color w:val="auto"/>
          <w:szCs w:val="21"/>
          <w:highlight w:val="none"/>
        </w:rPr>
      </w:pPr>
      <w:bookmarkStart w:id="3" w:name="_Toc13823"/>
      <w:bookmarkStart w:id="4" w:name="_Toc324836660"/>
      <w:bookmarkStart w:id="5" w:name="_Toc8240"/>
      <w:bookmarkStart w:id="6" w:name="_Toc18363"/>
      <w:bookmarkStart w:id="7" w:name="_Toc11082"/>
      <w:bookmarkStart w:id="8" w:name="_Toc30830"/>
      <w:bookmarkStart w:id="9" w:name="_Toc359860065"/>
      <w:r>
        <w:rPr>
          <w:rFonts w:hint="eastAsia" w:ascii="宋体" w:hAnsi="宋体" w:cs="宋体"/>
          <w:b/>
          <w:color w:val="auto"/>
          <w:szCs w:val="21"/>
          <w:highlight w:val="none"/>
        </w:rPr>
        <w:t>特别提醒：</w:t>
      </w:r>
    </w:p>
    <w:p w14:paraId="086D0DD6">
      <w:pPr>
        <w:spacing w:line="360" w:lineRule="auto"/>
        <w:ind w:firstLine="843" w:firstLineChars="400"/>
        <w:rPr>
          <w:rFonts w:hint="eastAsia" w:ascii="宋体" w:hAnsi="宋体" w:cs="宋体"/>
          <w:b/>
          <w:color w:val="auto"/>
          <w:kern w:val="0"/>
          <w:szCs w:val="21"/>
          <w:highlight w:val="none"/>
        </w:rPr>
      </w:pPr>
      <w:r>
        <w:rPr>
          <w:rFonts w:hint="eastAsia" w:ascii="宋体" w:hAnsi="宋体" w:cs="宋体"/>
          <w:b/>
          <w:color w:val="auto"/>
          <w:kern w:val="0"/>
          <w:szCs w:val="21"/>
          <w:highlight w:val="none"/>
        </w:rPr>
        <w:t>▲1、中标单位在签订合同时，若坚持提出附加条件和不合理要求，成交资格将被取消，该中标人对由此产生的一切后果负责。</w:t>
      </w:r>
    </w:p>
    <w:p w14:paraId="6EEFAB91">
      <w:pPr>
        <w:numPr>
          <w:ilvl w:val="0"/>
          <w:numId w:val="0"/>
        </w:numPr>
        <w:ind w:firstLine="843" w:firstLineChars="400"/>
        <w:jc w:val="left"/>
        <w:rPr>
          <w:rFonts w:hint="eastAsia" w:ascii="宋体" w:hAnsi="宋体" w:cs="宋体"/>
          <w:b/>
          <w:bCs/>
          <w:szCs w:val="21"/>
        </w:rPr>
      </w:pPr>
      <w:r>
        <w:rPr>
          <w:rFonts w:hint="eastAsia" w:ascii="宋体" w:hAnsi="宋体" w:cs="宋体"/>
          <w:b/>
          <w:color w:val="auto"/>
          <w:kern w:val="0"/>
          <w:szCs w:val="21"/>
          <w:highlight w:val="none"/>
        </w:rPr>
        <w:t>▲</w:t>
      </w:r>
      <w:r>
        <w:rPr>
          <w:rFonts w:hint="eastAsia" w:ascii="宋体" w:hAnsi="宋体" w:cs="宋体"/>
          <w:b/>
          <w:color w:val="auto"/>
          <w:szCs w:val="21"/>
          <w:highlight w:val="none"/>
        </w:rPr>
        <w:t>2、加“▲”的技术要求或商务要求为实质性要求，投标人应特别注意，所提供的技术响应必须完全满足或优于这些要求，否则视为不满足。不满足实质性要求的投标文件将按无效标处理。</w:t>
      </w:r>
    </w:p>
    <w:bookmarkEnd w:id="3"/>
    <w:bookmarkEnd w:id="4"/>
    <w:bookmarkEnd w:id="5"/>
    <w:bookmarkEnd w:id="6"/>
    <w:bookmarkEnd w:id="7"/>
    <w:bookmarkEnd w:id="8"/>
    <w:bookmarkEnd w:id="9"/>
    <w:p w14:paraId="268374E7">
      <w:pPr>
        <w:keepNext w:val="0"/>
        <w:keepLines w:val="0"/>
        <w:pageBreakBefore w:val="0"/>
        <w:widowControl w:val="0"/>
        <w:tabs>
          <w:tab w:val="left" w:pos="8280"/>
        </w:tabs>
        <w:kinsoku/>
        <w:wordWrap/>
        <w:overflowPunct/>
        <w:topLinePunct w:val="0"/>
        <w:autoSpaceDE w:val="0"/>
        <w:autoSpaceDN w:val="0"/>
        <w:bidi w:val="0"/>
        <w:adjustRightInd w:val="0"/>
        <w:snapToGrid/>
        <w:spacing w:before="120" w:beforeLines="50" w:after="120" w:afterLines="50" w:line="400" w:lineRule="exact"/>
        <w:ind w:right="23" w:firstLine="482" w:firstLineChars="200"/>
        <w:textAlignment w:val="auto"/>
        <w:rPr>
          <w:rFonts w:hint="eastAsia" w:ascii="宋体" w:hAnsi="宋体" w:cs="宋体"/>
          <w:b/>
          <w:color w:val="auto"/>
          <w:sz w:val="24"/>
          <w:highlight w:val="none"/>
        </w:rPr>
      </w:pPr>
      <w:bookmarkStart w:id="10" w:name="_Toc65052969"/>
      <w:bookmarkStart w:id="11" w:name="_Toc28773"/>
      <w:bookmarkStart w:id="12" w:name="_Toc23973"/>
      <w:r>
        <w:rPr>
          <w:rFonts w:hint="eastAsia" w:ascii="宋体" w:hAnsi="宋体" w:cs="宋体"/>
          <w:b/>
          <w:color w:val="auto"/>
          <w:sz w:val="24"/>
          <w:highlight w:val="none"/>
        </w:rPr>
        <w:t>一、招标项目一览表</w:t>
      </w:r>
    </w:p>
    <w:p w14:paraId="06987A84">
      <w:pPr>
        <w:keepNext w:val="0"/>
        <w:keepLines w:val="0"/>
        <w:pageBreakBefore w:val="0"/>
        <w:widowControl w:val="0"/>
        <w:tabs>
          <w:tab w:val="left" w:pos="8280"/>
        </w:tabs>
        <w:kinsoku/>
        <w:wordWrap/>
        <w:overflowPunct/>
        <w:topLinePunct w:val="0"/>
        <w:autoSpaceDE w:val="0"/>
        <w:autoSpaceDN w:val="0"/>
        <w:bidi w:val="0"/>
        <w:adjustRightInd w:val="0"/>
        <w:snapToGrid/>
        <w:spacing w:after="120" w:afterLines="50" w:line="400" w:lineRule="exact"/>
        <w:ind w:right="23" w:firstLine="424" w:firstLineChars="177"/>
        <w:textAlignment w:val="auto"/>
        <w:rPr>
          <w:rFonts w:hint="eastAsia" w:ascii="宋体" w:hAnsi="宋体" w:cs="宋体"/>
          <w:color w:val="auto"/>
          <w:sz w:val="24"/>
          <w:highlight w:val="none"/>
        </w:rPr>
      </w:pPr>
      <w:r>
        <w:rPr>
          <w:rFonts w:hint="eastAsia" w:ascii="宋体" w:hAnsi="宋体" w:cs="宋体"/>
          <w:color w:val="auto"/>
          <w:sz w:val="24"/>
          <w:highlight w:val="none"/>
        </w:rPr>
        <w:t>本次招标共1个标项，具体内容如下表：</w:t>
      </w:r>
    </w:p>
    <w:tbl>
      <w:tblPr>
        <w:tblStyle w:val="36"/>
        <w:tblpPr w:leftFromText="180" w:rightFromText="180" w:vertAnchor="text" w:horzAnchor="page" w:tblpX="1065" w:tblpY="131"/>
        <w:tblOverlap w:val="never"/>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0"/>
        <w:gridCol w:w="777"/>
        <w:gridCol w:w="776"/>
        <w:gridCol w:w="1200"/>
        <w:gridCol w:w="1650"/>
        <w:gridCol w:w="2489"/>
      </w:tblGrid>
      <w:tr w14:paraId="3FB1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61" w:type="dxa"/>
            <w:noWrap w:val="0"/>
            <w:vAlign w:val="center"/>
          </w:tcPr>
          <w:p w14:paraId="37128D8D">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w:t>
            </w:r>
          </w:p>
          <w:p w14:paraId="0AB6D398">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30" w:type="dxa"/>
            <w:noWrap w:val="0"/>
            <w:vAlign w:val="center"/>
          </w:tcPr>
          <w:p w14:paraId="256D0DE6">
            <w:pPr>
              <w:tabs>
                <w:tab w:val="left" w:pos="8280"/>
              </w:tabs>
              <w:autoSpaceDE w:val="0"/>
              <w:autoSpaceDN w:val="0"/>
              <w:adjustRightInd w:val="0"/>
              <w:spacing w:line="360" w:lineRule="auto"/>
              <w:ind w:right="23"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标项名称或内容</w:t>
            </w:r>
          </w:p>
        </w:tc>
        <w:tc>
          <w:tcPr>
            <w:tcW w:w="777" w:type="dxa"/>
            <w:noWrap w:val="0"/>
            <w:vAlign w:val="center"/>
          </w:tcPr>
          <w:p w14:paraId="5D6ADBA6">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76" w:type="dxa"/>
            <w:noWrap w:val="0"/>
            <w:vAlign w:val="center"/>
          </w:tcPr>
          <w:p w14:paraId="147327C9">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00" w:type="dxa"/>
            <w:noWrap w:val="0"/>
            <w:vAlign w:val="center"/>
          </w:tcPr>
          <w:p w14:paraId="54999B17">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预算金额（</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rPr>
              <w:t>元）</w:t>
            </w:r>
          </w:p>
        </w:tc>
        <w:tc>
          <w:tcPr>
            <w:tcW w:w="1650" w:type="dxa"/>
            <w:noWrap w:val="0"/>
            <w:vAlign w:val="center"/>
          </w:tcPr>
          <w:p w14:paraId="35EE235F">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最高限价</w:t>
            </w:r>
          </w:p>
          <w:p w14:paraId="65A80ADE">
            <w:pPr>
              <w:tabs>
                <w:tab w:val="left" w:pos="8280"/>
              </w:tabs>
              <w:autoSpaceDE w:val="0"/>
              <w:autoSpaceDN w:val="0"/>
              <w:adjustRightInd w:val="0"/>
              <w:spacing w:line="360" w:lineRule="auto"/>
              <w:ind w:right="23"/>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万</w:t>
            </w:r>
            <w:r>
              <w:rPr>
                <w:rFonts w:hint="eastAsia" w:ascii="宋体" w:hAnsi="宋体" w:eastAsia="宋体" w:cs="宋体"/>
                <w:b/>
                <w:color w:val="auto"/>
                <w:szCs w:val="21"/>
                <w:highlight w:val="none"/>
              </w:rPr>
              <w:t>元）</w:t>
            </w:r>
          </w:p>
        </w:tc>
        <w:tc>
          <w:tcPr>
            <w:tcW w:w="2489" w:type="dxa"/>
            <w:noWrap w:val="0"/>
            <w:vAlign w:val="center"/>
          </w:tcPr>
          <w:p w14:paraId="7576A48B">
            <w:pPr>
              <w:tabs>
                <w:tab w:val="left" w:pos="8280"/>
              </w:tabs>
              <w:autoSpaceDE w:val="0"/>
              <w:autoSpaceDN w:val="0"/>
              <w:adjustRightInd w:val="0"/>
              <w:spacing w:line="360" w:lineRule="auto"/>
              <w:ind w:right="25"/>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14:paraId="4899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1" w:type="dxa"/>
            <w:noWrap w:val="0"/>
            <w:vAlign w:val="center"/>
          </w:tcPr>
          <w:p w14:paraId="7E4B0765">
            <w:pPr>
              <w:tabs>
                <w:tab w:val="left" w:pos="8280"/>
              </w:tabs>
              <w:autoSpaceDE w:val="0"/>
              <w:autoSpaceDN w:val="0"/>
              <w:adjustRightInd w:val="0"/>
              <w:spacing w:line="360" w:lineRule="auto"/>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noWrap w:val="0"/>
            <w:vAlign w:val="center"/>
          </w:tcPr>
          <w:p w14:paraId="14F25EE4">
            <w:pPr>
              <w:widowControl/>
              <w:spacing w:line="336" w:lineRule="auto"/>
              <w:jc w:val="center"/>
              <w:rPr>
                <w:rFonts w:hint="eastAsia" w:ascii="宋体" w:hAnsi="宋体" w:eastAsia="宋体" w:cs="宋体"/>
                <w:color w:val="auto"/>
                <w:szCs w:val="21"/>
                <w:highlight w:val="none"/>
                <w:lang w:eastAsia="zh-CN"/>
              </w:rPr>
            </w:pPr>
            <w:r>
              <w:rPr>
                <w:rFonts w:hint="eastAsia" w:ascii="宋体" w:hAnsi="宋体" w:cs="宋体"/>
                <w:kern w:val="0"/>
                <w:szCs w:val="21"/>
                <w:lang w:eastAsia="zh-CN"/>
              </w:rPr>
              <w:t>仙居县台创基地未来乡村项目渔耕体验区配套道路</w:t>
            </w:r>
          </w:p>
        </w:tc>
        <w:tc>
          <w:tcPr>
            <w:tcW w:w="777" w:type="dxa"/>
            <w:noWrap w:val="0"/>
            <w:vAlign w:val="center"/>
          </w:tcPr>
          <w:p w14:paraId="739A4BE0">
            <w:pPr>
              <w:widowControl/>
              <w:spacing w:before="100" w:after="100" w:line="336" w:lineRule="auto"/>
              <w:jc w:val="center"/>
              <w:rPr>
                <w:rFonts w:hint="eastAsia" w:ascii="宋体" w:hAnsi="宋体" w:eastAsia="宋体" w:cs="宋体"/>
                <w:color w:val="auto"/>
                <w:szCs w:val="21"/>
                <w:highlight w:val="none"/>
              </w:rPr>
            </w:pPr>
            <w:r>
              <w:rPr>
                <w:rFonts w:hint="eastAsia" w:ascii="宋体" w:hAnsi="宋体" w:cs="宋体"/>
                <w:szCs w:val="21"/>
                <w:lang w:val="en-US" w:eastAsia="zh-CN"/>
              </w:rPr>
              <w:t>1</w:t>
            </w:r>
          </w:p>
        </w:tc>
        <w:tc>
          <w:tcPr>
            <w:tcW w:w="776" w:type="dxa"/>
            <w:noWrap w:val="0"/>
            <w:vAlign w:val="center"/>
          </w:tcPr>
          <w:p w14:paraId="673E3F92">
            <w:pPr>
              <w:widowControl/>
              <w:spacing w:before="100" w:after="100" w:line="336" w:lineRule="auto"/>
              <w:jc w:val="center"/>
              <w:rPr>
                <w:rFonts w:hint="eastAsia" w:ascii="宋体" w:hAnsi="宋体" w:eastAsia="宋体" w:cs="宋体"/>
                <w:color w:val="auto"/>
                <w:szCs w:val="21"/>
                <w:highlight w:val="none"/>
              </w:rPr>
            </w:pPr>
            <w:r>
              <w:rPr>
                <w:rFonts w:hint="eastAsia" w:ascii="宋体" w:hAnsi="宋体" w:cs="宋体"/>
                <w:szCs w:val="21"/>
                <w:lang w:val="en-US" w:eastAsia="zh-CN"/>
              </w:rPr>
              <w:t>项</w:t>
            </w:r>
          </w:p>
        </w:tc>
        <w:tc>
          <w:tcPr>
            <w:tcW w:w="1200" w:type="dxa"/>
            <w:noWrap w:val="0"/>
            <w:vAlign w:val="center"/>
          </w:tcPr>
          <w:p w14:paraId="245F6E9F">
            <w:pPr>
              <w:widowControl/>
              <w:spacing w:before="100" w:after="100" w:line="336" w:lineRule="auto"/>
              <w:jc w:val="center"/>
              <w:rPr>
                <w:rFonts w:hint="eastAsia" w:ascii="宋体" w:hAnsi="宋体" w:eastAsia="宋体" w:cs="宋体"/>
                <w:color w:val="auto"/>
                <w:szCs w:val="21"/>
                <w:highlight w:val="yellow"/>
                <w:lang w:eastAsia="zh-CN"/>
              </w:rPr>
            </w:pPr>
            <w:r>
              <w:rPr>
                <w:rFonts w:hint="eastAsia" w:ascii="宋体" w:hAnsi="宋体" w:eastAsia="宋体"/>
                <w:kern w:val="28"/>
                <w:sz w:val="24"/>
                <w:lang w:eastAsia="zh-CN"/>
              </w:rPr>
              <w:t>101.8422</w:t>
            </w:r>
          </w:p>
        </w:tc>
        <w:tc>
          <w:tcPr>
            <w:tcW w:w="1650" w:type="dxa"/>
            <w:noWrap w:val="0"/>
            <w:vAlign w:val="center"/>
          </w:tcPr>
          <w:p w14:paraId="7FE5E14E">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yellow"/>
                <w:lang w:eastAsia="zh-CN"/>
              </w:rPr>
            </w:pPr>
            <w:r>
              <w:rPr>
                <w:rFonts w:hint="eastAsia" w:ascii="宋体" w:hAnsi="宋体" w:cs="宋体"/>
                <w:color w:val="auto"/>
                <w:sz w:val="21"/>
                <w:szCs w:val="21"/>
                <w:highlight w:val="none"/>
                <w:lang w:val="en-US" w:eastAsia="zh-CN"/>
              </w:rPr>
              <w:t xml:space="preserve">93.6948 </w:t>
            </w:r>
            <w:r>
              <w:rPr>
                <w:rFonts w:hint="eastAsia" w:ascii="宋体" w:hAnsi="宋体" w:cs="宋体"/>
                <w:color w:val="0000FF"/>
                <w:sz w:val="21"/>
                <w:szCs w:val="21"/>
                <w:highlight w:val="none"/>
                <w:lang w:val="en-US" w:eastAsia="zh-CN"/>
              </w:rPr>
              <w:t xml:space="preserve">    </w:t>
            </w:r>
          </w:p>
        </w:tc>
        <w:tc>
          <w:tcPr>
            <w:tcW w:w="2489" w:type="dxa"/>
            <w:noWrap w:val="0"/>
            <w:vAlign w:val="center"/>
          </w:tcPr>
          <w:p w14:paraId="743976A0">
            <w:pPr>
              <w:tabs>
                <w:tab w:val="left" w:pos="8280"/>
              </w:tabs>
              <w:autoSpaceDE w:val="0"/>
              <w:autoSpaceDN w:val="0"/>
              <w:adjustRightInd w:val="0"/>
              <w:spacing w:line="360" w:lineRule="auto"/>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bl>
    <w:p w14:paraId="67E4FFB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auto"/>
        <w:ind w:right="23"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二、项目概况</w:t>
      </w:r>
    </w:p>
    <w:p w14:paraId="13A6F510">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1、服务范围及内容：本项目起于X730(田吴线)，沿现状老路拓宽改建，终点位于前王水库大坝顶。本项目采用《乡村道路工程技术规范》(G5/7 51224-2017)中设计速度15kmh的支路标准路线全长0.442公里，路基宽度4.5m。本项目利用考路进行拓宽改建，并加铺沥青路面、增设安全设施，设置步道接待中心(临时停车场)、调头平台各一处</w:t>
      </w:r>
      <w:r>
        <w:rPr>
          <w:rFonts w:hint="eastAsia" w:ascii="宋体" w:hAnsi="宋体" w:eastAsia="宋体" w:cs="宋体"/>
          <w:color w:val="auto"/>
          <w:sz w:val="21"/>
          <w:szCs w:val="21"/>
          <w:highlight w:val="none"/>
          <w:lang w:eastAsia="zh-CN"/>
        </w:rPr>
        <w:t>，具体内容详见采购人提供的工程量清单及编制说明。</w:t>
      </w:r>
    </w:p>
    <w:p w14:paraId="43BA9F31">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项目地址：</w:t>
      </w:r>
      <w:r>
        <w:rPr>
          <w:rFonts w:hint="eastAsia" w:ascii="宋体" w:hAnsi="宋体" w:cs="宋体"/>
          <w:color w:val="auto"/>
          <w:sz w:val="21"/>
          <w:szCs w:val="21"/>
          <w:highlight w:val="none"/>
          <w:lang w:val="en-US" w:eastAsia="zh-CN"/>
        </w:rPr>
        <w:t>仙居县白塔镇前王村</w:t>
      </w:r>
    </w:p>
    <w:p w14:paraId="26C47DCD">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lang w:val="en-US" w:eastAsia="zh-CN"/>
        </w:rPr>
        <w:t>3、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en-US" w:eastAsia="zh-CN"/>
        </w:rPr>
        <w:t>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47132FB">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、规范要求</w:t>
      </w:r>
    </w:p>
    <w:p w14:paraId="17C0F5A4">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依据设计施工图纸和技术规范要求，本工程项目的材料、设备、施工必须达到现行中华人民共和国及省、市、行业的一切有关法规、规范的要求，如标准及规范要求有出入则以较严格者为准。</w:t>
      </w:r>
    </w:p>
    <w:p w14:paraId="178544FA">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技术规范由供应商方自备，如有不足之处或未能达到国家最新标准时，供应商应使施工及选用的设备和材料符合最新版本的国家标准、规范。</w:t>
      </w:r>
    </w:p>
    <w:p w14:paraId="3CFE184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、施工要求</w:t>
      </w:r>
    </w:p>
    <w:p w14:paraId="5BEF8A2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1、本工程施工严格按照规范要求进行施工，达到各项拟定的设计指标，确保工程质量达到国家合格验收标准。</w:t>
      </w:r>
    </w:p>
    <w:p w14:paraId="0F263D9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在工程施工实施过程中，供应商必须制定文明施工、安全生产的各项规定，遵守总包责任人制定的现场管理制度，并无条件地接受采购人全方位、全过程的监督管理。保持现场和工程的井然有序，以免发生伤害事故。发生安全事故、火灾事故造成的损失，由承包商承担全部责任。</w:t>
      </w:r>
    </w:p>
    <w:p w14:paraId="7D0E954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3、所有材料设备必须在检验合格经采购人同意后，方可用于本工程。</w:t>
      </w:r>
    </w:p>
    <w:p w14:paraId="14BB657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4、隐蔽工程必须经采购人检查、验收后，方可进行下一道工序。</w:t>
      </w:r>
    </w:p>
    <w:p w14:paraId="4B151A1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5、在免费保修期内，成交供应商对有缺陷的部位必须无偿地给予修理与更换，并承担一切由此引起的对采购人或第三者的直接损失，除非该缺陷是由于人为破坏或合同规定的不可抗因素造成的损坏。</w:t>
      </w:r>
    </w:p>
    <w:p w14:paraId="0A31D00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6、供应商必须对所承包的工程的质量负全部责任，其责任不因其他材料生产商提供的保证书而减轻或更改。</w:t>
      </w:r>
    </w:p>
    <w:p w14:paraId="6F95FB2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五、材料和设备质量要求</w:t>
      </w:r>
    </w:p>
    <w:p w14:paraId="06D01F1F">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1、承包人提供的材料和工程设备均由承包人负责采购、运输和保管。承包人应对其采购的材料和工程设备负责。</w:t>
      </w:r>
    </w:p>
    <w:p w14:paraId="257B1E3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2、所有用于工程的材料和设备进场以前，承包人必须向发包人提交生产厂商出具的质量合格证书和承包人检验合格证书，证明材料、设备质量符合本合同技术规范的规定，以供发包人批准。</w:t>
      </w:r>
    </w:p>
    <w:p w14:paraId="563F43C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3、承包人应随时按发包人的指令在制造、加工或施工现场对材料和设备进行检验，所需费用由承包人承担。</w:t>
      </w:r>
    </w:p>
    <w:p w14:paraId="275F844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4、运入施工场地的材料、工程设备，包括备品备件、安装专用工器具与随机资料，必须专用于合同工程，未经发包人同意，承包人不得运出施工场地或挪作他用。</w:t>
      </w:r>
    </w:p>
    <w:p w14:paraId="4F0F417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5、本工程所采用的材料，承包人在磋商报价时必须考虑材料运至工地，到工地后的卸车、二次搬运、保管、验收所产生的费用。工程结算时，不作调整。承包人必须服从发包人安排并按发包人要求实施。</w:t>
      </w:r>
    </w:p>
    <w:p w14:paraId="15F53A6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2" w:firstLineChars="200"/>
        <w:textAlignment w:val="auto"/>
        <w:rPr>
          <w:rFonts w:hint="eastAsia" w:ascii="宋体" w:hAnsi="宋体" w:cs="宋体"/>
          <w:b/>
          <w:color w:val="auto"/>
          <w:sz w:val="21"/>
          <w:szCs w:val="21"/>
          <w:highlight w:val="none"/>
          <w:lang w:val="en-US" w:eastAsia="zh-CN"/>
        </w:rPr>
      </w:pPr>
    </w:p>
    <w:p w14:paraId="3A05A48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360" w:lineRule="auto"/>
        <w:ind w:right="0" w:rightChars="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、工程管理要求</w:t>
      </w:r>
    </w:p>
    <w:p w14:paraId="5096E17A">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1、本工程采购范围内的工程项目，未经采购人同意成交供应商不得将工程分包或转包。一经发现立即取消承包资格，作违约处理，并承担由此引起的一切经济损失。</w:t>
      </w:r>
    </w:p>
    <w:p w14:paraId="7EF0A31B">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09964AF">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A82D637">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4、供应商在工程施工全过程中要认真做好产品保护。凡由此而损及采购人利益时，采购人将向成交施工单位索赔。</w:t>
      </w:r>
    </w:p>
    <w:p w14:paraId="4A2E64F3">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5、施工期间，本工程用水用电由供应商自行考虑，相关费用计入投标报价中。</w:t>
      </w:r>
    </w:p>
    <w:p w14:paraId="50CBD612">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、供应商在响应文件中的承诺投入本项目实施人员的要求：</w:t>
      </w:r>
    </w:p>
    <w:p w14:paraId="09B3EB09">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供应商在响应文件中承诺的</w:t>
      </w:r>
      <w:r>
        <w:rPr>
          <w:rFonts w:hint="eastAsia" w:ascii="宋体" w:hAnsi="宋体" w:cs="宋体"/>
          <w:b/>
          <w:bCs/>
          <w:color w:val="auto"/>
          <w:sz w:val="21"/>
          <w:szCs w:val="21"/>
          <w:highlight w:val="none"/>
          <w:lang w:eastAsia="zh-CN"/>
        </w:rPr>
        <w:t>项目负责人</w:t>
      </w:r>
      <w:r>
        <w:rPr>
          <w:rFonts w:hint="eastAsia" w:ascii="宋体" w:hAnsi="宋体" w:eastAsia="宋体" w:cs="宋体"/>
          <w:b/>
          <w:bCs/>
          <w:color w:val="auto"/>
          <w:sz w:val="21"/>
          <w:szCs w:val="21"/>
          <w:highlight w:val="none"/>
        </w:rPr>
        <w:t>资格要求：具有</w:t>
      </w:r>
      <w:r>
        <w:rPr>
          <w:rFonts w:hint="eastAsia" w:ascii="宋体" w:hAnsi="宋体" w:cs="宋体"/>
          <w:b/>
          <w:bCs/>
          <w:color w:val="auto"/>
          <w:sz w:val="21"/>
          <w:szCs w:val="21"/>
          <w:highlight w:val="none"/>
          <w:lang w:val="en-US" w:eastAsia="zh-CN"/>
        </w:rPr>
        <w:t>公路</w:t>
      </w:r>
      <w:r>
        <w:rPr>
          <w:rFonts w:hint="eastAsia" w:ascii="宋体" w:hAnsi="宋体" w:eastAsia="宋体" w:cs="宋体"/>
          <w:b/>
          <w:bCs/>
          <w:color w:val="auto"/>
          <w:sz w:val="21"/>
          <w:szCs w:val="21"/>
          <w:highlight w:val="none"/>
        </w:rPr>
        <w:t>工程专业注册建造师二级及以上，并具有“三类人员”B类证书；</w:t>
      </w:r>
    </w:p>
    <w:p w14:paraId="0D9C5524">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23"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拟派本项目施工现场安全生产专职管理人员具有“三类人员”C类证书。</w:t>
      </w:r>
    </w:p>
    <w:p w14:paraId="7DA8CD91">
      <w:pPr>
        <w:pStyle w:val="4"/>
        <w:keepNext/>
        <w:keepLines/>
        <w:pageBreakBefore w:val="0"/>
        <w:widowControl w:val="0"/>
        <w:kinsoku/>
        <w:wordWrap/>
        <w:overflowPunct/>
        <w:topLinePunct w:val="0"/>
        <w:autoSpaceDE/>
        <w:autoSpaceDN/>
        <w:bidi w:val="0"/>
        <w:adjustRightInd/>
        <w:snapToGrid w:val="0"/>
        <w:spacing w:before="0" w:beforeLines="0" w:after="0" w:afterLines="0" w:line="400" w:lineRule="exact"/>
        <w:ind w:firstLine="422" w:firstLineChars="200"/>
        <w:textAlignment w:val="auto"/>
        <w:outlineLvl w:val="1"/>
        <w:rPr>
          <w:rFonts w:hint="eastAsia" w:ascii="宋体" w:hAnsi="宋体" w:eastAsia="宋体" w:cs="宋体"/>
          <w:b/>
          <w:bCs w:val="0"/>
          <w:color w:val="auto"/>
          <w:sz w:val="21"/>
          <w:szCs w:val="21"/>
          <w:highlight w:val="none"/>
          <w:lang w:val="en-US" w:eastAsia="zh-CN"/>
        </w:rPr>
      </w:pPr>
      <w:bookmarkStart w:id="13" w:name="_Toc20089"/>
      <w:bookmarkStart w:id="14" w:name="_Toc3619"/>
      <w:r>
        <w:rPr>
          <w:rFonts w:hint="eastAsia" w:ascii="宋体" w:hAnsi="宋体" w:eastAsia="宋体" w:cs="宋体"/>
          <w:b/>
          <w:bCs w:val="0"/>
          <w:color w:val="auto"/>
          <w:sz w:val="21"/>
          <w:szCs w:val="21"/>
          <w:highlight w:val="none"/>
          <w:lang w:val="en-US" w:eastAsia="zh-CN"/>
        </w:rPr>
        <w:t>八、承包和计价方式</w:t>
      </w:r>
      <w:bookmarkEnd w:id="13"/>
      <w:bookmarkEnd w:id="14"/>
    </w:p>
    <w:p w14:paraId="3E2ED397">
      <w:pPr>
        <w:numPr>
          <w:ilvl w:val="0"/>
          <w:numId w:val="0"/>
        </w:num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承包方式</w:t>
      </w:r>
    </w:p>
    <w:p w14:paraId="1850A6FC">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包工、包料、包工期、包质量、包安全文明施工等。</w:t>
      </w:r>
    </w:p>
    <w:p w14:paraId="226BC704">
      <w:pPr>
        <w:numPr>
          <w:ilvl w:val="0"/>
          <w:numId w:val="0"/>
        </w:num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lang w:val="en-US" w:eastAsia="zh-CN" w:bidi="ar-SA"/>
        </w:rPr>
        <w:t>2、</w:t>
      </w:r>
      <w:r>
        <w:rPr>
          <w:rFonts w:hint="eastAsia" w:ascii="宋体" w:hAnsi="宋体" w:cs="宋体"/>
          <w:color w:val="auto"/>
          <w:kern w:val="0"/>
          <w:sz w:val="21"/>
          <w:szCs w:val="21"/>
          <w:highlight w:val="none"/>
        </w:rPr>
        <w:t>计价方式</w:t>
      </w:r>
    </w:p>
    <w:p w14:paraId="6BF83483">
      <w:pPr>
        <w:numPr>
          <w:ilvl w:val="0"/>
          <w:numId w:val="0"/>
        </w:num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采用固定综合单价计价方式。</w:t>
      </w:r>
    </w:p>
    <w:p w14:paraId="033220C8">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在合同执行期内综合单价固定不变，工程量按实结算</w:t>
      </w:r>
      <w:r>
        <w:rPr>
          <w:rFonts w:hint="eastAsia" w:ascii="宋体" w:hAnsi="宋体" w:cs="宋体"/>
          <w:color w:val="auto"/>
          <w:kern w:val="0"/>
          <w:sz w:val="21"/>
          <w:szCs w:val="21"/>
          <w:highlight w:val="none"/>
          <w:lang w:eastAsia="zh-CN"/>
        </w:rPr>
        <w:t>，</w:t>
      </w:r>
      <w:r>
        <w:rPr>
          <w:rFonts w:hint="eastAsia" w:ascii="宋体" w:hAnsi="宋体" w:eastAsia="宋体" w:cs="宋体"/>
          <w:bCs/>
          <w:color w:val="auto"/>
          <w:sz w:val="21"/>
          <w:szCs w:val="21"/>
          <w:highlight w:val="none"/>
        </w:rPr>
        <w:t>采购人有权单方面做出决定增加或减少或取消数量，但不得调整综合单价。引起承包总价变化，最终以审计为准。</w:t>
      </w:r>
    </w:p>
    <w:p w14:paraId="040C8CBC">
      <w:p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自行</w:t>
      </w:r>
      <w:r>
        <w:rPr>
          <w:rFonts w:hint="eastAsia" w:ascii="宋体" w:hAnsi="宋体" w:cs="宋体"/>
          <w:color w:val="auto"/>
          <w:kern w:val="0"/>
          <w:sz w:val="21"/>
          <w:szCs w:val="21"/>
          <w:highlight w:val="none"/>
        </w:rPr>
        <w:t>踏勘现场，</w:t>
      </w:r>
      <w:r>
        <w:rPr>
          <w:rFonts w:hint="eastAsia" w:ascii="宋体" w:hAnsi="宋体" w:eastAsia="宋体" w:cs="宋体"/>
          <w:color w:val="auto"/>
          <w:sz w:val="21"/>
          <w:szCs w:val="21"/>
          <w:highlight w:val="none"/>
        </w:rPr>
        <w:t>认真核对工程量清单中施工内容和工程量</w:t>
      </w:r>
      <w:r>
        <w:rPr>
          <w:rFonts w:hint="eastAsia" w:ascii="宋体" w:hAnsi="宋体" w:eastAsia="宋体" w:cs="宋体"/>
          <w:color w:val="auto"/>
          <w:sz w:val="21"/>
          <w:szCs w:val="21"/>
          <w:highlight w:val="none"/>
          <w:lang w:eastAsia="zh-CN"/>
        </w:rPr>
        <w:t>，</w:t>
      </w:r>
      <w:r>
        <w:rPr>
          <w:rFonts w:hint="eastAsia" w:ascii="宋体" w:hAnsi="宋体" w:cs="宋体"/>
          <w:color w:val="auto"/>
          <w:kern w:val="0"/>
          <w:sz w:val="21"/>
          <w:szCs w:val="21"/>
          <w:highlight w:val="none"/>
        </w:rPr>
        <w:t>确立合理的施工方案并充分考虑相应的措施项目及费用，对文件中存在的缺陷和不足进行深化、细化、完善和调整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1BA1E093">
      <w:pPr>
        <w:adjustRightInd w:val="0"/>
        <w:snapToGrid w:val="0"/>
        <w:spacing w:line="360" w:lineRule="auto"/>
        <w:ind w:firstLine="420" w:firstLineChars="200"/>
        <w:rPr>
          <w:rFonts w:hint="eastAsia" w:ascii="宋体" w:hAnsi="宋体" w:cs="宋体"/>
          <w:color w:val="auto"/>
          <w:kern w:val="0"/>
          <w:sz w:val="21"/>
          <w:szCs w:val="21"/>
          <w:highlight w:val="none"/>
        </w:rPr>
      </w:pPr>
      <w:r>
        <w:rPr>
          <w:rFonts w:hint="eastAsia" w:ascii="宋体" w:hAnsi="宋体" w:eastAsia="宋体" w:cs="宋体"/>
          <w:bCs/>
          <w:color w:val="auto"/>
          <w:sz w:val="21"/>
          <w:szCs w:val="21"/>
          <w:lang w:val="en-US" w:eastAsia="zh-CN"/>
        </w:rPr>
        <w:t>（4）</w:t>
      </w:r>
      <w:r>
        <w:rPr>
          <w:rFonts w:hint="eastAsia" w:ascii="宋体" w:hAnsi="宋体" w:eastAsia="宋体" w:cs="宋体"/>
          <w:color w:val="auto"/>
          <w:sz w:val="21"/>
          <w:szCs w:val="21"/>
        </w:rPr>
        <w:t>除非</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人对</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文件予以修改，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应按</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提供的</w:t>
      </w:r>
      <w:r>
        <w:rPr>
          <w:rFonts w:hint="eastAsia" w:ascii="宋体" w:hAnsi="宋体" w:eastAsia="宋体" w:cs="宋体"/>
          <w:color w:val="auto"/>
          <w:sz w:val="21"/>
          <w:szCs w:val="21"/>
          <w:lang w:val="en-US" w:eastAsia="zh-CN"/>
        </w:rPr>
        <w:t>清单报价表</w:t>
      </w:r>
      <w:r>
        <w:rPr>
          <w:rFonts w:hint="eastAsia" w:ascii="宋体" w:hAnsi="宋体" w:eastAsia="宋体" w:cs="宋体"/>
          <w:color w:val="auto"/>
          <w:sz w:val="21"/>
          <w:szCs w:val="21"/>
        </w:rPr>
        <w:t>中列出的工程项目和工程量填报单价和合价。每一项目只允许有一个报价。任何有选择的报价将不予接受。</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未填单价或合价的工程项目，在实施后，</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将不予以支付，并视为该项费用已包括在</w:t>
      </w:r>
      <w:r>
        <w:rPr>
          <w:rFonts w:hint="eastAsia" w:ascii="宋体" w:hAnsi="宋体" w:cs="宋体"/>
          <w:color w:val="auto"/>
          <w:kern w:val="0"/>
          <w:sz w:val="21"/>
          <w:szCs w:val="21"/>
          <w:highlight w:val="none"/>
        </w:rPr>
        <w:t>其他有价款的单价或合价内。</w:t>
      </w:r>
    </w:p>
    <w:p w14:paraId="00732144">
      <w:pPr>
        <w:adjustRightInd w:val="0"/>
        <w:snapToGrid w:val="0"/>
        <w:spacing w:line="360" w:lineRule="auto"/>
        <w:ind w:firstLine="480"/>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工程总报价包括项目实施所需的包含人工费、材料费、燃料费、设备的进退场费用、二次搬运费、冬雨季施工增加费、行车、行人干扰增加费、检测费、保险费、管理费、利润及各种规费、税费、水费、电费、安全文明施工费、采购代理服务费、政策性文件规定及合同包含的所有风险责任等一切费用等完成合同所需的一切本身和不可或缺的所有工作开支、政策性文件规定及合同包含的所有风险、责任等各项全部费用并承担一切风险责任</w:t>
      </w:r>
      <w:r>
        <w:rPr>
          <w:rFonts w:hint="eastAsia" w:hAnsi="宋体" w:eastAsia="宋体" w:cs="宋体"/>
          <w:sz w:val="21"/>
          <w:szCs w:val="21"/>
          <w:highlight w:val="none"/>
          <w:lang w:eastAsia="zh-CN"/>
        </w:rPr>
        <w:t>。</w:t>
      </w:r>
    </w:p>
    <w:p w14:paraId="7068233F">
      <w:pPr>
        <w:numPr>
          <w:ilvl w:val="0"/>
          <w:numId w:val="0"/>
        </w:numPr>
        <w:adjustRightInd w:val="0"/>
        <w:snapToGrid w:val="0"/>
        <w:spacing w:line="360" w:lineRule="auto"/>
        <w:ind w:firstLine="420" w:firstLineChars="200"/>
        <w:rPr>
          <w:rFonts w:hint="eastAsia" w:ascii="宋体" w:hAnsi="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cs="宋体"/>
          <w:kern w:val="0"/>
          <w:sz w:val="21"/>
          <w:szCs w:val="21"/>
        </w:rPr>
        <w:t>供应商应按要求填写相应表格，在填报价格及费用时应充分考虑国家现行技术标准、规范和施工说明要求。</w:t>
      </w:r>
    </w:p>
    <w:p w14:paraId="62552E6C">
      <w:pPr>
        <w:tabs>
          <w:tab w:val="left" w:pos="8280"/>
        </w:tabs>
        <w:autoSpaceDE w:val="0"/>
        <w:autoSpaceDN w:val="0"/>
        <w:adjustRightInd w:val="0"/>
        <w:spacing w:before="120" w:beforeLines="50" w:after="120" w:afterLines="50" w:line="360" w:lineRule="auto"/>
        <w:ind w:right="23"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、商务条款</w:t>
      </w:r>
    </w:p>
    <w:tbl>
      <w:tblPr>
        <w:tblStyle w:val="36"/>
        <w:tblW w:w="909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69"/>
      </w:tblGrid>
      <w:tr w14:paraId="66EA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24788E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合同履约期限</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279D739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cs="宋体"/>
                <w:kern w:val="0"/>
                <w:szCs w:val="21"/>
                <w:highlight w:val="none"/>
                <w:lang w:val="en-US" w:eastAsia="zh-CN"/>
              </w:rPr>
              <w:t>项目工期不超过65日历天</w:t>
            </w:r>
          </w:p>
        </w:tc>
      </w:tr>
      <w:tr w14:paraId="55CD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431F5E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eastAsia="zh-CN" w:bidi="ar"/>
              </w:rPr>
              <w:t>质量</w:t>
            </w:r>
            <w:r>
              <w:rPr>
                <w:rFonts w:hint="eastAsia" w:ascii="宋体" w:hAnsi="宋体" w:cs="宋体"/>
                <w:b/>
                <w:sz w:val="21"/>
                <w:szCs w:val="21"/>
                <w:highlight w:val="none"/>
                <w:lang w:val="en-US" w:eastAsia="zh-CN" w:bidi="ar"/>
              </w:rPr>
              <w:t>要求</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3ECC82CA">
            <w:pPr>
              <w:pStyle w:val="3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合格</w:t>
            </w:r>
            <w:r>
              <w:rPr>
                <w:rFonts w:hint="eastAsia" w:ascii="宋体" w:eastAsia="宋体" w:cs="宋体"/>
                <w:sz w:val="21"/>
                <w:szCs w:val="21"/>
                <w:highlight w:val="none"/>
                <w:lang w:eastAsia="zh-CN"/>
              </w:rPr>
              <w:t>。</w:t>
            </w:r>
          </w:p>
        </w:tc>
      </w:tr>
      <w:tr w14:paraId="4588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5047CC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lang w:val="en-US" w:eastAsia="zh-CN" w:bidi="ar"/>
              </w:rPr>
            </w:pPr>
            <w:r>
              <w:rPr>
                <w:rFonts w:hint="eastAsia" w:ascii="宋体" w:hAnsi="宋体" w:cs="宋体"/>
                <w:b/>
                <w:color w:val="auto"/>
                <w:sz w:val="21"/>
                <w:szCs w:val="21"/>
                <w:highlight w:val="none"/>
                <w:lang w:val="en-US" w:eastAsia="zh-CN" w:bidi="ar"/>
              </w:rPr>
              <w:t>保修要求</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279E2B39">
            <w:pPr>
              <w:pStyle w:val="3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本工程缺陷责任期为</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p>
          <w:p w14:paraId="40DAB735">
            <w:pPr>
              <w:spacing w:line="360" w:lineRule="auto"/>
              <w:jc w:val="both"/>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lang w:val="en-US" w:eastAsia="zh-CN"/>
              </w:rPr>
              <w:t>成交供应商</w:t>
            </w:r>
            <w:r>
              <w:rPr>
                <w:rFonts w:hint="eastAsia" w:ascii="宋体" w:hAnsi="宋体" w:cs="宋体"/>
                <w:sz w:val="21"/>
                <w:szCs w:val="21"/>
              </w:rPr>
              <w:t>施工完毕，并在工程竣工验收合格办理移交手续之日，在签订的工程质量保修书期限内，为发包方提供免费服务。</w:t>
            </w:r>
          </w:p>
          <w:p w14:paraId="319ABD11">
            <w:pPr>
              <w:spacing w:line="360" w:lineRule="auto"/>
              <w:jc w:val="both"/>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中标后承包人应与发包人签订工程质量保修书，承包人在质量保修期内，按照有关法律、法规、规章的管理规定和双方约定，承担本工程质量保修责任。</w:t>
            </w:r>
          </w:p>
          <w:p w14:paraId="550D4600">
            <w:pPr>
              <w:pStyle w:val="16"/>
              <w:rPr>
                <w:rFonts w:hint="eastAsia"/>
                <w:lang w:eastAsia="zh-CN"/>
              </w:rPr>
            </w:pPr>
            <w:r>
              <w:rPr>
                <w:rFonts w:hint="eastAsia" w:ascii="宋体" w:hAnsi="宋体" w:cs="宋体"/>
                <w:sz w:val="21"/>
                <w:szCs w:val="21"/>
                <w:lang w:val="en-US" w:eastAsia="zh-CN"/>
              </w:rPr>
              <w:t>（3）</w:t>
            </w:r>
            <w:r>
              <w:rPr>
                <w:rFonts w:hint="eastAsia" w:ascii="宋体" w:hAnsi="宋体" w:cs="宋体"/>
                <w:sz w:val="21"/>
                <w:szCs w:val="21"/>
              </w:rPr>
              <w:t>承包人要对其所提供的施工、材料、设备及其内在工程质量负全部责任。</w:t>
            </w:r>
          </w:p>
        </w:tc>
      </w:tr>
      <w:tr w14:paraId="509C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61299E3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highlight w:val="none"/>
                <w:lang w:eastAsia="zh-CN" w:bidi="ar"/>
              </w:rPr>
            </w:pPr>
            <w:r>
              <w:rPr>
                <w:rFonts w:hint="eastAsia" w:ascii="宋体" w:hAnsi="宋体" w:eastAsia="宋体" w:cs="宋体"/>
                <w:b/>
                <w:sz w:val="21"/>
                <w:szCs w:val="21"/>
                <w:highlight w:val="none"/>
                <w:lang w:bidi="ar"/>
              </w:rPr>
              <w:t>付款</w:t>
            </w:r>
            <w:r>
              <w:rPr>
                <w:rFonts w:hint="eastAsia" w:ascii="宋体" w:hAnsi="宋体" w:eastAsia="宋体" w:cs="宋体"/>
                <w:b/>
                <w:sz w:val="21"/>
                <w:szCs w:val="21"/>
                <w:highlight w:val="none"/>
                <w:lang w:eastAsia="zh-CN" w:bidi="ar"/>
              </w:rPr>
              <w:t>方式</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77A65683">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rPr>
            </w:pPr>
            <w:r>
              <w:rPr>
                <w:rFonts w:hint="default" w:ascii="宋体" w:hAnsi="宋体" w:eastAsia="宋体" w:cs="宋体"/>
                <w:kern w:val="2"/>
                <w:sz w:val="21"/>
                <w:szCs w:val="21"/>
                <w:lang w:val="en-US" w:eastAsia="zh-CN" w:bidi="ar-SA"/>
              </w:rPr>
              <w:t>（1）</w:t>
            </w:r>
            <w:r>
              <w:rPr>
                <w:rFonts w:hint="eastAsia" w:asciiTheme="majorEastAsia" w:hAnsiTheme="majorEastAsia" w:eastAsiaTheme="majorEastAsia" w:cstheme="majorEastAsia"/>
                <w:color w:val="000000"/>
                <w:sz w:val="21"/>
                <w:szCs w:val="21"/>
                <w:highlight w:val="none"/>
              </w:rPr>
              <w:t>签约合同价的</w:t>
            </w:r>
            <w:r>
              <w:rPr>
                <w:rFonts w:hint="eastAsia" w:asciiTheme="majorEastAsia" w:hAnsiTheme="majorEastAsia" w:eastAsiaTheme="majorEastAsia" w:cstheme="majorEastAsia"/>
                <w:color w:val="000000"/>
                <w:sz w:val="21"/>
                <w:szCs w:val="21"/>
                <w:highlight w:val="none"/>
                <w:lang w:val="en-US" w:eastAsia="zh-CN"/>
              </w:rPr>
              <w:t>2</w:t>
            </w:r>
            <w:r>
              <w:rPr>
                <w:rFonts w:hint="eastAsia" w:asciiTheme="majorEastAsia" w:hAnsiTheme="majorEastAsia" w:eastAsiaTheme="majorEastAsia" w:cstheme="majorEastAsia"/>
                <w:color w:val="000000"/>
                <w:sz w:val="21"/>
                <w:szCs w:val="21"/>
                <w:highlight w:val="none"/>
              </w:rPr>
              <w:t>0%（包含1%工资性工程预付款，转入农民工工资专用账户），在合同生效，承包人人员设备进场后7天内支付。</w:t>
            </w:r>
            <w:r>
              <w:rPr>
                <w:rFonts w:hint="eastAsia" w:ascii="宋体" w:hAnsi="宋体" w:eastAsia="宋体" w:cs="宋体"/>
                <w:color w:val="auto"/>
                <w:sz w:val="21"/>
                <w:szCs w:val="21"/>
                <w:highlight w:val="none"/>
                <w:lang w:eastAsia="zh-CN"/>
              </w:rPr>
              <w:t>待工程完工竣工初验后，付至合同价的8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eastAsia="zh-CN"/>
              </w:rPr>
              <w:t>（包括</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lang w:eastAsia="zh-CN"/>
              </w:rPr>
              <w:t>0%的开工预付款）</w:t>
            </w:r>
            <w:r>
              <w:rPr>
                <w:rFonts w:hint="eastAsia" w:ascii="宋体" w:hAnsi="宋体" w:eastAsia="宋体" w:cs="宋体"/>
                <w:color w:val="auto"/>
                <w:sz w:val="21"/>
                <w:szCs w:val="21"/>
                <w:highlight w:val="none"/>
                <w:lang w:eastAsia="zh-CN"/>
              </w:rPr>
              <w:t>，审计结算后，出具审计报告后支付至审计价款的98.5%，剩余1.5%（不计息）在缺陷责任期满后工程无质量问题、成交供应商无违约行为的情况下</w:t>
            </w:r>
            <w:r>
              <w:rPr>
                <w:rFonts w:hint="eastAsia" w:ascii="宋体" w:eastAsia="宋体" w:cs="宋体"/>
                <w:color w:val="auto"/>
                <w:sz w:val="21"/>
                <w:szCs w:val="21"/>
                <w:highlight w:val="none"/>
                <w:lang w:val="en-US" w:eastAsia="zh-CN"/>
              </w:rPr>
              <w:t>7个工作</w:t>
            </w:r>
            <w:r>
              <w:rPr>
                <w:rFonts w:hint="eastAsia" w:ascii="宋体" w:hAnsi="宋体" w:eastAsia="宋体" w:cs="宋体"/>
                <w:color w:val="auto"/>
                <w:sz w:val="21"/>
                <w:szCs w:val="21"/>
                <w:highlight w:val="none"/>
                <w:lang w:eastAsia="zh-CN"/>
              </w:rPr>
              <w:t>日内付清。承包人收取每期工程款时应开具正式发票。</w:t>
            </w:r>
          </w:p>
          <w:p w14:paraId="150B98F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highlight w:val="none"/>
              </w:rPr>
              <w:t>承包人须开具正规合法的建筑增值税发票提供给</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w:t>
            </w:r>
          </w:p>
          <w:p w14:paraId="4035AA6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highlight w:val="none"/>
              </w:rPr>
              <w:t>在项目实施中</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有工作量增减需要的，在竣工结算时以出具的有效联系单为准，列入竣工结算款项，无甲方书面明确要求的，乙方不得擅自调整或变更。</w:t>
            </w:r>
          </w:p>
        </w:tc>
      </w:tr>
      <w:tr w14:paraId="47BE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30" w:type="dxa"/>
            <w:tcBorders>
              <w:top w:val="single" w:color="auto" w:sz="4" w:space="0"/>
              <w:left w:val="single" w:color="auto" w:sz="4" w:space="0"/>
              <w:bottom w:val="single" w:color="auto" w:sz="4" w:space="0"/>
              <w:right w:val="single" w:color="auto" w:sz="4" w:space="0"/>
            </w:tcBorders>
            <w:noWrap w:val="0"/>
            <w:vAlign w:val="center"/>
          </w:tcPr>
          <w:p w14:paraId="406517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1"/>
                <w:szCs w:val="21"/>
                <w:highlight w:val="none"/>
                <w:lang w:bidi="ar"/>
              </w:rPr>
            </w:pPr>
            <w:r>
              <w:rPr>
                <w:rFonts w:hint="eastAsia" w:ascii="宋体" w:hAnsi="宋体" w:eastAsia="宋体" w:cs="宋体"/>
                <w:b/>
                <w:sz w:val="21"/>
                <w:szCs w:val="21"/>
                <w:highlight w:val="none"/>
              </w:rPr>
              <w:t>履约保证金</w:t>
            </w:r>
          </w:p>
        </w:tc>
        <w:tc>
          <w:tcPr>
            <w:tcW w:w="7569" w:type="dxa"/>
            <w:tcBorders>
              <w:top w:val="single" w:color="auto" w:sz="4" w:space="0"/>
              <w:left w:val="single" w:color="auto" w:sz="4" w:space="0"/>
              <w:bottom w:val="single" w:color="auto" w:sz="4" w:space="0"/>
              <w:right w:val="single" w:color="auto" w:sz="4" w:space="0"/>
            </w:tcBorders>
            <w:noWrap w:val="0"/>
            <w:vAlign w:val="center"/>
          </w:tcPr>
          <w:p w14:paraId="5453111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（1）成交供应商向采购人提供履约担保，担保方式为： 转账、及采购人认可的包含形式（如银行保函、保险机构保证保险保单和融资担保公司保函 ），担保合同作为合同附件。担保额度：合同价的</w:t>
            </w:r>
            <w:r>
              <w:rPr>
                <w:rFonts w:hint="eastAsia" w:ascii="宋体" w:hAnsi="宋体" w:cs="宋体"/>
                <w:sz w:val="21"/>
                <w:szCs w:val="21"/>
                <w:highlight w:val="none"/>
                <w:lang w:val="en-US" w:eastAsia="zh-CN" w:bidi="ar"/>
              </w:rPr>
              <w:t>2</w:t>
            </w:r>
            <w:r>
              <w:rPr>
                <w:rFonts w:hint="eastAsia" w:ascii="宋体" w:hAnsi="宋体" w:eastAsia="宋体" w:cs="宋体"/>
                <w:sz w:val="21"/>
                <w:szCs w:val="21"/>
                <w:highlight w:val="none"/>
                <w:lang w:bidi="ar"/>
              </w:rPr>
              <w:t>%。成交供应商应按合同规定向采购人提交履约保证金。</w:t>
            </w:r>
          </w:p>
          <w:p w14:paraId="7B37974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（2）工程通过竣工验收合格后15日内无息退还。如成交供应商原因造成合同中止，履约担保金不返还；如成交供应商不能按磋商承诺和合同要求履约，采购人将有权扣除相应甚至全部履约保证金。</w:t>
            </w:r>
          </w:p>
        </w:tc>
      </w:tr>
      <w:bookmarkEnd w:id="10"/>
      <w:bookmarkEnd w:id="11"/>
    </w:tbl>
    <w:p w14:paraId="368A2952">
      <w:pPr>
        <w:pStyle w:val="4"/>
        <w:numPr>
          <w:ilvl w:val="0"/>
          <w:numId w:val="0"/>
        </w:numPr>
        <w:spacing w:before="0" w:after="0" w:line="360" w:lineRule="auto"/>
        <w:rPr>
          <w:rFonts w:ascii="宋体" w:hAnsi="宋体" w:eastAsia="宋体" w:cs="宋体"/>
          <w:sz w:val="21"/>
          <w:szCs w:val="21"/>
        </w:rPr>
      </w:pPr>
      <w:bookmarkStart w:id="15" w:name="_Toc15955"/>
      <w:bookmarkStart w:id="16" w:name="_Toc32240"/>
      <w:bookmarkStart w:id="17" w:name="_Toc21935"/>
      <w:r>
        <w:rPr>
          <w:rFonts w:hint="eastAsia" w:ascii="宋体" w:hAnsi="宋体" w:eastAsia="宋体" w:cs="宋体"/>
          <w:sz w:val="21"/>
          <w:szCs w:val="21"/>
          <w:lang w:eastAsia="zh-CN"/>
        </w:rPr>
        <w:t>十、</w:t>
      </w:r>
      <w:r>
        <w:rPr>
          <w:rFonts w:hint="eastAsia" w:ascii="宋体" w:hAnsi="宋体" w:eastAsia="宋体" w:cs="宋体"/>
          <w:sz w:val="21"/>
          <w:szCs w:val="21"/>
        </w:rPr>
        <w:t>注意事项</w:t>
      </w:r>
      <w:bookmarkEnd w:id="15"/>
      <w:bookmarkEnd w:id="16"/>
      <w:bookmarkEnd w:id="17"/>
    </w:p>
    <w:p w14:paraId="123F8265">
      <w:pPr>
        <w:rPr>
          <w:rFonts w:hint="eastAsia" w:ascii="宋体" w:hAnsi="宋体" w:cs="宋体"/>
          <w:sz w:val="32"/>
          <w:szCs w:val="32"/>
        </w:rPr>
      </w:pPr>
      <w:r>
        <w:rPr>
          <w:rFonts w:hint="eastAsia" w:ascii="宋体" w:eastAsia="宋体" w:cs="宋体"/>
          <w:sz w:val="21"/>
          <w:szCs w:val="21"/>
        </w:rPr>
        <w:t>为了更好地实现采购目标，磋商小组可以修改竞争性磋商采购文件，对采购需求、合同草案作出实质性变动，并以书面形式通知所有参加磋商的供应商。供应商收到修改采购文件的通知后，可以决定是否继续参加磋商活动。</w:t>
      </w:r>
      <w:r>
        <w:rPr>
          <w:rFonts w:hint="eastAsia" w:ascii="宋体" w:hAnsi="宋体" w:cs="宋体"/>
          <w:sz w:val="32"/>
          <w:szCs w:val="32"/>
        </w:rPr>
        <w:br w:type="page"/>
      </w:r>
    </w:p>
    <w:p w14:paraId="31B9618A">
      <w:pPr>
        <w:pStyle w:val="3"/>
        <w:spacing w:before="0" w:after="0" w:line="360" w:lineRule="auto"/>
        <w:jc w:val="center"/>
        <w:rPr>
          <w:rFonts w:hint="eastAsia" w:ascii="宋体" w:hAnsi="宋体" w:cs="宋体"/>
          <w:sz w:val="32"/>
          <w:szCs w:val="32"/>
        </w:rPr>
      </w:pPr>
      <w:r>
        <w:rPr>
          <w:rFonts w:hint="eastAsia" w:ascii="宋体" w:hAnsi="宋体" w:cs="宋体"/>
          <w:sz w:val="32"/>
          <w:szCs w:val="32"/>
        </w:rPr>
        <w:t xml:space="preserve">第三章  </w:t>
      </w:r>
      <w:r>
        <w:rPr>
          <w:rFonts w:hint="eastAsia" w:ascii="宋体" w:hAnsi="宋体" w:cs="宋体"/>
          <w:sz w:val="32"/>
          <w:szCs w:val="32"/>
          <w:lang w:val="en-US" w:eastAsia="zh-CN"/>
        </w:rPr>
        <w:t>磋商</w:t>
      </w:r>
      <w:r>
        <w:rPr>
          <w:rFonts w:hint="eastAsia" w:ascii="宋体" w:hAnsi="宋体" w:cs="宋体"/>
          <w:sz w:val="32"/>
          <w:szCs w:val="32"/>
        </w:rPr>
        <w:t>须知</w:t>
      </w:r>
      <w:bookmarkEnd w:id="12"/>
    </w:p>
    <w:p w14:paraId="3845737A">
      <w:pPr>
        <w:pStyle w:val="4"/>
        <w:spacing w:before="0" w:after="0" w:line="300" w:lineRule="exact"/>
        <w:jc w:val="center"/>
        <w:rPr>
          <w:rFonts w:hint="eastAsia" w:ascii="宋体" w:hAnsi="宋体" w:eastAsia="宋体"/>
          <w:sz w:val="24"/>
          <w:szCs w:val="24"/>
        </w:rPr>
      </w:pPr>
      <w:bookmarkStart w:id="18" w:name="_Toc1651"/>
      <w:bookmarkStart w:id="19" w:name="_Toc24410"/>
      <w:bookmarkStart w:id="20" w:name="_Toc28602"/>
      <w:bookmarkStart w:id="21" w:name="_Toc24469"/>
      <w:bookmarkStart w:id="22" w:name="_Toc528927413"/>
      <w:bookmarkStart w:id="23" w:name="_Toc508888785"/>
      <w:bookmarkStart w:id="24" w:name="_Toc9575"/>
      <w:bookmarkStart w:id="25" w:name="_Toc13120"/>
      <w:r>
        <w:rPr>
          <w:rFonts w:hint="eastAsia" w:ascii="宋体" w:hAnsi="宋体" w:eastAsia="宋体"/>
          <w:sz w:val="24"/>
          <w:szCs w:val="24"/>
        </w:rPr>
        <w:t>前</w:t>
      </w:r>
      <w:r>
        <w:rPr>
          <w:rFonts w:ascii="宋体" w:hAnsi="宋体" w:eastAsia="宋体"/>
          <w:sz w:val="24"/>
          <w:szCs w:val="24"/>
        </w:rPr>
        <w:t xml:space="preserve"> </w:t>
      </w:r>
      <w:r>
        <w:rPr>
          <w:rFonts w:hint="eastAsia" w:ascii="宋体" w:hAnsi="宋体" w:eastAsia="宋体"/>
          <w:sz w:val="24"/>
          <w:szCs w:val="24"/>
        </w:rPr>
        <w:t>附</w:t>
      </w:r>
      <w:r>
        <w:rPr>
          <w:rFonts w:ascii="宋体" w:hAnsi="宋体" w:eastAsia="宋体"/>
          <w:sz w:val="24"/>
          <w:szCs w:val="24"/>
        </w:rPr>
        <w:t xml:space="preserve"> </w:t>
      </w:r>
      <w:r>
        <w:rPr>
          <w:rFonts w:hint="eastAsia" w:ascii="宋体" w:hAnsi="宋体" w:eastAsia="宋体"/>
          <w:sz w:val="24"/>
          <w:szCs w:val="24"/>
        </w:rPr>
        <w:t>表</w:t>
      </w:r>
      <w:bookmarkEnd w:id="18"/>
      <w:bookmarkEnd w:id="19"/>
      <w:bookmarkEnd w:id="20"/>
      <w:bookmarkEnd w:id="21"/>
      <w:bookmarkEnd w:id="22"/>
      <w:bookmarkEnd w:id="23"/>
      <w:bookmarkEnd w:id="24"/>
      <w:bookmarkEnd w:id="25"/>
    </w:p>
    <w:tbl>
      <w:tblPr>
        <w:tblStyle w:val="36"/>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54"/>
        <w:gridCol w:w="6194"/>
      </w:tblGrid>
      <w:tr w14:paraId="5A3C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7" w:type="dxa"/>
            <w:shd w:val="clear" w:color="auto" w:fill="D7D7D7"/>
            <w:vAlign w:val="center"/>
          </w:tcPr>
          <w:p w14:paraId="226E04E1">
            <w:pPr>
              <w:spacing w:line="240" w:lineRule="exact"/>
              <w:jc w:val="center"/>
              <w:rPr>
                <w:rFonts w:hint="eastAsia" w:ascii="宋体" w:hAnsi="宋体"/>
                <w:b/>
                <w:szCs w:val="21"/>
              </w:rPr>
            </w:pPr>
            <w:r>
              <w:rPr>
                <w:rFonts w:hint="eastAsia" w:ascii="宋体" w:hAnsi="宋体"/>
                <w:b/>
                <w:szCs w:val="21"/>
              </w:rPr>
              <w:t>条款号</w:t>
            </w:r>
          </w:p>
        </w:tc>
        <w:tc>
          <w:tcPr>
            <w:tcW w:w="2154" w:type="dxa"/>
            <w:shd w:val="clear" w:color="auto" w:fill="D7D7D7"/>
            <w:vAlign w:val="center"/>
          </w:tcPr>
          <w:p w14:paraId="5FA739A8">
            <w:pPr>
              <w:spacing w:line="240" w:lineRule="exact"/>
              <w:jc w:val="center"/>
              <w:rPr>
                <w:rFonts w:hint="eastAsia" w:ascii="宋体" w:hAnsi="宋体"/>
                <w:b/>
                <w:szCs w:val="21"/>
              </w:rPr>
            </w:pPr>
            <w:r>
              <w:rPr>
                <w:rFonts w:hint="eastAsia" w:ascii="宋体" w:hAnsi="宋体"/>
                <w:b/>
                <w:szCs w:val="21"/>
              </w:rPr>
              <w:t>名称</w:t>
            </w:r>
          </w:p>
        </w:tc>
        <w:tc>
          <w:tcPr>
            <w:tcW w:w="6194" w:type="dxa"/>
            <w:shd w:val="clear" w:color="auto" w:fill="D7D7D7"/>
            <w:vAlign w:val="center"/>
          </w:tcPr>
          <w:p w14:paraId="3A4D9E5A">
            <w:pPr>
              <w:spacing w:line="240" w:lineRule="exact"/>
              <w:jc w:val="center"/>
              <w:rPr>
                <w:rFonts w:hint="eastAsia" w:ascii="宋体" w:hAnsi="宋体"/>
                <w:b/>
                <w:szCs w:val="21"/>
              </w:rPr>
            </w:pPr>
            <w:r>
              <w:rPr>
                <w:rFonts w:hint="eastAsia" w:ascii="宋体" w:hAnsi="宋体"/>
                <w:b/>
                <w:szCs w:val="21"/>
              </w:rPr>
              <w:t>内容及要求</w:t>
            </w:r>
          </w:p>
        </w:tc>
      </w:tr>
      <w:tr w14:paraId="3844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14:paraId="7A8A34C3">
            <w:pPr>
              <w:spacing w:line="360" w:lineRule="auto"/>
              <w:jc w:val="center"/>
              <w:rPr>
                <w:rFonts w:hint="eastAsia" w:ascii="宋体" w:hAnsi="宋体"/>
                <w:bCs/>
                <w:color w:val="000000"/>
                <w:szCs w:val="21"/>
              </w:rPr>
            </w:pPr>
            <w:r>
              <w:rPr>
                <w:rFonts w:hint="eastAsia" w:ascii="宋体" w:hAnsi="宋体"/>
                <w:bCs/>
                <w:color w:val="000000"/>
                <w:szCs w:val="21"/>
              </w:rPr>
              <w:t>1</w:t>
            </w:r>
          </w:p>
        </w:tc>
        <w:tc>
          <w:tcPr>
            <w:tcW w:w="2154" w:type="dxa"/>
            <w:vAlign w:val="center"/>
          </w:tcPr>
          <w:p w14:paraId="0F943368">
            <w:pPr>
              <w:spacing w:line="360" w:lineRule="auto"/>
              <w:jc w:val="center"/>
              <w:rPr>
                <w:rFonts w:hint="eastAsia" w:ascii="宋体" w:hAnsi="宋体"/>
                <w:bCs/>
                <w:color w:val="000000"/>
                <w:szCs w:val="21"/>
              </w:rPr>
            </w:pPr>
            <w:r>
              <w:rPr>
                <w:rFonts w:hint="eastAsia" w:ascii="宋体" w:hAnsi="宋体"/>
                <w:bCs/>
                <w:color w:val="000000"/>
                <w:szCs w:val="21"/>
              </w:rPr>
              <w:t>项目名称</w:t>
            </w:r>
          </w:p>
        </w:tc>
        <w:tc>
          <w:tcPr>
            <w:tcW w:w="6194" w:type="dxa"/>
            <w:vAlign w:val="center"/>
          </w:tcPr>
          <w:p w14:paraId="7F6D8BBF">
            <w:pPr>
              <w:jc w:val="left"/>
              <w:rPr>
                <w:rFonts w:hint="eastAsia" w:ascii="宋体" w:hAnsi="宋体" w:eastAsia="宋体"/>
                <w:bCs/>
                <w:color w:val="000000"/>
                <w:szCs w:val="21"/>
                <w:lang w:eastAsia="zh-CN"/>
              </w:rPr>
            </w:pPr>
            <w:r>
              <w:rPr>
                <w:rFonts w:hint="eastAsia" w:ascii="宋体" w:hAnsi="宋体"/>
                <w:szCs w:val="21"/>
                <w:lang w:eastAsia="zh-CN"/>
              </w:rPr>
              <w:t>仙居县台创基地未来乡村项目渔耕体验区配套道路</w:t>
            </w:r>
          </w:p>
        </w:tc>
      </w:tr>
      <w:tr w14:paraId="62F9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7" w:type="dxa"/>
            <w:vAlign w:val="center"/>
          </w:tcPr>
          <w:p w14:paraId="59BD0E13">
            <w:pPr>
              <w:spacing w:line="360" w:lineRule="auto"/>
              <w:jc w:val="center"/>
              <w:rPr>
                <w:rFonts w:hint="eastAsia" w:ascii="宋体" w:hAnsi="宋体"/>
                <w:bCs/>
                <w:color w:val="000000"/>
                <w:szCs w:val="21"/>
              </w:rPr>
            </w:pPr>
            <w:r>
              <w:rPr>
                <w:rFonts w:hint="eastAsia" w:ascii="宋体" w:hAnsi="宋体"/>
                <w:bCs/>
                <w:color w:val="000000"/>
                <w:szCs w:val="21"/>
              </w:rPr>
              <w:t>2</w:t>
            </w:r>
          </w:p>
        </w:tc>
        <w:tc>
          <w:tcPr>
            <w:tcW w:w="2154" w:type="dxa"/>
            <w:vAlign w:val="center"/>
          </w:tcPr>
          <w:p w14:paraId="718591B3">
            <w:pPr>
              <w:spacing w:line="360" w:lineRule="auto"/>
              <w:jc w:val="center"/>
              <w:rPr>
                <w:rFonts w:hint="eastAsia" w:ascii="宋体" w:hAnsi="宋体"/>
                <w:bCs/>
                <w:color w:val="000000"/>
                <w:szCs w:val="21"/>
              </w:rPr>
            </w:pPr>
            <w:r>
              <w:rPr>
                <w:rFonts w:hint="eastAsia" w:ascii="宋体" w:hAnsi="宋体"/>
                <w:bCs/>
                <w:color w:val="000000"/>
                <w:szCs w:val="21"/>
              </w:rPr>
              <w:t>采购内容</w:t>
            </w:r>
          </w:p>
        </w:tc>
        <w:tc>
          <w:tcPr>
            <w:tcW w:w="6194" w:type="dxa"/>
            <w:vAlign w:val="center"/>
          </w:tcPr>
          <w:p w14:paraId="49F1E4CC">
            <w:pPr>
              <w:spacing w:line="360" w:lineRule="auto"/>
              <w:rPr>
                <w:rFonts w:hint="eastAsia" w:ascii="宋体" w:hAnsi="宋体"/>
                <w:bCs/>
                <w:color w:val="000000"/>
                <w:szCs w:val="21"/>
              </w:rPr>
            </w:pPr>
            <w:r>
              <w:rPr>
                <w:rFonts w:hint="eastAsia" w:ascii="宋体" w:hAnsi="宋体"/>
                <w:bCs/>
                <w:color w:val="000000"/>
                <w:szCs w:val="21"/>
              </w:rPr>
              <w:t>详见“第二章 采购需求”内容</w:t>
            </w:r>
          </w:p>
        </w:tc>
      </w:tr>
      <w:tr w14:paraId="01EA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7" w:type="dxa"/>
            <w:vAlign w:val="center"/>
          </w:tcPr>
          <w:p w14:paraId="5FDB01C5">
            <w:pPr>
              <w:jc w:val="center"/>
              <w:rPr>
                <w:rFonts w:hint="eastAsia" w:ascii="宋体" w:hAnsi="宋体"/>
                <w:bCs/>
                <w:color w:val="000000"/>
                <w:szCs w:val="21"/>
              </w:rPr>
            </w:pPr>
            <w:r>
              <w:rPr>
                <w:rFonts w:hint="eastAsia" w:ascii="宋体" w:hAnsi="宋体" w:cs="宋体"/>
                <w:color w:val="000000"/>
                <w:szCs w:val="21"/>
              </w:rPr>
              <w:t>3</w:t>
            </w:r>
          </w:p>
        </w:tc>
        <w:tc>
          <w:tcPr>
            <w:tcW w:w="2154" w:type="dxa"/>
            <w:vAlign w:val="center"/>
          </w:tcPr>
          <w:p w14:paraId="652398A8">
            <w:pPr>
              <w:jc w:val="center"/>
              <w:rPr>
                <w:rFonts w:hint="eastAsia" w:ascii="宋体" w:hAnsi="宋体"/>
                <w:bCs/>
                <w:color w:val="000000"/>
                <w:szCs w:val="21"/>
              </w:rPr>
            </w:pPr>
            <w:r>
              <w:rPr>
                <w:rFonts w:hint="eastAsia" w:ascii="宋体" w:hAnsi="宋体" w:cs="宋体"/>
                <w:bCs/>
                <w:color w:val="000000"/>
                <w:szCs w:val="21"/>
              </w:rPr>
              <w:t>采购方式</w:t>
            </w:r>
          </w:p>
        </w:tc>
        <w:tc>
          <w:tcPr>
            <w:tcW w:w="6194" w:type="dxa"/>
            <w:vAlign w:val="center"/>
          </w:tcPr>
          <w:p w14:paraId="6A7BBC72">
            <w:pPr>
              <w:rPr>
                <w:rFonts w:hint="eastAsia" w:ascii="宋体" w:hAnsi="宋体" w:eastAsia="宋体"/>
                <w:bCs/>
                <w:color w:val="000000"/>
                <w:szCs w:val="21"/>
                <w:lang w:eastAsia="zh-CN"/>
              </w:rPr>
            </w:pPr>
            <w:r>
              <w:rPr>
                <w:rFonts w:hint="eastAsia" w:ascii="宋体" w:hAnsi="宋体" w:cs="宋体"/>
                <w:bCs/>
                <w:color w:val="000000"/>
                <w:szCs w:val="21"/>
                <w:lang w:eastAsia="zh-CN"/>
              </w:rPr>
              <w:t>竞争性磋商</w:t>
            </w:r>
          </w:p>
        </w:tc>
      </w:tr>
      <w:tr w14:paraId="4BB7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7" w:type="dxa"/>
            <w:vAlign w:val="center"/>
          </w:tcPr>
          <w:p w14:paraId="3F7F112A">
            <w:pPr>
              <w:jc w:val="center"/>
              <w:rPr>
                <w:rFonts w:hint="eastAsia" w:ascii="宋体" w:hAnsi="宋体"/>
                <w:bCs/>
                <w:color w:val="000000"/>
                <w:szCs w:val="21"/>
              </w:rPr>
            </w:pPr>
            <w:r>
              <w:rPr>
                <w:rFonts w:hint="eastAsia" w:ascii="宋体" w:hAnsi="宋体" w:cs="宋体"/>
                <w:szCs w:val="21"/>
              </w:rPr>
              <w:t>4</w:t>
            </w:r>
          </w:p>
        </w:tc>
        <w:tc>
          <w:tcPr>
            <w:tcW w:w="2154" w:type="dxa"/>
            <w:vAlign w:val="center"/>
          </w:tcPr>
          <w:p w14:paraId="39016E41">
            <w:pPr>
              <w:jc w:val="center"/>
              <w:rPr>
                <w:rFonts w:hint="eastAsia" w:ascii="宋体" w:hAnsi="宋体"/>
                <w:bCs/>
                <w:color w:val="000000"/>
                <w:szCs w:val="21"/>
              </w:rPr>
            </w:pPr>
            <w:r>
              <w:rPr>
                <w:rFonts w:hint="eastAsia" w:ascii="宋体" w:hAnsi="宋体" w:cs="宋体"/>
                <w:bCs/>
                <w:color w:val="000000"/>
                <w:szCs w:val="21"/>
              </w:rPr>
              <w:t>▲服务期限</w:t>
            </w:r>
          </w:p>
        </w:tc>
        <w:tc>
          <w:tcPr>
            <w:tcW w:w="6194" w:type="dxa"/>
            <w:vAlign w:val="center"/>
          </w:tcPr>
          <w:p w14:paraId="3769A5D5">
            <w:pPr>
              <w:ind w:left="-2" w:leftChars="-1" w:firstLine="2" w:firstLineChars="1"/>
              <w:rPr>
                <w:rFonts w:hint="eastAsia" w:ascii="宋体" w:hAnsi="宋体"/>
                <w:bCs/>
                <w:color w:val="000000"/>
                <w:szCs w:val="21"/>
              </w:rPr>
            </w:pPr>
            <w:r>
              <w:rPr>
                <w:rFonts w:hint="eastAsia" w:ascii="宋体" w:hAnsi="宋体" w:cs="宋体"/>
                <w:bCs/>
                <w:color w:val="000000"/>
                <w:szCs w:val="21"/>
              </w:rPr>
              <w:t>详见本采购文件“第二部分 采购需求”内容</w:t>
            </w:r>
          </w:p>
        </w:tc>
      </w:tr>
      <w:tr w14:paraId="111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7" w:type="dxa"/>
            <w:vAlign w:val="center"/>
          </w:tcPr>
          <w:p w14:paraId="316AB48E">
            <w:pPr>
              <w:jc w:val="center"/>
              <w:rPr>
                <w:rFonts w:hint="eastAsia" w:ascii="宋体" w:hAnsi="宋体"/>
                <w:color w:val="000000"/>
                <w:szCs w:val="21"/>
              </w:rPr>
            </w:pPr>
            <w:r>
              <w:rPr>
                <w:rFonts w:hint="eastAsia" w:ascii="宋体" w:hAnsi="宋体" w:cs="宋体"/>
                <w:color w:val="000000"/>
                <w:szCs w:val="21"/>
              </w:rPr>
              <w:t>5</w:t>
            </w:r>
          </w:p>
        </w:tc>
        <w:tc>
          <w:tcPr>
            <w:tcW w:w="2154" w:type="dxa"/>
            <w:vAlign w:val="center"/>
          </w:tcPr>
          <w:p w14:paraId="25534232">
            <w:pPr>
              <w:jc w:val="center"/>
              <w:rPr>
                <w:rFonts w:hint="eastAsia" w:ascii="宋体" w:hAnsi="宋体"/>
                <w:bCs/>
                <w:color w:val="000000"/>
                <w:szCs w:val="21"/>
              </w:rPr>
            </w:pPr>
            <w:r>
              <w:rPr>
                <w:rFonts w:hint="eastAsia" w:ascii="宋体" w:hAnsi="宋体" w:cs="宋体"/>
                <w:bCs/>
                <w:color w:val="000000"/>
                <w:szCs w:val="21"/>
              </w:rPr>
              <w:t>评标办法</w:t>
            </w:r>
          </w:p>
        </w:tc>
        <w:tc>
          <w:tcPr>
            <w:tcW w:w="6194" w:type="dxa"/>
            <w:vAlign w:val="center"/>
          </w:tcPr>
          <w:p w14:paraId="6C5CD23A">
            <w:pPr>
              <w:jc w:val="left"/>
              <w:rPr>
                <w:rFonts w:hint="eastAsia" w:ascii="宋体" w:hAnsi="宋体" w:cs="宋体"/>
                <w:szCs w:val="21"/>
              </w:rPr>
            </w:pPr>
            <w:r>
              <w:rPr>
                <w:rFonts w:hint="eastAsia" w:ascii="宋体" w:hAnsi="宋体" w:cs="宋体"/>
                <w:bCs/>
                <w:color w:val="000000"/>
                <w:kern w:val="0"/>
                <w:szCs w:val="21"/>
              </w:rPr>
              <w:t>综合评分法</w:t>
            </w:r>
          </w:p>
        </w:tc>
      </w:tr>
      <w:tr w14:paraId="66C3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7" w:type="dxa"/>
            <w:vAlign w:val="center"/>
          </w:tcPr>
          <w:p w14:paraId="5903FAA2">
            <w:pPr>
              <w:jc w:val="center"/>
              <w:rPr>
                <w:rFonts w:hint="eastAsia" w:ascii="宋体" w:hAnsi="宋体"/>
                <w:color w:val="000000"/>
                <w:szCs w:val="21"/>
              </w:rPr>
            </w:pPr>
            <w:r>
              <w:rPr>
                <w:rFonts w:hint="eastAsia" w:ascii="宋体" w:hAnsi="宋体" w:cs="宋体"/>
                <w:color w:val="000000"/>
                <w:szCs w:val="21"/>
              </w:rPr>
              <w:t>6</w:t>
            </w:r>
          </w:p>
        </w:tc>
        <w:tc>
          <w:tcPr>
            <w:tcW w:w="2154" w:type="dxa"/>
            <w:vAlign w:val="center"/>
          </w:tcPr>
          <w:p w14:paraId="232C2B19">
            <w:pPr>
              <w:jc w:val="center"/>
              <w:rPr>
                <w:rFonts w:hint="eastAsia" w:ascii="宋体" w:hAnsi="宋体"/>
                <w:bCs/>
                <w:color w:val="000000"/>
                <w:szCs w:val="21"/>
              </w:rPr>
            </w:pPr>
            <w:r>
              <w:rPr>
                <w:rFonts w:hint="eastAsia" w:ascii="宋体" w:hAnsi="宋体" w:cs="宋体"/>
                <w:bCs/>
                <w:color w:val="000000"/>
                <w:szCs w:val="21"/>
              </w:rPr>
              <w:t>投标响应文件有效期</w:t>
            </w:r>
          </w:p>
        </w:tc>
        <w:tc>
          <w:tcPr>
            <w:tcW w:w="6194" w:type="dxa"/>
            <w:vAlign w:val="center"/>
          </w:tcPr>
          <w:p w14:paraId="5CD7746E">
            <w:pPr>
              <w:pStyle w:val="33"/>
              <w:snapToGrid w:val="0"/>
              <w:spacing w:before="0" w:beforeAutospacing="0" w:after="0" w:afterAutospacing="0"/>
              <w:rPr>
                <w:rFonts w:hint="eastAsia"/>
                <w:szCs w:val="21"/>
              </w:rPr>
            </w:pPr>
            <w:r>
              <w:rPr>
                <w:rFonts w:hint="eastAsia" w:cs="宋体"/>
                <w:sz w:val="21"/>
                <w:szCs w:val="21"/>
              </w:rPr>
              <w:t>自投标响应文件提交截止之日起90天内有效。</w:t>
            </w:r>
          </w:p>
        </w:tc>
      </w:tr>
      <w:tr w14:paraId="368D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97" w:type="dxa"/>
            <w:vAlign w:val="center"/>
          </w:tcPr>
          <w:p w14:paraId="6D505235">
            <w:pPr>
              <w:jc w:val="center"/>
              <w:rPr>
                <w:rFonts w:hint="eastAsia" w:ascii="宋体" w:hAnsi="宋体"/>
                <w:color w:val="000000"/>
                <w:szCs w:val="21"/>
              </w:rPr>
            </w:pPr>
            <w:r>
              <w:rPr>
                <w:rFonts w:hint="eastAsia" w:ascii="宋体" w:hAnsi="宋体" w:cs="宋体"/>
                <w:color w:val="000000"/>
                <w:szCs w:val="21"/>
              </w:rPr>
              <w:t>7</w:t>
            </w:r>
          </w:p>
        </w:tc>
        <w:tc>
          <w:tcPr>
            <w:tcW w:w="2154" w:type="dxa"/>
            <w:vAlign w:val="center"/>
          </w:tcPr>
          <w:p w14:paraId="6101ACFE">
            <w:pPr>
              <w:jc w:val="center"/>
              <w:rPr>
                <w:rFonts w:hint="eastAsia" w:ascii="宋体" w:hAnsi="宋体"/>
                <w:bCs/>
                <w:color w:val="000000"/>
                <w:szCs w:val="21"/>
              </w:rPr>
            </w:pPr>
            <w:r>
              <w:rPr>
                <w:rFonts w:hint="eastAsia" w:ascii="宋体" w:hAnsi="宋体" w:cs="宋体"/>
                <w:bCs/>
                <w:color w:val="000000"/>
                <w:szCs w:val="21"/>
              </w:rPr>
              <w:t>履约保证金</w:t>
            </w:r>
          </w:p>
        </w:tc>
        <w:tc>
          <w:tcPr>
            <w:tcW w:w="6194" w:type="dxa"/>
            <w:vAlign w:val="center"/>
          </w:tcPr>
          <w:p w14:paraId="10044F03">
            <w:pPr>
              <w:rPr>
                <w:rFonts w:hint="eastAsia" w:ascii="宋体" w:hAnsi="宋体" w:cs="宋体"/>
                <w:bCs/>
                <w:szCs w:val="21"/>
              </w:rPr>
            </w:pPr>
            <w:r>
              <w:rPr>
                <w:rFonts w:hint="eastAsia" w:ascii="宋体" w:hAnsi="宋体" w:cs="宋体"/>
                <w:bCs/>
                <w:szCs w:val="21"/>
              </w:rPr>
              <w:t>本项目履约保证金：</w:t>
            </w:r>
            <w:r>
              <w:rPr>
                <w:rFonts w:hint="eastAsia" w:ascii="宋体" w:hAnsi="宋体" w:cs="宋体"/>
                <w:bCs/>
                <w:szCs w:val="21"/>
                <w:u w:val="single"/>
              </w:rPr>
              <w:t>合同金额的</w:t>
            </w:r>
            <w:r>
              <w:rPr>
                <w:rFonts w:hint="eastAsia" w:ascii="宋体" w:hAnsi="宋体" w:cs="宋体"/>
                <w:bCs/>
                <w:szCs w:val="21"/>
                <w:u w:val="single"/>
                <w:lang w:val="en-US" w:eastAsia="zh-CN"/>
              </w:rPr>
              <w:t>2</w:t>
            </w:r>
            <w:r>
              <w:rPr>
                <w:rFonts w:hint="eastAsia" w:ascii="宋体" w:hAnsi="宋体" w:cs="宋体"/>
                <w:bCs/>
                <w:szCs w:val="21"/>
                <w:u w:val="single"/>
              </w:rPr>
              <w:t>%。</w:t>
            </w:r>
          </w:p>
          <w:p w14:paraId="76C2BD44">
            <w:pPr>
              <w:rPr>
                <w:rFonts w:hint="eastAsia" w:ascii="宋体" w:hAnsi="宋体" w:cs="宋体"/>
                <w:bCs/>
                <w:szCs w:val="21"/>
              </w:rPr>
            </w:pPr>
            <w:r>
              <w:rPr>
                <w:rFonts w:hint="eastAsia" w:ascii="宋体" w:hAnsi="宋体" w:cs="宋体"/>
                <w:bCs/>
                <w:szCs w:val="21"/>
              </w:rPr>
              <w:t>1.签订合同前，中标供应商均须向采购人递交履约保证金（允许以银行转帐，现金，银行保函形式提交），未按规定提交履约保证金则采购人有权拒签合同。</w:t>
            </w:r>
          </w:p>
          <w:p w14:paraId="0A2BE0D4">
            <w:pPr>
              <w:rPr>
                <w:rFonts w:hint="eastAsia" w:ascii="宋体" w:hAnsi="宋体" w:cs="宋体"/>
                <w:bCs/>
                <w:szCs w:val="21"/>
              </w:rPr>
            </w:pPr>
            <w:r>
              <w:rPr>
                <w:rFonts w:hint="eastAsia" w:ascii="宋体" w:hAnsi="宋体" w:cs="宋体"/>
                <w:bCs/>
                <w:szCs w:val="21"/>
              </w:rPr>
              <w:t>2.服务合同履行终止且所有义务已履行完毕后7个工作日内退还（不计息）。</w:t>
            </w:r>
          </w:p>
          <w:p w14:paraId="72565FF4">
            <w:r>
              <w:rPr>
                <w:rFonts w:hint="eastAsia" w:ascii="宋体" w:hAnsi="宋体" w:cs="宋体"/>
                <w:bCs/>
                <w:szCs w:val="21"/>
              </w:rPr>
              <w:t>3.供应商不能按期保质保量完成项目建设或交货的，除承担相关责任外，采购人可相应没收合同履约保证金。</w:t>
            </w:r>
          </w:p>
        </w:tc>
      </w:tr>
      <w:tr w14:paraId="67FB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7" w:type="dxa"/>
            <w:vAlign w:val="center"/>
          </w:tcPr>
          <w:p w14:paraId="5C63AFC4">
            <w:pPr>
              <w:spacing w:line="360" w:lineRule="auto"/>
              <w:jc w:val="center"/>
              <w:rPr>
                <w:rFonts w:hint="eastAsia" w:ascii="宋体" w:hAnsi="宋体"/>
                <w:color w:val="000000"/>
                <w:szCs w:val="21"/>
              </w:rPr>
            </w:pPr>
            <w:r>
              <w:rPr>
                <w:rFonts w:hint="eastAsia" w:ascii="宋体" w:hAnsi="宋体"/>
                <w:color w:val="000000"/>
                <w:szCs w:val="21"/>
              </w:rPr>
              <w:t>8</w:t>
            </w:r>
          </w:p>
        </w:tc>
        <w:tc>
          <w:tcPr>
            <w:tcW w:w="2154" w:type="dxa"/>
            <w:vAlign w:val="center"/>
          </w:tcPr>
          <w:p w14:paraId="5E4074CC">
            <w:pPr>
              <w:jc w:val="center"/>
              <w:rPr>
                <w:rFonts w:hint="eastAsia" w:ascii="宋体" w:hAnsi="宋体"/>
                <w:bCs/>
                <w:color w:val="000000"/>
                <w:szCs w:val="21"/>
              </w:rPr>
            </w:pPr>
            <w:r>
              <w:rPr>
                <w:rFonts w:hint="eastAsia" w:ascii="宋体" w:hAnsi="宋体" w:cs="宋体"/>
                <w:color w:val="000000"/>
                <w:szCs w:val="21"/>
              </w:rPr>
              <w:t>投标响应文件形式、制作及组成</w:t>
            </w:r>
          </w:p>
        </w:tc>
        <w:tc>
          <w:tcPr>
            <w:tcW w:w="6194" w:type="dxa"/>
            <w:vAlign w:val="center"/>
          </w:tcPr>
          <w:p w14:paraId="0797DE6F">
            <w:pPr>
              <w:rPr>
                <w:rFonts w:hint="eastAsia" w:ascii="宋体" w:hAnsi="宋体" w:cs="宋体"/>
                <w:bCs/>
                <w:szCs w:val="21"/>
              </w:rPr>
            </w:pPr>
            <w:r>
              <w:rPr>
                <w:rFonts w:hint="eastAsia" w:ascii="宋体" w:hAnsi="宋体" w:cs="宋体"/>
                <w:bCs/>
                <w:szCs w:val="21"/>
              </w:rPr>
              <w:t>1. 电子加密投标响应文件：乐采云平台在线提交、上传一份；</w:t>
            </w:r>
          </w:p>
          <w:p w14:paraId="62AED394">
            <w:pPr>
              <w:rPr>
                <w:rFonts w:hint="eastAsia" w:ascii="宋体" w:hAnsi="宋体" w:cs="宋体"/>
                <w:bCs/>
                <w:szCs w:val="21"/>
              </w:rPr>
            </w:pPr>
            <w:r>
              <w:rPr>
                <w:rFonts w:hint="eastAsia" w:ascii="宋体" w:hAnsi="宋体" w:cs="宋体"/>
                <w:bCs/>
                <w:szCs w:val="21"/>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w:t>
            </w:r>
            <w:r>
              <w:rPr>
                <w:rFonts w:hint="eastAsia" w:ascii="宋体" w:hAnsi="宋体" w:cs="宋体"/>
                <w:bCs/>
                <w:szCs w:val="21"/>
                <w:lang w:eastAsia="zh-CN"/>
              </w:rPr>
              <w:t>2231993302</w:t>
            </w:r>
            <w:r>
              <w:rPr>
                <w:rFonts w:hint="eastAsia" w:ascii="宋体" w:hAnsi="宋体" w:cs="宋体"/>
                <w:bCs/>
                <w:szCs w:val="21"/>
              </w:rPr>
              <w:t>@qq.com。</w:t>
            </w:r>
          </w:p>
          <w:p w14:paraId="2009BA37">
            <w:pPr>
              <w:adjustRightInd w:val="0"/>
              <w:snapToGrid w:val="0"/>
              <w:jc w:val="left"/>
              <w:rPr>
                <w:rFonts w:hint="eastAsia" w:ascii="宋体" w:hAnsi="宋体"/>
                <w:color w:val="000000"/>
                <w:szCs w:val="21"/>
              </w:rPr>
            </w:pPr>
            <w:r>
              <w:rPr>
                <w:rFonts w:hint="eastAsia" w:ascii="宋体" w:hAnsi="宋体" w:cs="宋体"/>
                <w:bCs/>
                <w:szCs w:val="21"/>
              </w:rPr>
              <w:t>注：投标供应商在线解密失败后，启用备份投标响应文件，否则不启用备份投标响应文件。</w:t>
            </w:r>
          </w:p>
        </w:tc>
      </w:tr>
      <w:tr w14:paraId="4407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7" w:type="dxa"/>
            <w:vAlign w:val="center"/>
          </w:tcPr>
          <w:p w14:paraId="4DB419C4">
            <w:pPr>
              <w:jc w:val="center"/>
              <w:rPr>
                <w:rFonts w:hint="eastAsia" w:ascii="宋体" w:hAnsi="宋体"/>
                <w:bCs/>
                <w:color w:val="000000"/>
                <w:szCs w:val="21"/>
              </w:rPr>
            </w:pPr>
            <w:r>
              <w:rPr>
                <w:rFonts w:hint="eastAsia" w:ascii="宋体" w:hAnsi="宋体" w:cs="宋体"/>
                <w:color w:val="000000"/>
                <w:szCs w:val="21"/>
              </w:rPr>
              <w:t>9</w:t>
            </w:r>
          </w:p>
        </w:tc>
        <w:tc>
          <w:tcPr>
            <w:tcW w:w="2154" w:type="dxa"/>
            <w:vAlign w:val="center"/>
          </w:tcPr>
          <w:p w14:paraId="16B9FC11">
            <w:pPr>
              <w:jc w:val="center"/>
              <w:rPr>
                <w:rFonts w:hint="eastAsia" w:ascii="宋体" w:hAnsi="宋体"/>
                <w:bCs/>
                <w:color w:val="000000"/>
                <w:szCs w:val="21"/>
              </w:rPr>
            </w:pPr>
            <w:r>
              <w:rPr>
                <w:rFonts w:hint="eastAsia" w:ascii="宋体" w:hAnsi="宋体" w:cs="宋体"/>
                <w:bCs/>
                <w:color w:val="000000"/>
                <w:szCs w:val="21"/>
              </w:rPr>
              <w:t>投标响应文件提交截止时间及地点</w:t>
            </w:r>
          </w:p>
        </w:tc>
        <w:tc>
          <w:tcPr>
            <w:tcW w:w="6194" w:type="dxa"/>
            <w:vAlign w:val="center"/>
          </w:tcPr>
          <w:p w14:paraId="0619FE77">
            <w:pPr>
              <w:pStyle w:val="33"/>
              <w:snapToGrid w:val="0"/>
              <w:spacing w:before="0" w:beforeAutospacing="0" w:after="0" w:afterAutospacing="0"/>
              <w:rPr>
                <w:rFonts w:hint="eastAsia"/>
                <w:bCs/>
                <w:szCs w:val="21"/>
              </w:rPr>
            </w:pPr>
            <w:r>
              <w:rPr>
                <w:rFonts w:hint="eastAsia" w:cs="宋体"/>
                <w:sz w:val="21"/>
                <w:szCs w:val="21"/>
              </w:rPr>
              <w:t>详见 第一部分 招标公告</w:t>
            </w:r>
          </w:p>
        </w:tc>
      </w:tr>
      <w:tr w14:paraId="5E51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 w:type="dxa"/>
            <w:vAlign w:val="center"/>
          </w:tcPr>
          <w:p w14:paraId="45DB15DB">
            <w:pPr>
              <w:jc w:val="center"/>
              <w:rPr>
                <w:rFonts w:hint="eastAsia" w:ascii="宋体" w:hAnsi="宋体"/>
                <w:bCs/>
                <w:color w:val="000000"/>
                <w:szCs w:val="21"/>
              </w:rPr>
            </w:pPr>
            <w:r>
              <w:rPr>
                <w:rFonts w:hint="eastAsia" w:ascii="宋体" w:hAnsi="宋体" w:cs="宋体"/>
                <w:color w:val="000000"/>
                <w:szCs w:val="21"/>
              </w:rPr>
              <w:t>9</w:t>
            </w:r>
          </w:p>
        </w:tc>
        <w:tc>
          <w:tcPr>
            <w:tcW w:w="2154" w:type="dxa"/>
            <w:vAlign w:val="center"/>
          </w:tcPr>
          <w:p w14:paraId="5017CE93">
            <w:pPr>
              <w:jc w:val="center"/>
              <w:rPr>
                <w:rFonts w:hint="eastAsia" w:ascii="宋体" w:hAnsi="宋体"/>
                <w:bCs/>
                <w:color w:val="000000"/>
                <w:szCs w:val="21"/>
              </w:rPr>
            </w:pPr>
            <w:r>
              <w:rPr>
                <w:rFonts w:hint="eastAsia" w:ascii="宋体" w:hAnsi="宋体" w:cs="宋体"/>
                <w:bCs/>
                <w:color w:val="000000"/>
                <w:szCs w:val="21"/>
              </w:rPr>
              <w:t>投标响应文件提交截止时间及地点</w:t>
            </w:r>
          </w:p>
        </w:tc>
        <w:tc>
          <w:tcPr>
            <w:tcW w:w="6194" w:type="dxa"/>
            <w:vAlign w:val="center"/>
          </w:tcPr>
          <w:p w14:paraId="5E3DC89B">
            <w:pPr>
              <w:pStyle w:val="33"/>
              <w:snapToGrid w:val="0"/>
              <w:spacing w:before="0" w:beforeAutospacing="0" w:after="0" w:afterAutospacing="0"/>
              <w:rPr>
                <w:rFonts w:hint="eastAsia"/>
              </w:rPr>
            </w:pPr>
            <w:r>
              <w:rPr>
                <w:rFonts w:hint="eastAsia" w:cs="宋体"/>
                <w:sz w:val="21"/>
                <w:szCs w:val="21"/>
              </w:rPr>
              <w:t>详见 第一部分 招标公告</w:t>
            </w:r>
          </w:p>
        </w:tc>
      </w:tr>
      <w:tr w14:paraId="645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7" w:type="dxa"/>
            <w:vAlign w:val="center"/>
          </w:tcPr>
          <w:p w14:paraId="449302F7">
            <w:pPr>
              <w:jc w:val="center"/>
              <w:rPr>
                <w:rFonts w:hint="eastAsia" w:ascii="宋体" w:hAnsi="宋体"/>
                <w:bCs/>
                <w:color w:val="000000"/>
                <w:szCs w:val="21"/>
              </w:rPr>
            </w:pPr>
            <w:r>
              <w:rPr>
                <w:rFonts w:hint="eastAsia" w:ascii="宋体" w:hAnsi="宋体" w:cs="宋体"/>
                <w:color w:val="000000"/>
                <w:szCs w:val="21"/>
              </w:rPr>
              <w:t>13</w:t>
            </w:r>
          </w:p>
        </w:tc>
        <w:tc>
          <w:tcPr>
            <w:tcW w:w="2154" w:type="dxa"/>
            <w:vAlign w:val="center"/>
          </w:tcPr>
          <w:p w14:paraId="15BF9658">
            <w:pPr>
              <w:autoSpaceDE w:val="0"/>
              <w:autoSpaceDN w:val="0"/>
              <w:adjustRightInd w:val="0"/>
              <w:jc w:val="center"/>
              <w:rPr>
                <w:rFonts w:hint="eastAsia" w:ascii="宋体" w:hAnsi="宋体"/>
                <w:szCs w:val="21"/>
                <w:lang w:val="zh-CN"/>
              </w:rPr>
            </w:pPr>
            <w:r>
              <w:rPr>
                <w:rFonts w:hint="eastAsia" w:ascii="宋体" w:hAnsi="宋体" w:cs="宋体"/>
                <w:bCs/>
                <w:color w:val="000000"/>
                <w:szCs w:val="21"/>
              </w:rPr>
              <w:t>▲项目最高限价</w:t>
            </w:r>
          </w:p>
        </w:tc>
        <w:tc>
          <w:tcPr>
            <w:tcW w:w="6194" w:type="dxa"/>
            <w:vAlign w:val="center"/>
          </w:tcPr>
          <w:p w14:paraId="6476498A">
            <w:pPr>
              <w:widowControl/>
              <w:adjustRightInd w:val="0"/>
              <w:snapToGrid w:val="0"/>
              <w:spacing w:line="300" w:lineRule="auto"/>
              <w:rPr>
                <w:rFonts w:hint="eastAsia" w:ascii="宋体" w:hAnsi="宋体"/>
                <w:color w:val="000000"/>
                <w:kern w:val="0"/>
                <w:szCs w:val="21"/>
                <w:lang w:val="zh-CN"/>
              </w:rPr>
            </w:pPr>
            <w:r>
              <w:rPr>
                <w:rFonts w:hint="eastAsia" w:ascii="宋体" w:hAnsi="宋体" w:cs="宋体"/>
                <w:bCs/>
                <w:szCs w:val="21"/>
              </w:rPr>
              <w:t>本项目投标报价的最高限价为人民币</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u w:val="single"/>
                <w:lang w:val="en-US" w:eastAsia="zh-CN"/>
              </w:rPr>
              <w:t xml:space="preserve">  93.6948 </w:t>
            </w:r>
            <w:r>
              <w:rPr>
                <w:rFonts w:hint="eastAsia" w:ascii="宋体" w:hAnsi="宋体" w:cs="宋体"/>
                <w:b/>
                <w:color w:val="auto"/>
                <w:szCs w:val="21"/>
                <w:highlight w:val="none"/>
                <w:u w:val="single"/>
              </w:rPr>
              <w:t>万元</w:t>
            </w:r>
            <w:r>
              <w:rPr>
                <w:rFonts w:hint="eastAsia" w:ascii="宋体" w:hAnsi="宋体" w:cs="宋体"/>
                <w:bCs/>
                <w:color w:val="auto"/>
                <w:szCs w:val="21"/>
                <w:highlight w:val="none"/>
              </w:rPr>
              <w:t>。</w:t>
            </w:r>
            <w:r>
              <w:rPr>
                <w:rFonts w:hint="eastAsia" w:ascii="宋体" w:hAnsi="宋体" w:cs="宋体"/>
                <w:bCs/>
                <w:szCs w:val="21"/>
              </w:rPr>
              <w:t>如供应商的报价超过最高限价的，其响应文件作无效标处理。</w:t>
            </w:r>
          </w:p>
        </w:tc>
      </w:tr>
      <w:tr w14:paraId="3449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7" w:type="dxa"/>
            <w:vAlign w:val="center"/>
          </w:tcPr>
          <w:p w14:paraId="726D10A4">
            <w:pPr>
              <w:jc w:val="center"/>
              <w:rPr>
                <w:rFonts w:hint="eastAsia" w:ascii="宋体" w:hAnsi="宋体"/>
                <w:bCs/>
                <w:color w:val="000000"/>
                <w:szCs w:val="21"/>
              </w:rPr>
            </w:pPr>
            <w:r>
              <w:rPr>
                <w:rFonts w:hint="eastAsia" w:ascii="宋体" w:hAnsi="宋体" w:cs="宋体"/>
                <w:szCs w:val="21"/>
              </w:rPr>
              <w:t>14</w:t>
            </w:r>
          </w:p>
        </w:tc>
        <w:tc>
          <w:tcPr>
            <w:tcW w:w="2154" w:type="dxa"/>
            <w:vAlign w:val="center"/>
          </w:tcPr>
          <w:p w14:paraId="4D39E0FD">
            <w:pPr>
              <w:autoSpaceDE w:val="0"/>
              <w:autoSpaceDN w:val="0"/>
              <w:adjustRightInd w:val="0"/>
              <w:jc w:val="center"/>
              <w:rPr>
                <w:rFonts w:hint="eastAsia" w:ascii="宋体" w:hAnsi="宋体"/>
                <w:bCs/>
                <w:szCs w:val="21"/>
              </w:rPr>
            </w:pPr>
            <w:r>
              <w:rPr>
                <w:rFonts w:hint="eastAsia" w:ascii="宋体" w:hAnsi="宋体" w:cs="宋体"/>
                <w:szCs w:val="21"/>
              </w:rPr>
              <w:t>解释权</w:t>
            </w:r>
          </w:p>
        </w:tc>
        <w:tc>
          <w:tcPr>
            <w:tcW w:w="6194" w:type="dxa"/>
            <w:vAlign w:val="center"/>
          </w:tcPr>
          <w:p w14:paraId="67D9A75D">
            <w:pPr>
              <w:autoSpaceDE w:val="0"/>
              <w:autoSpaceDN w:val="0"/>
              <w:adjustRightInd w:val="0"/>
              <w:rPr>
                <w:rFonts w:hint="eastAsia" w:ascii="宋体" w:hAnsi="宋体"/>
                <w:kern w:val="0"/>
                <w:szCs w:val="21"/>
              </w:rPr>
            </w:pPr>
            <w:r>
              <w:rPr>
                <w:rFonts w:hint="eastAsia" w:ascii="宋体" w:hAnsi="宋体" w:cs="宋体"/>
                <w:szCs w:val="21"/>
              </w:rPr>
              <w:t>本采购文件解释权属于采购单位（采购人和采购代理机构）</w:t>
            </w:r>
          </w:p>
        </w:tc>
      </w:tr>
      <w:tr w14:paraId="64A5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7" w:type="dxa"/>
            <w:vAlign w:val="center"/>
          </w:tcPr>
          <w:p w14:paraId="518863C4">
            <w:pPr>
              <w:jc w:val="center"/>
              <w:rPr>
                <w:rFonts w:hint="eastAsia" w:ascii="宋体" w:hAnsi="宋体"/>
                <w:color w:val="000000"/>
                <w:szCs w:val="21"/>
              </w:rPr>
            </w:pPr>
            <w:r>
              <w:rPr>
                <w:rFonts w:hint="eastAsia" w:ascii="宋体" w:hAnsi="宋体" w:cs="宋体"/>
                <w:szCs w:val="21"/>
              </w:rPr>
              <w:t>15</w:t>
            </w:r>
          </w:p>
        </w:tc>
        <w:tc>
          <w:tcPr>
            <w:tcW w:w="2154" w:type="dxa"/>
            <w:vAlign w:val="center"/>
          </w:tcPr>
          <w:p w14:paraId="6F440D7A">
            <w:pPr>
              <w:autoSpaceDE w:val="0"/>
              <w:autoSpaceDN w:val="0"/>
              <w:adjustRightInd w:val="0"/>
              <w:jc w:val="center"/>
              <w:rPr>
                <w:rFonts w:hint="eastAsia" w:ascii="宋体" w:hAnsi="宋体"/>
                <w:color w:val="000000"/>
                <w:kern w:val="0"/>
                <w:szCs w:val="21"/>
              </w:rPr>
            </w:pPr>
            <w:r>
              <w:rPr>
                <w:rFonts w:hint="eastAsia" w:ascii="宋体" w:hAnsi="宋体" w:cs="宋体"/>
                <w:szCs w:val="21"/>
                <w:highlight w:val="none"/>
              </w:rPr>
              <w:t>招标代理服务费</w:t>
            </w:r>
          </w:p>
        </w:tc>
        <w:tc>
          <w:tcPr>
            <w:tcW w:w="6194" w:type="dxa"/>
            <w:vAlign w:val="center"/>
          </w:tcPr>
          <w:p w14:paraId="296F19DB">
            <w:pPr>
              <w:autoSpaceDE w:val="0"/>
              <w:autoSpaceDN w:val="0"/>
              <w:adjustRightInd w:val="0"/>
              <w:rPr>
                <w:szCs w:val="21"/>
              </w:rPr>
            </w:pPr>
            <w:r>
              <w:rPr>
                <w:rFonts w:hint="eastAsia"/>
                <w:szCs w:val="21"/>
              </w:rPr>
              <w:t>本项目代理服务费由中标成交人支付，以中标价为计算基数，按工程类标准费率计算值收取。在领取中标通知书前一次性付清。</w:t>
            </w:r>
          </w:p>
        </w:tc>
      </w:tr>
      <w:tr w14:paraId="58FE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97" w:type="dxa"/>
            <w:vAlign w:val="center"/>
          </w:tcPr>
          <w:p w14:paraId="5FA0ABC7">
            <w:pPr>
              <w:jc w:val="center"/>
              <w:rPr>
                <w:rFonts w:hint="eastAsia" w:ascii="宋体" w:hAnsi="宋体"/>
                <w:color w:val="000000"/>
                <w:szCs w:val="21"/>
              </w:rPr>
            </w:pPr>
            <w:r>
              <w:rPr>
                <w:rFonts w:hint="eastAsia" w:ascii="宋体" w:hAnsi="宋体" w:cs="宋体"/>
                <w:szCs w:val="21"/>
              </w:rPr>
              <w:t>16</w:t>
            </w:r>
          </w:p>
        </w:tc>
        <w:tc>
          <w:tcPr>
            <w:tcW w:w="2154" w:type="dxa"/>
            <w:vAlign w:val="center"/>
          </w:tcPr>
          <w:p w14:paraId="6E619D20">
            <w:pPr>
              <w:autoSpaceDE w:val="0"/>
              <w:autoSpaceDN w:val="0"/>
              <w:adjustRightInd w:val="0"/>
              <w:jc w:val="center"/>
              <w:rPr>
                <w:rFonts w:hint="eastAsia" w:ascii="宋体" w:hAnsi="宋体"/>
                <w:color w:val="000000"/>
                <w:kern w:val="0"/>
                <w:szCs w:val="21"/>
              </w:rPr>
            </w:pPr>
            <w:r>
              <w:rPr>
                <w:b/>
                <w:color w:val="000000" w:themeColor="text1"/>
              </w:rPr>
              <w:t>本项目所有公告发布网站</w:t>
            </w:r>
          </w:p>
        </w:tc>
        <w:tc>
          <w:tcPr>
            <w:tcW w:w="6194" w:type="dxa"/>
            <w:vAlign w:val="center"/>
          </w:tcPr>
          <w:p w14:paraId="239B2D01">
            <w:pPr>
              <w:autoSpaceDE w:val="0"/>
              <w:autoSpaceDN w:val="0"/>
              <w:adjustRightInd w:val="0"/>
              <w:rPr>
                <w:szCs w:val="21"/>
              </w:rPr>
            </w:pPr>
            <w:r>
              <w:rPr>
                <w:rFonts w:hint="eastAsia"/>
                <w:color w:val="000000" w:themeColor="text1"/>
              </w:rPr>
              <w:t>“</w:t>
            </w:r>
            <w:r>
              <w:rPr>
                <w:rFonts w:hint="eastAsia" w:ascii="宋体" w:hAnsi="宋体" w:cs="宋体"/>
                <w:kern w:val="0"/>
                <w:szCs w:val="21"/>
              </w:rPr>
              <w:t>乐采云平台</w:t>
            </w:r>
            <w:r>
              <w:rPr>
                <w:rFonts w:hint="eastAsia"/>
                <w:color w:val="000000" w:themeColor="text1"/>
              </w:rPr>
              <w:t>”</w:t>
            </w:r>
            <w:r>
              <w:rPr>
                <w:rFonts w:hint="eastAsia" w:ascii="宋体" w:hAnsi="宋体" w:cs="宋体"/>
                <w:kern w:val="0"/>
                <w:szCs w:val="21"/>
              </w:rPr>
              <w:t>（https：//www.lecaiyun.com）</w:t>
            </w:r>
            <w:r>
              <w:rPr>
                <w:color w:val="000000" w:themeColor="text1"/>
              </w:rPr>
              <w:t>和</w:t>
            </w:r>
            <w:r>
              <w:rPr>
                <w:rFonts w:hint="eastAsia"/>
                <w:color w:val="000000" w:themeColor="text1"/>
              </w:rPr>
              <w:t>“</w:t>
            </w:r>
            <w:r>
              <w:rPr>
                <w:color w:val="000000" w:themeColor="text1"/>
              </w:rPr>
              <w:t>仙居县公共资源交易网</w:t>
            </w:r>
            <w:r>
              <w:rPr>
                <w:rFonts w:hint="eastAsia"/>
                <w:color w:val="000000" w:themeColor="text1"/>
              </w:rPr>
              <w:t>”</w:t>
            </w:r>
            <w:r>
              <w:rPr>
                <w:color w:val="000000" w:themeColor="text1"/>
              </w:rPr>
              <w:t>（http</w:t>
            </w:r>
            <w:r>
              <w:rPr>
                <w:rFonts w:hint="eastAsia"/>
                <w:color w:val="000000" w:themeColor="text1"/>
              </w:rPr>
              <w:t>：</w:t>
            </w:r>
            <w:r>
              <w:rPr>
                <w:color w:val="000000" w:themeColor="text1"/>
              </w:rPr>
              <w:t>//www.zjxj.gov.cn/col/col1229347417/index.html）</w:t>
            </w:r>
          </w:p>
        </w:tc>
      </w:tr>
    </w:tbl>
    <w:p w14:paraId="3965AC94">
      <w:pPr>
        <w:sectPr>
          <w:pgSz w:w="11905" w:h="16838"/>
          <w:pgMar w:top="1417" w:right="1587" w:bottom="1417" w:left="1587" w:header="907" w:footer="924" w:gutter="0"/>
          <w:cols w:space="0" w:num="1"/>
          <w:docGrid w:type="lines" w:linePitch="304" w:charSpace="0"/>
        </w:sectPr>
      </w:pPr>
      <w:bookmarkStart w:id="26" w:name="_Toc508888786"/>
    </w:p>
    <w:bookmarkEnd w:id="26"/>
    <w:p w14:paraId="72F14FE7">
      <w:pPr>
        <w:pStyle w:val="4"/>
        <w:spacing w:before="0" w:after="0" w:line="360" w:lineRule="auto"/>
        <w:jc w:val="center"/>
        <w:rPr>
          <w:rFonts w:hint="eastAsia" w:ascii="宋体" w:hAnsi="宋体" w:eastAsia="宋体" w:cs="宋体"/>
          <w:sz w:val="24"/>
          <w:szCs w:val="24"/>
          <w:highlight w:val="none"/>
        </w:rPr>
      </w:pPr>
      <w:bookmarkStart w:id="27" w:name="_Toc16648"/>
      <w:bookmarkStart w:id="28" w:name="_Toc30689"/>
      <w:r>
        <w:rPr>
          <w:rFonts w:hint="eastAsia" w:ascii="宋体" w:hAnsi="宋体" w:eastAsia="宋体" w:cs="宋体"/>
          <w:sz w:val="24"/>
          <w:szCs w:val="24"/>
          <w:highlight w:val="none"/>
        </w:rPr>
        <w:t>一、总则</w:t>
      </w:r>
      <w:bookmarkEnd w:id="27"/>
      <w:bookmarkEnd w:id="28"/>
    </w:p>
    <w:p w14:paraId="4F72FA38">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29" w:name="_Toc359860079"/>
      <w:bookmarkStart w:id="30" w:name="_Toc24302"/>
      <w:bookmarkStart w:id="31" w:name="_Toc3761"/>
      <w:bookmarkStart w:id="32" w:name="_Toc263676373"/>
      <w:bookmarkStart w:id="33" w:name="_Toc479667067"/>
      <w:bookmarkStart w:id="34" w:name="_Toc282640696"/>
      <w:bookmarkStart w:id="35" w:name="_Toc479667345"/>
      <w:bookmarkStart w:id="36" w:name="_Toc482195563"/>
      <w:r>
        <w:rPr>
          <w:rFonts w:hint="eastAsia" w:ascii="宋体" w:hAnsi="宋体" w:eastAsia="宋体" w:cs="宋体"/>
          <w:b/>
          <w:kern w:val="2"/>
          <w:sz w:val="21"/>
          <w:szCs w:val="21"/>
          <w:lang w:val="en-US" w:eastAsia="zh-CN" w:bidi="ar-SA"/>
        </w:rPr>
        <w:t>1.</w:t>
      </w:r>
      <w:r>
        <w:rPr>
          <w:rFonts w:hint="eastAsia" w:ascii="宋体" w:hAnsi="宋体" w:cs="宋体"/>
          <w:b/>
          <w:szCs w:val="21"/>
          <w:highlight w:val="none"/>
        </w:rPr>
        <w:t>采购依据</w:t>
      </w:r>
    </w:p>
    <w:p w14:paraId="3EF5E14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1.1</w:t>
      </w:r>
      <w:r>
        <w:rPr>
          <w:rFonts w:hint="eastAsia" w:ascii="宋体" w:hAnsi="宋体" w:cs="宋体"/>
          <w:szCs w:val="21"/>
          <w:highlight w:val="none"/>
        </w:rPr>
        <w:t>本次采购工作是参照《政府采购竞争性磋商采购方式管理暂行办法》等有关法律、法规、规章、文件等规定组织和实施。</w:t>
      </w:r>
    </w:p>
    <w:p w14:paraId="2267D926">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w:t>
      </w:r>
      <w:r>
        <w:rPr>
          <w:rFonts w:hint="eastAsia" w:ascii="宋体" w:hAnsi="宋体" w:cs="宋体"/>
          <w:b/>
          <w:szCs w:val="21"/>
          <w:highlight w:val="none"/>
        </w:rPr>
        <w:t>适用范围</w:t>
      </w:r>
      <w:bookmarkEnd w:id="29"/>
      <w:bookmarkEnd w:id="30"/>
      <w:bookmarkEnd w:id="31"/>
      <w:bookmarkEnd w:id="32"/>
    </w:p>
    <w:bookmarkEnd w:id="33"/>
    <w:bookmarkEnd w:id="34"/>
    <w:bookmarkEnd w:id="35"/>
    <w:bookmarkEnd w:id="36"/>
    <w:p w14:paraId="36B1574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w:t>
      </w:r>
      <w:r>
        <w:rPr>
          <w:rFonts w:hint="eastAsia" w:ascii="宋体" w:hAnsi="宋体" w:cs="宋体"/>
          <w:szCs w:val="21"/>
          <w:highlight w:val="none"/>
        </w:rPr>
        <w:t>本采购文件仅适用于本次竞争性磋商采购所叙述的工程、货物和服务（法律、法规另有规定的，从其规定）。</w:t>
      </w:r>
    </w:p>
    <w:p w14:paraId="21A58A3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w:t>
      </w:r>
      <w:r>
        <w:rPr>
          <w:rFonts w:hint="eastAsia" w:ascii="宋体" w:hAnsi="宋体" w:cs="宋体"/>
          <w:szCs w:val="21"/>
          <w:highlight w:val="none"/>
        </w:rPr>
        <w:t>本项目名称见“磋商须知前附表”。</w:t>
      </w:r>
    </w:p>
    <w:p w14:paraId="2955A752">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3.</w:t>
      </w:r>
      <w:r>
        <w:rPr>
          <w:rFonts w:hint="eastAsia" w:ascii="宋体" w:hAnsi="宋体" w:cs="宋体"/>
          <w:b/>
          <w:szCs w:val="21"/>
          <w:highlight w:val="none"/>
        </w:rPr>
        <w:t>本项目采购方式</w:t>
      </w:r>
    </w:p>
    <w:p w14:paraId="1E16869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3.1</w:t>
      </w:r>
      <w:r>
        <w:rPr>
          <w:rFonts w:hint="eastAsia" w:ascii="宋体" w:hAnsi="宋体" w:cs="宋体"/>
          <w:szCs w:val="21"/>
          <w:highlight w:val="none"/>
        </w:rPr>
        <w:t>竞争性磋商采购方式是指采购人、采购代理机构通过组建竞争性磋商小组（以下简称磋商小组）与符合条件的供应商就采购货物、工程和服务事宜进行磋商，供应商按照采购文件的要求提交响应文件和报价，采购人从磋商小组评审后提出的候选供应商名单中确定成交供应商的采购方式。</w:t>
      </w:r>
    </w:p>
    <w:p w14:paraId="77EABED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3.2</w:t>
      </w:r>
      <w:r>
        <w:rPr>
          <w:rFonts w:hint="eastAsia" w:ascii="宋体" w:hAnsi="宋体" w:cs="宋体"/>
          <w:szCs w:val="21"/>
          <w:highlight w:val="none"/>
        </w:rPr>
        <w:t>本项目的采购内容：详见“磋商须知前附表”。</w:t>
      </w:r>
    </w:p>
    <w:p w14:paraId="13891A77">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37" w:name="_Toc482195564"/>
      <w:bookmarkStart w:id="38" w:name="_Toc479667346"/>
      <w:bookmarkStart w:id="39" w:name="_Toc282640697"/>
      <w:bookmarkStart w:id="40" w:name="_Toc479667068"/>
      <w:r>
        <w:rPr>
          <w:rFonts w:hint="eastAsia" w:ascii="宋体" w:hAnsi="宋体" w:eastAsia="宋体" w:cs="宋体"/>
          <w:b/>
          <w:kern w:val="2"/>
          <w:sz w:val="21"/>
          <w:szCs w:val="21"/>
          <w:lang w:val="en-US" w:eastAsia="zh-CN" w:bidi="ar-SA"/>
        </w:rPr>
        <w:t>4.</w:t>
      </w:r>
      <w:r>
        <w:rPr>
          <w:rFonts w:hint="eastAsia" w:ascii="宋体" w:hAnsi="宋体" w:cs="宋体"/>
          <w:b/>
          <w:szCs w:val="21"/>
          <w:highlight w:val="none"/>
        </w:rPr>
        <w:t>定义</w:t>
      </w:r>
      <w:bookmarkEnd w:id="37"/>
      <w:bookmarkEnd w:id="38"/>
      <w:bookmarkEnd w:id="39"/>
      <w:bookmarkEnd w:id="40"/>
    </w:p>
    <w:p w14:paraId="262B11C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w:t>
      </w:r>
      <w:r>
        <w:rPr>
          <w:rFonts w:hint="eastAsia" w:ascii="宋体" w:hAnsi="宋体" w:cs="宋体"/>
          <w:szCs w:val="21"/>
          <w:highlight w:val="none"/>
        </w:rPr>
        <w:t>采购人：是指依法进行采购的国家机关、事业单位、团体组织，见“磋商须知前附表”，本文件中招标人与采购人意思相同。</w:t>
      </w:r>
    </w:p>
    <w:p w14:paraId="2ED7F292">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4.2</w:t>
      </w:r>
      <w:r>
        <w:rPr>
          <w:rFonts w:hint="eastAsia" w:ascii="宋体" w:hAnsi="宋体" w:cs="宋体"/>
          <w:szCs w:val="21"/>
          <w:highlight w:val="none"/>
        </w:rPr>
        <w:t xml:space="preserve">采购代理机构：受采购人委托，在委托的范围内办理采购事宜的机构，见“磋商须知前附表”； </w:t>
      </w:r>
    </w:p>
    <w:p w14:paraId="3335CB23">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4.3</w:t>
      </w:r>
      <w:r>
        <w:rPr>
          <w:rFonts w:hint="eastAsia" w:ascii="宋体" w:hAnsi="宋体" w:cs="宋体"/>
          <w:szCs w:val="21"/>
          <w:highlight w:val="none"/>
        </w:rPr>
        <w:t xml:space="preserve">采购组织机构：指采购人和受采购人委托的采购代理机构； </w:t>
      </w:r>
    </w:p>
    <w:p w14:paraId="34C6FBE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4.4</w:t>
      </w:r>
      <w:r>
        <w:rPr>
          <w:rFonts w:hint="eastAsia" w:ascii="宋体" w:hAnsi="宋体" w:cs="宋体"/>
          <w:szCs w:val="21"/>
          <w:highlight w:val="none"/>
        </w:rPr>
        <w:t xml:space="preserve">供应商：是指参加本采购项目磋商、签订合同、实施的单位，按阶段不同，分别理解为潜在供应商、磋商供应商、成交候选供应商、成交供应商、乙方； </w:t>
      </w:r>
    </w:p>
    <w:p w14:paraId="2E931A1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4.5</w:t>
      </w:r>
      <w:r>
        <w:rPr>
          <w:rFonts w:hint="eastAsia" w:ascii="宋体" w:hAnsi="宋体" w:cs="宋体"/>
          <w:szCs w:val="21"/>
          <w:highlight w:val="none"/>
        </w:rPr>
        <w:t xml:space="preserve">竞争性磋商采购文件：指向供应商发出的采购需求文件，本文件中采购文件与竞争性磋商采购文件意思相同； </w:t>
      </w:r>
    </w:p>
    <w:p w14:paraId="36EBF3F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4.6</w:t>
      </w:r>
      <w:r>
        <w:rPr>
          <w:rFonts w:hint="eastAsia" w:ascii="宋体" w:hAnsi="宋体" w:cs="宋体"/>
          <w:szCs w:val="21"/>
          <w:highlight w:val="none"/>
        </w:rPr>
        <w:t xml:space="preserve">响应文件：指供应商针对采购文件作出响应的文件，包括响应文件、备份响应文件、成交后提供的纸质响应文件，所有响应文件内容应保持一致。本文件中响应文件与投标文件意思相同； </w:t>
      </w:r>
    </w:p>
    <w:p w14:paraId="223A9DD1">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4.7</w:t>
      </w:r>
      <w:r>
        <w:rPr>
          <w:rFonts w:hint="eastAsia" w:ascii="宋体" w:hAnsi="宋体" w:cs="宋体"/>
          <w:szCs w:val="21"/>
          <w:highlight w:val="none"/>
        </w:rPr>
        <w:t xml:space="preserve">磋商代表：是指参加本项目采购活动的供应商法定代表人或法定代表人授权代表； </w:t>
      </w:r>
    </w:p>
    <w:p w14:paraId="57EA1CF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4.8</w:t>
      </w:r>
      <w:r>
        <w:rPr>
          <w:rFonts w:hint="eastAsia" w:ascii="宋体" w:hAnsi="宋体" w:cs="宋体"/>
          <w:szCs w:val="21"/>
          <w:highlight w:val="none"/>
        </w:rPr>
        <w:t xml:space="preserve">联合体：是指两个以上单位组成联合体，以一个供应商的身份参加磋商； </w:t>
      </w:r>
    </w:p>
    <w:p w14:paraId="3E41E3E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4.9</w:t>
      </w:r>
      <w:r>
        <w:rPr>
          <w:rFonts w:hint="eastAsia" w:ascii="宋体" w:hAnsi="宋体" w:cs="宋体"/>
          <w:szCs w:val="21"/>
          <w:highlight w:val="none"/>
        </w:rPr>
        <w:t xml:space="preserve">甲方（发包人）：是指合同签订的一方，一般与采购人相同； </w:t>
      </w:r>
    </w:p>
    <w:p w14:paraId="4CF597F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4.10</w:t>
      </w:r>
      <w:r>
        <w:rPr>
          <w:rFonts w:hint="eastAsia" w:ascii="宋体" w:hAnsi="宋体" w:cs="宋体"/>
          <w:szCs w:val="21"/>
          <w:highlight w:val="none"/>
        </w:rPr>
        <w:t xml:space="preserve">乙方（承包人）：是指合同签订的另一方，与成交供应商相同； </w:t>
      </w:r>
    </w:p>
    <w:p w14:paraId="4BCF877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4.11</w:t>
      </w:r>
      <w:r>
        <w:rPr>
          <w:rFonts w:hint="eastAsia" w:ascii="宋体" w:hAnsi="宋体" w:cs="宋体"/>
          <w:szCs w:val="21"/>
          <w:highlight w:val="none"/>
        </w:rPr>
        <w:t>同级采购监督管理部门：</w:t>
      </w:r>
      <w:r>
        <w:rPr>
          <w:rFonts w:hint="eastAsia" w:ascii="宋体" w:hAnsi="宋体" w:cs="宋体"/>
          <w:szCs w:val="21"/>
          <w:highlight w:val="none"/>
          <w:lang w:val="en-US" w:eastAsia="zh-CN"/>
        </w:rPr>
        <w:t>/</w:t>
      </w:r>
      <w:r>
        <w:rPr>
          <w:rFonts w:hint="eastAsia" w:ascii="宋体" w:hAnsi="宋体" w:cs="宋体"/>
          <w:szCs w:val="21"/>
          <w:highlight w:val="none"/>
        </w:rPr>
        <w:t xml:space="preserve"> </w:t>
      </w:r>
    </w:p>
    <w:p w14:paraId="603B339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4.12</w:t>
      </w:r>
      <w:r>
        <w:rPr>
          <w:rFonts w:hint="eastAsia" w:ascii="宋体" w:hAnsi="宋体" w:cs="宋体"/>
          <w:szCs w:val="21"/>
          <w:highlight w:val="none"/>
        </w:rPr>
        <w:t>产品：是指供应商按采购文件规定，须向采购单位提供的一切设备、保险、税金、备品备件、工具、手册及其它有关技术资料和材料。</w:t>
      </w:r>
    </w:p>
    <w:p w14:paraId="02992DB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4.13</w:t>
      </w:r>
      <w:r>
        <w:rPr>
          <w:rFonts w:hint="eastAsia" w:ascii="宋体" w:hAnsi="宋体" w:cs="宋体"/>
          <w:szCs w:val="21"/>
          <w:highlight w:val="none"/>
        </w:rPr>
        <w:t>服务：是指按竞争性磋商采购文件要求的服务。</w:t>
      </w:r>
    </w:p>
    <w:p w14:paraId="7BF493FC">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4.14</w:t>
      </w:r>
      <w:r>
        <w:rPr>
          <w:rFonts w:hint="eastAsia" w:ascii="宋体" w:hAnsi="宋体" w:cs="宋体"/>
          <w:szCs w:val="21"/>
          <w:highlight w:val="none"/>
        </w:rPr>
        <w:t>项目：是指磋商响应方按采购文件规定向采购人提供的工程、产品和服务。</w:t>
      </w:r>
    </w:p>
    <w:p w14:paraId="4DC6690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bookmarkStart w:id="41" w:name="_Toc479667348"/>
      <w:bookmarkStart w:id="42" w:name="_Toc482195566"/>
      <w:bookmarkStart w:id="43" w:name="_Toc479667070"/>
      <w:r>
        <w:rPr>
          <w:rFonts w:hint="eastAsia" w:ascii="宋体" w:hAnsi="宋体" w:eastAsia="宋体" w:cs="宋体"/>
          <w:kern w:val="2"/>
          <w:sz w:val="21"/>
          <w:szCs w:val="21"/>
          <w:lang w:val="en-US" w:eastAsia="zh-CN" w:bidi="ar-SA"/>
        </w:rPr>
        <w:t>4.15</w:t>
      </w:r>
      <w:r>
        <w:rPr>
          <w:rFonts w:hint="eastAsia" w:ascii="宋体" w:hAnsi="宋体" w:cs="宋体"/>
          <w:szCs w:val="21"/>
          <w:highlight w:val="none"/>
        </w:rPr>
        <w:t>书面形式：是指合同书、信件和数据电文(包括电报、电传、传真、电子数据交换和电子邮件)等可以有形地表现所载内容的形式。</w:t>
      </w:r>
    </w:p>
    <w:p w14:paraId="0F102E9C">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4.16</w:t>
      </w:r>
      <w:r>
        <w:rPr>
          <w:rFonts w:hint="eastAsia" w:ascii="宋体" w:hAnsi="宋体" w:cs="宋体"/>
          <w:szCs w:val="21"/>
          <w:highlight w:val="none"/>
        </w:rPr>
        <w:t>商务与技术响应：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4F839DE5">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5.</w:t>
      </w:r>
      <w:r>
        <w:rPr>
          <w:rFonts w:hint="eastAsia" w:ascii="宋体" w:hAnsi="宋体" w:cs="宋体"/>
          <w:b/>
          <w:szCs w:val="21"/>
          <w:highlight w:val="none"/>
        </w:rPr>
        <w:t>费用</w:t>
      </w:r>
      <w:bookmarkEnd w:id="41"/>
      <w:bookmarkEnd w:id="42"/>
      <w:bookmarkEnd w:id="43"/>
    </w:p>
    <w:p w14:paraId="49ACA0D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5.1</w:t>
      </w:r>
      <w:r>
        <w:rPr>
          <w:rFonts w:hint="eastAsia" w:ascii="宋体" w:hAnsi="宋体" w:cs="宋体"/>
          <w:szCs w:val="21"/>
          <w:highlight w:val="none"/>
        </w:rPr>
        <w:t>无论采购活动中的做法和结果如何，供应商自行承担采购活动中所发生的全部费用（采购文件有其他规定的除外）。</w:t>
      </w:r>
    </w:p>
    <w:p w14:paraId="03EAF70C">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44" w:name="_Toc479667071"/>
      <w:bookmarkStart w:id="45" w:name="_Toc479667349"/>
      <w:bookmarkStart w:id="46" w:name="_Toc482195567"/>
      <w:r>
        <w:rPr>
          <w:rFonts w:hint="eastAsia" w:ascii="宋体" w:hAnsi="宋体" w:eastAsia="宋体" w:cs="宋体"/>
          <w:b/>
          <w:kern w:val="2"/>
          <w:sz w:val="21"/>
          <w:szCs w:val="21"/>
          <w:lang w:val="en-US" w:eastAsia="zh-CN" w:bidi="ar-SA"/>
        </w:rPr>
        <w:t>6.</w:t>
      </w:r>
      <w:r>
        <w:rPr>
          <w:rFonts w:hint="eastAsia" w:ascii="宋体" w:hAnsi="宋体" w:cs="宋体"/>
          <w:b/>
          <w:szCs w:val="21"/>
          <w:highlight w:val="none"/>
        </w:rPr>
        <w:t>联合体</w:t>
      </w:r>
      <w:bookmarkEnd w:id="44"/>
      <w:bookmarkEnd w:id="45"/>
      <w:bookmarkEnd w:id="46"/>
    </w:p>
    <w:p w14:paraId="563804BA">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6.1</w:t>
      </w:r>
      <w:r>
        <w:rPr>
          <w:rFonts w:hint="eastAsia" w:ascii="宋体" w:hAnsi="宋体" w:cs="宋体"/>
          <w:szCs w:val="21"/>
          <w:highlight w:val="none"/>
        </w:rPr>
        <w:t>本项目不接受联合体。</w:t>
      </w:r>
    </w:p>
    <w:p w14:paraId="19270CBC">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47" w:name="_Toc482195568"/>
      <w:bookmarkStart w:id="48" w:name="_Toc479667072"/>
      <w:bookmarkStart w:id="49" w:name="_Toc479667350"/>
      <w:r>
        <w:rPr>
          <w:rFonts w:hint="eastAsia" w:ascii="宋体" w:hAnsi="宋体" w:eastAsia="宋体" w:cs="宋体"/>
          <w:b/>
          <w:kern w:val="2"/>
          <w:sz w:val="21"/>
          <w:szCs w:val="21"/>
          <w:lang w:val="en-US" w:eastAsia="zh-CN" w:bidi="ar-SA"/>
        </w:rPr>
        <w:t>7.</w:t>
      </w:r>
      <w:r>
        <w:rPr>
          <w:rFonts w:hint="eastAsia" w:ascii="宋体" w:hAnsi="宋体" w:cs="宋体"/>
          <w:b/>
          <w:szCs w:val="21"/>
          <w:highlight w:val="none"/>
        </w:rPr>
        <w:t>保密</w:t>
      </w:r>
    </w:p>
    <w:p w14:paraId="11E8A92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7.1</w:t>
      </w:r>
      <w:r>
        <w:rPr>
          <w:rFonts w:hint="eastAsia" w:ascii="宋体" w:hAnsi="宋体" w:cs="宋体"/>
          <w:szCs w:val="21"/>
          <w:highlight w:val="none"/>
        </w:rPr>
        <w:t xml:space="preserve">参与采购活动的各方应对采购文件和响应文件中的商业和技术等秘密保密，违者应对此造成的后果承担法律责任。 </w:t>
      </w:r>
    </w:p>
    <w:p w14:paraId="4DD9E5B4">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8.</w:t>
      </w:r>
      <w:r>
        <w:rPr>
          <w:rFonts w:hint="eastAsia" w:ascii="宋体" w:hAnsi="宋体" w:cs="宋体"/>
          <w:b/>
          <w:szCs w:val="21"/>
          <w:highlight w:val="none"/>
        </w:rPr>
        <w:t xml:space="preserve">语言文字 </w:t>
      </w:r>
    </w:p>
    <w:p w14:paraId="50CDF0D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8.1</w:t>
      </w:r>
      <w:r>
        <w:rPr>
          <w:rFonts w:hint="eastAsia" w:ascii="宋体" w:hAnsi="宋体" w:cs="宋体"/>
          <w:bCs/>
          <w:szCs w:val="21"/>
          <w:highlight w:val="none"/>
        </w:rPr>
        <w:t xml:space="preserve">除专用术语外，与采购有关的语言使用中文。专用术语应附有中文注释。 </w:t>
      </w:r>
    </w:p>
    <w:p w14:paraId="2413E3F5">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9.</w:t>
      </w:r>
      <w:r>
        <w:rPr>
          <w:rFonts w:hint="eastAsia" w:ascii="宋体" w:hAnsi="宋体" w:cs="宋体"/>
          <w:b/>
          <w:szCs w:val="21"/>
          <w:highlight w:val="none"/>
        </w:rPr>
        <w:t xml:space="preserve">计量单位 </w:t>
      </w:r>
    </w:p>
    <w:p w14:paraId="2F81551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9.1</w:t>
      </w:r>
      <w:r>
        <w:rPr>
          <w:rFonts w:hint="eastAsia" w:ascii="宋体" w:hAnsi="宋体" w:cs="宋体"/>
          <w:bCs/>
          <w:szCs w:val="21"/>
          <w:highlight w:val="none"/>
        </w:rPr>
        <w:t xml:space="preserve">所有计量均采用中华人民共和国法定计量单位。 </w:t>
      </w:r>
    </w:p>
    <w:p w14:paraId="0D171292">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10.</w:t>
      </w:r>
      <w:r>
        <w:rPr>
          <w:rFonts w:hint="eastAsia" w:ascii="宋体" w:hAnsi="宋体" w:cs="宋体"/>
          <w:b/>
          <w:szCs w:val="21"/>
          <w:highlight w:val="none"/>
        </w:rPr>
        <w:t xml:space="preserve">踏勘现场 </w:t>
      </w:r>
    </w:p>
    <w:p w14:paraId="482145F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10.1</w:t>
      </w:r>
      <w:r>
        <w:rPr>
          <w:rFonts w:hint="eastAsia" w:ascii="宋体" w:hAnsi="宋体" w:cs="宋体"/>
          <w:bCs/>
          <w:szCs w:val="21"/>
          <w:highlight w:val="none"/>
        </w:rPr>
        <w:t xml:space="preserve">若“磋商须知前附表”规定组织踏勘现场的，采购人按磋商须知前附表规定的时间、地点组织供应商踏勘项目现场。 </w:t>
      </w:r>
    </w:p>
    <w:p w14:paraId="513588B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10.2</w:t>
      </w:r>
      <w:r>
        <w:rPr>
          <w:rFonts w:hint="eastAsia" w:ascii="宋体" w:hAnsi="宋体" w:cs="宋体"/>
          <w:bCs/>
          <w:szCs w:val="21"/>
          <w:highlight w:val="none"/>
        </w:rPr>
        <w:t xml:space="preserve">供应商踏勘现场发生的费用自理。 </w:t>
      </w:r>
    </w:p>
    <w:p w14:paraId="4889D28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10.3</w:t>
      </w:r>
      <w:r>
        <w:rPr>
          <w:rFonts w:hint="eastAsia" w:ascii="宋体" w:hAnsi="宋体" w:cs="宋体"/>
          <w:bCs/>
          <w:szCs w:val="21"/>
          <w:highlight w:val="none"/>
        </w:rPr>
        <w:t xml:space="preserve">除采购人的原因外，供应商自行负责在踏勘现场中所发生的人员伤亡和财产损失。 </w:t>
      </w:r>
    </w:p>
    <w:p w14:paraId="60B32A8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10.4</w:t>
      </w:r>
      <w:r>
        <w:rPr>
          <w:rFonts w:hint="eastAsia" w:ascii="宋体" w:hAnsi="宋体" w:cs="宋体"/>
          <w:bCs/>
          <w:szCs w:val="21"/>
          <w:highlight w:val="none"/>
        </w:rPr>
        <w:t xml:space="preserve">采购人在踏勘现场中介绍的工程场地和相关的周边环境情况，供供应商在编制响应文件时参考，采购人不对供应商据此作出的判断和决策负责。 </w:t>
      </w:r>
    </w:p>
    <w:p w14:paraId="0A3E95AD">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11.</w:t>
      </w:r>
      <w:r>
        <w:rPr>
          <w:rFonts w:hint="eastAsia" w:ascii="宋体" w:hAnsi="宋体" w:cs="宋体"/>
          <w:b/>
          <w:szCs w:val="21"/>
          <w:highlight w:val="none"/>
        </w:rPr>
        <w:t xml:space="preserve">答疑会 </w:t>
      </w:r>
    </w:p>
    <w:p w14:paraId="75B6EEF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11.1</w:t>
      </w:r>
      <w:r>
        <w:rPr>
          <w:rFonts w:hint="eastAsia" w:ascii="宋体" w:hAnsi="宋体" w:cs="宋体"/>
          <w:bCs/>
          <w:szCs w:val="21"/>
          <w:highlight w:val="none"/>
        </w:rPr>
        <w:t xml:space="preserve">若“磋商须知前附表”规定召开答疑会的，采购人按磋商须知前附表规定的时间和地点召开答疑会，澄清供应商提出的问题。 </w:t>
      </w:r>
    </w:p>
    <w:p w14:paraId="673C5862">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11.2</w:t>
      </w:r>
      <w:r>
        <w:rPr>
          <w:rFonts w:hint="eastAsia" w:ascii="宋体" w:hAnsi="宋体" w:cs="宋体"/>
          <w:bCs/>
          <w:szCs w:val="21"/>
          <w:highlight w:val="none"/>
        </w:rPr>
        <w:t>供应商应在答疑会时间的前一天，以书面形式将提出的问题送达采购人，以便采购人在会议期间澄清。</w:t>
      </w:r>
    </w:p>
    <w:p w14:paraId="43296CE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11.3</w:t>
      </w:r>
      <w:r>
        <w:rPr>
          <w:rFonts w:hint="eastAsia" w:ascii="宋体" w:hAnsi="宋体" w:cs="宋体"/>
          <w:bCs/>
          <w:szCs w:val="21"/>
          <w:highlight w:val="none"/>
        </w:rPr>
        <w:t xml:space="preserve">答疑会后，采购人按本章20.3款规定对供应商所提问题进行澄清答复。 </w:t>
      </w:r>
    </w:p>
    <w:p w14:paraId="53A9D0A3">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12.</w:t>
      </w:r>
      <w:r>
        <w:rPr>
          <w:rFonts w:hint="eastAsia" w:ascii="宋体" w:hAnsi="宋体" w:cs="宋体"/>
          <w:b/>
          <w:szCs w:val="21"/>
          <w:highlight w:val="none"/>
        </w:rPr>
        <w:t>分包</w:t>
      </w:r>
      <w:bookmarkEnd w:id="47"/>
      <w:bookmarkEnd w:id="48"/>
      <w:bookmarkEnd w:id="49"/>
    </w:p>
    <w:p w14:paraId="168146A5">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12.1</w:t>
      </w:r>
      <w:r>
        <w:rPr>
          <w:rFonts w:hint="eastAsia" w:ascii="宋体" w:hAnsi="宋体" w:cs="宋体"/>
          <w:bCs/>
          <w:szCs w:val="21"/>
          <w:highlight w:val="none"/>
        </w:rPr>
        <w:t>分包要求详见“磋商须知前附表”。</w:t>
      </w:r>
    </w:p>
    <w:p w14:paraId="5EB655E3">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13.</w:t>
      </w:r>
      <w:r>
        <w:rPr>
          <w:rFonts w:hint="eastAsia" w:ascii="宋体" w:hAnsi="宋体" w:cs="宋体"/>
          <w:b/>
          <w:szCs w:val="21"/>
          <w:highlight w:val="none"/>
        </w:rPr>
        <w:t>偏离</w:t>
      </w:r>
    </w:p>
    <w:p w14:paraId="1DF6E87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13.1</w:t>
      </w:r>
      <w:r>
        <w:rPr>
          <w:rFonts w:hint="eastAsia" w:ascii="宋体" w:hAnsi="宋体" w:cs="宋体"/>
          <w:bCs/>
          <w:szCs w:val="21"/>
          <w:highlight w:val="none"/>
        </w:rPr>
        <w:t>带“▲”条款为实质性响应条款，必须响应。</w:t>
      </w:r>
    </w:p>
    <w:p w14:paraId="5EFE325F">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50" w:name="_Toc479667351"/>
      <w:bookmarkStart w:id="51" w:name="_Toc479667073"/>
      <w:bookmarkStart w:id="52" w:name="_Toc482195569"/>
      <w:r>
        <w:rPr>
          <w:rFonts w:hint="eastAsia" w:ascii="宋体" w:hAnsi="宋体" w:eastAsia="宋体" w:cs="宋体"/>
          <w:b/>
          <w:kern w:val="2"/>
          <w:sz w:val="21"/>
          <w:szCs w:val="21"/>
          <w:lang w:val="en-US" w:eastAsia="zh-CN" w:bidi="ar-SA"/>
        </w:rPr>
        <w:t>14.</w:t>
      </w:r>
      <w:r>
        <w:rPr>
          <w:rFonts w:hint="eastAsia" w:ascii="宋体" w:hAnsi="宋体" w:cs="宋体"/>
          <w:b/>
          <w:szCs w:val="21"/>
          <w:highlight w:val="none"/>
        </w:rPr>
        <w:t>特别说明：</w:t>
      </w:r>
      <w:bookmarkEnd w:id="50"/>
      <w:bookmarkEnd w:id="51"/>
      <w:bookmarkEnd w:id="52"/>
    </w:p>
    <w:p w14:paraId="6EACCA1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14.1</w:t>
      </w:r>
      <w:r>
        <w:rPr>
          <w:rFonts w:hint="eastAsia" w:ascii="宋体" w:hAnsi="宋体" w:cs="宋体"/>
          <w:szCs w:val="21"/>
          <w:highlight w:val="none"/>
        </w:rPr>
        <w:t>使用综合评分法的采购项目，提供相同品牌产品且通过资格审查、符合性审查的不同供应商参加同一合同项下磋商的，按一家供应商计算，评审后得分最高的同品牌供应商获得中标人推荐资格；评审得分相同的，按照采购文件“</w:t>
      </w:r>
      <w:r>
        <w:rPr>
          <w:rFonts w:hint="eastAsia" w:ascii="宋体" w:hAnsi="宋体" w:cs="宋体"/>
          <w:szCs w:val="21"/>
          <w:highlight w:val="none"/>
        </w:rPr>
        <w:fldChar w:fldCharType="begin"/>
      </w:r>
      <w:r>
        <w:rPr>
          <w:rFonts w:hint="eastAsia" w:ascii="宋体" w:hAnsi="宋体" w:cs="宋体"/>
          <w:szCs w:val="21"/>
          <w:highlight w:val="none"/>
        </w:rPr>
        <w:instrText xml:space="preserve">HYPERLINK \l "_三、确定中标候选人"</w:instrText>
      </w:r>
      <w:r>
        <w:rPr>
          <w:rFonts w:hint="eastAsia" w:ascii="宋体" w:hAnsi="宋体" w:cs="宋体"/>
          <w:szCs w:val="21"/>
          <w:highlight w:val="none"/>
        </w:rPr>
        <w:fldChar w:fldCharType="separate"/>
      </w:r>
      <w:r>
        <w:rPr>
          <w:rFonts w:hint="eastAsia" w:ascii="宋体" w:hAnsi="宋体" w:cs="宋体"/>
          <w:szCs w:val="21"/>
          <w:highlight w:val="none"/>
        </w:rPr>
        <w:t>第四章磋商评审办法</w:t>
      </w:r>
      <w:r>
        <w:rPr>
          <w:rFonts w:hint="eastAsia" w:ascii="宋体" w:hAnsi="宋体" w:cs="宋体"/>
          <w:szCs w:val="21"/>
          <w:highlight w:val="none"/>
        </w:rPr>
        <w:fldChar w:fldCharType="end"/>
      </w:r>
      <w:r>
        <w:rPr>
          <w:rFonts w:hint="eastAsia" w:ascii="宋体" w:hAnsi="宋体" w:cs="宋体"/>
          <w:szCs w:val="21"/>
          <w:highlight w:val="none"/>
        </w:rPr>
        <w:t>”中有关条款规定的方式推荐中标候选人，其他同品牌供应商不作为中标候选人。</w:t>
      </w:r>
    </w:p>
    <w:p w14:paraId="60F87F35">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非单一产品采购项目，多家供应商提供的核心产品品牌相同的，按前款规定处理。核心产品由采购人在采购文件采购需求中指定。</w:t>
      </w:r>
    </w:p>
    <w:p w14:paraId="267E1FD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14.2</w:t>
      </w:r>
      <w:r>
        <w:rPr>
          <w:rFonts w:hint="eastAsia" w:ascii="宋体" w:hAnsi="宋体" w:cs="宋体"/>
          <w:szCs w:val="21"/>
          <w:highlight w:val="none"/>
        </w:rPr>
        <w:t>供应商母公司（总机构）或者同一母公司下属的其他子公司（同一总机构下属的其他分支机构）的人员、业绩、荣誉、知识产权、项目案例等不作为供应商的资信文件。</w:t>
      </w:r>
    </w:p>
    <w:p w14:paraId="15AA4CE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14.3</w:t>
      </w:r>
      <w:r>
        <w:rPr>
          <w:rFonts w:hint="eastAsia" w:ascii="宋体" w:hAnsi="宋体" w:cs="宋体"/>
          <w:szCs w:val="21"/>
          <w:highlight w:val="none"/>
          <w:u w:val="single"/>
        </w:rPr>
        <w:t>供应商磋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6C9E2922">
      <w:pPr>
        <w:pStyle w:val="113"/>
        <w:pageBreakBefore w:val="0"/>
        <w:tabs>
          <w:tab w:val="left" w:pos="0"/>
          <w:tab w:val="left" w:pos="420"/>
        </w:tabs>
        <w:kinsoku/>
        <w:wordWrap/>
        <w:overflowPunct/>
        <w:topLinePunct w:val="0"/>
        <w:autoSpaceDE w:val="0"/>
        <w:autoSpaceDN w:val="0"/>
        <w:bidi w:val="0"/>
        <w:adjustRightInd/>
        <w:snapToGrid/>
        <w:spacing w:line="360" w:lineRule="auto"/>
        <w:ind w:firstLine="422"/>
        <w:textAlignment w:val="bottom"/>
        <w:outlineLvl w:val="2"/>
        <w:rPr>
          <w:rFonts w:hint="eastAsia" w:ascii="宋体" w:hAnsi="宋体" w:cs="宋体"/>
          <w:szCs w:val="21"/>
          <w:highlight w:val="none"/>
        </w:rPr>
      </w:pPr>
      <w:r>
        <w:rPr>
          <w:rFonts w:hint="eastAsia" w:ascii="宋体" w:hAnsi="宋体" w:cs="宋体"/>
          <w:b/>
          <w:szCs w:val="21"/>
          <w:highlight w:val="none"/>
        </w:rPr>
        <w:t>磋商供应商对响应产品或服务的技术参数真实性承担法律责任。</w:t>
      </w:r>
      <w:r>
        <w:rPr>
          <w:rFonts w:hint="eastAsia" w:ascii="宋体" w:hAnsi="宋体" w:cs="宋体"/>
          <w:szCs w:val="21"/>
          <w:highlight w:val="none"/>
        </w:rPr>
        <w:t>项目磋商结束后、质疑期限内，如有质疑供应商认为成交供应商响应产品或服务、响应文件技术参数与采购需求存在重大偏离、错误、甚至造假的情况，应提供具体有效的证明材料。</w:t>
      </w:r>
    </w:p>
    <w:p w14:paraId="0971D553">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bookmarkStart w:id="53" w:name="_Toc482195570"/>
      <w:bookmarkStart w:id="54" w:name="_Toc479667352"/>
      <w:bookmarkStart w:id="55" w:name="_Toc479667074"/>
      <w:r>
        <w:rPr>
          <w:rFonts w:hint="eastAsia" w:ascii="宋体" w:hAnsi="宋体" w:eastAsia="宋体" w:cs="宋体"/>
          <w:kern w:val="2"/>
          <w:sz w:val="21"/>
          <w:szCs w:val="21"/>
          <w:lang w:val="en-US" w:eastAsia="zh-CN" w:bidi="ar-SA"/>
        </w:rPr>
        <w:t>14.4</w:t>
      </w:r>
      <w:r>
        <w:rPr>
          <w:rFonts w:hint="eastAsia" w:ascii="宋体" w:hAnsi="宋体" w:cs="宋体"/>
          <w:szCs w:val="21"/>
          <w:highlight w:val="none"/>
        </w:rPr>
        <w:t>根据《政府采购竞争性磋商采购方式管理暂行办法》财库〔2014〕214号第二十一条规定：磋商文件能够详细列明采购标的的技术、服务要求的，磋商结束后，磋商小组应当要求所有实质性响应的供应商在规定时间内提交最后报价，提交最后报价的供应商不得少于3家。</w:t>
      </w:r>
    </w:p>
    <w:p w14:paraId="055E5A1B">
      <w:pPr>
        <w:pStyle w:val="113"/>
        <w:pageBreakBefore w:val="0"/>
        <w:kinsoku/>
        <w:wordWrap/>
        <w:overflowPunct/>
        <w:topLinePunct w:val="0"/>
        <w:autoSpaceDE w:val="0"/>
        <w:autoSpaceDN w:val="0"/>
        <w:bidi w:val="0"/>
        <w:adjustRightInd/>
        <w:snapToGrid/>
        <w:spacing w:line="360" w:lineRule="auto"/>
        <w:ind w:firstLine="422"/>
        <w:textAlignment w:val="bottom"/>
        <w:outlineLvl w:val="2"/>
        <w:rPr>
          <w:rFonts w:hint="eastAsia" w:ascii="宋体" w:hAnsi="宋体" w:cs="宋体"/>
          <w:b/>
          <w:bCs/>
          <w:highlight w:val="none"/>
          <w:u w:val="single"/>
        </w:rPr>
      </w:pPr>
      <w:r>
        <w:rPr>
          <w:rFonts w:hint="eastAsia" w:ascii="宋体" w:hAnsi="宋体" w:cs="宋体"/>
          <w:b/>
          <w:bCs/>
          <w:szCs w:val="21"/>
          <w:highlight w:val="none"/>
          <w:u w:val="single"/>
        </w:rPr>
        <w:t>若符合以下情形之一在最终报价可以为2家（但</w:t>
      </w:r>
      <w:r>
        <w:rPr>
          <w:rFonts w:hint="eastAsia" w:ascii="宋体" w:hAnsi="宋体" w:cs="宋体"/>
          <w:b/>
          <w:bCs/>
          <w:highlight w:val="none"/>
          <w:u w:val="single"/>
        </w:rPr>
        <w:t>在进入磋商前符合资格条件并递交了响应文件的供应商不得少于3家，否则采购活动不能继续）：</w:t>
      </w:r>
    </w:p>
    <w:p w14:paraId="0D764B3F">
      <w:pPr>
        <w:pStyle w:val="113"/>
        <w:pageBreakBefore w:val="0"/>
        <w:numPr>
          <w:ilvl w:val="0"/>
          <w:numId w:val="5"/>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根据《政府采购竞争性磋商采购方式管理暂行办法》财库〔2014〕214号第二十一条规定的因市场竞争不充分的科研项目，以及需要扶持的科技成果转化项目，提交最后报价的供应商可以为2家；</w:t>
      </w:r>
    </w:p>
    <w:p w14:paraId="429E5700">
      <w:pPr>
        <w:pStyle w:val="113"/>
        <w:pageBreakBefore w:val="0"/>
        <w:numPr>
          <w:ilvl w:val="0"/>
          <w:numId w:val="5"/>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根据《财政部关于政府采购竞争性磋商采购方式管理暂行办法有关问题的补充通知》（财库〔2015〕124号）规定，采用竞争性磋商采购方式采购的政府购买服务项目（含政府和社会资本合作项目），在采购过程中符合要求的供应商（社会资本）只有2家的，竞争性磋商采购活动可以继续进行。</w:t>
      </w:r>
    </w:p>
    <w:p w14:paraId="776EC70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14.5</w:t>
      </w:r>
      <w:r>
        <w:rPr>
          <w:rFonts w:hint="eastAsia" w:ascii="宋体" w:hAnsi="宋体" w:cs="宋体"/>
          <w:szCs w:val="21"/>
          <w:highlight w:val="none"/>
        </w:rPr>
        <w:t>磋商供应商不得相互串通磋商报价，不得妨碍其他供应商的公平竞争，不得损害采购人或其他供应商的合法权益，磋商供应商不得以向采购人、磋商小组成员行贿或者采取其他不正当手段谋取中标。</w:t>
      </w:r>
    </w:p>
    <w:p w14:paraId="24BE022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14.6</w:t>
      </w:r>
      <w:r>
        <w:rPr>
          <w:rFonts w:hint="eastAsia" w:ascii="宋体" w:hAnsi="宋体" w:cs="宋体"/>
          <w:szCs w:val="21"/>
          <w:highlight w:val="none"/>
        </w:rPr>
        <w:t>为采购项目提供整体设计、规范编制或者项目管理、监理、检测等服务的供应商，不得再参加该采购项目的其他采购活动。否则所有相关供应商的响应文件均无效。</w:t>
      </w:r>
    </w:p>
    <w:p w14:paraId="1C5A2671">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14.7</w:t>
      </w:r>
      <w:r>
        <w:rPr>
          <w:rFonts w:hint="eastAsia" w:ascii="宋体" w:hAnsi="宋体" w:cs="宋体"/>
          <w:szCs w:val="21"/>
          <w:highlight w:val="none"/>
        </w:rPr>
        <w:t>单位负责人为同一人或者存在直接控股、管理关系的不同供应商，不得参加同一合同项下的政府采购活动。否则所有相关供应商的响应文件均无效。</w:t>
      </w:r>
    </w:p>
    <w:p w14:paraId="06D1846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14.8</w:t>
      </w:r>
      <w:r>
        <w:rPr>
          <w:rFonts w:hint="eastAsia" w:ascii="宋体" w:hAnsi="宋体" w:cs="宋体"/>
          <w:szCs w:val="21"/>
          <w:highlight w:val="none"/>
        </w:rPr>
        <w:t xml:space="preserve">▲供应商不得存在下列情形之一： </w:t>
      </w:r>
    </w:p>
    <w:p w14:paraId="1795F900">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（1）为采购人不具有独立法人资格的附属机构（单位）； </w:t>
      </w:r>
    </w:p>
    <w:p w14:paraId="2D0B1B46">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（2）为本项目前期准备提供设计或咨询服务的，但设计施工总承包的除外； </w:t>
      </w:r>
    </w:p>
    <w:p w14:paraId="7EF6BAEC">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（3）为本项目的监理人； </w:t>
      </w:r>
    </w:p>
    <w:p w14:paraId="1D82BADF">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（4）为本项目的代建人； </w:t>
      </w:r>
    </w:p>
    <w:p w14:paraId="620D092D">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（5）为本项目提供采购代理服务的； </w:t>
      </w:r>
    </w:p>
    <w:p w14:paraId="4E40ED16">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（6）与本项目的监理人或代建人或采购代理机构同为一个法定代表人的； </w:t>
      </w:r>
    </w:p>
    <w:p w14:paraId="6075A94B">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（7）与本项目的监理人或代建人或采购代理机构相互控股或参股的； </w:t>
      </w:r>
    </w:p>
    <w:p w14:paraId="49608878">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（8）与本项目的监理人或代建人或采购代理机构相互任职或工作的； </w:t>
      </w:r>
    </w:p>
    <w:p w14:paraId="634769EC">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（9）被责令停业的； </w:t>
      </w:r>
    </w:p>
    <w:p w14:paraId="1C80550C">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（10）被暂停或取消投标资格的； </w:t>
      </w:r>
    </w:p>
    <w:p w14:paraId="6F336064">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 xml:space="preserve">（11）财产被接管或冻结的； </w:t>
      </w:r>
    </w:p>
    <w:p w14:paraId="1A86370C">
      <w:pPr>
        <w:pageBreakBefore w:val="0"/>
        <w:widowControl/>
        <w:kinsoku/>
        <w:wordWrap/>
        <w:overflowPunct/>
        <w:topLinePunct w:val="0"/>
        <w:bidi w:val="0"/>
        <w:adjustRightInd/>
        <w:snapToGrid/>
        <w:spacing w:line="360" w:lineRule="auto"/>
        <w:ind w:firstLine="420" w:firstLineChars="200"/>
        <w:jc w:val="left"/>
        <w:rPr>
          <w:rFonts w:hint="eastAsia" w:ascii="宋体" w:hAnsi="宋体" w:cs="宋体"/>
          <w:szCs w:val="21"/>
          <w:highlight w:val="none"/>
        </w:rPr>
      </w:pPr>
      <w:r>
        <w:rPr>
          <w:rFonts w:hint="eastAsia" w:ascii="宋体" w:hAnsi="宋体" w:cs="宋体"/>
          <w:color w:val="000000"/>
          <w:kern w:val="0"/>
          <w:szCs w:val="21"/>
          <w:highlight w:val="none"/>
          <w:lang w:bidi="ar"/>
        </w:rPr>
        <w:t>（12）在最近三年内有骗取中标（成交）或严重违约或重大工程质量问题的。</w:t>
      </w:r>
    </w:p>
    <w:p w14:paraId="6BFCD18A">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highlight w:val="none"/>
        </w:rPr>
      </w:pPr>
      <w:r>
        <w:rPr>
          <w:rFonts w:hint="eastAsia" w:ascii="宋体" w:hAnsi="宋体" w:eastAsia="宋体" w:cs="宋体"/>
          <w:kern w:val="2"/>
          <w:sz w:val="21"/>
          <w:szCs w:val="22"/>
          <w:lang w:val="en-US" w:eastAsia="zh-CN" w:bidi="ar-SA"/>
        </w:rPr>
        <w:t>14.9</w:t>
      </w:r>
      <w:r>
        <w:rPr>
          <w:rFonts w:hint="eastAsia" w:ascii="宋体" w:hAnsi="宋体" w:cs="宋体"/>
          <w:highlight w:val="none"/>
        </w:rPr>
        <w:t>采购文件中所涉及的产品品牌或型号均为建议性要求或为档次选择要求或为代替部分技术指标描述，供应商可以选择其他品牌型号的产品参加响应但产品须具有相当于或优于采购文件要求的指标、性能、档次。</w:t>
      </w:r>
    </w:p>
    <w:p w14:paraId="191612E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highlight w:val="none"/>
        </w:rPr>
      </w:pPr>
      <w:r>
        <w:rPr>
          <w:rFonts w:hint="eastAsia" w:ascii="宋体" w:hAnsi="宋体" w:eastAsia="宋体" w:cs="宋体"/>
          <w:kern w:val="2"/>
          <w:sz w:val="21"/>
          <w:szCs w:val="22"/>
          <w:lang w:val="en-US" w:eastAsia="zh-CN" w:bidi="ar-SA"/>
        </w:rPr>
        <w:t>14.10</w:t>
      </w:r>
      <w:r>
        <w:rPr>
          <w:rFonts w:hint="eastAsia" w:ascii="宋体" w:hAnsi="宋体" w:cs="宋体"/>
          <w:szCs w:val="21"/>
          <w:highlight w:val="none"/>
        </w:rPr>
        <w:t>投标人应仔细阅读采购文件的所有内容，按照采购文件的要求提交响应文件，并对所提供的全部资料的真实性承担法律责任。</w:t>
      </w:r>
    </w:p>
    <w:p w14:paraId="5ADFFEA0">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15.</w:t>
      </w:r>
      <w:r>
        <w:rPr>
          <w:rFonts w:hint="eastAsia" w:ascii="宋体" w:hAnsi="宋体" w:cs="宋体"/>
          <w:b/>
          <w:szCs w:val="21"/>
          <w:highlight w:val="none"/>
        </w:rPr>
        <w:t>质疑和投诉</w:t>
      </w:r>
      <w:bookmarkEnd w:id="53"/>
      <w:bookmarkEnd w:id="54"/>
      <w:bookmarkEnd w:id="55"/>
    </w:p>
    <w:p w14:paraId="32DE4D3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15.1</w:t>
      </w:r>
      <w:r>
        <w:rPr>
          <w:rFonts w:hint="eastAsia" w:ascii="宋体" w:hAnsi="宋体" w:cs="宋体"/>
          <w:szCs w:val="21"/>
          <w:highlight w:val="none"/>
        </w:rPr>
        <w:t>供应商认为采购文件、采购过程和中标结果使自己的权益收到损害的，可以在知道或者应知其权益收到损害之日起七个工作日内，供应商应一次性提出针对同一采购程序环节向采购代理机构提出质疑，逾期提出不予受理以书面形式向采购代理机构提出质疑。</w:t>
      </w:r>
    </w:p>
    <w:p w14:paraId="4AAD3C50">
      <w:pPr>
        <w:pStyle w:val="113"/>
        <w:pageBreakBefore w:val="0"/>
        <w:kinsoku/>
        <w:wordWrap/>
        <w:overflowPunct/>
        <w:topLinePunct w:val="0"/>
        <w:autoSpaceDE w:val="0"/>
        <w:autoSpaceDN w:val="0"/>
        <w:bidi w:val="0"/>
        <w:adjustRightInd/>
        <w:snapToGrid/>
        <w:spacing w:line="360" w:lineRule="auto"/>
        <w:ind w:firstLine="422"/>
        <w:textAlignment w:val="bottom"/>
        <w:outlineLvl w:val="2"/>
        <w:rPr>
          <w:rFonts w:hint="eastAsia" w:ascii="宋体" w:hAnsi="宋体" w:cs="宋体"/>
          <w:b/>
          <w:bCs/>
          <w:szCs w:val="21"/>
          <w:highlight w:val="none"/>
        </w:rPr>
      </w:pPr>
      <w:r>
        <w:rPr>
          <w:rFonts w:hint="eastAsia" w:ascii="宋体" w:hAnsi="宋体" w:cs="宋体"/>
          <w:b/>
          <w:bCs/>
          <w:szCs w:val="21"/>
          <w:highlight w:val="none"/>
        </w:rPr>
        <w:t>供应商应知其权益受到损害之日，是指：</w:t>
      </w:r>
    </w:p>
    <w:p w14:paraId="6BF6D889">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1）对可以质疑的采购文件提出质疑的，为收到采购文件之日（获取截止日之后收到采购文件的，以获取截止日为准）或者采购文件公告期限届满之日（公告发布后的第6个工作日）起7个工作日内。收到采购文件之日起至响应截止时间止不足七个工作日的，应当在响应文件递交截止时间前提出。</w:t>
      </w:r>
    </w:p>
    <w:p w14:paraId="7541C22D">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（2）对采购过程提出质疑的，为各采购程序环节结束之日。</w:t>
      </w:r>
    </w:p>
    <w:p w14:paraId="0F4C0692">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（3）对采购结果提出质疑的，为成交结果公告期限届满之日。</w:t>
      </w:r>
    </w:p>
    <w:p w14:paraId="5E2DD4D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15.2</w:t>
      </w:r>
      <w:r>
        <w:rPr>
          <w:rFonts w:hint="eastAsia" w:ascii="宋体" w:hAnsi="宋体" w:cs="宋体"/>
          <w:szCs w:val="21"/>
          <w:highlight w:val="none"/>
        </w:rPr>
        <w:t xml:space="preserve">质疑书须包括以下内容： </w:t>
      </w:r>
    </w:p>
    <w:p w14:paraId="4629E913">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 xml:space="preserve">（1）供应商的姓名或者名称、地址、邮编、联系人及联系电话； </w:t>
      </w:r>
    </w:p>
    <w:p w14:paraId="30816436">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 xml:space="preserve">（2）质疑项目的名称、编号； </w:t>
      </w:r>
    </w:p>
    <w:p w14:paraId="4C352BD3">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（3）具体、明确的质疑事项和与质疑事项相关的请求；</w:t>
      </w:r>
    </w:p>
    <w:p w14:paraId="6112B09E">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 xml:space="preserve">（4）事实依据； </w:t>
      </w:r>
    </w:p>
    <w:p w14:paraId="66D18EFD">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 xml:space="preserve">（5）必要的法律依据； </w:t>
      </w:r>
    </w:p>
    <w:p w14:paraId="5D3F3A2D">
      <w:pPr>
        <w:pStyle w:val="113"/>
        <w:pageBreakBefore w:val="0"/>
        <w:tabs>
          <w:tab w:val="left" w:pos="0"/>
          <w:tab w:val="left" w:pos="420"/>
        </w:tabs>
        <w:kinsoku/>
        <w:wordWrap/>
        <w:overflowPunct/>
        <w:topLinePunct w:val="0"/>
        <w:autoSpaceDE w:val="0"/>
        <w:autoSpaceDN w:val="0"/>
        <w:bidi w:val="0"/>
        <w:adjustRightInd/>
        <w:snapToGrid/>
        <w:spacing w:line="360" w:lineRule="auto"/>
        <w:ind w:left="420" w:leftChars="200"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 xml:space="preserve">（6）提出质疑的日期。 </w:t>
      </w:r>
    </w:p>
    <w:p w14:paraId="32FB573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15.3</w:t>
      </w:r>
      <w:r>
        <w:rPr>
          <w:rFonts w:hint="eastAsia" w:ascii="宋体" w:hAnsi="宋体" w:cs="宋体"/>
          <w:szCs w:val="21"/>
          <w:highlight w:val="none"/>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14:paraId="4A88214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15.4</w:t>
      </w:r>
      <w:r>
        <w:rPr>
          <w:rFonts w:hint="eastAsia" w:ascii="宋体" w:hAnsi="宋体" w:cs="宋体"/>
          <w:szCs w:val="21"/>
          <w:highlight w:val="none"/>
        </w:rPr>
        <w:t xml:space="preserve">如联合体参与采购活动，质疑应由组成联合体的所有供应商共同提出。 </w:t>
      </w:r>
    </w:p>
    <w:p w14:paraId="21C08875">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15.5</w:t>
      </w:r>
      <w:r>
        <w:rPr>
          <w:rFonts w:hint="eastAsia" w:ascii="宋体" w:hAnsi="宋体" w:cs="宋体"/>
          <w:szCs w:val="21"/>
          <w:highlight w:val="none"/>
        </w:rPr>
        <w:t>采购代理机构在收到质疑供应商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15447CC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15.6</w:t>
      </w:r>
      <w:r>
        <w:rPr>
          <w:rFonts w:hint="eastAsia" w:ascii="宋体" w:hAnsi="宋体" w:cs="宋体"/>
          <w:szCs w:val="21"/>
          <w:highlight w:val="none"/>
        </w:rPr>
        <w:t>质疑供应商捏造事实、提供虚假材料进行质疑的，采购代理机构报告同级监督部门。情况属实的，列入不良行为记录并在指定的媒体上公告。</w:t>
      </w:r>
    </w:p>
    <w:p w14:paraId="72C6755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15.7</w:t>
      </w:r>
      <w:r>
        <w:rPr>
          <w:rFonts w:hint="eastAsia" w:ascii="宋体" w:hAnsi="宋体" w:cs="宋体"/>
          <w:szCs w:val="21"/>
          <w:highlight w:val="none"/>
        </w:rPr>
        <w:t>质疑供应商对采购人、采购代理机构的答复不满意或者采购人、采购代理机构未在规定的时间内作出答复的，可以在答复期满后十五个工作日内向同级采购监督部门投诉。</w:t>
      </w:r>
    </w:p>
    <w:p w14:paraId="5263D96B">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16.</w:t>
      </w:r>
      <w:r>
        <w:rPr>
          <w:rFonts w:hint="eastAsia" w:ascii="宋体" w:hAnsi="宋体" w:cs="宋体"/>
          <w:b/>
          <w:szCs w:val="21"/>
          <w:highlight w:val="none"/>
        </w:rPr>
        <w:t>投诉</w:t>
      </w:r>
    </w:p>
    <w:p w14:paraId="4223531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16.1</w:t>
      </w:r>
      <w:r>
        <w:rPr>
          <w:rFonts w:hint="eastAsia" w:ascii="宋体" w:hAnsi="宋体" w:cs="宋体"/>
          <w:szCs w:val="21"/>
          <w:highlight w:val="none"/>
        </w:rPr>
        <w:t>质疑供应商对采购代理机构的答复不满意或者采购代理机构未在规定的时间内作出答复的，可以在答复期满后十五个工作日内</w:t>
      </w:r>
      <w:r>
        <w:rPr>
          <w:rFonts w:hint="eastAsia" w:ascii="宋体" w:hAnsi="宋体" w:cs="宋体"/>
          <w:szCs w:val="21"/>
          <w:highlight w:val="none"/>
          <w:lang w:val="en-US" w:eastAsia="zh-CN"/>
        </w:rPr>
        <w:t>采购人</w:t>
      </w:r>
      <w:r>
        <w:rPr>
          <w:rFonts w:hint="eastAsia" w:ascii="宋体" w:hAnsi="宋体" w:cs="宋体"/>
          <w:szCs w:val="21"/>
          <w:highlight w:val="none"/>
        </w:rPr>
        <w:t>提起投诉。</w:t>
      </w:r>
    </w:p>
    <w:p w14:paraId="1B97A9A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16.2</w:t>
      </w:r>
      <w:r>
        <w:rPr>
          <w:rFonts w:hint="eastAsia" w:ascii="宋体" w:hAnsi="宋体" w:cs="宋体"/>
          <w:szCs w:val="21"/>
          <w:highlight w:val="none"/>
        </w:rPr>
        <w:t>供应商投诉的事项不得超出已质疑事项的范围，但基于质疑答复内容提出的投诉事项除外。</w:t>
      </w:r>
    </w:p>
    <w:p w14:paraId="5356099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16.3</w:t>
      </w:r>
      <w:r>
        <w:rPr>
          <w:rFonts w:hint="eastAsia" w:ascii="宋体" w:hAnsi="宋体" w:cs="宋体"/>
          <w:szCs w:val="21"/>
          <w:highlight w:val="none"/>
        </w:rPr>
        <w:t>供应商提起投诉应当符合下列条件：</w:t>
      </w:r>
    </w:p>
    <w:p w14:paraId="28778F93">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（1）提起投诉前已依法进行质疑；</w:t>
      </w:r>
    </w:p>
    <w:p w14:paraId="3122FFD0">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（2）投诉书内容符合本办法的规定；</w:t>
      </w:r>
    </w:p>
    <w:p w14:paraId="34C0CD43">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（3）在投诉有效期限内提起投诉；</w:t>
      </w:r>
    </w:p>
    <w:p w14:paraId="627E43DF">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（4）同一投诉事项未经财政部门投诉处理；</w:t>
      </w:r>
    </w:p>
    <w:p w14:paraId="118AA829">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（5）其他规定的条件。</w:t>
      </w:r>
    </w:p>
    <w:p w14:paraId="6B3E3D31">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16.4</w:t>
      </w:r>
      <w:r>
        <w:rPr>
          <w:rFonts w:hint="eastAsia" w:ascii="宋体" w:hAnsi="宋体" w:cs="宋体"/>
          <w:szCs w:val="21"/>
          <w:highlight w:val="none"/>
        </w:rPr>
        <w:t>投诉人在全国范围12个月内三次以上投诉查无实据的，由监督部门列入不良行为记录名单。</w:t>
      </w:r>
    </w:p>
    <w:p w14:paraId="20584253">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16.5</w:t>
      </w:r>
      <w:r>
        <w:rPr>
          <w:rFonts w:hint="eastAsia" w:ascii="宋体" w:hAnsi="宋体" w:cs="宋体"/>
          <w:szCs w:val="21"/>
          <w:highlight w:val="none"/>
        </w:rPr>
        <w:t>投诉人有下列行为之一的，属于虚假、恶意投诉，由监督部门列入不良行为记录名单，禁止其1至3年内参加采购活动：</w:t>
      </w:r>
    </w:p>
    <w:p w14:paraId="10F19169">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（1）捏造事实；</w:t>
      </w:r>
    </w:p>
    <w:p w14:paraId="52B535C4">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Cs/>
          <w:szCs w:val="21"/>
          <w:highlight w:val="none"/>
        </w:rPr>
      </w:pPr>
      <w:r>
        <w:rPr>
          <w:rFonts w:hint="eastAsia" w:ascii="宋体" w:hAnsi="宋体" w:cs="宋体"/>
          <w:bCs/>
          <w:szCs w:val="21"/>
          <w:highlight w:val="none"/>
        </w:rPr>
        <w:t>（2）提供虚假材料；</w:t>
      </w:r>
    </w:p>
    <w:p w14:paraId="39DE5007">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b/>
          <w:szCs w:val="21"/>
          <w:highlight w:val="none"/>
        </w:rPr>
      </w:pPr>
      <w:r>
        <w:rPr>
          <w:rFonts w:hint="eastAsia" w:ascii="宋体" w:hAnsi="宋体" w:cs="宋体"/>
          <w:bCs/>
          <w:szCs w:val="21"/>
          <w:highlight w:val="none"/>
        </w:rPr>
        <w:t>（3）以非法手段取得证明材料。证据来源的合法性存在明显疑问，投诉人无法证明其取得方式合法的，视为以非法手段取得证明材料。</w:t>
      </w:r>
    </w:p>
    <w:p w14:paraId="09AC61CD">
      <w:pPr>
        <w:pStyle w:val="4"/>
        <w:pageBreakBefore w:val="0"/>
        <w:kinsoku/>
        <w:wordWrap/>
        <w:overflowPunct/>
        <w:topLinePunct w:val="0"/>
        <w:bidi w:val="0"/>
        <w:adjustRightInd/>
        <w:snapToGrid/>
        <w:spacing w:before="160" w:beforeLines="50" w:after="160" w:afterLines="50" w:line="360" w:lineRule="auto"/>
        <w:jc w:val="center"/>
        <w:rPr>
          <w:rFonts w:hint="eastAsia" w:ascii="宋体" w:hAnsi="宋体" w:eastAsia="宋体" w:cs="宋体"/>
          <w:sz w:val="24"/>
          <w:szCs w:val="24"/>
          <w:highlight w:val="none"/>
        </w:rPr>
      </w:pPr>
      <w:bookmarkStart w:id="56" w:name="_Toc508888787"/>
      <w:bookmarkStart w:id="57" w:name="_Toc528927415"/>
      <w:bookmarkStart w:id="58" w:name="_Toc22190"/>
      <w:bookmarkStart w:id="59" w:name="_Toc17863"/>
      <w:bookmarkStart w:id="60" w:name="_Toc29643"/>
      <w:r>
        <w:rPr>
          <w:rFonts w:hint="eastAsia" w:ascii="宋体" w:hAnsi="宋体" w:eastAsia="宋体" w:cs="宋体"/>
          <w:sz w:val="24"/>
          <w:szCs w:val="24"/>
          <w:highlight w:val="none"/>
        </w:rPr>
        <w:t>二、</w:t>
      </w:r>
      <w:bookmarkEnd w:id="56"/>
      <w:bookmarkEnd w:id="57"/>
      <w:r>
        <w:rPr>
          <w:rFonts w:hint="eastAsia" w:ascii="宋体" w:hAnsi="宋体" w:eastAsia="宋体" w:cs="宋体"/>
          <w:sz w:val="24"/>
          <w:szCs w:val="24"/>
          <w:highlight w:val="none"/>
        </w:rPr>
        <w:t>采购文件</w:t>
      </w:r>
      <w:bookmarkEnd w:id="58"/>
      <w:bookmarkEnd w:id="59"/>
      <w:bookmarkEnd w:id="60"/>
    </w:p>
    <w:p w14:paraId="1EC4B130">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17.</w:t>
      </w:r>
      <w:r>
        <w:rPr>
          <w:rFonts w:hint="eastAsia" w:ascii="宋体" w:hAnsi="宋体" w:cs="宋体"/>
          <w:b/>
          <w:szCs w:val="21"/>
          <w:highlight w:val="none"/>
        </w:rPr>
        <w:t>本采购文件由以下部份组成：</w:t>
      </w:r>
    </w:p>
    <w:p w14:paraId="5874CF3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17.1</w:t>
      </w:r>
      <w:r>
        <w:rPr>
          <w:rFonts w:hint="eastAsia" w:ascii="宋体" w:hAnsi="宋体" w:cs="宋体"/>
          <w:szCs w:val="21"/>
          <w:highlight w:val="none"/>
        </w:rPr>
        <w:t>本采购文件由采购文件总目录所列内容组成。包含本项目采购文件的澄清、答复、修改、补充的内容。</w:t>
      </w:r>
    </w:p>
    <w:p w14:paraId="5057C92D">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18.</w:t>
      </w:r>
      <w:r>
        <w:rPr>
          <w:rFonts w:hint="eastAsia" w:ascii="宋体" w:hAnsi="宋体" w:cs="宋体"/>
          <w:b/>
          <w:szCs w:val="21"/>
          <w:highlight w:val="none"/>
        </w:rPr>
        <w:t xml:space="preserve">采购文件的解释权 </w:t>
      </w:r>
    </w:p>
    <w:p w14:paraId="5FFBA6A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18.1</w:t>
      </w:r>
      <w:r>
        <w:rPr>
          <w:rFonts w:hint="eastAsia" w:ascii="宋体" w:hAnsi="宋体" w:cs="宋体"/>
          <w:szCs w:val="21"/>
          <w:highlight w:val="none"/>
        </w:rPr>
        <w:t>采购文件的解释权归采购代理机构与采购人所有。</w:t>
      </w:r>
    </w:p>
    <w:p w14:paraId="519AB386">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19.</w:t>
      </w:r>
      <w:r>
        <w:rPr>
          <w:rFonts w:hint="eastAsia" w:ascii="宋体" w:hAnsi="宋体" w:cs="宋体"/>
          <w:b/>
          <w:szCs w:val="21"/>
          <w:highlight w:val="none"/>
        </w:rPr>
        <w:t>供应商的风险</w:t>
      </w:r>
    </w:p>
    <w:p w14:paraId="284BCDB2">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19.1</w:t>
      </w:r>
      <w:r>
        <w:rPr>
          <w:rFonts w:hint="eastAsia" w:ascii="宋体" w:hAnsi="宋体" w:cs="宋体"/>
          <w:szCs w:val="21"/>
          <w:highlight w:val="none"/>
        </w:rPr>
        <w:t>磋商响应方没有按照采购文件要求提供全部资料，或者磋商响应方没有对采购文件在各方面作出实质性响应是磋商响应方的风险，并可能导致其竞标被拒绝。</w:t>
      </w:r>
    </w:p>
    <w:p w14:paraId="0FF65947">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20.</w:t>
      </w:r>
      <w:r>
        <w:rPr>
          <w:rFonts w:hint="eastAsia" w:ascii="宋体" w:hAnsi="宋体" w:cs="宋体"/>
          <w:b/>
          <w:szCs w:val="21"/>
          <w:highlight w:val="none"/>
        </w:rPr>
        <w:t xml:space="preserve">采购文件的澄清 </w:t>
      </w:r>
    </w:p>
    <w:p w14:paraId="7A77427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20.1</w:t>
      </w:r>
      <w:r>
        <w:rPr>
          <w:rFonts w:hint="eastAsia" w:ascii="宋体" w:hAnsi="宋体" w:cs="宋体"/>
          <w:szCs w:val="21"/>
          <w:highlight w:val="none"/>
        </w:rPr>
        <w:t xml:space="preserve">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 </w:t>
      </w:r>
    </w:p>
    <w:p w14:paraId="7D971002">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20.2</w:t>
      </w:r>
      <w:r>
        <w:rPr>
          <w:rFonts w:hint="eastAsia" w:ascii="宋体" w:hAnsi="宋体" w:cs="宋体"/>
          <w:szCs w:val="21"/>
          <w:highlight w:val="none"/>
        </w:rPr>
        <w:t xml:space="preserve">供应商要求澄清的资料应加盖单位公章、写明日期。 </w:t>
      </w:r>
    </w:p>
    <w:p w14:paraId="16EBDD0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20.3</w:t>
      </w:r>
      <w:r>
        <w:rPr>
          <w:rFonts w:hint="eastAsia" w:ascii="宋体" w:hAnsi="宋体" w:cs="宋体"/>
          <w:szCs w:val="21"/>
          <w:highlight w:val="none"/>
        </w:rPr>
        <w:t xml:space="preserve">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 </w:t>
      </w:r>
    </w:p>
    <w:p w14:paraId="36B2C6D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20.4</w:t>
      </w:r>
      <w:r>
        <w:rPr>
          <w:rFonts w:hint="eastAsia" w:ascii="宋体" w:hAnsi="宋体" w:cs="宋体"/>
          <w:szCs w:val="21"/>
          <w:highlight w:val="none"/>
        </w:rPr>
        <w:t xml:space="preserve">澄清的内容影响响应文件编制的，采购代理机构将顺延响应文件提交截止时间，使之满足采购的相关规定。 </w:t>
      </w:r>
    </w:p>
    <w:p w14:paraId="6C08FC33">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20.5</w:t>
      </w:r>
      <w:r>
        <w:rPr>
          <w:rFonts w:hint="eastAsia" w:ascii="宋体" w:hAnsi="宋体" w:cs="宋体"/>
          <w:szCs w:val="21"/>
          <w:highlight w:val="none"/>
        </w:rPr>
        <w:t xml:space="preserve">供应商在收到补充文件后，应在24小时内以书面形式向采购代理机构确认已收到该补充文件。 </w:t>
      </w:r>
    </w:p>
    <w:p w14:paraId="14688BD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20.6</w:t>
      </w:r>
      <w:r>
        <w:rPr>
          <w:rFonts w:hint="eastAsia" w:ascii="宋体" w:hAnsi="宋体" w:cs="宋体"/>
          <w:szCs w:val="21"/>
          <w:highlight w:val="none"/>
        </w:rPr>
        <w:t xml:space="preserve">供应商未对采购文件提出疑问的，采购代理机构将视其为无异议。 </w:t>
      </w:r>
    </w:p>
    <w:p w14:paraId="3BD266CC">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20.7</w:t>
      </w:r>
      <w:r>
        <w:rPr>
          <w:rFonts w:hint="eastAsia" w:ascii="宋体" w:hAnsi="宋体" w:cs="宋体"/>
          <w:szCs w:val="21"/>
          <w:highlight w:val="none"/>
        </w:rPr>
        <w:t xml:space="preserve">当采购文件与补充文件就同一内容的表述不一致时，以最后发出的书面文件为准。 </w:t>
      </w:r>
    </w:p>
    <w:p w14:paraId="46602ABC">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21.</w:t>
      </w:r>
      <w:r>
        <w:rPr>
          <w:rFonts w:hint="eastAsia" w:ascii="宋体" w:hAnsi="宋体" w:cs="宋体"/>
          <w:b/>
          <w:szCs w:val="21"/>
          <w:highlight w:val="none"/>
        </w:rPr>
        <w:t xml:space="preserve">采购文件的修改 </w:t>
      </w:r>
    </w:p>
    <w:p w14:paraId="2D894A7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21.1</w:t>
      </w:r>
      <w:r>
        <w:rPr>
          <w:rFonts w:hint="eastAsia" w:ascii="宋体" w:hAnsi="宋体" w:cs="宋体"/>
          <w:szCs w:val="21"/>
          <w:highlight w:val="none"/>
        </w:rPr>
        <w:t>在响应文件提交截止时间前，由于各种原因采购人可能以补充文件的形式修改完善采购文件。</w:t>
      </w:r>
    </w:p>
    <w:p w14:paraId="128D2A1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21.2</w:t>
      </w:r>
      <w:r>
        <w:rPr>
          <w:rFonts w:hint="eastAsia" w:ascii="宋体" w:hAnsi="宋体" w:cs="宋体"/>
          <w:szCs w:val="21"/>
          <w:highlight w:val="none"/>
        </w:rPr>
        <w:t xml:space="preserve">补充文件作为采购文件组成部分，补充文件将以网上公告等形式告知所有获取采购文件的供应商，补充文件对供应商均有约束力。 </w:t>
      </w:r>
    </w:p>
    <w:p w14:paraId="7CC98E5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21.3</w:t>
      </w:r>
      <w:r>
        <w:rPr>
          <w:rFonts w:hint="eastAsia" w:ascii="宋体" w:hAnsi="宋体" w:cs="宋体"/>
          <w:szCs w:val="21"/>
          <w:highlight w:val="none"/>
        </w:rPr>
        <w:t xml:space="preserve">修改的内容影响响应文件编制的，采购代理机构将顺延响应文件提交截止时间，使之满足采购的相关规定。 </w:t>
      </w:r>
    </w:p>
    <w:p w14:paraId="6284576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21.4</w:t>
      </w:r>
      <w:r>
        <w:rPr>
          <w:rFonts w:hint="eastAsia" w:ascii="宋体" w:hAnsi="宋体" w:cs="宋体"/>
          <w:szCs w:val="21"/>
          <w:highlight w:val="none"/>
        </w:rPr>
        <w:t xml:space="preserve">供应商在收到补充文件后，应在24小时内以书面形式向采购代理机构确认已收到该补充文件。 </w:t>
      </w:r>
    </w:p>
    <w:p w14:paraId="160D2AB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21.5</w:t>
      </w:r>
      <w:r>
        <w:rPr>
          <w:rFonts w:hint="eastAsia" w:ascii="宋体" w:hAnsi="宋体" w:cs="宋体"/>
          <w:szCs w:val="21"/>
          <w:highlight w:val="none"/>
        </w:rPr>
        <w:t xml:space="preserve">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 </w:t>
      </w:r>
    </w:p>
    <w:p w14:paraId="3898D34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21.6</w:t>
      </w:r>
      <w:r>
        <w:rPr>
          <w:rFonts w:hint="eastAsia" w:ascii="宋体" w:hAnsi="宋体" w:cs="宋体"/>
          <w:szCs w:val="21"/>
          <w:highlight w:val="none"/>
        </w:rPr>
        <w:t>供应商要求澄清的资料应加盖单位公章、写明日期。</w:t>
      </w:r>
    </w:p>
    <w:p w14:paraId="1EA32A3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21.7</w:t>
      </w:r>
      <w:r>
        <w:rPr>
          <w:rFonts w:hint="eastAsia" w:ascii="宋体" w:hAnsi="宋体" w:cs="宋体"/>
          <w:szCs w:val="21"/>
          <w:highlight w:val="none"/>
        </w:rPr>
        <w:t xml:space="preserve">对补充文件的澄清答复按20.3款规定。 </w:t>
      </w:r>
    </w:p>
    <w:p w14:paraId="737590EE">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21.8</w:t>
      </w:r>
      <w:r>
        <w:rPr>
          <w:rFonts w:hint="eastAsia" w:ascii="宋体" w:hAnsi="宋体" w:cs="宋体"/>
          <w:szCs w:val="21"/>
          <w:highlight w:val="none"/>
        </w:rPr>
        <w:t xml:space="preserve">当采购文件与补充文件就同一内容的表述不一致时，以最后发出的书面文件为准。 </w:t>
      </w:r>
    </w:p>
    <w:p w14:paraId="19A4AA75">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21.9</w:t>
      </w:r>
      <w:r>
        <w:rPr>
          <w:rFonts w:hint="eastAsia" w:ascii="宋体" w:hAnsi="宋体" w:cs="宋体"/>
          <w:szCs w:val="21"/>
          <w:highlight w:val="none"/>
        </w:rPr>
        <w:t>任何口头答复均不属于采购文件的组成部分。</w:t>
      </w:r>
    </w:p>
    <w:p w14:paraId="0AE374CC">
      <w:pPr>
        <w:pStyle w:val="4"/>
        <w:pageBreakBefore w:val="0"/>
        <w:kinsoku/>
        <w:wordWrap/>
        <w:overflowPunct/>
        <w:topLinePunct w:val="0"/>
        <w:bidi w:val="0"/>
        <w:adjustRightInd/>
        <w:snapToGrid/>
        <w:spacing w:before="160" w:beforeLines="50" w:after="160" w:afterLines="50" w:line="360" w:lineRule="auto"/>
        <w:jc w:val="center"/>
        <w:rPr>
          <w:rFonts w:hint="eastAsia" w:ascii="宋体" w:hAnsi="宋体" w:eastAsia="宋体" w:cs="宋体"/>
          <w:sz w:val="24"/>
          <w:szCs w:val="24"/>
          <w:highlight w:val="none"/>
        </w:rPr>
      </w:pPr>
      <w:bookmarkStart w:id="61" w:name="_Toc20309"/>
      <w:bookmarkStart w:id="62" w:name="_Toc528927416"/>
      <w:bookmarkStart w:id="63" w:name="_Toc3442"/>
      <w:bookmarkStart w:id="64" w:name="_Toc8423"/>
      <w:bookmarkStart w:id="65" w:name="_Toc508888788"/>
      <w:r>
        <w:rPr>
          <w:rFonts w:hint="eastAsia" w:ascii="宋体" w:hAnsi="宋体" w:eastAsia="宋体" w:cs="宋体"/>
          <w:sz w:val="24"/>
          <w:szCs w:val="24"/>
          <w:highlight w:val="none"/>
        </w:rPr>
        <w:t>三、响应文件</w:t>
      </w:r>
      <w:bookmarkEnd w:id="61"/>
      <w:bookmarkEnd w:id="62"/>
      <w:bookmarkEnd w:id="63"/>
      <w:bookmarkEnd w:id="64"/>
      <w:bookmarkEnd w:id="65"/>
    </w:p>
    <w:p w14:paraId="2666BD73">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66" w:name="_Toc479667355"/>
      <w:bookmarkStart w:id="67" w:name="_Toc479667077"/>
      <w:bookmarkStart w:id="68" w:name="_Toc482195573"/>
      <w:r>
        <w:rPr>
          <w:rFonts w:hint="eastAsia" w:ascii="宋体" w:hAnsi="宋体" w:eastAsia="宋体" w:cs="宋体"/>
          <w:b/>
          <w:kern w:val="2"/>
          <w:sz w:val="21"/>
          <w:szCs w:val="21"/>
          <w:lang w:val="en-US" w:eastAsia="zh-CN" w:bidi="ar-SA"/>
        </w:rPr>
        <w:t>22.</w:t>
      </w:r>
      <w:r>
        <w:rPr>
          <w:rFonts w:hint="eastAsia" w:ascii="宋体" w:hAnsi="宋体" w:cs="宋体"/>
          <w:b/>
          <w:szCs w:val="21"/>
          <w:highlight w:val="none"/>
        </w:rPr>
        <w:t>响应文件的编制要求</w:t>
      </w:r>
    </w:p>
    <w:p w14:paraId="240258E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22.1</w:t>
      </w:r>
      <w:r>
        <w:rPr>
          <w:rFonts w:hint="eastAsia" w:ascii="宋体" w:hAnsi="宋体" w:cs="宋体"/>
          <w:szCs w:val="21"/>
          <w:highlight w:val="none"/>
        </w:rPr>
        <w:t>响应文件和与磋商有关的所有文件均应使用汉语。</w:t>
      </w:r>
    </w:p>
    <w:p w14:paraId="79614AD5">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22.2</w:t>
      </w:r>
      <w:r>
        <w:rPr>
          <w:rFonts w:hint="eastAsia" w:ascii="宋体" w:hAnsi="宋体" w:cs="宋体"/>
          <w:szCs w:val="21"/>
          <w:highlight w:val="none"/>
        </w:rPr>
        <w:t>除规范另有规定外，响应文件使用的度量衡单位，均采用中华人民共和国法定计量单位。</w:t>
      </w:r>
    </w:p>
    <w:p w14:paraId="145B2C2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22.3</w:t>
      </w:r>
      <w:r>
        <w:rPr>
          <w:rFonts w:hint="eastAsia" w:ascii="宋体" w:hAnsi="宋体" w:cs="宋体"/>
          <w:szCs w:val="21"/>
          <w:highlight w:val="none"/>
        </w:rPr>
        <w:t>供应商应仔细阅读采购文件中的所有内容，按照采购文件要求详细编制响应文件，并保证响应文件的正确性和真实性，所有文件资料必须是针对本次投标。</w:t>
      </w:r>
    </w:p>
    <w:p w14:paraId="596439DC">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u w:val="single"/>
        </w:rPr>
      </w:pPr>
      <w:r>
        <w:rPr>
          <w:rFonts w:hint="eastAsia" w:ascii="宋体" w:hAnsi="宋体" w:eastAsia="宋体" w:cs="宋体"/>
          <w:kern w:val="2"/>
          <w:sz w:val="21"/>
          <w:szCs w:val="21"/>
          <w:lang w:val="en-US" w:eastAsia="zh-CN" w:bidi="ar-SA"/>
        </w:rPr>
        <w:t>22.4</w:t>
      </w:r>
      <w:r>
        <w:rPr>
          <w:rFonts w:hint="eastAsia" w:ascii="宋体" w:hAnsi="宋体" w:cs="宋体"/>
          <w:szCs w:val="21"/>
          <w:highlight w:val="none"/>
          <w:u w:val="single"/>
        </w:rPr>
        <w:t>响应文件如有错漏必须修改，修改处须加盖单位公章或校正章。</w:t>
      </w:r>
    </w:p>
    <w:p w14:paraId="7AAA63A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22.5</w:t>
      </w:r>
      <w:r>
        <w:rPr>
          <w:rFonts w:hint="eastAsia" w:ascii="宋体" w:hAnsi="宋体" w:cs="宋体"/>
          <w:szCs w:val="21"/>
          <w:highlight w:val="none"/>
        </w:rPr>
        <w:t>由于字迹模糊或表达不清引起的后果由供应商负责。</w:t>
      </w:r>
    </w:p>
    <w:p w14:paraId="3927CBD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22.6</w:t>
      </w:r>
      <w:r>
        <w:rPr>
          <w:rFonts w:hint="eastAsia" w:ascii="宋体" w:hAnsi="宋体" w:cs="宋体"/>
          <w:szCs w:val="21"/>
          <w:highlight w:val="none"/>
        </w:rPr>
        <w:t>不按采购文件要求提供的响应文件可能导致被拒绝。</w:t>
      </w:r>
    </w:p>
    <w:p w14:paraId="131C65A6">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23.</w:t>
      </w:r>
      <w:r>
        <w:rPr>
          <w:rFonts w:hint="eastAsia" w:ascii="宋体" w:hAnsi="宋体" w:cs="宋体"/>
          <w:b/>
          <w:szCs w:val="21"/>
          <w:highlight w:val="none"/>
        </w:rPr>
        <w:t>响应文件的组成</w:t>
      </w:r>
      <w:bookmarkEnd w:id="66"/>
      <w:bookmarkEnd w:id="67"/>
      <w:bookmarkEnd w:id="68"/>
    </w:p>
    <w:p w14:paraId="0AE4B538">
      <w:pPr>
        <w:snapToGrid w:val="0"/>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23.1</w:t>
      </w:r>
    </w:p>
    <w:p w14:paraId="3359AAF5">
      <w:pPr>
        <w:snapToGrid w:val="0"/>
        <w:spacing w:line="360" w:lineRule="auto"/>
        <w:ind w:firstLine="420" w:firstLineChars="200"/>
        <w:jc w:val="left"/>
        <w:rPr>
          <w:rFonts w:hint="eastAsia" w:ascii="宋体" w:hAnsi="宋体" w:cs="宋体"/>
          <w:sz w:val="21"/>
          <w:szCs w:val="21"/>
          <w:lang w:val="zh-CN"/>
        </w:rPr>
      </w:pPr>
      <w:r>
        <w:rPr>
          <w:rFonts w:hint="eastAsia" w:ascii="宋体" w:hAnsi="宋体" w:cs="宋体"/>
          <w:sz w:val="21"/>
          <w:szCs w:val="21"/>
          <w:lang w:val="zh-CN"/>
        </w:rPr>
        <w:t>1、投标人应仔细阅读招标文件的所有内容，按照招标文件的要求编制和提交投标文件，并对所提供的全部资料的真实性承担法律责任。</w:t>
      </w:r>
    </w:p>
    <w:p w14:paraId="4966987B">
      <w:pPr>
        <w:widowControl/>
        <w:snapToGrid w:val="0"/>
        <w:spacing w:line="360" w:lineRule="auto"/>
        <w:ind w:firstLine="420"/>
        <w:jc w:val="left"/>
        <w:rPr>
          <w:rFonts w:hint="eastAsia" w:ascii="宋体" w:hAnsi="宋体" w:cs="宋体"/>
          <w:sz w:val="20"/>
          <w:szCs w:val="20"/>
          <w:lang w:val="zh-CN"/>
        </w:rPr>
      </w:pPr>
      <w:r>
        <w:rPr>
          <w:rFonts w:hint="eastAsia" w:ascii="宋体" w:hAnsi="宋体" w:cs="宋体"/>
          <w:sz w:val="21"/>
          <w:szCs w:val="21"/>
        </w:rPr>
        <w:t>2、</w:t>
      </w:r>
      <w:r>
        <w:rPr>
          <w:rFonts w:hint="eastAsia" w:ascii="宋体" w:hAnsi="宋体" w:cs="宋体"/>
          <w:sz w:val="21"/>
          <w:szCs w:val="21"/>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5F6A1B3B">
      <w:pPr>
        <w:pStyle w:val="113"/>
        <w:pageBreakBefore w:val="0"/>
        <w:numPr>
          <w:ilvl w:val="2"/>
          <w:numId w:val="0"/>
        </w:numPr>
        <w:kinsoku/>
        <w:wordWrap/>
        <w:overflowPunct/>
        <w:topLinePunct w:val="0"/>
        <w:autoSpaceDE w:val="0"/>
        <w:autoSpaceDN w:val="0"/>
        <w:bidi w:val="0"/>
        <w:adjustRightInd/>
        <w:snapToGrid/>
        <w:spacing w:before="160" w:beforeLines="50" w:line="360" w:lineRule="auto"/>
        <w:ind w:left="0" w:leftChars="0" w:firstLine="422" w:firstLineChars="200"/>
        <w:textAlignment w:val="bottom"/>
        <w:outlineLvl w:val="2"/>
        <w:rPr>
          <w:rFonts w:hint="eastAsia" w:ascii="宋体" w:hAnsi="宋体" w:cs="宋体"/>
          <w:b/>
          <w:bCs/>
          <w:color w:val="auto"/>
          <w:szCs w:val="21"/>
          <w:highlight w:val="none"/>
        </w:rPr>
      </w:pPr>
      <w:r>
        <w:rPr>
          <w:rFonts w:hint="eastAsia" w:ascii="宋体" w:hAnsi="宋体" w:eastAsia="宋体" w:cs="宋体"/>
          <w:b/>
          <w:bCs/>
          <w:color w:val="auto"/>
          <w:kern w:val="2"/>
          <w:sz w:val="21"/>
          <w:szCs w:val="21"/>
          <w:lang w:val="en-US" w:eastAsia="zh-CN" w:bidi="ar-SA"/>
        </w:rPr>
        <w:t>23.1.1</w:t>
      </w:r>
      <w:r>
        <w:rPr>
          <w:rFonts w:hint="eastAsia" w:ascii="宋体" w:hAnsi="宋体" w:cs="宋体"/>
          <w:b/>
          <w:bCs/>
          <w:color w:val="auto"/>
          <w:szCs w:val="21"/>
          <w:highlight w:val="none"/>
        </w:rPr>
        <w:t>▲资格证明文件的组成：</w:t>
      </w:r>
    </w:p>
    <w:p w14:paraId="4396BB64">
      <w:pPr>
        <w:pStyle w:val="113"/>
        <w:pageBreakBefore w:val="0"/>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应包括以下内容（均需供应商加盖公章）：</w:t>
      </w:r>
    </w:p>
    <w:tbl>
      <w:tblPr>
        <w:tblStyle w:val="36"/>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098"/>
        <w:gridCol w:w="6498"/>
      </w:tblGrid>
      <w:tr w14:paraId="7625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6" w:type="dxa"/>
            <w:shd w:val="clear" w:color="auto" w:fill="D7D7D7"/>
            <w:noWrap w:val="0"/>
            <w:vAlign w:val="center"/>
          </w:tcPr>
          <w:p w14:paraId="707431A3">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b/>
                <w:bCs/>
                <w:szCs w:val="21"/>
                <w:highlight w:val="none"/>
              </w:rPr>
            </w:pPr>
            <w:r>
              <w:rPr>
                <w:rFonts w:hint="eastAsia" w:ascii="宋体" w:hAnsi="宋体" w:cs="宋体"/>
                <w:b/>
                <w:bCs/>
                <w:szCs w:val="21"/>
                <w:highlight w:val="none"/>
              </w:rPr>
              <w:t>序号</w:t>
            </w:r>
          </w:p>
        </w:tc>
        <w:tc>
          <w:tcPr>
            <w:tcW w:w="2098" w:type="dxa"/>
            <w:shd w:val="clear" w:color="auto" w:fill="D7D7D7"/>
            <w:noWrap w:val="0"/>
            <w:vAlign w:val="center"/>
          </w:tcPr>
          <w:p w14:paraId="542E5843">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b/>
                <w:bCs/>
                <w:szCs w:val="21"/>
                <w:highlight w:val="none"/>
              </w:rPr>
            </w:pPr>
            <w:r>
              <w:rPr>
                <w:rFonts w:hint="eastAsia" w:ascii="宋体" w:hAnsi="宋体" w:cs="宋体"/>
                <w:b/>
                <w:bCs/>
                <w:szCs w:val="21"/>
                <w:highlight w:val="none"/>
              </w:rPr>
              <w:t>资格条件目录</w:t>
            </w:r>
          </w:p>
        </w:tc>
        <w:tc>
          <w:tcPr>
            <w:tcW w:w="6498" w:type="dxa"/>
            <w:shd w:val="clear" w:color="auto" w:fill="D7D7D7"/>
            <w:noWrap w:val="0"/>
            <w:vAlign w:val="center"/>
          </w:tcPr>
          <w:p w14:paraId="5D99CA0D">
            <w:pPr>
              <w:pageBreakBefore w:val="0"/>
              <w:widowControl/>
              <w:kinsoku/>
              <w:wordWrap/>
              <w:overflowPunct/>
              <w:topLinePunct w:val="0"/>
              <w:bidi w:val="0"/>
              <w:adjustRightInd/>
              <w:snapToGrid/>
              <w:spacing w:after="0" w:line="360" w:lineRule="auto"/>
              <w:jc w:val="center"/>
              <w:rPr>
                <w:rFonts w:hint="eastAsia"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应提供的资格审查资料</w:t>
            </w:r>
          </w:p>
          <w:p w14:paraId="6696C0F4">
            <w:pPr>
              <w:pageBreakBefore w:val="0"/>
              <w:widowControl/>
              <w:kinsoku/>
              <w:wordWrap/>
              <w:overflowPunct/>
              <w:topLinePunct w:val="0"/>
              <w:bidi w:val="0"/>
              <w:adjustRightInd/>
              <w:snapToGrid/>
              <w:spacing w:after="0" w:line="360" w:lineRule="auto"/>
              <w:jc w:val="center"/>
              <w:rPr>
                <w:rFonts w:hint="eastAsia" w:ascii="宋体" w:hAnsi="宋体" w:cs="宋体"/>
                <w:b/>
                <w:bCs/>
                <w:szCs w:val="21"/>
                <w:highlight w:val="none"/>
              </w:rPr>
            </w:pPr>
            <w:r>
              <w:rPr>
                <w:rFonts w:hint="eastAsia" w:ascii="宋体" w:hAnsi="宋体" w:cs="宋体"/>
                <w:b/>
                <w:bCs/>
                <w:color w:val="000000"/>
                <w:kern w:val="0"/>
                <w:szCs w:val="21"/>
                <w:highlight w:val="none"/>
                <w:lang w:bidi="ar"/>
              </w:rPr>
              <w:t>（除承诺函、说明、声明外的其他证件提供复印件或扫描件）</w:t>
            </w:r>
          </w:p>
        </w:tc>
      </w:tr>
      <w:tr w14:paraId="23BD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46" w:type="dxa"/>
            <w:noWrap w:val="0"/>
            <w:vAlign w:val="center"/>
          </w:tcPr>
          <w:p w14:paraId="031C1709">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w:t>
            </w:r>
          </w:p>
        </w:tc>
        <w:tc>
          <w:tcPr>
            <w:tcW w:w="2098" w:type="dxa"/>
            <w:noWrap w:val="0"/>
            <w:vAlign w:val="center"/>
          </w:tcPr>
          <w:p w14:paraId="3D73CB6C">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基本资格条件</w:t>
            </w:r>
          </w:p>
        </w:tc>
        <w:tc>
          <w:tcPr>
            <w:tcW w:w="6498" w:type="dxa"/>
            <w:noWrap w:val="0"/>
            <w:vAlign w:val="center"/>
          </w:tcPr>
          <w:p w14:paraId="4FCD539D">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（以</w:t>
            </w:r>
            <w:r>
              <w:rPr>
                <w:rFonts w:hint="eastAsia" w:ascii="宋体" w:hAnsi="宋体" w:cs="宋体"/>
                <w:color w:val="auto"/>
                <w:highlight w:val="none"/>
              </w:rPr>
              <w:t>下A～E项是</w:t>
            </w:r>
            <w:r>
              <w:rPr>
                <w:rFonts w:hint="eastAsia" w:ascii="宋体" w:hAnsi="宋体" w:cs="宋体"/>
                <w:highlight w:val="none"/>
              </w:rPr>
              <w:t>基本资格条件要求及对应证明材料的具体内容，各磋商供应商须在响应文件中出具对应证明材料。）</w:t>
            </w:r>
          </w:p>
        </w:tc>
      </w:tr>
      <w:tr w14:paraId="1FCE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6" w:type="dxa"/>
            <w:noWrap w:val="0"/>
            <w:vAlign w:val="center"/>
          </w:tcPr>
          <w:p w14:paraId="17228848">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1.1</w:t>
            </w:r>
          </w:p>
        </w:tc>
        <w:tc>
          <w:tcPr>
            <w:tcW w:w="2098" w:type="dxa"/>
            <w:noWrap w:val="0"/>
            <w:vAlign w:val="center"/>
          </w:tcPr>
          <w:p w14:paraId="70EA642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A.具有独立承担民事责任的能力：</w:t>
            </w:r>
          </w:p>
        </w:tc>
        <w:tc>
          <w:tcPr>
            <w:tcW w:w="6498" w:type="dxa"/>
            <w:noWrap w:val="0"/>
            <w:vAlign w:val="center"/>
          </w:tcPr>
          <w:p w14:paraId="4CC0AA79">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u w:val="single"/>
              </w:rPr>
            </w:pPr>
            <w:r>
              <w:rPr>
                <w:rFonts w:hint="eastAsia" w:ascii="宋体" w:hAnsi="宋体" w:cs="宋体"/>
                <w:highlight w:val="none"/>
                <w:u w:val="single"/>
              </w:rPr>
              <w:t>磋商供应商须在响应文件中出具符合以下情况的证明材料</w:t>
            </w:r>
            <w:r>
              <w:rPr>
                <w:rFonts w:hint="eastAsia" w:ascii="宋体" w:hAnsi="宋体" w:cs="宋体"/>
                <w:b/>
                <w:bCs/>
                <w:highlight w:val="none"/>
                <w:u w:val="single"/>
              </w:rPr>
              <w:t>（五选一）</w:t>
            </w:r>
            <w:r>
              <w:rPr>
                <w:rFonts w:hint="eastAsia" w:ascii="宋体" w:hAnsi="宋体" w:cs="宋体"/>
                <w:highlight w:val="none"/>
                <w:u w:val="single"/>
              </w:rPr>
              <w:t>：</w:t>
            </w:r>
          </w:p>
          <w:p w14:paraId="54AF7B3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1 \* GB3 \* MERGEFORMAT </w:instrText>
            </w:r>
            <w:r>
              <w:rPr>
                <w:rFonts w:hint="eastAsia" w:ascii="宋体" w:hAnsi="宋体" w:cs="宋体"/>
                <w:highlight w:val="none"/>
              </w:rPr>
              <w:fldChar w:fldCharType="separate"/>
            </w:r>
            <w:r>
              <w:rPr>
                <w:rFonts w:hint="eastAsia" w:ascii="宋体" w:hAnsi="宋体" w:cs="宋体"/>
                <w:highlight w:val="none"/>
              </w:rPr>
              <w:t>①</w:t>
            </w:r>
            <w:r>
              <w:rPr>
                <w:rFonts w:hint="eastAsia" w:ascii="宋体" w:hAnsi="宋体" w:cs="宋体"/>
                <w:highlight w:val="none"/>
              </w:rPr>
              <w:fldChar w:fldCharType="end"/>
            </w:r>
            <w:r>
              <w:rPr>
                <w:rFonts w:hint="eastAsia" w:ascii="宋体" w:hAnsi="宋体" w:cs="宋体"/>
                <w:highlight w:val="none"/>
              </w:rPr>
              <w:t>如磋商供应商是企业（包括合伙企业），提供在工商部门注册的有效“企业法人营业执照”或“营业执照”；</w:t>
            </w:r>
          </w:p>
          <w:p w14:paraId="56FD13A2">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i/>
                <w:highlight w:val="none"/>
                <w:u w:val="single"/>
              </w:rPr>
            </w:pP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highlight w:val="none"/>
              </w:rPr>
              <w:t>如磋商供应商是事业单位，提供有效的“事业单位法人证书”；</w:t>
            </w:r>
          </w:p>
          <w:p w14:paraId="2CF8FDE3">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3 \* GB3 \* MERGEFORMAT </w:instrText>
            </w:r>
            <w:r>
              <w:rPr>
                <w:rFonts w:hint="eastAsia" w:ascii="宋体" w:hAnsi="宋体" w:cs="宋体"/>
                <w:highlight w:val="none"/>
              </w:rPr>
              <w:fldChar w:fldCharType="separate"/>
            </w:r>
            <w:r>
              <w:rPr>
                <w:rFonts w:hint="eastAsia" w:ascii="宋体" w:hAnsi="宋体" w:cs="宋体"/>
                <w:highlight w:val="none"/>
              </w:rPr>
              <w:t>③</w:t>
            </w:r>
            <w:r>
              <w:rPr>
                <w:rFonts w:hint="eastAsia" w:ascii="宋体" w:hAnsi="宋体" w:cs="宋体"/>
                <w:highlight w:val="none"/>
              </w:rPr>
              <w:fldChar w:fldCharType="end"/>
            </w:r>
            <w:r>
              <w:rPr>
                <w:rFonts w:hint="eastAsia" w:ascii="宋体" w:hAnsi="宋体" w:cs="宋体"/>
                <w:highlight w:val="none"/>
              </w:rPr>
              <w:t>如磋商供应商是非企业专业服务机构的，提供执业许可证等证明文件；</w:t>
            </w:r>
          </w:p>
          <w:p w14:paraId="2CFB7215">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4 \* GB3 \* MERGEFORMAT </w:instrText>
            </w:r>
            <w:r>
              <w:rPr>
                <w:rFonts w:hint="eastAsia" w:ascii="宋体" w:hAnsi="宋体" w:cs="宋体"/>
                <w:highlight w:val="none"/>
              </w:rPr>
              <w:fldChar w:fldCharType="separate"/>
            </w:r>
            <w:r>
              <w:rPr>
                <w:rFonts w:hint="eastAsia" w:ascii="宋体" w:hAnsi="宋体" w:cs="宋体"/>
                <w:highlight w:val="none"/>
              </w:rPr>
              <w:t>④</w:t>
            </w:r>
            <w:r>
              <w:rPr>
                <w:rFonts w:hint="eastAsia" w:ascii="宋体" w:hAnsi="宋体" w:cs="宋体"/>
                <w:highlight w:val="none"/>
              </w:rPr>
              <w:fldChar w:fldCharType="end"/>
            </w:r>
            <w:r>
              <w:rPr>
                <w:rFonts w:hint="eastAsia" w:ascii="宋体" w:hAnsi="宋体" w:cs="宋体"/>
                <w:highlight w:val="none"/>
              </w:rPr>
              <w:t>如磋商供应商是个体工商户，提供有效的“个体工商户营业执照”；</w:t>
            </w:r>
          </w:p>
          <w:p w14:paraId="0D0B949D">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 = 5 \* GB3 \* MERGEFORMAT </w:instrText>
            </w:r>
            <w:r>
              <w:rPr>
                <w:rFonts w:hint="eastAsia" w:ascii="宋体" w:hAnsi="宋体" w:cs="宋体"/>
                <w:highlight w:val="none"/>
              </w:rPr>
              <w:fldChar w:fldCharType="separate"/>
            </w:r>
            <w:r>
              <w:rPr>
                <w:rFonts w:hint="eastAsia" w:ascii="宋体" w:hAnsi="宋体" w:cs="宋体"/>
                <w:highlight w:val="none"/>
              </w:rPr>
              <w:t>⑤</w:t>
            </w:r>
            <w:r>
              <w:rPr>
                <w:rFonts w:hint="eastAsia" w:ascii="宋体" w:hAnsi="宋体" w:cs="宋体"/>
                <w:highlight w:val="none"/>
              </w:rPr>
              <w:fldChar w:fldCharType="end"/>
            </w:r>
            <w:r>
              <w:rPr>
                <w:rFonts w:hint="eastAsia" w:ascii="宋体" w:hAnsi="宋体" w:cs="宋体"/>
                <w:highlight w:val="none"/>
              </w:rPr>
              <w:t>如磋商供应商是自然人，提供有效的自然人身份证明（居民身份证正反面或临时居民身份证正反面或港澳台胞证或证照）。</w:t>
            </w:r>
          </w:p>
        </w:tc>
      </w:tr>
      <w:tr w14:paraId="3CBC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14:paraId="682E566F">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1.2</w:t>
            </w:r>
          </w:p>
        </w:tc>
        <w:tc>
          <w:tcPr>
            <w:tcW w:w="2098" w:type="dxa"/>
            <w:noWrap w:val="0"/>
            <w:vAlign w:val="center"/>
          </w:tcPr>
          <w:p w14:paraId="48A4A5A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B.具有良好的商业信誉和健全的财务会计制度：</w:t>
            </w:r>
          </w:p>
        </w:tc>
        <w:tc>
          <w:tcPr>
            <w:tcW w:w="6498" w:type="dxa"/>
            <w:noWrap w:val="0"/>
            <w:vAlign w:val="center"/>
          </w:tcPr>
          <w:p w14:paraId="132071B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b/>
                <w:bCs/>
                <w:highlight w:val="none"/>
              </w:rPr>
            </w:pPr>
            <w:r>
              <w:rPr>
                <w:rFonts w:hint="eastAsia" w:ascii="宋体" w:hAnsi="宋体" w:cs="宋体"/>
                <w:b/>
                <w:bCs/>
                <w:highlight w:val="none"/>
              </w:rPr>
              <w:fldChar w:fldCharType="begin"/>
            </w:r>
            <w:r>
              <w:rPr>
                <w:rFonts w:hint="eastAsia" w:ascii="宋体" w:hAnsi="宋体" w:cs="宋体"/>
                <w:b/>
                <w:bCs/>
                <w:highlight w:val="none"/>
              </w:rPr>
              <w:instrText xml:space="preserve"> = 1 \* GB3 \* MERGEFORMAT </w:instrText>
            </w:r>
            <w:r>
              <w:rPr>
                <w:rFonts w:hint="eastAsia" w:ascii="宋体" w:hAnsi="宋体" w:cs="宋体"/>
                <w:b/>
                <w:bCs/>
                <w:highlight w:val="none"/>
              </w:rPr>
              <w:fldChar w:fldCharType="separate"/>
            </w:r>
            <w:r>
              <w:rPr>
                <w:rFonts w:hint="eastAsia" w:ascii="宋体" w:hAnsi="宋体" w:cs="宋体"/>
                <w:b/>
                <w:bCs/>
                <w:highlight w:val="none"/>
              </w:rPr>
              <w:t>①</w:t>
            </w:r>
            <w:r>
              <w:rPr>
                <w:rFonts w:hint="eastAsia" w:ascii="宋体" w:hAnsi="宋体" w:cs="宋体"/>
                <w:b/>
                <w:bCs/>
                <w:highlight w:val="none"/>
              </w:rPr>
              <w:fldChar w:fldCharType="end"/>
            </w:r>
            <w:r>
              <w:rPr>
                <w:rFonts w:hint="eastAsia" w:ascii="宋体" w:hAnsi="宋体" w:cs="宋体"/>
                <w:b/>
                <w:bCs/>
                <w:highlight w:val="none"/>
              </w:rPr>
              <w:t>良好的商业信誉：</w:t>
            </w:r>
          </w:p>
          <w:p w14:paraId="6323BE5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至本项目投标截止时间止未列入失信被执行人、重大税收违法案件当事人名单、政府采购严重违法失信行为记录名单</w:t>
            </w:r>
            <w:r>
              <w:rPr>
                <w:rFonts w:hint="eastAsia" w:ascii="宋体" w:hAnsi="宋体" w:cs="宋体"/>
                <w:highlight w:val="none"/>
                <w:lang w:eastAsia="zh-CN"/>
              </w:rPr>
              <w:t>。</w:t>
            </w:r>
            <w:r>
              <w:rPr>
                <w:rFonts w:hint="eastAsia" w:ascii="宋体" w:hAnsi="宋体" w:cs="宋体"/>
                <w:highlight w:val="none"/>
              </w:rPr>
              <w:t>对列入失信被执行人、重大税收违法案件当事人名单、政府采购严重违法失信行为记录名单的投标人，其投标将作无效标处理。</w:t>
            </w:r>
          </w:p>
          <w:p w14:paraId="12027DCE">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b/>
                <w:bCs/>
                <w:highlight w:val="none"/>
                <w:lang w:eastAsia="zh-CN"/>
              </w:rPr>
              <w:t>（</w:t>
            </w:r>
            <w:r>
              <w:rPr>
                <w:rFonts w:hint="eastAsia" w:ascii="宋体" w:hAnsi="宋体" w:cs="宋体"/>
                <w:b/>
                <w:bCs/>
                <w:highlight w:val="none"/>
              </w:rPr>
              <w:t>以代理机构在开标当日在“信用中国”（www.creditchina.gov.cn）、中国政府采购网（www.ccgp.gov.cn）</w:t>
            </w:r>
            <w:r>
              <w:rPr>
                <w:rFonts w:hint="eastAsia" w:ascii="宋体" w:hAnsi="宋体" w:cs="宋体"/>
                <w:b/>
                <w:bCs/>
                <w:highlight w:val="none"/>
                <w:lang w:eastAsia="zh-CN"/>
              </w:rPr>
              <w:t>的</w:t>
            </w:r>
            <w:r>
              <w:rPr>
                <w:rFonts w:hint="eastAsia" w:ascii="宋体" w:hAnsi="宋体" w:cs="宋体"/>
                <w:b/>
                <w:bCs/>
                <w:highlight w:val="none"/>
              </w:rPr>
              <w:t>网页查询记录为准）。</w:t>
            </w:r>
          </w:p>
          <w:p w14:paraId="55D90A84">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b/>
                <w:bCs/>
                <w:highlight w:val="none"/>
              </w:rPr>
            </w:pPr>
            <w:r>
              <w:rPr>
                <w:rFonts w:hint="eastAsia" w:ascii="宋体" w:hAnsi="宋体" w:cs="宋体"/>
                <w:b/>
                <w:bCs/>
                <w:highlight w:val="none"/>
              </w:rPr>
              <w:t>②健全的财务会计制度：</w:t>
            </w:r>
          </w:p>
          <w:p w14:paraId="39263FE4">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u w:val="single"/>
              </w:rPr>
              <w:t>磋商供应商须在响应文件中出具</w:t>
            </w:r>
            <w:r>
              <w:rPr>
                <w:rFonts w:hint="eastAsia" w:ascii="宋体" w:hAnsi="宋体" w:cs="宋体"/>
                <w:highlight w:val="none"/>
                <w:u w:val="single"/>
                <w:lang w:eastAsia="zh-CN"/>
              </w:rPr>
              <w:t>有</w:t>
            </w:r>
            <w:r>
              <w:rPr>
                <w:rFonts w:hint="eastAsia" w:ascii="宋体" w:hAnsi="宋体" w:cs="宋体"/>
                <w:highlight w:val="none"/>
                <w:u w:val="single"/>
              </w:rPr>
              <w:t>健全的财务会计制度承诺函</w:t>
            </w:r>
            <w:r>
              <w:rPr>
                <w:rFonts w:hint="eastAsia" w:ascii="宋体" w:hAnsi="宋体" w:eastAsia="宋体" w:cs="宋体"/>
                <w:szCs w:val="21"/>
                <w:highlight w:val="none"/>
                <w:u w:val="single"/>
              </w:rPr>
              <w:t>（见附件格式）</w:t>
            </w:r>
            <w:r>
              <w:rPr>
                <w:rFonts w:hint="eastAsia" w:ascii="宋体" w:hAnsi="宋体" w:cs="宋体"/>
                <w:highlight w:val="none"/>
              </w:rPr>
              <w:t>。</w:t>
            </w:r>
          </w:p>
        </w:tc>
      </w:tr>
      <w:tr w14:paraId="61E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46" w:type="dxa"/>
            <w:noWrap w:val="0"/>
            <w:vAlign w:val="center"/>
          </w:tcPr>
          <w:p w14:paraId="45715E61">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1.3</w:t>
            </w:r>
          </w:p>
        </w:tc>
        <w:tc>
          <w:tcPr>
            <w:tcW w:w="2098" w:type="dxa"/>
            <w:noWrap w:val="0"/>
            <w:vAlign w:val="center"/>
          </w:tcPr>
          <w:p w14:paraId="4031896B">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C.具有履行合同所必需的设备和专业技术能力：</w:t>
            </w:r>
          </w:p>
        </w:tc>
        <w:tc>
          <w:tcPr>
            <w:tcW w:w="6498" w:type="dxa"/>
            <w:noWrap w:val="0"/>
            <w:vAlign w:val="center"/>
          </w:tcPr>
          <w:p w14:paraId="41A8F8C9">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left"/>
              <w:textAlignment w:val="bottom"/>
              <w:outlineLvl w:val="2"/>
              <w:rPr>
                <w:rFonts w:hint="eastAsia" w:ascii="宋体" w:hAnsi="宋体" w:cs="宋体"/>
                <w:szCs w:val="21"/>
                <w:highlight w:val="none"/>
              </w:rPr>
            </w:pPr>
            <w:r>
              <w:rPr>
                <w:rFonts w:hint="eastAsia" w:ascii="宋体" w:hAnsi="宋体" w:cs="宋体"/>
                <w:szCs w:val="21"/>
                <w:highlight w:val="none"/>
              </w:rPr>
              <w:t>磋商供应商须在响应文件中出具具有履行合同所必需的设备和专业技术能力的承诺函（见附件格式）</w:t>
            </w:r>
          </w:p>
        </w:tc>
      </w:tr>
      <w:tr w14:paraId="593E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46" w:type="dxa"/>
            <w:noWrap w:val="0"/>
            <w:vAlign w:val="center"/>
          </w:tcPr>
          <w:p w14:paraId="52945E50">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1.4</w:t>
            </w:r>
          </w:p>
        </w:tc>
        <w:tc>
          <w:tcPr>
            <w:tcW w:w="2098" w:type="dxa"/>
            <w:noWrap w:val="0"/>
            <w:vAlign w:val="center"/>
          </w:tcPr>
          <w:p w14:paraId="52F9BB09">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D.有依法缴纳税收和社会保障资金的良好记录：</w:t>
            </w:r>
          </w:p>
        </w:tc>
        <w:tc>
          <w:tcPr>
            <w:tcW w:w="6498" w:type="dxa"/>
            <w:noWrap w:val="0"/>
            <w:vAlign w:val="center"/>
          </w:tcPr>
          <w:p w14:paraId="511970F5">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磋商供应商须在响应文件中出具</w:t>
            </w:r>
            <w:r>
              <w:rPr>
                <w:rFonts w:hint="eastAsia" w:ascii="宋体" w:hAnsi="宋体" w:eastAsia="宋体" w:cs="宋体"/>
                <w:szCs w:val="21"/>
                <w:highlight w:val="none"/>
              </w:rPr>
              <w:t>依法缴纳税收及社会保障资金的书面承诺（见附件格式）</w:t>
            </w:r>
            <w:r>
              <w:rPr>
                <w:rFonts w:hint="eastAsia" w:ascii="宋体" w:hAnsi="宋体" w:eastAsia="宋体" w:cs="宋体"/>
                <w:szCs w:val="21"/>
                <w:highlight w:val="none"/>
                <w:lang w:eastAsia="zh-CN"/>
              </w:rPr>
              <w:t>。</w:t>
            </w:r>
          </w:p>
        </w:tc>
      </w:tr>
      <w:tr w14:paraId="6578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746" w:type="dxa"/>
            <w:noWrap w:val="0"/>
            <w:vAlign w:val="center"/>
          </w:tcPr>
          <w:p w14:paraId="5530E105">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1.5</w:t>
            </w:r>
          </w:p>
        </w:tc>
        <w:tc>
          <w:tcPr>
            <w:tcW w:w="2098" w:type="dxa"/>
            <w:noWrap w:val="0"/>
            <w:vAlign w:val="center"/>
          </w:tcPr>
          <w:p w14:paraId="20F44BF7">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E.参加采购活动前三年内，在经营活动中没有重大违法记录：</w:t>
            </w:r>
          </w:p>
        </w:tc>
        <w:tc>
          <w:tcPr>
            <w:tcW w:w="6498" w:type="dxa"/>
            <w:noWrap w:val="0"/>
            <w:vAlign w:val="center"/>
          </w:tcPr>
          <w:p w14:paraId="0B73D2D4">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磋商供应商须在响应文件中出具参加采购活动前三年内，在经营活动中没有重大违法记录的声明（见附件格式）。</w:t>
            </w:r>
          </w:p>
        </w:tc>
      </w:tr>
      <w:tr w14:paraId="7C45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46" w:type="dxa"/>
            <w:noWrap w:val="0"/>
            <w:vAlign w:val="center"/>
          </w:tcPr>
          <w:p w14:paraId="1B1D9A1D">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2</w:t>
            </w:r>
          </w:p>
        </w:tc>
        <w:tc>
          <w:tcPr>
            <w:tcW w:w="2098" w:type="dxa"/>
            <w:noWrap w:val="0"/>
            <w:vAlign w:val="center"/>
          </w:tcPr>
          <w:p w14:paraId="5D745E26">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color w:val="auto"/>
                <w:highlight w:val="none"/>
                <w:lang w:bidi="ar-SA"/>
              </w:rPr>
            </w:pPr>
            <w:r>
              <w:rPr>
                <w:rFonts w:hint="eastAsia" w:ascii="宋体" w:hAnsi="宋体" w:cs="宋体"/>
                <w:color w:val="auto"/>
                <w:highlight w:val="none"/>
                <w:lang w:bidi="ar-SA"/>
              </w:rPr>
              <w:t>供应商特定条件</w:t>
            </w:r>
          </w:p>
        </w:tc>
        <w:tc>
          <w:tcPr>
            <w:tcW w:w="6498" w:type="dxa"/>
            <w:noWrap w:val="0"/>
            <w:vAlign w:val="center"/>
          </w:tcPr>
          <w:p w14:paraId="4C7EC0C3">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color w:val="auto"/>
                <w:highlight w:val="none"/>
                <w:lang w:bidi="ar-SA"/>
              </w:rPr>
            </w:pPr>
            <w:r>
              <w:rPr>
                <w:rFonts w:hint="eastAsia" w:ascii="宋体" w:hAnsi="宋体" w:cs="宋体"/>
                <w:color w:val="auto"/>
                <w:highlight w:val="none"/>
              </w:rPr>
              <w:t>（</w:t>
            </w:r>
            <w:r>
              <w:rPr>
                <w:rFonts w:hint="eastAsia" w:ascii="宋体" w:hAnsi="宋体" w:cs="宋体"/>
                <w:color w:val="auto"/>
                <w:highlight w:val="none"/>
                <w:lang w:eastAsia="zh-CN"/>
              </w:rPr>
              <w:t>供应商按</w:t>
            </w:r>
            <w:r>
              <w:rPr>
                <w:rFonts w:hint="eastAsia" w:ascii="宋体" w:hAnsi="宋体" w:cs="宋体"/>
                <w:color w:val="auto"/>
                <w:highlight w:val="none"/>
              </w:rPr>
              <w:t>以下</w:t>
            </w:r>
            <w:r>
              <w:rPr>
                <w:rFonts w:hint="eastAsia" w:ascii="宋体" w:hAnsi="宋体" w:cs="宋体"/>
                <w:color w:val="auto"/>
                <w:highlight w:val="none"/>
                <w:lang w:eastAsia="zh-CN"/>
              </w:rPr>
              <w:t>各</w:t>
            </w:r>
            <w:r>
              <w:rPr>
                <w:rFonts w:hint="eastAsia" w:ascii="宋体" w:hAnsi="宋体" w:cs="宋体"/>
                <w:color w:val="auto"/>
                <w:highlight w:val="none"/>
              </w:rPr>
              <w:t>项</w:t>
            </w:r>
            <w:r>
              <w:rPr>
                <w:rFonts w:hint="eastAsia" w:ascii="宋体" w:hAnsi="宋体" w:cs="宋体"/>
                <w:color w:val="auto"/>
                <w:highlight w:val="none"/>
                <w:lang w:eastAsia="zh-CN"/>
              </w:rPr>
              <w:t>特定</w:t>
            </w:r>
            <w:r>
              <w:rPr>
                <w:rFonts w:hint="eastAsia" w:ascii="宋体" w:hAnsi="宋体" w:cs="宋体"/>
                <w:color w:val="auto"/>
                <w:highlight w:val="none"/>
              </w:rPr>
              <w:t>资格条件要求在响应文件中出具对应证明材料。）</w:t>
            </w:r>
          </w:p>
        </w:tc>
      </w:tr>
      <w:tr w14:paraId="3419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6" w:type="dxa"/>
            <w:noWrap w:val="0"/>
            <w:vAlign w:val="center"/>
          </w:tcPr>
          <w:p w14:paraId="45EB392D">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hint="eastAsia" w:ascii="宋体" w:hAnsi="宋体" w:cs="宋体"/>
                <w:szCs w:val="21"/>
                <w:highlight w:val="none"/>
              </w:rPr>
            </w:pPr>
            <w:r>
              <w:rPr>
                <w:rFonts w:hint="eastAsia" w:ascii="宋体" w:hAnsi="宋体" w:cs="宋体"/>
                <w:szCs w:val="21"/>
                <w:highlight w:val="none"/>
              </w:rPr>
              <w:t>2.1</w:t>
            </w:r>
          </w:p>
        </w:tc>
        <w:tc>
          <w:tcPr>
            <w:tcW w:w="2098" w:type="dxa"/>
            <w:noWrap w:val="0"/>
            <w:vAlign w:val="center"/>
          </w:tcPr>
          <w:p w14:paraId="16924449">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highlight w:val="none"/>
              </w:rPr>
            </w:pPr>
            <w:r>
              <w:rPr>
                <w:rFonts w:hint="eastAsia" w:ascii="宋体" w:hAnsi="宋体" w:cs="宋体"/>
                <w:highlight w:val="none"/>
              </w:rPr>
              <w:t>联合体</w:t>
            </w:r>
          </w:p>
        </w:tc>
        <w:tc>
          <w:tcPr>
            <w:tcW w:w="6498" w:type="dxa"/>
            <w:noWrap w:val="0"/>
            <w:vAlign w:val="center"/>
          </w:tcPr>
          <w:p w14:paraId="7BD016A6">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b/>
                <w:color w:val="FF0000"/>
                <w:highlight w:val="none"/>
                <w:u w:val="single"/>
              </w:rPr>
            </w:pPr>
            <w:r>
              <w:rPr>
                <w:rFonts w:hint="eastAsia" w:ascii="宋体" w:hAnsi="宋体" w:cs="宋体"/>
                <w:highlight w:val="none"/>
              </w:rPr>
              <w:t>本项目不接受联合体磋商。</w:t>
            </w:r>
          </w:p>
        </w:tc>
      </w:tr>
      <w:tr w14:paraId="6CED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46" w:type="dxa"/>
            <w:noWrap w:val="0"/>
            <w:vAlign w:val="center"/>
          </w:tcPr>
          <w:p w14:paraId="675395B4">
            <w:pPr>
              <w:pStyle w:val="113"/>
              <w:pageBreakBefore w:val="0"/>
              <w:tabs>
                <w:tab w:val="left" w:pos="0"/>
              </w:tabs>
              <w:kinsoku/>
              <w:wordWrap/>
              <w:overflowPunct/>
              <w:topLinePunct w:val="0"/>
              <w:autoSpaceDE w:val="0"/>
              <w:autoSpaceDN w:val="0"/>
              <w:bidi w:val="0"/>
              <w:adjustRightInd/>
              <w:snapToGrid/>
              <w:spacing w:after="0" w:line="360" w:lineRule="auto"/>
              <w:ind w:firstLine="0" w:firstLineChars="0"/>
              <w:jc w:val="center"/>
              <w:textAlignment w:val="bottom"/>
              <w:outlineLvl w:val="2"/>
              <w:rPr>
                <w:rFonts w:ascii="宋体" w:hAnsi="宋体" w:cs="宋体"/>
                <w:szCs w:val="21"/>
                <w:highlight w:val="none"/>
              </w:rPr>
            </w:pPr>
            <w:r>
              <w:rPr>
                <w:rFonts w:hint="eastAsia" w:ascii="宋体" w:hAnsi="宋体" w:cs="宋体"/>
                <w:szCs w:val="21"/>
                <w:highlight w:val="none"/>
              </w:rPr>
              <w:t>2.2</w:t>
            </w:r>
          </w:p>
        </w:tc>
        <w:tc>
          <w:tcPr>
            <w:tcW w:w="2098" w:type="dxa"/>
            <w:noWrap w:val="0"/>
            <w:vAlign w:val="center"/>
          </w:tcPr>
          <w:p w14:paraId="67BE6C28">
            <w:pPr>
              <w:pStyle w:val="79"/>
              <w:pageBreakBefore w:val="0"/>
              <w:widowControl/>
              <w:kinsoku/>
              <w:wordWrap/>
              <w:overflowPunct/>
              <w:topLinePunct w:val="0"/>
              <w:bidi w:val="0"/>
              <w:adjustRightInd/>
              <w:snapToGrid/>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特定资格要求</w:t>
            </w:r>
          </w:p>
        </w:tc>
        <w:tc>
          <w:tcPr>
            <w:tcW w:w="6498" w:type="dxa"/>
            <w:noWrap w:val="0"/>
            <w:vAlign w:val="center"/>
          </w:tcPr>
          <w:p w14:paraId="2E82C746">
            <w:pPr>
              <w:pStyle w:val="79"/>
              <w:pageBreakBefore w:val="0"/>
              <w:widowControl/>
              <w:kinsoku/>
              <w:wordWrap/>
              <w:overflowPunct/>
              <w:topLinePunct w:val="0"/>
              <w:bidi w:val="0"/>
              <w:adjustRightInd/>
              <w:snapToGrid/>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（1）具备公路工程施工总承包三级及以上资质，并在人员、设备、资金等方面具有相应的施工能力。若为公路工程施工总承包一级及以上资质的应列入交通运输部网站（http</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//www.moc.gov.cn/）中“全国公路建设市场信用信息管理系统”中最新公布的公路工程施工资质企业名录，且投标人名称与上述名录相符；（2）企业具有安全生产许可证，且在有效期内。 </w:t>
            </w:r>
          </w:p>
        </w:tc>
      </w:tr>
    </w:tbl>
    <w:p w14:paraId="1DB1E6BE">
      <w:pPr>
        <w:pStyle w:val="113"/>
        <w:pageBreakBefore w:val="0"/>
        <w:kinsoku/>
        <w:wordWrap/>
        <w:overflowPunct/>
        <w:topLinePunct w:val="0"/>
        <w:autoSpaceDE w:val="0"/>
        <w:autoSpaceDN w:val="0"/>
        <w:bidi w:val="0"/>
        <w:adjustRightInd/>
        <w:snapToGrid/>
        <w:spacing w:before="160" w:beforeLines="50" w:line="360" w:lineRule="auto"/>
        <w:ind w:firstLine="0" w:firstLineChars="0"/>
        <w:textAlignment w:val="bottom"/>
        <w:outlineLvl w:val="2"/>
        <w:rPr>
          <w:rFonts w:hint="eastAsia" w:ascii="宋体" w:hAnsi="宋体" w:cs="宋体"/>
          <w:szCs w:val="21"/>
          <w:highlight w:val="none"/>
        </w:rPr>
      </w:pPr>
      <w:r>
        <w:rPr>
          <w:rFonts w:hint="eastAsia" w:ascii="宋体" w:hAnsi="宋体" w:cs="宋体"/>
          <w:szCs w:val="21"/>
          <w:highlight w:val="none"/>
        </w:rPr>
        <w:t>【采购文件若允许以联合体形式进行采购的，参加联合体的供应商均应当提供以上材料】</w:t>
      </w:r>
    </w:p>
    <w:p w14:paraId="523F864A">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23.1.2</w:t>
      </w:r>
      <w:r>
        <w:rPr>
          <w:rFonts w:hint="eastAsia" w:ascii="宋体" w:hAnsi="宋体" w:cs="宋体"/>
          <w:b/>
          <w:bCs/>
          <w:szCs w:val="21"/>
          <w:highlight w:val="none"/>
        </w:rPr>
        <w:t>商务与技术文件的组成：</w:t>
      </w:r>
    </w:p>
    <w:p w14:paraId="429BCABB">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highlight w:val="none"/>
        </w:rPr>
      </w:pPr>
      <w:r>
        <w:rPr>
          <w:rFonts w:hint="eastAsia" w:ascii="宋体" w:hAnsi="宋体" w:eastAsia="宋体" w:cs="宋体"/>
          <w:highlight w:val="none"/>
        </w:rPr>
        <w:t>目录；</w:t>
      </w:r>
    </w:p>
    <w:p w14:paraId="19F66DB5">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highlight w:val="none"/>
        </w:rPr>
      </w:pPr>
      <w:r>
        <w:rPr>
          <w:rFonts w:hint="eastAsia" w:ascii="宋体" w:hAnsi="宋体" w:eastAsia="宋体" w:cs="宋体"/>
          <w:highlight w:val="none"/>
        </w:rPr>
        <w:t>法定代表人身份证书或授权委托书（见附件格</w:t>
      </w:r>
      <w:r>
        <w:rPr>
          <w:rFonts w:hint="eastAsia" w:ascii="宋体" w:hAnsi="宋体" w:eastAsia="宋体" w:cs="宋体"/>
          <w:color w:val="auto"/>
          <w:highlight w:val="none"/>
        </w:rPr>
        <w:t>式，</w:t>
      </w:r>
      <w:r>
        <w:rPr>
          <w:rFonts w:hint="eastAsia" w:ascii="宋体" w:hAnsi="宋体" w:eastAsia="宋体" w:cs="宋体"/>
          <w:i/>
          <w:iCs/>
          <w:color w:val="auto"/>
          <w:highlight w:val="none"/>
        </w:rPr>
        <w:t>二选一</w:t>
      </w:r>
      <w:r>
        <w:rPr>
          <w:rFonts w:hint="eastAsia" w:ascii="宋体" w:hAnsi="宋体" w:eastAsia="宋体" w:cs="宋体"/>
          <w:color w:val="auto"/>
          <w:highlight w:val="none"/>
        </w:rPr>
        <w:t>）</w:t>
      </w:r>
    </w:p>
    <w:p w14:paraId="245BA415">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highlight w:val="none"/>
        </w:rPr>
      </w:pPr>
      <w:r>
        <w:rPr>
          <w:rFonts w:hint="eastAsia" w:ascii="宋体" w:hAnsi="宋体" w:eastAsia="宋体" w:cs="宋体"/>
          <w:highlight w:val="none"/>
        </w:rPr>
        <w:t>磋商声明书（见附件格式）；</w:t>
      </w:r>
    </w:p>
    <w:p w14:paraId="273E760C">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highlight w:val="none"/>
        </w:rPr>
      </w:pPr>
      <w:r>
        <w:rPr>
          <w:rFonts w:hint="eastAsia" w:ascii="宋体" w:hAnsi="宋体" w:cs="宋体"/>
          <w:color w:val="000000" w:themeColor="text1"/>
          <w:highlight w:val="none"/>
          <w:lang w:eastAsia="zh-CN"/>
        </w:rPr>
        <w:t>供应商基本情况介绍（内容自拟）；</w:t>
      </w:r>
    </w:p>
    <w:p w14:paraId="3736A81A">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商务响应表（见附件格式）；</w:t>
      </w:r>
    </w:p>
    <w:p w14:paraId="495AED3B">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highlight w:val="none"/>
        </w:rPr>
      </w:pPr>
      <w:r>
        <w:rPr>
          <w:rFonts w:hint="eastAsia" w:ascii="宋体" w:hAnsi="宋体" w:cs="宋体"/>
          <w:color w:val="000000" w:themeColor="text1"/>
          <w:highlight w:val="none"/>
          <w:lang w:eastAsia="zh-CN"/>
        </w:rPr>
        <w:t>项目负责人简历表</w:t>
      </w:r>
      <w:r>
        <w:rPr>
          <w:rFonts w:hint="eastAsia" w:ascii="宋体" w:hAnsi="宋体" w:cs="宋体"/>
          <w:color w:val="000000" w:themeColor="text1"/>
          <w:highlight w:val="none"/>
        </w:rPr>
        <w:t>（见附件格式）</w:t>
      </w:r>
      <w:r>
        <w:rPr>
          <w:rFonts w:hint="eastAsia" w:ascii="宋体" w:hAnsi="宋体" w:cs="宋体"/>
          <w:color w:val="000000" w:themeColor="text1"/>
          <w:highlight w:val="none"/>
          <w:lang w:eastAsia="zh-CN"/>
        </w:rPr>
        <w:t>；</w:t>
      </w:r>
    </w:p>
    <w:p w14:paraId="4CA115E1">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项目技术负责人简历表</w:t>
      </w:r>
      <w:r>
        <w:rPr>
          <w:rFonts w:hint="eastAsia" w:ascii="宋体" w:hAnsi="宋体" w:cs="宋体"/>
          <w:color w:val="000000" w:themeColor="text1"/>
          <w:highlight w:val="none"/>
        </w:rPr>
        <w:t>（见附件格式）</w:t>
      </w:r>
      <w:r>
        <w:rPr>
          <w:rFonts w:hint="eastAsia" w:ascii="宋体" w:hAnsi="宋体" w:cs="宋体"/>
          <w:color w:val="000000" w:themeColor="text1"/>
          <w:highlight w:val="none"/>
          <w:lang w:eastAsia="zh-CN"/>
        </w:rPr>
        <w:t>；</w:t>
      </w:r>
    </w:p>
    <w:p w14:paraId="512373F6">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highlight w:val="none"/>
        </w:rPr>
      </w:pPr>
      <w:r>
        <w:rPr>
          <w:rFonts w:hint="eastAsia" w:ascii="宋体" w:hAnsi="宋体" w:cs="宋体"/>
          <w:color w:val="000000" w:themeColor="text1"/>
          <w:highlight w:val="none"/>
        </w:rPr>
        <w:t>项目管理班子配备情况表（见附件格式</w:t>
      </w:r>
      <w:r>
        <w:rPr>
          <w:rFonts w:hint="eastAsia" w:ascii="宋体" w:hAnsi="宋体" w:cs="宋体"/>
          <w:color w:val="000000" w:themeColor="text1"/>
          <w:highlight w:val="none"/>
          <w:lang w:eastAsia="zh-CN"/>
        </w:rPr>
        <w:t>，附相关佐证材料</w:t>
      </w:r>
      <w:r>
        <w:rPr>
          <w:rFonts w:hint="eastAsia" w:ascii="宋体" w:hAnsi="宋体" w:cs="宋体"/>
          <w:color w:val="000000" w:themeColor="text1"/>
          <w:highlight w:val="none"/>
        </w:rPr>
        <w:t>）；</w:t>
      </w:r>
    </w:p>
    <w:p w14:paraId="2A560C98">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rPr>
      </w:pPr>
      <w:r>
        <w:rPr>
          <w:rFonts w:hint="eastAsia" w:ascii="宋体" w:hAnsi="宋体" w:eastAsia="宋体" w:cs="宋体"/>
          <w:color w:val="000000" w:themeColor="text1"/>
        </w:rPr>
        <w:t>类似项目业绩一览表（见附件格式，附相关佐证材料）；</w:t>
      </w:r>
    </w:p>
    <w:p w14:paraId="2C27DB7C">
      <w:pPr>
        <w:pStyle w:val="79"/>
        <w:widowControl/>
        <w:numPr>
          <w:ilvl w:val="0"/>
          <w:numId w:val="6"/>
        </w:numPr>
        <w:spacing w:line="360" w:lineRule="auto"/>
        <w:ind w:left="0" w:firstLine="420"/>
        <w:rPr>
          <w:rFonts w:hint="eastAsia" w:ascii="宋体" w:hAnsi="宋体" w:cs="宋体"/>
          <w:color w:val="000000" w:themeColor="text1"/>
          <w:highlight w:val="none"/>
        </w:rPr>
      </w:pPr>
      <w:r>
        <w:rPr>
          <w:rFonts w:hint="eastAsia" w:ascii="宋体" w:hAnsi="宋体" w:cs="宋体"/>
          <w:color w:val="000000" w:themeColor="text1"/>
          <w:highlight w:val="none"/>
        </w:rPr>
        <w:t>停工证明（如有，见附件格式）；</w:t>
      </w:r>
    </w:p>
    <w:p w14:paraId="48A6BB9D">
      <w:pPr>
        <w:pStyle w:val="79"/>
        <w:widowControl/>
        <w:numPr>
          <w:ilvl w:val="0"/>
          <w:numId w:val="6"/>
        </w:numPr>
        <w:spacing w:line="360" w:lineRule="auto"/>
        <w:ind w:left="0" w:firstLine="420"/>
        <w:rPr>
          <w:rFonts w:hint="eastAsia" w:ascii="宋体" w:hAnsi="宋体" w:eastAsia="宋体" w:cs="宋体"/>
          <w:color w:val="000000" w:themeColor="text1"/>
        </w:rPr>
      </w:pPr>
      <w:r>
        <w:rPr>
          <w:rFonts w:hint="eastAsia" w:ascii="宋体" w:hAnsi="宋体" w:cs="宋体"/>
          <w:color w:val="000000" w:themeColor="text1"/>
          <w:highlight w:val="none"/>
        </w:rPr>
        <w:t>未验收证明（如有，见附件格式）；</w:t>
      </w:r>
    </w:p>
    <w:p w14:paraId="4C245F0C">
      <w:pPr>
        <w:pStyle w:val="79"/>
        <w:pageBreakBefore w:val="0"/>
        <w:widowControl/>
        <w:numPr>
          <w:ilvl w:val="0"/>
          <w:numId w:val="6"/>
        </w:numPr>
        <w:kinsoku/>
        <w:wordWrap/>
        <w:overflowPunct/>
        <w:topLinePunct w:val="0"/>
        <w:bidi w:val="0"/>
        <w:adjustRightInd/>
        <w:snapToGrid/>
        <w:spacing w:line="360" w:lineRule="auto"/>
        <w:ind w:left="0" w:firstLine="420"/>
        <w:rPr>
          <w:rFonts w:hint="eastAsia" w:ascii="宋体" w:hAnsi="宋体" w:eastAsia="宋体" w:cs="宋体"/>
          <w:color w:val="000000" w:themeColor="text1"/>
        </w:rPr>
      </w:pPr>
      <w:r>
        <w:rPr>
          <w:rFonts w:hint="eastAsia" w:ascii="宋体" w:hAnsi="宋体" w:eastAsia="宋体" w:cs="宋体"/>
          <w:color w:val="000000" w:themeColor="text1"/>
        </w:rPr>
        <w:t>按“第四章 磋商评审办法”中的评分标准编制，供应商认为需要提供的其他资料（包括可能影响商务资信技术文件评分的各类证明材料）。</w:t>
      </w:r>
    </w:p>
    <w:p w14:paraId="2A45D152">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color w:val="000000" w:themeColor="text1"/>
          <w:szCs w:val="21"/>
          <w:highlight w:val="none"/>
        </w:rPr>
      </w:pPr>
      <w:r>
        <w:rPr>
          <w:rFonts w:hint="eastAsia" w:ascii="宋体" w:hAnsi="宋体" w:eastAsia="宋体" w:cs="宋体"/>
          <w:b/>
          <w:bCs/>
          <w:color w:val="000000" w:themeColor="text1"/>
          <w:kern w:val="2"/>
          <w:sz w:val="21"/>
          <w:szCs w:val="21"/>
          <w:lang w:val="en-US" w:eastAsia="zh-CN" w:bidi="ar-SA"/>
        </w:rPr>
        <w:t>23.1.3</w:t>
      </w:r>
      <w:r>
        <w:rPr>
          <w:rFonts w:hint="eastAsia" w:ascii="宋体" w:hAnsi="宋体" w:cs="宋体"/>
          <w:b/>
          <w:bCs/>
          <w:color w:val="000000" w:themeColor="text1"/>
          <w:szCs w:val="21"/>
          <w:highlight w:val="none"/>
        </w:rPr>
        <w:t>报价文件的组成；</w:t>
      </w:r>
    </w:p>
    <w:p w14:paraId="5D22B058">
      <w:pPr>
        <w:pStyle w:val="79"/>
        <w:pageBreakBefore w:val="0"/>
        <w:widowControl/>
        <w:numPr>
          <w:ilvl w:val="0"/>
          <w:numId w:val="7"/>
        </w:numPr>
        <w:kinsoku/>
        <w:wordWrap/>
        <w:overflowPunct/>
        <w:topLinePunct w:val="0"/>
        <w:bidi w:val="0"/>
        <w:adjustRightInd/>
        <w:snapToGrid/>
        <w:spacing w:line="360" w:lineRule="auto"/>
        <w:ind w:left="0" w:firstLine="420"/>
        <w:rPr>
          <w:rFonts w:hint="eastAsia" w:ascii="宋体" w:hAnsi="宋体" w:eastAsia="宋体" w:cs="宋体"/>
          <w:color w:val="000000" w:themeColor="text1"/>
        </w:rPr>
      </w:pPr>
      <w:bookmarkStart w:id="69" w:name="_Toc479667356"/>
      <w:bookmarkStart w:id="70" w:name="_Toc479667078"/>
      <w:r>
        <w:rPr>
          <w:rFonts w:hint="eastAsia" w:ascii="宋体" w:hAnsi="宋体" w:eastAsia="宋体" w:cs="宋体"/>
          <w:color w:val="000000" w:themeColor="text1"/>
        </w:rPr>
        <w:t>目录</w:t>
      </w:r>
    </w:p>
    <w:p w14:paraId="57D578D6">
      <w:pPr>
        <w:pStyle w:val="79"/>
        <w:pageBreakBefore w:val="0"/>
        <w:widowControl/>
        <w:numPr>
          <w:ilvl w:val="0"/>
          <w:numId w:val="7"/>
        </w:numPr>
        <w:kinsoku/>
        <w:wordWrap/>
        <w:overflowPunct/>
        <w:topLinePunct w:val="0"/>
        <w:bidi w:val="0"/>
        <w:adjustRightInd/>
        <w:snapToGrid/>
        <w:spacing w:line="360" w:lineRule="auto"/>
        <w:ind w:left="0" w:firstLine="420"/>
        <w:rPr>
          <w:rFonts w:hint="eastAsia" w:ascii="宋体" w:hAnsi="宋体" w:eastAsia="宋体" w:cs="宋体"/>
          <w:color w:val="000000" w:themeColor="text1"/>
        </w:rPr>
      </w:pPr>
      <w:r>
        <w:rPr>
          <w:rFonts w:hint="eastAsia" w:ascii="宋体" w:hAnsi="宋体" w:eastAsia="宋体" w:cs="宋体"/>
          <w:color w:val="000000" w:themeColor="text1"/>
        </w:rPr>
        <w:t>报价一览表（见附件格式）</w:t>
      </w:r>
      <w:r>
        <w:rPr>
          <w:rFonts w:hint="eastAsia" w:ascii="宋体" w:hAnsi="宋体" w:cs="宋体"/>
          <w:color w:val="000000" w:themeColor="text1"/>
          <w:lang w:eastAsia="zh-CN"/>
        </w:rPr>
        <w:t>；</w:t>
      </w:r>
    </w:p>
    <w:p w14:paraId="1695E1C2">
      <w:pPr>
        <w:pStyle w:val="79"/>
        <w:pageBreakBefore w:val="0"/>
        <w:widowControl/>
        <w:numPr>
          <w:ilvl w:val="0"/>
          <w:numId w:val="7"/>
        </w:numPr>
        <w:kinsoku/>
        <w:wordWrap/>
        <w:overflowPunct/>
        <w:topLinePunct w:val="0"/>
        <w:bidi w:val="0"/>
        <w:adjustRightInd/>
        <w:snapToGrid/>
        <w:spacing w:line="360" w:lineRule="auto"/>
        <w:ind w:left="0" w:firstLine="420"/>
        <w:rPr>
          <w:rFonts w:hint="eastAsia" w:ascii="宋体" w:hAnsi="宋体" w:eastAsia="宋体" w:cs="宋体"/>
        </w:rPr>
      </w:pPr>
      <w:r>
        <w:rPr>
          <w:rFonts w:hint="eastAsia" w:ascii="宋体" w:hAnsi="宋体" w:cs="宋体"/>
          <w:color w:val="000000" w:themeColor="text1"/>
          <w:highlight w:val="none"/>
        </w:rPr>
        <w:t>报价明细表及附录（见附件格式）</w:t>
      </w:r>
      <w:r>
        <w:rPr>
          <w:rFonts w:hint="eastAsia" w:ascii="宋体" w:hAnsi="宋体" w:cs="宋体"/>
          <w:color w:val="000000" w:themeColor="text1"/>
          <w:highlight w:val="none"/>
          <w:lang w:eastAsia="zh-CN"/>
        </w:rPr>
        <w:t>；</w:t>
      </w:r>
    </w:p>
    <w:p w14:paraId="7857892A">
      <w:pPr>
        <w:pStyle w:val="79"/>
        <w:pageBreakBefore w:val="0"/>
        <w:widowControl/>
        <w:numPr>
          <w:ilvl w:val="0"/>
          <w:numId w:val="7"/>
        </w:numPr>
        <w:kinsoku/>
        <w:wordWrap/>
        <w:overflowPunct/>
        <w:topLinePunct w:val="0"/>
        <w:bidi w:val="0"/>
        <w:adjustRightInd/>
        <w:snapToGrid/>
        <w:spacing w:line="360" w:lineRule="auto"/>
        <w:ind w:left="0" w:firstLine="420"/>
        <w:rPr>
          <w:rFonts w:hint="eastAsia" w:ascii="宋体" w:hAnsi="宋体" w:eastAsia="宋体" w:cs="宋体"/>
        </w:rPr>
      </w:pPr>
      <w:r>
        <w:rPr>
          <w:rFonts w:hint="eastAsia" w:ascii="宋体" w:hAnsi="宋体" w:eastAsia="宋体" w:cs="宋体"/>
        </w:rPr>
        <w:t>供应商针对报价需要说明的其他文件和说明。</w:t>
      </w:r>
    </w:p>
    <w:p w14:paraId="784E19B3">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24.</w:t>
      </w:r>
      <w:r>
        <w:rPr>
          <w:rFonts w:hint="eastAsia" w:ascii="宋体" w:hAnsi="宋体" w:cs="宋体"/>
          <w:b/>
          <w:szCs w:val="21"/>
          <w:highlight w:val="none"/>
        </w:rPr>
        <w:t>响应文件的编制</w:t>
      </w:r>
    </w:p>
    <w:p w14:paraId="4760AB93">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24.1</w:t>
      </w:r>
      <w:r>
        <w:rPr>
          <w:rFonts w:hint="eastAsia" w:ascii="宋体" w:hAnsi="宋体" w:cs="宋体"/>
          <w:b/>
          <w:bCs/>
          <w:szCs w:val="21"/>
          <w:highlight w:val="none"/>
        </w:rPr>
        <w:t>内容编制</w:t>
      </w:r>
    </w:p>
    <w:p w14:paraId="492AAE0C">
      <w:pPr>
        <w:pStyle w:val="113"/>
        <w:pageBreakBefore w:val="0"/>
        <w:numPr>
          <w:ilvl w:val="0"/>
          <w:numId w:val="8"/>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响应文件应按照本章23.1.1、23.1.2、23.1.3款中规定的顺序及采用“第六章 响应文件格式”中提供的格式进行编制。</w:t>
      </w:r>
    </w:p>
    <w:p w14:paraId="3EF51A9C">
      <w:pPr>
        <w:pStyle w:val="113"/>
        <w:pageBreakBefore w:val="0"/>
        <w:numPr>
          <w:ilvl w:val="0"/>
          <w:numId w:val="8"/>
        </w:numPr>
        <w:tabs>
          <w:tab w:val="left" w:pos="0"/>
          <w:tab w:val="left" w:pos="420"/>
        </w:tabs>
        <w:kinsoku/>
        <w:wordWrap/>
        <w:overflowPunct/>
        <w:topLinePunct w:val="0"/>
        <w:autoSpaceDE w:val="0"/>
        <w:autoSpaceDN w:val="0"/>
        <w:bidi w:val="0"/>
        <w:adjustRightInd/>
        <w:snapToGrid/>
        <w:spacing w:line="360" w:lineRule="auto"/>
        <w:ind w:firstLine="422"/>
        <w:textAlignment w:val="bottom"/>
        <w:outlineLvl w:val="2"/>
        <w:rPr>
          <w:rFonts w:hint="eastAsia" w:ascii="宋体" w:hAnsi="宋体" w:cs="宋体"/>
          <w:b/>
          <w:bCs/>
          <w:szCs w:val="21"/>
          <w:highlight w:val="none"/>
          <w:u w:val="single"/>
        </w:rPr>
      </w:pPr>
      <w:r>
        <w:rPr>
          <w:rFonts w:hint="eastAsia" w:ascii="宋体" w:hAnsi="宋体" w:cs="宋体"/>
          <w:b/>
          <w:bCs/>
          <w:szCs w:val="21"/>
          <w:highlight w:val="none"/>
          <w:u w:val="single"/>
        </w:rPr>
        <w:t xml:space="preserve">响应文件的资格文件、报价文件、商务技术文件必须分别编制，若有多个标项的，各标项的响应文件还必须单独编制。 </w:t>
      </w:r>
    </w:p>
    <w:p w14:paraId="7CD63AA4">
      <w:pPr>
        <w:pageBreakBefore w:val="0"/>
        <w:kinsoku/>
        <w:wordWrap/>
        <w:overflowPunct/>
        <w:topLinePunct w:val="0"/>
        <w:bidi w:val="0"/>
        <w:adjustRightInd/>
        <w:snapToGrid/>
        <w:spacing w:line="360" w:lineRule="auto"/>
        <w:ind w:firstLine="422" w:firstLineChars="200"/>
        <w:jc w:val="left"/>
        <w:rPr>
          <w:rFonts w:hint="eastAsia" w:ascii="宋体" w:hAnsi="宋体" w:cs="宋体"/>
          <w:b/>
          <w:bCs/>
          <w:color w:val="0070C0"/>
          <w:szCs w:val="21"/>
          <w:highlight w:val="none"/>
        </w:rPr>
      </w:pPr>
      <w:r>
        <w:rPr>
          <w:rFonts w:hint="eastAsia" w:ascii="宋体" w:hAnsi="宋体" w:cs="宋体"/>
          <w:b/>
          <w:bCs/>
          <w:color w:val="0070C0"/>
          <w:szCs w:val="21"/>
          <w:highlight w:val="none"/>
          <w:u w:val="single"/>
        </w:rPr>
        <w:t>【注：若供应商同时参加多个标项磋商的，需要提供多个标项的响应文件；若供应商只选择其中任一标项的，仅需提供该标项的响应文件即可。】</w:t>
      </w:r>
    </w:p>
    <w:p w14:paraId="0FE6AE98">
      <w:pPr>
        <w:pStyle w:val="113"/>
        <w:pageBreakBefore w:val="0"/>
        <w:numPr>
          <w:ilvl w:val="0"/>
          <w:numId w:val="8"/>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 xml:space="preserve">响应文件应当对采购文件规定的内容进行对应明确说明，对采购文件规定的实质性内容应当作出响应。 </w:t>
      </w:r>
    </w:p>
    <w:p w14:paraId="36A9DA80">
      <w:pPr>
        <w:pStyle w:val="113"/>
        <w:pageBreakBefore w:val="0"/>
        <w:numPr>
          <w:ilvl w:val="0"/>
          <w:numId w:val="8"/>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采购人如对采购文件有澄清或修改，供应商应按澄清或修改内容对响应文件进行补充或者修改，补充和修改时如已提交了响应文件的，应当先行撤回原文件，补充、修改后重新提交。</w:t>
      </w:r>
    </w:p>
    <w:p w14:paraId="528A1C07">
      <w:pPr>
        <w:pStyle w:val="113"/>
        <w:pageBreakBefore w:val="0"/>
        <w:numPr>
          <w:ilvl w:val="0"/>
          <w:numId w:val="8"/>
        </w:numPr>
        <w:tabs>
          <w:tab w:val="left" w:pos="0"/>
          <w:tab w:val="left" w:pos="420"/>
        </w:tabs>
        <w:kinsoku/>
        <w:wordWrap/>
        <w:overflowPunct/>
        <w:topLinePunct w:val="0"/>
        <w:autoSpaceDE w:val="0"/>
        <w:autoSpaceDN w:val="0"/>
        <w:bidi w:val="0"/>
        <w:adjustRightInd/>
        <w:snapToGrid/>
        <w:spacing w:line="360" w:lineRule="auto"/>
        <w:textAlignment w:val="bottom"/>
        <w:outlineLvl w:val="2"/>
        <w:rPr>
          <w:rFonts w:hint="eastAsia" w:ascii="宋体" w:hAnsi="宋体" w:cs="宋体"/>
          <w:szCs w:val="21"/>
          <w:highlight w:val="none"/>
        </w:rPr>
      </w:pPr>
      <w:r>
        <w:rPr>
          <w:rFonts w:hint="eastAsia" w:ascii="宋体" w:hAnsi="宋体" w:cs="宋体"/>
          <w:szCs w:val="21"/>
          <w:highlight w:val="none"/>
        </w:rPr>
        <w:t>由于字迹模糊或表达不清或响应文件内容不完整、编排混乱导致响应文件被误读、漏读或者查找不到相关内容的责任由供应商自行承担。</w:t>
      </w:r>
    </w:p>
    <w:p w14:paraId="0AA78945">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25.</w:t>
      </w:r>
      <w:r>
        <w:rPr>
          <w:rFonts w:hint="eastAsia" w:ascii="宋体" w:hAnsi="宋体" w:cs="宋体"/>
          <w:b/>
          <w:szCs w:val="21"/>
          <w:highlight w:val="none"/>
        </w:rPr>
        <w:t>▲磋商报价</w:t>
      </w:r>
      <w:bookmarkEnd w:id="69"/>
      <w:bookmarkEnd w:id="70"/>
    </w:p>
    <w:p w14:paraId="703C7120">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25.1</w:t>
      </w:r>
      <w:r>
        <w:rPr>
          <w:rFonts w:hint="eastAsia" w:ascii="宋体" w:hAnsi="宋体" w:cs="宋体"/>
          <w:b/>
          <w:bCs/>
          <w:szCs w:val="21"/>
          <w:highlight w:val="none"/>
        </w:rPr>
        <w:t>磋商报价要求：</w:t>
      </w:r>
    </w:p>
    <w:p w14:paraId="7AE844D5">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25.1.1</w:t>
      </w:r>
      <w:r>
        <w:rPr>
          <w:rFonts w:hint="eastAsia" w:ascii="宋体" w:hAnsi="宋体" w:cs="宋体"/>
          <w:szCs w:val="21"/>
          <w:highlight w:val="none"/>
        </w:rPr>
        <w:t>磋商供应商应考虑企业自身实力、经验及项目实施过程中的各种因素，根据采购要求，详细说明所能提供的各项具体服务内容，自主确定报价。</w:t>
      </w:r>
    </w:p>
    <w:p w14:paraId="4E722C57">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25.1.2</w:t>
      </w:r>
      <w:r>
        <w:rPr>
          <w:rFonts w:hint="eastAsia" w:ascii="宋体" w:hAnsi="宋体" w:cs="宋体"/>
          <w:szCs w:val="21"/>
          <w:highlight w:val="none"/>
        </w:rPr>
        <w:t>报价应是采购文件所确定的采购范围内全部工作内容的价格表现。磋商供应商对合同内容的费用、质量、安全、技术服务等实行全面承包。</w:t>
      </w:r>
    </w:p>
    <w:p w14:paraId="438882B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25.2</w:t>
      </w:r>
      <w:r>
        <w:rPr>
          <w:rFonts w:hint="eastAsia" w:ascii="宋体" w:hAnsi="宋体" w:cs="宋体"/>
          <w:b/>
          <w:bCs/>
          <w:szCs w:val="21"/>
          <w:highlight w:val="none"/>
        </w:rPr>
        <w:t>报价表格要求</w:t>
      </w:r>
    </w:p>
    <w:p w14:paraId="43E82856">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25.2.1</w:t>
      </w:r>
      <w:r>
        <w:rPr>
          <w:rFonts w:hint="eastAsia" w:ascii="宋体" w:hAnsi="宋体" w:cs="宋体"/>
          <w:szCs w:val="21"/>
          <w:highlight w:val="none"/>
        </w:rPr>
        <w:t>投标报价应按照采购文件中相关附表格式填写。</w:t>
      </w:r>
    </w:p>
    <w:p w14:paraId="375AA872">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25.2.2</w:t>
      </w:r>
      <w:r>
        <w:rPr>
          <w:rFonts w:hint="eastAsia" w:ascii="宋体" w:hAnsi="宋体" w:cs="宋体"/>
          <w:szCs w:val="21"/>
          <w:highlight w:val="none"/>
        </w:rPr>
        <w:t>供应商要按磋商项目内容和要求，就本项目报价按报价表的内容填写规范填写，并由法定代表人或授权代理人签署，未经采购单位书面同意，不得随意更改序号、名称、单位、数量，否则有可能被视为无效竞标。</w:t>
      </w:r>
    </w:p>
    <w:p w14:paraId="1D2F9C1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25.3</w:t>
      </w:r>
      <w:r>
        <w:rPr>
          <w:rFonts w:hint="eastAsia" w:ascii="宋体" w:hAnsi="宋体" w:cs="宋体"/>
          <w:b/>
          <w:bCs/>
          <w:szCs w:val="21"/>
          <w:highlight w:val="none"/>
        </w:rPr>
        <w:t>报价方式</w:t>
      </w:r>
    </w:p>
    <w:p w14:paraId="2B8843BB">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25.3.1</w:t>
      </w:r>
      <w:r>
        <w:rPr>
          <w:rFonts w:hint="eastAsia" w:ascii="宋体" w:hAnsi="宋体" w:cs="宋体"/>
          <w:szCs w:val="21"/>
          <w:highlight w:val="none"/>
        </w:rPr>
        <w:t>本项目报价即为完成项目实施所需要的全部费用。</w:t>
      </w:r>
    </w:p>
    <w:p w14:paraId="47D0318A">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25.3.2</w:t>
      </w:r>
      <w:r>
        <w:rPr>
          <w:rFonts w:hint="eastAsia" w:ascii="宋体" w:hAnsi="宋体" w:cs="宋体"/>
          <w:szCs w:val="21"/>
          <w:highlight w:val="none"/>
        </w:rPr>
        <w:t>本项目设有最高限价详见</w:t>
      </w:r>
      <w:r>
        <w:rPr>
          <w:rFonts w:hint="eastAsia" w:ascii="宋体" w:hAnsi="宋体" w:cs="宋体"/>
          <w:szCs w:val="21"/>
          <w:highlight w:val="none"/>
          <w:u w:val="single"/>
        </w:rPr>
        <w:t>“磋商须知前附表”</w:t>
      </w:r>
      <w:r>
        <w:rPr>
          <w:rFonts w:hint="eastAsia" w:ascii="宋体" w:hAnsi="宋体" w:cs="宋体"/>
          <w:szCs w:val="21"/>
          <w:highlight w:val="none"/>
        </w:rPr>
        <w:t>，如供应商的投标报价超过最高限价，其响应文件作无效标处理。</w:t>
      </w:r>
    </w:p>
    <w:p w14:paraId="37E0F4C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bCs/>
          <w:szCs w:val="21"/>
          <w:highlight w:val="none"/>
        </w:rPr>
      </w:pPr>
      <w:r>
        <w:rPr>
          <w:rFonts w:hint="eastAsia" w:ascii="宋体" w:hAnsi="宋体" w:eastAsia="宋体" w:cs="宋体"/>
          <w:b/>
          <w:bCs/>
          <w:kern w:val="2"/>
          <w:sz w:val="21"/>
          <w:szCs w:val="21"/>
          <w:lang w:val="en-US" w:eastAsia="zh-CN" w:bidi="ar-SA"/>
        </w:rPr>
        <w:t>25.4</w:t>
      </w:r>
      <w:r>
        <w:rPr>
          <w:rFonts w:hint="eastAsia" w:ascii="宋体" w:hAnsi="宋体" w:cs="宋体"/>
          <w:b/>
          <w:bCs/>
          <w:szCs w:val="21"/>
          <w:highlight w:val="none"/>
        </w:rPr>
        <w:t>磋商报价</w:t>
      </w:r>
    </w:p>
    <w:p w14:paraId="6BF70C07">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25.4.1</w:t>
      </w:r>
      <w:r>
        <w:rPr>
          <w:rFonts w:hint="eastAsia" w:ascii="宋体" w:hAnsi="宋体" w:cs="宋体"/>
          <w:szCs w:val="21"/>
          <w:highlight w:val="none"/>
        </w:rPr>
        <w:t>磋商报价分二次进行，首次报价在响应文件中体现；最终报价在本项目磋商结束后由所有有效的磋商供应商在规定的时间时限内（最终报价时间时限根据评审情况另行通知）在平台上进行最终报价，同时将最终报价一览表、已标价工程量清单填写好并加盖单位公章扫描成电子扫描件作为附件上传至</w:t>
      </w:r>
      <w:r>
        <w:rPr>
          <w:rFonts w:hint="eastAsia" w:ascii="宋体" w:hAnsi="宋体" w:cs="宋体"/>
          <w:szCs w:val="21"/>
          <w:highlight w:val="none"/>
          <w:lang w:val="en-US" w:eastAsia="zh-CN"/>
        </w:rPr>
        <w:t>乐</w:t>
      </w:r>
      <w:r>
        <w:rPr>
          <w:rFonts w:hint="eastAsia" w:ascii="宋体" w:hAnsi="宋体" w:cs="宋体"/>
          <w:szCs w:val="21"/>
          <w:highlight w:val="none"/>
        </w:rPr>
        <w:t>采云或加密发送至邮箱</w:t>
      </w:r>
      <w:r>
        <w:rPr>
          <w:rFonts w:hint="eastAsia" w:ascii="宋体" w:hAnsi="宋体" w:cs="宋体"/>
          <w:szCs w:val="21"/>
          <w:highlight w:val="none"/>
          <w:lang w:val="en-US" w:eastAsia="zh-CN"/>
        </w:rPr>
        <w:t>2231993302</w:t>
      </w:r>
      <w:r>
        <w:rPr>
          <w:rFonts w:hint="eastAsia" w:ascii="宋体" w:hAnsi="宋体" w:cs="宋体"/>
          <w:szCs w:val="21"/>
          <w:highlight w:val="none"/>
        </w:rPr>
        <w:t xml:space="preserve">@qq.com。附件未在规定时间内上传或发送则投标无效，附件发送至邮箱未加密造成泄密的由投标人自行承担。最终报价不得高于初次报价，否则将导致无效标（磋商文件的采购需求发生实质性变动的情况除外）。 </w:t>
      </w:r>
    </w:p>
    <w:p w14:paraId="3EE96A63">
      <w:pPr>
        <w:pStyle w:val="113"/>
        <w:pageBreakBefore w:val="0"/>
        <w:numPr>
          <w:ilvl w:val="2"/>
          <w:numId w:val="0"/>
        </w:numPr>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25.4.2</w:t>
      </w:r>
      <w:r>
        <w:rPr>
          <w:rFonts w:hint="eastAsia" w:ascii="宋体" w:hAnsi="宋体" w:cs="宋体"/>
          <w:szCs w:val="21"/>
          <w:highlight w:val="none"/>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14:paraId="1C91952F">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26.</w:t>
      </w:r>
      <w:r>
        <w:rPr>
          <w:rFonts w:hint="eastAsia" w:ascii="宋体" w:hAnsi="宋体" w:cs="宋体"/>
          <w:b/>
          <w:szCs w:val="21"/>
          <w:highlight w:val="none"/>
        </w:rPr>
        <w:t>磋商保证金</w:t>
      </w:r>
    </w:p>
    <w:p w14:paraId="7E8244E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26.1</w:t>
      </w:r>
      <w:r>
        <w:rPr>
          <w:rFonts w:hint="eastAsia" w:ascii="宋体" w:hAnsi="宋体" w:cs="宋体"/>
          <w:szCs w:val="21"/>
          <w:highlight w:val="none"/>
        </w:rPr>
        <w:t>本项目磋商保证金的金额、递交方式、截止时间：</w:t>
      </w:r>
      <w:r>
        <w:rPr>
          <w:rFonts w:hint="eastAsia" w:ascii="宋体" w:hAnsi="宋体" w:cs="宋体"/>
          <w:b/>
          <w:bCs/>
          <w:szCs w:val="21"/>
          <w:highlight w:val="none"/>
          <w:u w:val="single"/>
        </w:rPr>
        <w:t>详见“</w:t>
      </w:r>
      <w:r>
        <w:rPr>
          <w:rFonts w:hint="eastAsia" w:ascii="宋体" w:hAnsi="宋体" w:cs="宋体"/>
          <w:b/>
          <w:bCs/>
          <w:szCs w:val="21"/>
          <w:highlight w:val="none"/>
          <w:u w:val="single"/>
          <w:lang w:val="en-US" w:eastAsia="zh-CN"/>
        </w:rPr>
        <w:t>招标公告</w:t>
      </w:r>
      <w:r>
        <w:rPr>
          <w:rFonts w:hint="eastAsia" w:ascii="宋体" w:hAnsi="宋体" w:cs="宋体"/>
          <w:b/>
          <w:bCs/>
          <w:szCs w:val="21"/>
          <w:highlight w:val="none"/>
          <w:u w:val="single"/>
        </w:rPr>
        <w:t>”</w:t>
      </w:r>
      <w:r>
        <w:rPr>
          <w:rFonts w:hint="eastAsia" w:ascii="宋体" w:hAnsi="宋体" w:cs="宋体"/>
          <w:szCs w:val="21"/>
          <w:highlight w:val="none"/>
        </w:rPr>
        <w:t>。</w:t>
      </w:r>
    </w:p>
    <w:p w14:paraId="29F5CB3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26.2</w:t>
      </w:r>
      <w:r>
        <w:rPr>
          <w:rFonts w:hint="eastAsia" w:ascii="宋体" w:hAnsi="宋体" w:cs="宋体"/>
          <w:szCs w:val="21"/>
          <w:highlight w:val="none"/>
        </w:rPr>
        <w:t>中标供应商的磋商保证金在采购合同签订之日起5个工作日内无息退还，未中标供应商的磋商保证金将在中标通知书发出之日起5个工作日内无息退还。如发生质疑（投诉），质疑人（投诉人）和被质疑（投诉）事项所涉及供应商的磋商保证金不受以上时间限制，在质疑（投诉）处理完毕后退还。</w:t>
      </w:r>
    </w:p>
    <w:p w14:paraId="5705DB47">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26.3</w:t>
      </w:r>
      <w:r>
        <w:rPr>
          <w:rFonts w:hint="eastAsia" w:ascii="宋体" w:hAnsi="宋体" w:cs="宋体"/>
          <w:szCs w:val="21"/>
          <w:highlight w:val="none"/>
        </w:rPr>
        <w:t>发生下列情况之一，磋商保证金将不予退还：</w:t>
      </w:r>
    </w:p>
    <w:p w14:paraId="62718914">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（1）投标人在投标有效期内撤回投标文件或放弃中标资格的；</w:t>
      </w:r>
    </w:p>
    <w:p w14:paraId="76D63ADC">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ascii="宋体" w:hAnsi="宋体" w:cs="宋体"/>
          <w:kern w:val="0"/>
          <w:szCs w:val="21"/>
          <w:highlight w:val="none"/>
        </w:rPr>
        <w:t>投标人在投标过程中弄虚作假，提供虚假材料</w:t>
      </w:r>
      <w:r>
        <w:rPr>
          <w:rFonts w:hint="eastAsia" w:ascii="宋体" w:hAnsi="宋体" w:cs="宋体"/>
          <w:kern w:val="0"/>
          <w:szCs w:val="21"/>
          <w:highlight w:val="none"/>
        </w:rPr>
        <w:t>的</w:t>
      </w:r>
      <w:r>
        <w:rPr>
          <w:rFonts w:ascii="宋体" w:hAnsi="宋体" w:cs="宋体"/>
          <w:kern w:val="0"/>
          <w:szCs w:val="21"/>
          <w:highlight w:val="none"/>
        </w:rPr>
        <w:t>；</w:t>
      </w:r>
    </w:p>
    <w:p w14:paraId="139EFE51">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（3）中标供应商拒绝与采购人签订合同的；</w:t>
      </w:r>
    </w:p>
    <w:p w14:paraId="185FE46C">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（4）将中标项目转让给他人，或者在投标文件中未说明且未经采购人同意，将中标项目分包给他人的；</w:t>
      </w:r>
    </w:p>
    <w:p w14:paraId="0733F22C">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（5）拒绝履行合同义务的；</w:t>
      </w:r>
    </w:p>
    <w:p w14:paraId="469D8A6E">
      <w:pPr>
        <w:pageBreakBefore w:val="0"/>
        <w:kinsoku/>
        <w:wordWrap/>
        <w:overflowPunct/>
        <w:topLinePunct w:val="0"/>
        <w:bidi w:val="0"/>
        <w:adjustRightInd/>
        <w:snapToGrid/>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（6）其他严重扰乱招投标程序的；</w:t>
      </w:r>
    </w:p>
    <w:p w14:paraId="1BCA5B02">
      <w:pPr>
        <w:pageBreakBefore w:val="0"/>
        <w:kinsoku/>
        <w:wordWrap/>
        <w:overflowPunct/>
        <w:topLinePunct w:val="0"/>
        <w:bidi w:val="0"/>
        <w:adjustRightInd/>
        <w:snapToGrid/>
        <w:spacing w:line="360" w:lineRule="auto"/>
        <w:ind w:firstLine="420" w:firstLineChars="200"/>
        <w:rPr>
          <w:rFonts w:hint="eastAsia" w:ascii="宋体" w:hAnsi="宋体" w:cs="宋体"/>
          <w:szCs w:val="21"/>
          <w:highlight w:val="none"/>
        </w:rPr>
      </w:pPr>
      <w:r>
        <w:rPr>
          <w:rFonts w:hint="eastAsia" w:ascii="宋体" w:hAnsi="宋体" w:cs="宋体"/>
          <w:kern w:val="0"/>
          <w:szCs w:val="21"/>
          <w:highlight w:val="none"/>
        </w:rPr>
        <w:t>（7）法律、法规明确规定的其他行为。</w:t>
      </w:r>
    </w:p>
    <w:p w14:paraId="7BB2F93D">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27.</w:t>
      </w:r>
      <w:r>
        <w:rPr>
          <w:rFonts w:hint="eastAsia" w:ascii="宋体" w:hAnsi="宋体" w:cs="宋体"/>
          <w:b/>
          <w:szCs w:val="21"/>
          <w:highlight w:val="none"/>
        </w:rPr>
        <w:t>响应文件的有效期</w:t>
      </w:r>
    </w:p>
    <w:p w14:paraId="41E0BA56">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05A6E6F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203EE996">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3、磋商供应商可拒绝接受延期要求。同意延长有效期的磋商不能修改磋商响应文件。 </w:t>
      </w:r>
    </w:p>
    <w:p w14:paraId="2E216B12">
      <w:pPr>
        <w:pStyle w:val="113"/>
        <w:pageBreakBefore w:val="0"/>
        <w:numPr>
          <w:ilvl w:val="0"/>
          <w:numId w:val="0"/>
        </w:numPr>
        <w:tabs>
          <w:tab w:val="left" w:pos="0"/>
          <w:tab w:val="left" w:pos="420"/>
        </w:tabs>
        <w:kinsoku/>
        <w:wordWrap/>
        <w:overflowPunct/>
        <w:topLinePunct w:val="0"/>
        <w:autoSpaceDE w:val="0"/>
        <w:autoSpaceDN w:val="0"/>
        <w:bidi w:val="0"/>
        <w:adjustRightInd/>
        <w:snapToGrid/>
        <w:spacing w:line="360" w:lineRule="auto"/>
        <w:ind w:leftChars="200"/>
        <w:textAlignment w:val="bottom"/>
        <w:outlineLvl w:val="2"/>
        <w:rPr>
          <w:rFonts w:hint="eastAsia" w:ascii="宋体" w:hAnsi="宋体" w:cs="宋体"/>
          <w:szCs w:val="21"/>
          <w:highlight w:val="none"/>
        </w:rPr>
      </w:pPr>
      <w:r>
        <w:rPr>
          <w:rFonts w:hint="eastAsia" w:ascii="宋体" w:hAnsi="宋体"/>
          <w:sz w:val="21"/>
        </w:rPr>
        <w:t>4、成交供应商的磋商响应文件自磋商之日起至合同履行完毕均应保持有效。</w:t>
      </w:r>
    </w:p>
    <w:p w14:paraId="364C397C">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bookmarkStart w:id="71" w:name="_Toc479667359"/>
      <w:bookmarkStart w:id="72" w:name="_Toc482195577"/>
      <w:bookmarkStart w:id="73" w:name="_Toc479667081"/>
      <w:r>
        <w:rPr>
          <w:rFonts w:hint="eastAsia" w:ascii="宋体" w:hAnsi="宋体" w:eastAsia="宋体" w:cs="宋体"/>
          <w:b/>
          <w:kern w:val="2"/>
          <w:sz w:val="21"/>
          <w:szCs w:val="21"/>
          <w:lang w:val="en-US" w:eastAsia="zh-CN" w:bidi="ar-SA"/>
        </w:rPr>
        <w:t>28.</w:t>
      </w:r>
      <w:r>
        <w:rPr>
          <w:rFonts w:hint="eastAsia" w:ascii="宋体" w:hAnsi="宋体" w:cs="宋体"/>
          <w:b/>
          <w:szCs w:val="21"/>
          <w:highlight w:val="none"/>
        </w:rPr>
        <w:t>响应</w:t>
      </w:r>
      <w:bookmarkEnd w:id="71"/>
      <w:bookmarkEnd w:id="72"/>
      <w:bookmarkEnd w:id="73"/>
      <w:r>
        <w:rPr>
          <w:b/>
        </w:rPr>
        <w:t>文件的</w:t>
      </w:r>
      <w:r>
        <w:rPr>
          <w:rFonts w:hint="eastAsia"/>
          <w:b/>
        </w:rPr>
        <w:t>制作、封装及提交要求</w:t>
      </w:r>
    </w:p>
    <w:p w14:paraId="56A2BAC7">
      <w:pPr>
        <w:pStyle w:val="104"/>
        <w:tabs>
          <w:tab w:val="left" w:pos="0"/>
          <w:tab w:val="left" w:pos="420"/>
        </w:tabs>
        <w:autoSpaceDE w:val="0"/>
        <w:autoSpaceDN w:val="0"/>
        <w:spacing w:line="360" w:lineRule="auto"/>
        <w:textAlignment w:val="bottom"/>
        <w:outlineLvl w:val="2"/>
        <w:rPr>
          <w:rFonts w:hint="eastAsia" w:ascii="宋体" w:hAnsi="宋体" w:cs="宋体"/>
          <w:szCs w:val="21"/>
        </w:rPr>
      </w:pPr>
      <w:r>
        <w:rPr>
          <w:rFonts w:ascii="宋体" w:hAnsi="宋体"/>
          <w:szCs w:val="21"/>
        </w:rPr>
        <w:t>（1）</w:t>
      </w:r>
      <w:r>
        <w:rPr>
          <w:rFonts w:hint="eastAsia" w:ascii="宋体" w:hAnsi="宋体" w:cs="宋体"/>
          <w:szCs w:val="21"/>
        </w:rPr>
        <w:t>投标文件应按照按照投标文件组成内容及项目采购需求和乐采云平台要求制作投标文件，不按采购文件要求和乐采云平台要求制作投标文件的将视情处理（拒收、扣分等），由此产生的责任由投标人自行承担。</w:t>
      </w:r>
    </w:p>
    <w:p w14:paraId="7B0EA7FB">
      <w:pPr>
        <w:snapToGrid w:val="0"/>
        <w:spacing w:line="360" w:lineRule="auto"/>
        <w:ind w:firstLine="630" w:firstLineChars="300"/>
        <w:rPr>
          <w:rFonts w:hint="eastAsia" w:ascii="宋体" w:hAnsi="宋体" w:cs="宋体"/>
          <w:szCs w:val="21"/>
        </w:rPr>
      </w:pPr>
      <w:r>
        <w:rPr>
          <w:rFonts w:hint="eastAsia" w:ascii="宋体" w:hAnsi="宋体" w:cs="宋体"/>
          <w:szCs w:val="21"/>
        </w:rPr>
        <w:t>电子投标文件部分：投标人应根据“供应商-政府采购项目电子交易操作指南”及本招标文件规定的格式和顺序编制电子投标文件并进行关联定位。</w:t>
      </w:r>
    </w:p>
    <w:p w14:paraId="712E4BEB">
      <w:pPr>
        <w:snapToGrid w:val="0"/>
        <w:spacing w:line="360" w:lineRule="auto"/>
        <w:ind w:firstLine="420" w:firstLineChars="200"/>
        <w:rPr>
          <w:rFonts w:hint="eastAsia" w:ascii="宋体" w:hAnsi="宋体" w:cs="宋体"/>
          <w:szCs w:val="21"/>
        </w:rPr>
      </w:pPr>
      <w:r>
        <w:rPr>
          <w:rFonts w:hint="eastAsia" w:ascii="宋体" w:hAnsi="宋体" w:cs="宋体"/>
          <w:szCs w:val="21"/>
        </w:rPr>
        <w:t>备份投标文件应与乐采云平台上传的电子加密投标文件一致。</w:t>
      </w:r>
    </w:p>
    <w:p w14:paraId="1A05BBD0">
      <w:pPr>
        <w:autoSpaceDE w:val="0"/>
        <w:autoSpaceDN w:val="0"/>
        <w:adjustRightInd w:val="0"/>
        <w:snapToGrid w:val="0"/>
        <w:spacing w:line="360" w:lineRule="auto"/>
        <w:ind w:firstLine="210" w:firstLineChars="100"/>
        <w:rPr>
          <w:rFonts w:hint="eastAsia" w:ascii="宋体" w:hAnsi="宋体" w:cs="宋体"/>
          <w:szCs w:val="21"/>
          <w:lang w:val="zh-CN"/>
        </w:rPr>
      </w:pPr>
      <w:r>
        <w:rPr>
          <w:rFonts w:hint="eastAsia" w:ascii="宋体" w:hAnsi="宋体" w:cs="宋体"/>
          <w:szCs w:val="21"/>
        </w:rPr>
        <w:t>▲（2）供应商应对所提供的全部资料的真实性承担法律责任，投标文件内容中有要求盖章的地方，必须采用CA签章进行盖章，</w:t>
      </w:r>
      <w:r>
        <w:rPr>
          <w:rFonts w:hint="eastAsia" w:ascii="宋体" w:hAnsi="宋体" w:cs="宋体"/>
          <w:kern w:val="0"/>
          <w:szCs w:val="21"/>
          <w:lang w:val="zh-CN"/>
        </w:rPr>
        <w:t>法定代表人或全权代表的盖章或签字</w:t>
      </w:r>
      <w:r>
        <w:rPr>
          <w:rFonts w:hint="eastAsia" w:ascii="宋体" w:hAnsi="宋体" w:cs="宋体"/>
          <w:szCs w:val="21"/>
        </w:rPr>
        <w:t>必须采用</w:t>
      </w:r>
      <w:r>
        <w:rPr>
          <w:rFonts w:hint="eastAsia" w:ascii="宋体" w:hAnsi="宋体" w:cs="宋体"/>
          <w:kern w:val="0"/>
          <w:szCs w:val="21"/>
          <w:lang w:val="zh-CN"/>
        </w:rPr>
        <w:t>CA电子签章或签字，其中</w:t>
      </w:r>
      <w:r>
        <w:rPr>
          <w:rFonts w:hint="eastAsia" w:ascii="宋体" w:hAnsi="宋体" w:cs="宋体"/>
          <w:szCs w:val="21"/>
        </w:rPr>
        <w:t>所有证书类文件提供的复印件</w:t>
      </w:r>
      <w:r>
        <w:rPr>
          <w:rFonts w:hint="eastAsia" w:ascii="宋体" w:hAnsi="宋体" w:cs="宋体"/>
          <w:kern w:val="0"/>
          <w:szCs w:val="21"/>
        </w:rPr>
        <w:t>必须全部加盖CA电子公章且</w:t>
      </w:r>
      <w:r>
        <w:rPr>
          <w:rFonts w:hint="eastAsia" w:ascii="宋体" w:hAnsi="宋体" w:cs="宋体"/>
          <w:szCs w:val="21"/>
        </w:rPr>
        <w:t>必须在有效期内的。</w:t>
      </w:r>
    </w:p>
    <w:p w14:paraId="6449F89E">
      <w:pPr>
        <w:snapToGrid w:val="0"/>
        <w:spacing w:line="360" w:lineRule="auto"/>
        <w:ind w:firstLine="420" w:firstLineChars="200"/>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w:t>
      </w:r>
      <w:r>
        <w:rPr>
          <w:rFonts w:hint="eastAsia" w:ascii="宋体" w:hAnsi="宋体" w:cs="宋体"/>
          <w:szCs w:val="21"/>
        </w:rPr>
        <w:t>投标文件以及投标人与采购代理机构就有关投标事宜的所有来往函电，均应以中文汉语书写。除签字、盖章、专用名称等特殊情形外，以中文汉语以外的文字表述的投标文件视同未提供。</w:t>
      </w:r>
    </w:p>
    <w:p w14:paraId="69FF0B9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（4）投标计量单位，招标文件已有明确规定的，使用招标文件规定的计量单位；招标文件没有规定的，应采用中华人民共和国法定计量单位（货币单位：人民币元），否则视同未响应。</w:t>
      </w:r>
    </w:p>
    <w:p w14:paraId="6C56D330">
      <w:pPr>
        <w:snapToGrid w:val="0"/>
        <w:spacing w:line="360" w:lineRule="auto"/>
        <w:ind w:firstLine="420" w:firstLineChars="200"/>
        <w:rPr>
          <w:rFonts w:hint="eastAsia" w:ascii="宋体" w:hAnsi="宋体" w:cs="宋体"/>
          <w:szCs w:val="21"/>
        </w:rPr>
      </w:pPr>
      <w:r>
        <w:rPr>
          <w:rFonts w:hint="eastAsia" w:ascii="宋体" w:hAnsi="宋体" w:cs="宋体"/>
          <w:szCs w:val="21"/>
        </w:rPr>
        <w:t>（5）若投标人不按招标文件的要求提供资格审查材料，其风险由投标人自行承担。</w:t>
      </w:r>
    </w:p>
    <w:p w14:paraId="120224EA">
      <w:pPr>
        <w:autoSpaceDE w:val="0"/>
        <w:autoSpaceDN w:val="0"/>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投标文件的份数和签署</w:t>
      </w:r>
    </w:p>
    <w:p w14:paraId="2EDE41FF">
      <w:pPr>
        <w:autoSpaceDE w:val="0"/>
        <w:autoSpaceDN w:val="0"/>
        <w:adjustRightInd w:val="0"/>
        <w:spacing w:line="360" w:lineRule="auto"/>
        <w:ind w:firstLine="480"/>
        <w:rPr>
          <w:rFonts w:hint="eastAsia" w:ascii="宋体" w:hAnsi="宋体" w:cs="宋体"/>
          <w:szCs w:val="21"/>
        </w:rPr>
      </w:pPr>
      <w:r>
        <w:rPr>
          <w:rFonts w:hint="eastAsia" w:ascii="宋体" w:hAnsi="宋体" w:cs="宋体"/>
          <w:szCs w:val="21"/>
        </w:rPr>
        <w:t>（1）</w:t>
      </w:r>
      <w:r>
        <w:rPr>
          <w:rFonts w:hint="eastAsia" w:ascii="宋体" w:hAnsi="宋体" w:cs="宋体"/>
          <w:b/>
          <w:bCs/>
          <w:szCs w:val="21"/>
          <w:lang w:val="zh-CN"/>
        </w:rPr>
        <w:t>电子投标文件一份：</w:t>
      </w:r>
      <w:r>
        <w:rPr>
          <w:rFonts w:hint="eastAsia" w:ascii="宋体" w:hAnsi="宋体" w:cs="宋体"/>
          <w:szCs w:val="21"/>
          <w:lang w:val="zh-CN"/>
        </w:rPr>
        <w:t>通过</w:t>
      </w:r>
      <w:r>
        <w:rPr>
          <w:rFonts w:hint="eastAsia" w:ascii="宋体" w:hAnsi="宋体" w:cs="宋体"/>
          <w:szCs w:val="21"/>
        </w:rPr>
        <w:t>乐采云平台（</w:t>
      </w:r>
      <w:r>
        <w:rPr>
          <w:rFonts w:hint="eastAsia" w:ascii="宋体" w:hAnsi="宋体" w:cs="宋体"/>
          <w:szCs w:val="21"/>
          <w:lang w:val="zh-CN"/>
        </w:rPr>
        <w:t>政采云平台</w:t>
      </w:r>
      <w:r>
        <w:rPr>
          <w:rFonts w:hint="eastAsia" w:ascii="宋体" w:hAnsi="宋体" w:cs="宋体"/>
          <w:szCs w:val="21"/>
        </w:rPr>
        <w:t>）</w:t>
      </w:r>
      <w:r>
        <w:rPr>
          <w:rFonts w:hint="eastAsia" w:ascii="宋体" w:hAnsi="宋体" w:cs="宋体"/>
          <w:szCs w:val="21"/>
          <w:lang w:val="zh-CN"/>
        </w:rPr>
        <w:t>电子投标工具（乐采云或政采云电子投标客户端）生成的，一份为加密标书（用于供应商投标上传）。</w:t>
      </w:r>
    </w:p>
    <w:p w14:paraId="1E79761A">
      <w:pPr>
        <w:autoSpaceDE w:val="0"/>
        <w:autoSpaceDN w:val="0"/>
        <w:adjustRightInd w:val="0"/>
        <w:spacing w:line="360" w:lineRule="auto"/>
        <w:ind w:firstLine="480"/>
        <w:rPr>
          <w:rFonts w:hint="eastAsia" w:ascii="宋体" w:hAnsi="宋体" w:cs="宋体"/>
          <w:szCs w:val="21"/>
        </w:rPr>
      </w:pPr>
      <w:r>
        <w:rPr>
          <w:rFonts w:hint="eastAsia" w:ascii="宋体" w:hAnsi="宋体" w:cs="宋体"/>
          <w:szCs w:val="21"/>
        </w:rPr>
        <w:t>（2）</w:t>
      </w:r>
      <w:r>
        <w:rPr>
          <w:rFonts w:hint="eastAsia" w:ascii="宋体" w:hAnsi="宋体" w:cs="宋体"/>
          <w:b/>
          <w:bCs/>
          <w:szCs w:val="21"/>
          <w:lang w:val="zh-CN"/>
        </w:rPr>
        <w:t>电子备份投标文件：</w:t>
      </w:r>
      <w:r>
        <w:rPr>
          <w:rFonts w:hint="eastAsia" w:ascii="宋体" w:hAnsi="宋体" w:cs="宋体"/>
          <w:szCs w:val="21"/>
          <w:lang w:val="zh-CN"/>
        </w:rPr>
        <w:t>乐采云或政采云平台上最后生成的具备电子签章的备份投标文件，文件名后缀为备份标书四字的首字母）。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cs="宋体"/>
          <w:szCs w:val="21"/>
          <w:lang w:val="zh-CN"/>
        </w:rPr>
        <w:t>供应商自行确定是否提交</w:t>
      </w:r>
      <w:r>
        <w:rPr>
          <w:rFonts w:hint="eastAsia" w:ascii="宋体" w:hAnsi="宋体" w:cs="宋体"/>
          <w:szCs w:val="21"/>
        </w:rPr>
        <w:t>；</w:t>
      </w:r>
      <w:r>
        <w:rPr>
          <w:rFonts w:hint="eastAsia" w:ascii="宋体" w:hAnsi="宋体" w:cs="宋体"/>
          <w:szCs w:val="21"/>
          <w:lang w:val="zh-CN"/>
        </w:rPr>
        <w:t>若提交请将备份投标文件打包压缩加密</w:t>
      </w:r>
      <w:r>
        <w:rPr>
          <w:rFonts w:hint="eastAsia" w:ascii="宋体" w:hAnsi="宋体" w:cs="宋体"/>
          <w:szCs w:val="21"/>
        </w:rPr>
        <w:t>（</w:t>
      </w:r>
      <w:r>
        <w:rPr>
          <w:rFonts w:hint="eastAsia" w:ascii="宋体" w:hAnsi="宋体" w:cs="宋体"/>
          <w:szCs w:val="21"/>
          <w:lang w:val="zh-CN"/>
        </w:rPr>
        <w:t>未加密造成泄密的由供应商自行承担</w:t>
      </w:r>
      <w:r>
        <w:rPr>
          <w:rFonts w:hint="eastAsia" w:ascii="宋体" w:hAnsi="宋体" w:cs="宋体"/>
          <w:szCs w:val="21"/>
        </w:rPr>
        <w:t>）</w:t>
      </w:r>
      <w:r>
        <w:rPr>
          <w:rFonts w:hint="eastAsia" w:ascii="宋体" w:hAnsi="宋体" w:cs="宋体"/>
          <w:szCs w:val="21"/>
          <w:lang w:val="zh-CN"/>
        </w:rPr>
        <w:t>后以电子邮件的形式发送至</w:t>
      </w:r>
      <w:r>
        <w:rPr>
          <w:rFonts w:hint="eastAsia" w:ascii="宋体" w:hAnsi="宋体" w:cs="宋体"/>
          <w:szCs w:val="21"/>
          <w:lang w:eastAsia="zh-CN"/>
        </w:rPr>
        <w:t>2231993302</w:t>
      </w:r>
      <w:r>
        <w:rPr>
          <w:rFonts w:hint="eastAsia" w:ascii="宋体" w:hAnsi="宋体" w:cs="宋体"/>
          <w:szCs w:val="21"/>
        </w:rPr>
        <w:t>@qq.com</w:t>
      </w:r>
      <w:r>
        <w:rPr>
          <w:rFonts w:hint="eastAsia" w:ascii="宋体" w:hAnsi="宋体" w:cs="宋体"/>
          <w:szCs w:val="21"/>
        </w:rPr>
        <w:fldChar w:fldCharType="end"/>
      </w:r>
      <w:r>
        <w:rPr>
          <w:rFonts w:hint="eastAsia" w:ascii="宋体" w:hAnsi="宋体" w:cs="宋体"/>
          <w:szCs w:val="21"/>
          <w:lang w:val="zh-CN"/>
        </w:rPr>
        <w:t>。</w:t>
      </w:r>
    </w:p>
    <w:p w14:paraId="01B2D29B">
      <w:pPr>
        <w:autoSpaceDE w:val="0"/>
        <w:autoSpaceDN w:val="0"/>
        <w:adjustRightInd w:val="0"/>
        <w:spacing w:line="360" w:lineRule="auto"/>
        <w:ind w:firstLine="480"/>
        <w:rPr>
          <w:rFonts w:hint="eastAsia" w:ascii="宋体" w:hAnsi="宋体" w:cs="宋体"/>
          <w:szCs w:val="21"/>
          <w:lang w:val="zh-CN"/>
        </w:rPr>
      </w:pPr>
      <w:r>
        <w:rPr>
          <w:rFonts w:hint="eastAsia" w:ascii="宋体" w:hAnsi="宋体" w:cs="宋体"/>
          <w:szCs w:val="21"/>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7420DEF5">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28.1</w:t>
      </w:r>
      <w:r>
        <w:rPr>
          <w:rFonts w:hint="eastAsia" w:ascii="宋体" w:hAnsi="宋体"/>
          <w:b/>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690D1FBA">
      <w:pPr>
        <w:pStyle w:val="4"/>
        <w:pageBreakBefore w:val="0"/>
        <w:kinsoku/>
        <w:wordWrap/>
        <w:overflowPunct/>
        <w:topLinePunct w:val="0"/>
        <w:bidi w:val="0"/>
        <w:adjustRightInd/>
        <w:snapToGrid/>
        <w:spacing w:before="160" w:beforeLines="50" w:after="160" w:afterLines="50" w:line="360" w:lineRule="auto"/>
        <w:jc w:val="center"/>
        <w:rPr>
          <w:rFonts w:hint="eastAsia" w:ascii="宋体" w:hAnsi="宋体" w:eastAsia="宋体" w:cs="宋体"/>
          <w:sz w:val="24"/>
          <w:szCs w:val="24"/>
          <w:highlight w:val="none"/>
          <w:lang w:eastAsia="zh-CN"/>
        </w:rPr>
      </w:pPr>
      <w:bookmarkStart w:id="74" w:name="_Toc21052"/>
      <w:bookmarkStart w:id="75" w:name="_Toc508888789"/>
      <w:bookmarkStart w:id="76" w:name="_Toc528927417"/>
      <w:bookmarkStart w:id="77" w:name="_Toc25718"/>
      <w:bookmarkStart w:id="78" w:name="_Toc528927418"/>
      <w:bookmarkStart w:id="79" w:name="_Toc508888790"/>
      <w:bookmarkStart w:id="80" w:name="_Toc21425"/>
    </w:p>
    <w:p w14:paraId="700EC3FC">
      <w:pPr>
        <w:rPr>
          <w:rFonts w:hint="eastAsia"/>
          <w:lang w:eastAsia="zh-CN"/>
        </w:rPr>
      </w:pPr>
    </w:p>
    <w:p w14:paraId="7EB9D079">
      <w:pPr>
        <w:pStyle w:val="4"/>
        <w:pageBreakBefore w:val="0"/>
        <w:kinsoku/>
        <w:wordWrap/>
        <w:overflowPunct/>
        <w:topLinePunct w:val="0"/>
        <w:bidi w:val="0"/>
        <w:adjustRightInd/>
        <w:snapToGrid/>
        <w:spacing w:before="160" w:beforeLines="50" w:after="160"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、开标</w:t>
      </w:r>
      <w:bookmarkEnd w:id="74"/>
      <w:bookmarkEnd w:id="75"/>
      <w:bookmarkEnd w:id="76"/>
      <w:bookmarkEnd w:id="77"/>
    </w:p>
    <w:p w14:paraId="629E16A6">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29.</w:t>
      </w:r>
      <w:r>
        <w:rPr>
          <w:rFonts w:hint="eastAsia" w:ascii="宋体" w:hAnsi="宋体" w:cs="宋体"/>
          <w:b/>
          <w:szCs w:val="21"/>
          <w:highlight w:val="none"/>
        </w:rPr>
        <w:t>开标</w:t>
      </w:r>
    </w:p>
    <w:p w14:paraId="3DA423F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29.1</w:t>
      </w:r>
      <w:r>
        <w:rPr>
          <w:rFonts w:hint="eastAsia" w:ascii="宋体" w:hAnsi="宋体" w:cs="宋体"/>
          <w:bCs/>
          <w:szCs w:val="21"/>
          <w:highlight w:val="none"/>
        </w:rPr>
        <w:t>（一）开标事项</w:t>
      </w:r>
    </w:p>
    <w:p w14:paraId="2314A4A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29.2</w:t>
      </w:r>
      <w:r>
        <w:rPr>
          <w:rFonts w:hint="eastAsia" w:ascii="宋体" w:hAnsi="宋体" w:cs="宋体"/>
          <w:bCs/>
          <w:szCs w:val="21"/>
          <w:highlight w:val="none"/>
        </w:rPr>
        <w:t>招标采购单位将在规定的时间和地点进行开标，本项目不要求供应商代表参加现场开标活动，但须准时在线（乐采云平台https：//www.lecaiyun.com）参加，直至项目开评标结束。</w:t>
      </w:r>
    </w:p>
    <w:p w14:paraId="4D786E29">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29.3</w:t>
      </w:r>
      <w:r>
        <w:rPr>
          <w:rFonts w:hint="eastAsia" w:ascii="宋体" w:hAnsi="宋体" w:cs="宋体"/>
          <w:bCs/>
          <w:szCs w:val="21"/>
          <w:highlight w:val="none"/>
        </w:rPr>
        <w:t>（二）开标程序</w:t>
      </w:r>
    </w:p>
    <w:p w14:paraId="27E8612A">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29.4</w:t>
      </w:r>
      <w:r>
        <w:rPr>
          <w:rFonts w:hint="eastAsia" w:ascii="宋体" w:hAnsi="宋体" w:cs="宋体"/>
          <w:bCs/>
          <w:szCs w:val="21"/>
          <w:highlight w:val="none"/>
        </w:rPr>
        <w:t>本项目通过浙江政府采购云（乐采云）平台进行开标、资格审查、评审、询标，投标人均应当准时在线参加，否则产生的风险由投标人自行承担（投标人务必不要离开电脑太久，并留意手机短信，建议投标人提前做好检查“浙江政府采购云（乐采云）平台”内，关于“项目采购”的岗位权限是否勾选。如有问题，请致电400-881-7190）。</w:t>
      </w:r>
    </w:p>
    <w:p w14:paraId="1F284CFA">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29.5</w:t>
      </w:r>
      <w:r>
        <w:rPr>
          <w:rFonts w:hint="eastAsia" w:ascii="宋体" w:hAnsi="宋体" w:cs="宋体"/>
          <w:bCs/>
          <w:szCs w:val="21"/>
          <w:highlight w:val="none"/>
        </w:rPr>
        <w:t>组织供应商签署不存在影响公平竞争的《采购活动现场确认声明书》。各供应商代表应提前准备《采购活动现场确认声明书》（见附件），按主持人通知要求实时上传。</w:t>
      </w:r>
    </w:p>
    <w:p w14:paraId="503DE414">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29.6</w:t>
      </w:r>
      <w:r>
        <w:rPr>
          <w:rFonts w:hint="eastAsia" w:ascii="宋体" w:hAnsi="宋体" w:cs="宋体"/>
          <w:bCs/>
          <w:szCs w:val="21"/>
          <w:highlight w:val="none"/>
        </w:rPr>
        <w:t xml:space="preserve"> 采购人或采购机构依法对资格证明文件进行审查，评标委员会对商务与技术文件进行评审。</w:t>
      </w:r>
    </w:p>
    <w:p w14:paraId="4A3D9938">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29.7</w:t>
      </w:r>
      <w:r>
        <w:rPr>
          <w:rFonts w:hint="eastAsia" w:ascii="宋体" w:hAnsi="宋体" w:cs="宋体"/>
          <w:bCs/>
          <w:szCs w:val="21"/>
          <w:highlight w:val="none"/>
        </w:rPr>
        <w:t>商务与技术文件评审完成后，主持人宣告商务与技术文件评审无效投标人名称及理由，公布经商务与技术文件评审符合采购需求的投标人名单以及商务与技术文件得分情况。</w:t>
      </w:r>
    </w:p>
    <w:p w14:paraId="17687501">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29.8</w:t>
      </w:r>
      <w:r>
        <w:rPr>
          <w:rFonts w:hint="eastAsia" w:ascii="宋体" w:hAnsi="宋体" w:cs="宋体"/>
          <w:bCs/>
          <w:szCs w:val="21"/>
          <w:highlight w:val="none"/>
        </w:rPr>
        <w:t>开启各供应商报价文件。</w:t>
      </w:r>
    </w:p>
    <w:p w14:paraId="34C7B1AB">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29.9</w:t>
      </w:r>
      <w:r>
        <w:rPr>
          <w:rFonts w:hint="eastAsia" w:ascii="宋体" w:hAnsi="宋体" w:cs="宋体"/>
          <w:bCs/>
          <w:szCs w:val="21"/>
          <w:highlight w:val="none"/>
        </w:rPr>
        <w:t>评标结束后，主持人公布综合得分以及中标候选人排序名单。</w:t>
      </w:r>
    </w:p>
    <w:p w14:paraId="2B0B484F">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bCs/>
          <w:szCs w:val="21"/>
          <w:highlight w:val="none"/>
        </w:rPr>
      </w:pPr>
      <w:r>
        <w:rPr>
          <w:rFonts w:hint="eastAsia" w:ascii="宋体" w:hAnsi="宋体" w:eastAsia="宋体" w:cs="宋体"/>
          <w:bCs/>
          <w:kern w:val="2"/>
          <w:sz w:val="21"/>
          <w:szCs w:val="21"/>
          <w:lang w:val="en-US" w:eastAsia="zh-CN" w:bidi="ar-SA"/>
        </w:rPr>
        <w:t>29.10</w:t>
      </w:r>
      <w:r>
        <w:rPr>
          <w:rFonts w:hint="eastAsia" w:ascii="宋体" w:hAnsi="宋体" w:cs="宋体"/>
          <w:bCs/>
          <w:szCs w:val="21"/>
          <w:highlight w:val="none"/>
        </w:rPr>
        <w:t>开标会议结束。</w:t>
      </w:r>
    </w:p>
    <w:p w14:paraId="4470B32E">
      <w:pPr>
        <w:pStyle w:val="4"/>
        <w:pageBreakBefore w:val="0"/>
        <w:kinsoku/>
        <w:wordWrap/>
        <w:overflowPunct/>
        <w:topLinePunct w:val="0"/>
        <w:bidi w:val="0"/>
        <w:adjustRightInd/>
        <w:snapToGrid/>
        <w:spacing w:before="160" w:beforeLines="50" w:after="160" w:afterLines="50" w:line="360" w:lineRule="auto"/>
        <w:jc w:val="center"/>
        <w:rPr>
          <w:rFonts w:hint="eastAsia" w:ascii="宋体" w:hAnsi="宋体" w:eastAsia="宋体" w:cs="宋体"/>
          <w:sz w:val="24"/>
          <w:szCs w:val="24"/>
          <w:highlight w:val="none"/>
        </w:rPr>
      </w:pPr>
      <w:bookmarkStart w:id="81" w:name="_Toc25636"/>
      <w:bookmarkStart w:id="82" w:name="_Toc24785"/>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w:t>
      </w:r>
      <w:bookmarkEnd w:id="78"/>
      <w:bookmarkEnd w:id="79"/>
      <w:r>
        <w:rPr>
          <w:rFonts w:hint="eastAsia" w:ascii="宋体" w:hAnsi="宋体" w:eastAsia="宋体" w:cs="宋体"/>
          <w:sz w:val="24"/>
          <w:szCs w:val="24"/>
          <w:highlight w:val="none"/>
        </w:rPr>
        <w:t>磋 商</w:t>
      </w:r>
      <w:bookmarkEnd w:id="80"/>
      <w:bookmarkEnd w:id="81"/>
      <w:bookmarkEnd w:id="82"/>
    </w:p>
    <w:p w14:paraId="2FF7CDC1">
      <w:pPr>
        <w:widowControl/>
        <w:snapToGrid w:val="0"/>
        <w:spacing w:line="360" w:lineRule="auto"/>
        <w:outlineLvl w:val="0"/>
        <w:rPr>
          <w:b/>
          <w:color w:val="000000" w:themeColor="text1"/>
        </w:rPr>
      </w:pPr>
      <w:bookmarkStart w:id="83" w:name="_Toc26464"/>
      <w:bookmarkStart w:id="84" w:name="_Toc21744"/>
      <w:bookmarkStart w:id="85" w:name="_Toc23088"/>
      <w:bookmarkStart w:id="86" w:name="_Toc1328"/>
      <w:r>
        <w:rPr>
          <w:b/>
          <w:color w:val="000000" w:themeColor="text1"/>
        </w:rPr>
        <w:t>（一）组建评标委员会</w:t>
      </w:r>
      <w:bookmarkEnd w:id="83"/>
      <w:bookmarkEnd w:id="84"/>
      <w:bookmarkEnd w:id="85"/>
      <w:bookmarkEnd w:id="86"/>
    </w:p>
    <w:p w14:paraId="129FFCCC">
      <w:pPr>
        <w:widowControl/>
        <w:snapToGrid w:val="0"/>
        <w:spacing w:line="360" w:lineRule="auto"/>
        <w:ind w:firstLine="420"/>
        <w:rPr>
          <w:color w:val="000000" w:themeColor="text1"/>
        </w:rPr>
      </w:pPr>
      <w:r>
        <w:rPr>
          <w:rFonts w:hint="eastAsia"/>
          <w:color w:val="000000" w:themeColor="text1"/>
        </w:rPr>
        <w:t>本项目评标委员会由采购人或采购代理机构依法组建。</w:t>
      </w:r>
    </w:p>
    <w:p w14:paraId="7427F011">
      <w:pPr>
        <w:widowControl/>
        <w:snapToGrid w:val="0"/>
        <w:spacing w:line="360" w:lineRule="auto"/>
        <w:outlineLvl w:val="0"/>
        <w:rPr>
          <w:b/>
          <w:color w:val="000000" w:themeColor="text1"/>
        </w:rPr>
      </w:pPr>
      <w:bookmarkStart w:id="87" w:name="_Toc22108"/>
      <w:bookmarkStart w:id="88" w:name="_Toc568"/>
      <w:bookmarkStart w:id="89" w:name="_Toc29376"/>
      <w:bookmarkStart w:id="90" w:name="_Toc26850"/>
      <w:r>
        <w:rPr>
          <w:b/>
          <w:color w:val="000000" w:themeColor="text1"/>
        </w:rPr>
        <w:t>（二）评标的方式</w:t>
      </w:r>
      <w:bookmarkEnd w:id="87"/>
      <w:bookmarkEnd w:id="88"/>
      <w:bookmarkEnd w:id="89"/>
      <w:bookmarkEnd w:id="90"/>
    </w:p>
    <w:p w14:paraId="4843ECFC">
      <w:pPr>
        <w:widowControl/>
        <w:snapToGrid w:val="0"/>
        <w:spacing w:line="360" w:lineRule="auto"/>
        <w:rPr>
          <w:color w:val="000000" w:themeColor="text1"/>
        </w:rPr>
      </w:pPr>
      <w:r>
        <w:rPr>
          <w:color w:val="000000" w:themeColor="text1"/>
        </w:rPr>
        <w:t xml:space="preserve">    本项目采用不公开方式评标，评标的依据为招标文件和投标文件。</w:t>
      </w:r>
    </w:p>
    <w:p w14:paraId="6F5DDB3E">
      <w:pPr>
        <w:widowControl/>
        <w:snapToGrid w:val="0"/>
        <w:spacing w:line="360" w:lineRule="auto"/>
        <w:outlineLvl w:val="0"/>
        <w:rPr>
          <w:b/>
          <w:color w:val="000000" w:themeColor="text1"/>
        </w:rPr>
      </w:pPr>
      <w:bookmarkStart w:id="91" w:name="_Toc10394"/>
      <w:bookmarkStart w:id="92" w:name="_Toc14096"/>
      <w:bookmarkStart w:id="93" w:name="_Toc24122"/>
      <w:bookmarkStart w:id="94" w:name="_Toc19558"/>
      <w:r>
        <w:rPr>
          <w:b/>
          <w:color w:val="000000" w:themeColor="text1"/>
        </w:rPr>
        <w:t>（三）评标程序</w:t>
      </w:r>
      <w:bookmarkEnd w:id="91"/>
      <w:bookmarkEnd w:id="92"/>
      <w:bookmarkEnd w:id="93"/>
      <w:bookmarkEnd w:id="94"/>
    </w:p>
    <w:p w14:paraId="5A0EC016">
      <w:pPr>
        <w:widowControl/>
        <w:snapToGrid w:val="0"/>
        <w:spacing w:line="360" w:lineRule="auto"/>
        <w:ind w:firstLine="420"/>
        <w:rPr>
          <w:color w:val="000000" w:themeColor="text1"/>
        </w:rPr>
      </w:pPr>
      <w:r>
        <w:rPr>
          <w:color w:val="000000" w:themeColor="text1"/>
        </w:rPr>
        <w:t>1、资格审查</w:t>
      </w:r>
    </w:p>
    <w:p w14:paraId="2265A612">
      <w:pPr>
        <w:widowControl/>
        <w:snapToGrid w:val="0"/>
        <w:spacing w:line="360" w:lineRule="auto"/>
        <w:ind w:firstLine="420"/>
        <w:rPr>
          <w:color w:val="000000" w:themeColor="text1"/>
        </w:rPr>
      </w:pPr>
      <w:r>
        <w:rPr>
          <w:rFonts w:hint="eastAsia"/>
          <w:color w:val="000000" w:themeColor="text1"/>
          <w:lang w:eastAsia="zh-CN"/>
        </w:rPr>
        <w:t>竞争性磋商</w:t>
      </w:r>
      <w:r>
        <w:rPr>
          <w:rFonts w:hint="eastAsia"/>
          <w:color w:val="000000" w:themeColor="text1"/>
        </w:rPr>
        <w:t>采购项目开标结束后，采购人或者代理机构应当依法对投标人的资格进行审查，对审查发现无效的进行必要的询标，结束后公布无效投标的投标人名单、投标无效的原因。</w:t>
      </w:r>
    </w:p>
    <w:p w14:paraId="5B9D9DE3">
      <w:pPr>
        <w:widowControl/>
        <w:snapToGrid w:val="0"/>
        <w:spacing w:line="360" w:lineRule="auto"/>
        <w:ind w:firstLine="420"/>
        <w:rPr>
          <w:color w:val="000000" w:themeColor="text1"/>
        </w:rPr>
      </w:pPr>
      <w:r>
        <w:rPr>
          <w:color w:val="000000" w:themeColor="text1"/>
        </w:rPr>
        <w:t>2、综合比较与评价</w:t>
      </w:r>
    </w:p>
    <w:p w14:paraId="197F009A">
      <w:pPr>
        <w:widowControl/>
        <w:snapToGrid w:val="0"/>
        <w:spacing w:line="360" w:lineRule="auto"/>
        <w:ind w:firstLine="420"/>
        <w:rPr>
          <w:color w:val="000000" w:themeColor="text1"/>
        </w:rPr>
      </w:pPr>
      <w:r>
        <w:rPr>
          <w:rFonts w:hint="eastAsia"/>
          <w:color w:val="000000" w:themeColor="text1"/>
        </w:rPr>
        <w:t>（</w:t>
      </w:r>
      <w:r>
        <w:rPr>
          <w:color w:val="000000" w:themeColor="text1"/>
        </w:rPr>
        <w:t>1）对于投标文件中含义不明确、同类问题表述不一致或者有明显文字和计算错误的内容，评标委员会应当</w:t>
      </w:r>
      <w:r>
        <w:rPr>
          <w:rFonts w:hint="eastAsia"/>
          <w:color w:val="000000" w:themeColor="text1"/>
        </w:rPr>
        <w:t>通过政采云</w:t>
      </w:r>
      <w:r>
        <w:rPr>
          <w:rFonts w:hint="eastAsia" w:ascii="宋体" w:hAnsi="宋体" w:cs="宋体"/>
          <w:szCs w:val="21"/>
          <w:lang w:val="zh-CN"/>
        </w:rPr>
        <w:t>（</w:t>
      </w:r>
      <w:r>
        <w:rPr>
          <w:rFonts w:hint="eastAsia" w:ascii="宋体" w:hAnsi="宋体" w:cs="宋体"/>
          <w:szCs w:val="21"/>
        </w:rPr>
        <w:t>乐采云</w:t>
      </w:r>
      <w:r>
        <w:rPr>
          <w:rFonts w:hint="eastAsia" w:ascii="宋体" w:hAnsi="宋体" w:cs="宋体"/>
          <w:szCs w:val="21"/>
          <w:lang w:val="zh-CN"/>
        </w:rPr>
        <w:t>）</w:t>
      </w:r>
      <w:r>
        <w:rPr>
          <w:rFonts w:hint="eastAsia"/>
          <w:color w:val="000000" w:themeColor="text1"/>
        </w:rPr>
        <w:t>平台或</w:t>
      </w:r>
      <w:r>
        <w:rPr>
          <w:color w:val="000000" w:themeColor="text1"/>
        </w:rPr>
        <w:t>书面形式要求投标人作出必要的澄清、说明或者补正。</w:t>
      </w:r>
    </w:p>
    <w:p w14:paraId="273219C4">
      <w:pPr>
        <w:widowControl/>
        <w:snapToGrid w:val="0"/>
        <w:spacing w:line="360" w:lineRule="auto"/>
        <w:ind w:firstLine="420"/>
        <w:rPr>
          <w:color w:val="000000" w:themeColor="text1"/>
        </w:rPr>
      </w:pPr>
      <w:r>
        <w:rPr>
          <w:rFonts w:hint="eastAsia"/>
          <w:color w:val="000000" w:themeColor="text1"/>
        </w:rPr>
        <w:t>（</w:t>
      </w:r>
      <w:r>
        <w:rPr>
          <w:color w:val="000000" w:themeColor="text1"/>
        </w:rPr>
        <w:t>2）评标委员会应当按照招标文件中规定的评标方法和标准，对审查合格的投标文件进行商务和技术评估，并汇总每个投标人的得分。</w:t>
      </w:r>
    </w:p>
    <w:p w14:paraId="61101D21">
      <w:pPr>
        <w:widowControl/>
        <w:snapToGrid w:val="0"/>
        <w:spacing w:line="360" w:lineRule="auto"/>
        <w:ind w:firstLine="420"/>
        <w:rPr>
          <w:color w:val="000000" w:themeColor="text1"/>
        </w:rPr>
      </w:pPr>
      <w:r>
        <w:rPr>
          <w:rFonts w:hint="eastAsia"/>
          <w:color w:val="000000" w:themeColor="text1"/>
        </w:rPr>
        <w:t>3</w:t>
      </w:r>
      <w:r>
        <w:rPr>
          <w:color w:val="000000" w:themeColor="text1"/>
        </w:rPr>
        <w:t>、得分确认及评审报告编写</w:t>
      </w:r>
    </w:p>
    <w:p w14:paraId="7D7401D1">
      <w:pPr>
        <w:widowControl/>
        <w:snapToGrid w:val="0"/>
        <w:spacing w:line="360" w:lineRule="auto"/>
        <w:ind w:firstLine="420"/>
        <w:rPr>
          <w:color w:val="000000" w:themeColor="text1"/>
        </w:rPr>
      </w:pPr>
      <w:r>
        <w:rPr>
          <w:rFonts w:hint="eastAsia"/>
          <w:color w:val="000000" w:themeColor="text1"/>
        </w:rPr>
        <w:t>（</w:t>
      </w:r>
      <w:r>
        <w:rPr>
          <w:color w:val="000000" w:themeColor="text1"/>
        </w:rPr>
        <w:t>1）评标委员会对报价文件进行复核，对于系统计算出的价格分及总得分进行确认；</w:t>
      </w:r>
    </w:p>
    <w:p w14:paraId="40DA03FE">
      <w:pPr>
        <w:widowControl/>
        <w:snapToGrid w:val="0"/>
        <w:spacing w:line="360" w:lineRule="auto"/>
        <w:ind w:firstLine="420"/>
        <w:rPr>
          <w:color w:val="000000" w:themeColor="text1"/>
        </w:rPr>
      </w:pPr>
      <w:r>
        <w:rPr>
          <w:rFonts w:hint="eastAsia"/>
          <w:color w:val="000000" w:themeColor="text1"/>
        </w:rPr>
        <w:t>（</w:t>
      </w:r>
      <w:r>
        <w:rPr>
          <w:color w:val="000000" w:themeColor="text1"/>
        </w:rPr>
        <w:t>2）评标委员会按评标原则及得分情况编写评审报告。</w:t>
      </w:r>
    </w:p>
    <w:p w14:paraId="10196222">
      <w:pPr>
        <w:widowControl/>
        <w:snapToGrid w:val="0"/>
        <w:spacing w:line="360" w:lineRule="auto"/>
        <w:outlineLvl w:val="0"/>
        <w:rPr>
          <w:b/>
          <w:color w:val="000000" w:themeColor="text1"/>
        </w:rPr>
      </w:pPr>
      <w:bookmarkStart w:id="95" w:name="_Toc14191"/>
      <w:bookmarkStart w:id="96" w:name="_Toc7421"/>
      <w:bookmarkStart w:id="97" w:name="_Toc26385"/>
      <w:bookmarkStart w:id="98" w:name="_Toc21420"/>
      <w:r>
        <w:rPr>
          <w:b/>
          <w:color w:val="000000" w:themeColor="text1"/>
        </w:rPr>
        <w:t>（</w:t>
      </w:r>
      <w:r>
        <w:rPr>
          <w:rFonts w:hint="eastAsia"/>
          <w:b/>
          <w:color w:val="000000" w:themeColor="text1"/>
        </w:rPr>
        <w:t>四</w:t>
      </w:r>
      <w:r>
        <w:rPr>
          <w:b/>
          <w:color w:val="000000" w:themeColor="text1"/>
        </w:rPr>
        <w:t>）澄清问题的形式</w:t>
      </w:r>
      <w:bookmarkEnd w:id="95"/>
      <w:bookmarkEnd w:id="96"/>
      <w:bookmarkEnd w:id="97"/>
      <w:bookmarkEnd w:id="98"/>
    </w:p>
    <w:p w14:paraId="0919B430">
      <w:pPr>
        <w:widowControl/>
        <w:snapToGrid w:val="0"/>
        <w:spacing w:line="360" w:lineRule="auto"/>
        <w:ind w:firstLine="420"/>
        <w:rPr>
          <w:color w:val="000000" w:themeColor="text1"/>
        </w:rPr>
      </w:pPr>
      <w:r>
        <w:rPr>
          <w:rFonts w:hint="eastAsia"/>
          <w:color w:val="000000" w:themeColor="text1"/>
        </w:rPr>
        <w:t>评审过程中若需要供应商</w:t>
      </w:r>
      <w:r>
        <w:rPr>
          <w:color w:val="000000" w:themeColor="text1"/>
        </w:rPr>
        <w:t>对投标文件中含义不明确、同类问题表述不一致或者有明显文字和计算错误的内容</w:t>
      </w:r>
      <w:r>
        <w:rPr>
          <w:rFonts w:hint="eastAsia"/>
          <w:color w:val="000000" w:themeColor="text1"/>
        </w:rPr>
        <w:t>作出澄清、说明或者补正的，评审小组可要求供应商在合理期限内通过电子邮件（</w:t>
      </w:r>
      <w:r>
        <w:rPr>
          <w:rFonts w:hint="eastAsia"/>
          <w:color w:val="000000" w:themeColor="text1"/>
          <w:lang w:eastAsia="zh-CN"/>
        </w:rPr>
        <w:t>2231993302</w:t>
      </w:r>
      <w:r>
        <w:rPr>
          <w:rFonts w:hint="eastAsia"/>
          <w:color w:val="000000" w:themeColor="text1"/>
        </w:rPr>
        <w:t>@qq.com）等书面形式或线上询标澄清方式作出。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34B1E69C">
      <w:pPr>
        <w:widowControl/>
        <w:snapToGrid w:val="0"/>
        <w:spacing w:line="360" w:lineRule="auto"/>
        <w:outlineLvl w:val="0"/>
        <w:rPr>
          <w:b/>
          <w:color w:val="000000" w:themeColor="text1"/>
        </w:rPr>
      </w:pPr>
      <w:bookmarkStart w:id="99" w:name="_Toc7597"/>
      <w:bookmarkStart w:id="100" w:name="_Toc26517"/>
      <w:bookmarkStart w:id="101" w:name="_Toc10902"/>
      <w:bookmarkStart w:id="102" w:name="_Toc2401"/>
      <w:r>
        <w:rPr>
          <w:b/>
          <w:color w:val="000000" w:themeColor="text1"/>
        </w:rPr>
        <w:t>（</w:t>
      </w:r>
      <w:r>
        <w:rPr>
          <w:rFonts w:hint="eastAsia"/>
          <w:b/>
          <w:color w:val="000000" w:themeColor="text1"/>
        </w:rPr>
        <w:t>五</w:t>
      </w:r>
      <w:r>
        <w:rPr>
          <w:b/>
          <w:color w:val="000000" w:themeColor="text1"/>
        </w:rPr>
        <w:t>）错误修正</w:t>
      </w:r>
      <w:bookmarkEnd w:id="99"/>
      <w:bookmarkEnd w:id="100"/>
      <w:bookmarkEnd w:id="101"/>
      <w:bookmarkEnd w:id="102"/>
    </w:p>
    <w:p w14:paraId="2DA78E14">
      <w:pPr>
        <w:widowControl/>
        <w:snapToGrid w:val="0"/>
        <w:spacing w:line="360" w:lineRule="auto"/>
        <w:ind w:firstLine="420"/>
        <w:rPr>
          <w:color w:val="000000" w:themeColor="text1"/>
        </w:rPr>
      </w:pPr>
      <w:r>
        <w:rPr>
          <w:rFonts w:hint="eastAsia"/>
          <w:color w:val="000000" w:themeColor="text1"/>
        </w:rPr>
        <w:t>投标文件报价出现前后不一致的，按照下列规定修正：</w:t>
      </w:r>
    </w:p>
    <w:p w14:paraId="708F30F9">
      <w:pPr>
        <w:widowControl/>
        <w:snapToGrid w:val="0"/>
        <w:spacing w:line="360" w:lineRule="auto"/>
        <w:ind w:firstLine="420"/>
        <w:rPr>
          <w:color w:val="000000" w:themeColor="text1"/>
        </w:rPr>
      </w:pPr>
      <w:r>
        <w:rPr>
          <w:rFonts w:hint="eastAsia"/>
          <w:color w:val="000000" w:themeColor="text1"/>
        </w:rPr>
        <w:t>①投标文件中开标一览表内容与投标文件中相应内容不一致的，以开标一览表为准；</w:t>
      </w:r>
    </w:p>
    <w:p w14:paraId="7C7C3E21">
      <w:pPr>
        <w:widowControl/>
        <w:snapToGrid w:val="0"/>
        <w:spacing w:line="360" w:lineRule="auto"/>
        <w:ind w:firstLine="420"/>
        <w:rPr>
          <w:b/>
          <w:color w:val="000000" w:themeColor="text1"/>
        </w:rPr>
      </w:pPr>
      <w:r>
        <w:rPr>
          <w:rFonts w:hint="eastAsia"/>
          <w:b/>
          <w:color w:val="000000" w:themeColor="text1"/>
        </w:rPr>
        <w:t>如同时出现两种以上不一致的，按照前款规定的顺序修正。修正后的报价经投标人确认后产生约束力，投标人不确认的，其投标无效。</w:t>
      </w:r>
    </w:p>
    <w:p w14:paraId="4894653E">
      <w:pPr>
        <w:widowControl/>
        <w:snapToGrid w:val="0"/>
        <w:spacing w:line="360" w:lineRule="auto"/>
        <w:outlineLvl w:val="0"/>
        <w:rPr>
          <w:b/>
          <w:color w:val="000000" w:themeColor="text1"/>
        </w:rPr>
      </w:pPr>
      <w:bookmarkStart w:id="103" w:name="_Toc17687"/>
      <w:bookmarkStart w:id="104" w:name="_Toc11695"/>
      <w:bookmarkStart w:id="105" w:name="_Toc31483"/>
      <w:bookmarkStart w:id="106" w:name="_Toc14656"/>
      <w:r>
        <w:rPr>
          <w:b/>
          <w:color w:val="000000" w:themeColor="text1"/>
        </w:rPr>
        <w:t>（</w:t>
      </w:r>
      <w:r>
        <w:rPr>
          <w:rFonts w:hint="eastAsia"/>
          <w:b/>
          <w:color w:val="000000" w:themeColor="text1"/>
        </w:rPr>
        <w:t>六</w:t>
      </w:r>
      <w:r>
        <w:rPr>
          <w:b/>
          <w:color w:val="000000" w:themeColor="text1"/>
        </w:rPr>
        <w:t>）</w:t>
      </w:r>
      <w:r>
        <w:rPr>
          <w:rFonts w:hint="eastAsia"/>
          <w:b/>
          <w:color w:val="000000" w:themeColor="text1"/>
        </w:rPr>
        <w:t>投标人存在下列情况之一的，投标无效</w:t>
      </w:r>
      <w:bookmarkEnd w:id="103"/>
      <w:bookmarkEnd w:id="104"/>
      <w:bookmarkEnd w:id="105"/>
      <w:bookmarkEnd w:id="106"/>
    </w:p>
    <w:p w14:paraId="2B3EC061">
      <w:pPr>
        <w:widowControl/>
        <w:snapToGrid w:val="0"/>
        <w:spacing w:line="360" w:lineRule="auto"/>
        <w:ind w:firstLine="420"/>
        <w:rPr>
          <w:color w:val="000000" w:themeColor="text1"/>
        </w:rPr>
      </w:pPr>
      <w:r>
        <w:rPr>
          <w:rFonts w:hint="eastAsia"/>
          <w:b/>
          <w:color w:val="000000" w:themeColor="text1"/>
        </w:rPr>
        <w:t>1</w:t>
      </w:r>
      <w:r>
        <w:rPr>
          <w:b/>
          <w:color w:val="000000" w:themeColor="text1"/>
        </w:rPr>
        <w:t>、在资格和符合性审查时，如发现下列情形之一的，投标文件将被视为无效：</w:t>
      </w:r>
    </w:p>
    <w:p w14:paraId="5A690382">
      <w:pPr>
        <w:widowControl/>
        <w:snapToGrid w:val="0"/>
        <w:spacing w:line="360" w:lineRule="auto"/>
        <w:ind w:firstLine="404" w:firstLineChars="200"/>
        <w:rPr>
          <w:color w:val="000000" w:themeColor="text1"/>
        </w:rPr>
      </w:pPr>
      <w:r>
        <w:rPr>
          <w:color w:val="000000" w:themeColor="text1"/>
          <w:spacing w:val="-4"/>
        </w:rPr>
        <w:t>（</w:t>
      </w:r>
      <w:r>
        <w:rPr>
          <w:rFonts w:hint="eastAsia"/>
          <w:color w:val="000000" w:themeColor="text1"/>
          <w:spacing w:val="-4"/>
        </w:rPr>
        <w:t>1</w:t>
      </w:r>
      <w:r>
        <w:rPr>
          <w:color w:val="000000" w:themeColor="text1"/>
          <w:spacing w:val="-4"/>
        </w:rPr>
        <w:t>）</w:t>
      </w:r>
      <w:r>
        <w:rPr>
          <w:rFonts w:hint="eastAsia"/>
          <w:color w:val="000000" w:themeColor="text1"/>
        </w:rPr>
        <w:t>资格证明文件不全的，或者不符合招标文件标明的资格要求的</w:t>
      </w:r>
      <w:r>
        <w:rPr>
          <w:color w:val="000000" w:themeColor="text1"/>
        </w:rPr>
        <w:t>；</w:t>
      </w:r>
    </w:p>
    <w:p w14:paraId="2A499804">
      <w:pPr>
        <w:widowControl/>
        <w:snapToGrid w:val="0"/>
        <w:spacing w:line="360" w:lineRule="auto"/>
        <w:ind w:firstLine="420"/>
        <w:rPr>
          <w:color w:val="000000" w:themeColor="text1"/>
        </w:rPr>
      </w:pPr>
      <w:r>
        <w:rPr>
          <w:color w:val="000000" w:themeColor="text1"/>
          <w:spacing w:val="-4"/>
        </w:rPr>
        <w:t>（</w:t>
      </w:r>
      <w:r>
        <w:rPr>
          <w:rFonts w:hint="eastAsia"/>
          <w:color w:val="000000" w:themeColor="text1"/>
          <w:spacing w:val="-4"/>
        </w:rPr>
        <w:t>2</w:t>
      </w:r>
      <w:r>
        <w:rPr>
          <w:color w:val="000000" w:themeColor="text1"/>
          <w:spacing w:val="-4"/>
        </w:rPr>
        <w:t>）</w:t>
      </w:r>
      <w:r>
        <w:rPr>
          <w:rFonts w:hint="eastAsia"/>
          <w:color w:val="000000" w:themeColor="text1"/>
        </w:rPr>
        <w:t>服务期、付款方式等实质性商务条款</w:t>
      </w:r>
      <w:r>
        <w:rPr>
          <w:color w:val="000000" w:themeColor="text1"/>
        </w:rPr>
        <w:t>不能满足招标文件要求的；</w:t>
      </w:r>
    </w:p>
    <w:p w14:paraId="2B0EADC0">
      <w:pPr>
        <w:widowControl/>
        <w:snapToGrid w:val="0"/>
        <w:spacing w:line="360" w:lineRule="auto"/>
        <w:ind w:firstLine="404"/>
        <w:rPr>
          <w:color w:val="000000" w:themeColor="text1"/>
        </w:rPr>
      </w:pPr>
      <w:r>
        <w:rPr>
          <w:color w:val="000000" w:themeColor="text1"/>
          <w:spacing w:val="-4"/>
        </w:rPr>
        <w:t>（</w:t>
      </w:r>
      <w:r>
        <w:rPr>
          <w:rFonts w:hint="eastAsia"/>
          <w:color w:val="000000" w:themeColor="text1"/>
          <w:spacing w:val="-4"/>
        </w:rPr>
        <w:t>3</w:t>
      </w:r>
      <w:r>
        <w:rPr>
          <w:color w:val="000000" w:themeColor="text1"/>
          <w:spacing w:val="-4"/>
        </w:rPr>
        <w:t>）</w:t>
      </w:r>
      <w:r>
        <w:rPr>
          <w:rFonts w:hint="eastAsia"/>
          <w:color w:val="000000" w:themeColor="text1"/>
        </w:rPr>
        <w:t>未实质性响应招标文件打“▲”条款要求或者投标文件有招标方不能接受的附加条件的；</w:t>
      </w:r>
    </w:p>
    <w:p w14:paraId="2C6A64F1">
      <w:pPr>
        <w:widowControl/>
        <w:snapToGrid w:val="0"/>
        <w:spacing w:line="360" w:lineRule="auto"/>
        <w:ind w:firstLine="420"/>
        <w:rPr>
          <w:color w:val="000000" w:themeColor="text1"/>
        </w:rPr>
      </w:pPr>
      <w:r>
        <w:rPr>
          <w:color w:val="000000" w:themeColor="text1"/>
        </w:rPr>
        <w:t>（</w:t>
      </w:r>
      <w:r>
        <w:rPr>
          <w:rFonts w:hint="eastAsia"/>
          <w:color w:val="000000" w:themeColor="text1"/>
        </w:rPr>
        <w:t>4</w:t>
      </w:r>
      <w:r>
        <w:rPr>
          <w:color w:val="000000" w:themeColor="text1"/>
        </w:rPr>
        <w:t>）</w:t>
      </w:r>
      <w:r>
        <w:rPr>
          <w:rFonts w:hint="eastAsia"/>
          <w:color w:val="000000" w:themeColor="text1"/>
        </w:rPr>
        <w:t>招标文件中明确作无效标或法律、法规明确作无效标的情形。</w:t>
      </w:r>
    </w:p>
    <w:p w14:paraId="273B9A96">
      <w:pPr>
        <w:widowControl/>
        <w:snapToGrid w:val="0"/>
        <w:spacing w:line="360" w:lineRule="auto"/>
        <w:ind w:firstLine="422" w:firstLineChars="200"/>
        <w:rPr>
          <w:b/>
          <w:color w:val="000000" w:themeColor="text1"/>
        </w:rPr>
      </w:pPr>
      <w:r>
        <w:rPr>
          <w:rFonts w:hint="eastAsia"/>
          <w:b/>
          <w:color w:val="000000" w:themeColor="text1"/>
        </w:rPr>
        <w:t>2、</w:t>
      </w:r>
      <w:r>
        <w:rPr>
          <w:b/>
          <w:color w:val="000000" w:themeColor="text1"/>
        </w:rPr>
        <w:t>在报价评</w:t>
      </w:r>
      <w:r>
        <w:rPr>
          <w:rFonts w:hint="eastAsia"/>
          <w:b/>
          <w:color w:val="000000" w:themeColor="text1"/>
        </w:rPr>
        <w:t>审</w:t>
      </w:r>
      <w:r>
        <w:rPr>
          <w:b/>
          <w:color w:val="000000" w:themeColor="text1"/>
        </w:rPr>
        <w:t>时，如发现下</w:t>
      </w:r>
      <w:r>
        <w:rPr>
          <w:rFonts w:hint="eastAsia"/>
          <w:b/>
          <w:color w:val="000000" w:themeColor="text1"/>
        </w:rPr>
        <w:t>面</w:t>
      </w:r>
      <w:r>
        <w:rPr>
          <w:b/>
          <w:color w:val="000000" w:themeColor="text1"/>
        </w:rPr>
        <w:t>情形的，投标文件将被视为无效：</w:t>
      </w:r>
    </w:p>
    <w:p w14:paraId="6F7D1C08">
      <w:pPr>
        <w:widowControl/>
        <w:snapToGrid w:val="0"/>
        <w:spacing w:line="360" w:lineRule="auto"/>
        <w:ind w:firstLine="840" w:firstLineChars="400"/>
        <w:rPr>
          <w:color w:val="000000" w:themeColor="text1"/>
        </w:rPr>
      </w:pPr>
      <w:r>
        <w:rPr>
          <w:color w:val="000000" w:themeColor="text1"/>
        </w:rPr>
        <w:t>报价超过招标文件中规定的预算金额/限价；</w:t>
      </w:r>
    </w:p>
    <w:p w14:paraId="6CB84C9C">
      <w:pPr>
        <w:widowControl/>
        <w:snapToGrid w:val="0"/>
        <w:spacing w:line="360" w:lineRule="auto"/>
        <w:outlineLvl w:val="0"/>
        <w:rPr>
          <w:b/>
          <w:color w:val="000000" w:themeColor="text1"/>
        </w:rPr>
      </w:pPr>
      <w:bookmarkStart w:id="107" w:name="_Toc7578"/>
      <w:bookmarkStart w:id="108" w:name="_Toc2839"/>
      <w:bookmarkStart w:id="109" w:name="_Toc10117"/>
      <w:bookmarkStart w:id="110" w:name="_Toc1931"/>
      <w:r>
        <w:rPr>
          <w:b/>
          <w:color w:val="000000" w:themeColor="text1"/>
        </w:rPr>
        <w:t>（</w:t>
      </w:r>
      <w:r>
        <w:rPr>
          <w:rFonts w:hint="eastAsia"/>
          <w:b/>
          <w:color w:val="000000" w:themeColor="text1"/>
        </w:rPr>
        <w:t>七</w:t>
      </w:r>
      <w:r>
        <w:rPr>
          <w:b/>
          <w:color w:val="000000" w:themeColor="text1"/>
        </w:rPr>
        <w:t>）</w:t>
      </w:r>
      <w:r>
        <w:rPr>
          <w:rFonts w:hint="eastAsia"/>
          <w:b/>
          <w:color w:val="000000" w:themeColor="text1"/>
        </w:rPr>
        <w:t>有下列情况之一的，本次招标作为废标处理：</w:t>
      </w:r>
      <w:bookmarkEnd w:id="107"/>
      <w:bookmarkEnd w:id="108"/>
      <w:bookmarkEnd w:id="109"/>
      <w:bookmarkEnd w:id="110"/>
    </w:p>
    <w:p w14:paraId="08B043A1">
      <w:pPr>
        <w:widowControl/>
        <w:snapToGrid w:val="0"/>
        <w:spacing w:line="360" w:lineRule="auto"/>
        <w:ind w:firstLine="420"/>
        <w:rPr>
          <w:color w:val="000000" w:themeColor="text1"/>
        </w:rPr>
      </w:pPr>
      <w:r>
        <w:rPr>
          <w:rFonts w:hint="eastAsia"/>
          <w:color w:val="000000" w:themeColor="text1"/>
        </w:rPr>
        <w:t>（1）出现影响采购公正的违法、违规、欺骗行为的；</w:t>
      </w:r>
    </w:p>
    <w:p w14:paraId="31C2C93B">
      <w:pPr>
        <w:widowControl/>
        <w:snapToGrid w:val="0"/>
        <w:spacing w:line="360" w:lineRule="auto"/>
        <w:ind w:firstLine="420"/>
        <w:rPr>
          <w:color w:val="000000" w:themeColor="text1"/>
        </w:rPr>
      </w:pPr>
      <w:r>
        <w:rPr>
          <w:rFonts w:hint="eastAsia"/>
          <w:color w:val="000000" w:themeColor="text1"/>
        </w:rPr>
        <w:t>（2）因重大变故，采购任务取消的；</w:t>
      </w:r>
    </w:p>
    <w:p w14:paraId="0779FA11">
      <w:pPr>
        <w:widowControl/>
        <w:snapToGrid w:val="0"/>
        <w:spacing w:line="360" w:lineRule="auto"/>
        <w:ind w:firstLine="420"/>
        <w:rPr>
          <w:color w:val="000000" w:themeColor="text1"/>
        </w:rPr>
      </w:pPr>
      <w:r>
        <w:rPr>
          <w:rFonts w:hint="eastAsia"/>
          <w:color w:val="000000" w:themeColor="text1"/>
        </w:rPr>
        <w:t>（3）</w:t>
      </w:r>
      <w:r>
        <w:rPr>
          <w:color w:val="000000" w:themeColor="text1"/>
        </w:rPr>
        <w:t>法律、法规和招标文件规定的其他导致评标结果无效的。</w:t>
      </w:r>
    </w:p>
    <w:p w14:paraId="2D4CBEBB">
      <w:pPr>
        <w:widowControl/>
        <w:snapToGrid w:val="0"/>
        <w:spacing w:line="360" w:lineRule="auto"/>
        <w:outlineLvl w:val="0"/>
        <w:rPr>
          <w:b/>
          <w:color w:val="000000" w:themeColor="text1"/>
        </w:rPr>
      </w:pPr>
      <w:bookmarkStart w:id="111" w:name="_Toc27823"/>
      <w:bookmarkStart w:id="112" w:name="_Toc9578"/>
      <w:bookmarkStart w:id="113" w:name="_Toc31580"/>
      <w:bookmarkStart w:id="114" w:name="_Toc4033"/>
      <w:r>
        <w:rPr>
          <w:b/>
          <w:color w:val="000000" w:themeColor="text1"/>
        </w:rPr>
        <w:t>（</w:t>
      </w:r>
      <w:r>
        <w:rPr>
          <w:rFonts w:hint="eastAsia"/>
          <w:b/>
          <w:color w:val="000000" w:themeColor="text1"/>
        </w:rPr>
        <w:t>八</w:t>
      </w:r>
      <w:r>
        <w:rPr>
          <w:b/>
          <w:color w:val="000000" w:themeColor="text1"/>
        </w:rPr>
        <w:t>） 评标过程的</w:t>
      </w:r>
      <w:r>
        <w:rPr>
          <w:rFonts w:hint="eastAsia"/>
          <w:b/>
          <w:color w:val="000000" w:themeColor="text1"/>
        </w:rPr>
        <w:t>监控</w:t>
      </w:r>
      <w:bookmarkEnd w:id="111"/>
      <w:bookmarkEnd w:id="112"/>
      <w:bookmarkEnd w:id="113"/>
      <w:bookmarkEnd w:id="114"/>
    </w:p>
    <w:p w14:paraId="3A75C4B7">
      <w:pPr>
        <w:widowControl/>
        <w:snapToGrid w:val="0"/>
        <w:spacing w:line="360" w:lineRule="auto"/>
        <w:ind w:firstLine="420"/>
        <w:rPr>
          <w:color w:val="000000" w:themeColor="text1"/>
        </w:rPr>
      </w:pPr>
      <w:r>
        <w:rPr>
          <w:rFonts w:hint="eastAsia"/>
          <w:color w:val="000000" w:themeColor="text1"/>
        </w:rPr>
        <w:t>本项目评标过程实行全程录音、录像监控（或请监管部门进行现场监督），投标人在评标过程中所进行的试图影响评标结果的不公正活动，可能导致其投标被拒绝。</w:t>
      </w:r>
    </w:p>
    <w:p w14:paraId="32A67BDE">
      <w:pPr>
        <w:widowControl/>
        <w:snapToGrid w:val="0"/>
        <w:spacing w:line="360" w:lineRule="auto"/>
        <w:outlineLvl w:val="0"/>
        <w:rPr>
          <w:b/>
          <w:color w:val="000000" w:themeColor="text1"/>
        </w:rPr>
      </w:pPr>
      <w:bookmarkStart w:id="115" w:name="_Toc7054"/>
      <w:bookmarkStart w:id="116" w:name="_Toc27792"/>
      <w:bookmarkStart w:id="117" w:name="_Toc7076"/>
      <w:bookmarkStart w:id="118" w:name="_Toc20474"/>
      <w:r>
        <w:rPr>
          <w:b/>
          <w:color w:val="000000" w:themeColor="text1"/>
        </w:rPr>
        <w:t>（</w:t>
      </w:r>
      <w:r>
        <w:rPr>
          <w:rFonts w:hint="eastAsia"/>
          <w:b/>
          <w:color w:val="000000" w:themeColor="text1"/>
        </w:rPr>
        <w:t>九</w:t>
      </w:r>
      <w:r>
        <w:rPr>
          <w:b/>
          <w:color w:val="000000" w:themeColor="text1"/>
        </w:rPr>
        <w:t>）评标原则和评标办法</w:t>
      </w:r>
      <w:bookmarkEnd w:id="115"/>
      <w:bookmarkEnd w:id="116"/>
      <w:bookmarkEnd w:id="117"/>
      <w:bookmarkEnd w:id="118"/>
    </w:p>
    <w:p w14:paraId="2452E959">
      <w:pPr>
        <w:widowControl/>
        <w:snapToGrid w:val="0"/>
        <w:spacing w:line="360" w:lineRule="auto"/>
        <w:ind w:firstLine="420"/>
        <w:rPr>
          <w:color w:val="000000" w:themeColor="text1"/>
        </w:rPr>
      </w:pPr>
      <w:r>
        <w:rPr>
          <w:color w:val="000000" w:themeColor="text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D4E8B9">
      <w:pPr>
        <w:widowControl/>
        <w:snapToGrid w:val="0"/>
        <w:spacing w:line="360" w:lineRule="auto"/>
        <w:ind w:firstLine="420"/>
        <w:jc w:val="left"/>
        <w:rPr>
          <w:color w:val="000000" w:themeColor="text1"/>
        </w:rPr>
      </w:pPr>
      <w:r>
        <w:rPr>
          <w:color w:val="000000" w:themeColor="text1"/>
        </w:rPr>
        <w:t>2、评标办法。本项目采用综合评分法，详见《第四章：</w:t>
      </w:r>
      <w:r>
        <w:rPr>
          <w:rFonts w:hint="eastAsia"/>
          <w:color w:val="000000" w:themeColor="text1"/>
          <w:lang w:val="en-US" w:eastAsia="zh-CN"/>
        </w:rPr>
        <w:t>评审办法</w:t>
      </w:r>
      <w:r>
        <w:rPr>
          <w:color w:val="000000" w:themeColor="text1"/>
        </w:rPr>
        <w:t>》。</w:t>
      </w:r>
    </w:p>
    <w:p w14:paraId="6BCA78AA">
      <w:pPr>
        <w:spacing w:line="360" w:lineRule="auto"/>
        <w:jc w:val="center"/>
        <w:rPr>
          <w:b/>
          <w:color w:val="000000" w:themeColor="text1"/>
          <w:sz w:val="30"/>
        </w:rPr>
      </w:pPr>
      <w:bookmarkStart w:id="119" w:name="_Toc5222"/>
      <w:bookmarkStart w:id="120" w:name="_Toc6516"/>
      <w:bookmarkStart w:id="121" w:name="_Toc17354"/>
      <w:bookmarkStart w:id="122" w:name="_Toc32729"/>
      <w:r>
        <w:rPr>
          <w:b/>
          <w:color w:val="000000" w:themeColor="text1"/>
          <w:sz w:val="30"/>
        </w:rPr>
        <w:t>六、定标</w:t>
      </w:r>
      <w:bookmarkEnd w:id="119"/>
      <w:bookmarkEnd w:id="120"/>
      <w:bookmarkEnd w:id="121"/>
      <w:bookmarkEnd w:id="122"/>
    </w:p>
    <w:p w14:paraId="511B2C41">
      <w:pPr>
        <w:widowControl/>
        <w:snapToGrid w:val="0"/>
        <w:spacing w:line="360" w:lineRule="auto"/>
        <w:ind w:firstLine="420"/>
        <w:rPr>
          <w:color w:val="000000" w:themeColor="text1"/>
        </w:rPr>
      </w:pPr>
      <w:r>
        <w:rPr>
          <w:color w:val="000000" w:themeColor="text1"/>
        </w:rPr>
        <w:t>1、</w:t>
      </w:r>
      <w:r>
        <w:rPr>
          <w:rFonts w:hint="eastAsia"/>
          <w:color w:val="000000" w:themeColor="text1"/>
        </w:rPr>
        <w:t>采购代理机构在评审结束之日起2个工作日内将评审报告送交采购人，采购人自收到评审报告之日起5个工作日内在评审报告推荐的中标候选人中按顺序确定中标供应商。</w:t>
      </w:r>
    </w:p>
    <w:p w14:paraId="5C11FBEF">
      <w:pPr>
        <w:widowControl/>
        <w:snapToGrid w:val="0"/>
        <w:spacing w:line="360" w:lineRule="auto"/>
        <w:ind w:firstLine="420"/>
        <w:rPr>
          <w:b/>
          <w:color w:val="000000" w:themeColor="text1"/>
          <w:sz w:val="30"/>
        </w:rPr>
      </w:pPr>
      <w:r>
        <w:rPr>
          <w:rFonts w:hint="eastAsia"/>
          <w:color w:val="000000" w:themeColor="text1"/>
        </w:rPr>
        <w:t>2、采购人确定中标供应商之日起2个工作日内，以书面形式发出中标通知书</w:t>
      </w:r>
      <w:r>
        <w:rPr>
          <w:rFonts w:hint="eastAsia"/>
        </w:rPr>
        <w:t>，并发布中标结果公告。</w:t>
      </w:r>
      <w:r>
        <w:rPr>
          <w:rFonts w:hint="eastAsia"/>
          <w:color w:val="000000" w:themeColor="text1"/>
        </w:rPr>
        <w:t>中标结果公告将包括中标人名称、地址和中标金额，主要中标标的的名称、规格型号、数量、单价、服务要求以及评审专家名单等内容。</w:t>
      </w:r>
    </w:p>
    <w:p w14:paraId="19B8FB1B">
      <w:pPr>
        <w:widowControl/>
        <w:snapToGrid w:val="0"/>
        <w:spacing w:before="152" w:beforeLines="50" w:after="152" w:afterLines="50" w:line="360" w:lineRule="auto"/>
        <w:jc w:val="center"/>
        <w:outlineLvl w:val="0"/>
        <w:rPr>
          <w:b/>
          <w:color w:val="000000" w:themeColor="text1"/>
          <w:sz w:val="30"/>
        </w:rPr>
      </w:pPr>
      <w:bookmarkStart w:id="123" w:name="_Toc31423"/>
      <w:bookmarkStart w:id="124" w:name="_Toc7887"/>
      <w:bookmarkStart w:id="125" w:name="_Toc12240"/>
      <w:bookmarkStart w:id="126" w:name="_Toc18671"/>
      <w:r>
        <w:rPr>
          <w:b/>
          <w:color w:val="000000" w:themeColor="text1"/>
          <w:sz w:val="30"/>
        </w:rPr>
        <w:t>七、合同授予</w:t>
      </w:r>
      <w:bookmarkEnd w:id="123"/>
      <w:bookmarkEnd w:id="124"/>
      <w:bookmarkEnd w:id="125"/>
      <w:bookmarkEnd w:id="126"/>
    </w:p>
    <w:p w14:paraId="5B7384AF">
      <w:pPr>
        <w:widowControl/>
        <w:snapToGrid w:val="0"/>
        <w:spacing w:line="360" w:lineRule="auto"/>
        <w:outlineLvl w:val="0"/>
        <w:rPr>
          <w:b/>
          <w:color w:val="000000" w:themeColor="text1"/>
        </w:rPr>
      </w:pPr>
      <w:bookmarkStart w:id="127" w:name="_Toc8393"/>
      <w:bookmarkStart w:id="128" w:name="_Toc32731"/>
      <w:bookmarkStart w:id="129" w:name="_Toc30617"/>
      <w:bookmarkStart w:id="130" w:name="_Toc28522"/>
      <w:r>
        <w:rPr>
          <w:b/>
          <w:color w:val="000000" w:themeColor="text1"/>
        </w:rPr>
        <w:t>（一）签订合同</w:t>
      </w:r>
      <w:bookmarkEnd w:id="127"/>
      <w:bookmarkEnd w:id="128"/>
      <w:bookmarkEnd w:id="129"/>
      <w:bookmarkEnd w:id="130"/>
    </w:p>
    <w:p w14:paraId="6066C44E">
      <w:pPr>
        <w:widowControl/>
        <w:snapToGrid w:val="0"/>
        <w:spacing w:line="360" w:lineRule="auto"/>
        <w:ind w:firstLine="420"/>
        <w:rPr>
          <w:color w:val="000000" w:themeColor="text1"/>
        </w:rPr>
      </w:pPr>
      <w:r>
        <w:rPr>
          <w:color w:val="000000" w:themeColor="text1"/>
        </w:rPr>
        <w:t>1、</w:t>
      </w:r>
      <w:r>
        <w:rPr>
          <w:rFonts w:hint="eastAsia"/>
          <w:color w:val="000000" w:themeColor="text1"/>
        </w:rPr>
        <w:t>采购人与中标供应商应当在《中标通知书》发出之日起7日内签订采购合同。</w:t>
      </w:r>
      <w:r>
        <w:rPr>
          <w:color w:val="000000" w:themeColor="text1"/>
        </w:rPr>
        <w:t>同时，采购人</w:t>
      </w:r>
      <w:r>
        <w:rPr>
          <w:rFonts w:hint="eastAsia"/>
          <w:color w:val="000000" w:themeColor="text1"/>
        </w:rPr>
        <w:t>、采购代理机构</w:t>
      </w:r>
      <w:r>
        <w:rPr>
          <w:color w:val="000000" w:themeColor="text1"/>
        </w:rPr>
        <w:t>对合同内容进行审查，如发现与采购结果和投标承诺内容不一致的，应予以纠正。</w:t>
      </w:r>
    </w:p>
    <w:p w14:paraId="39206366">
      <w:pPr>
        <w:widowControl/>
        <w:snapToGrid w:val="0"/>
        <w:spacing w:line="360" w:lineRule="auto"/>
        <w:ind w:firstLine="420"/>
        <w:rPr>
          <w:color w:val="000000" w:themeColor="text1"/>
        </w:rPr>
      </w:pPr>
      <w:r>
        <w:rPr>
          <w:color w:val="000000" w:themeColor="text1"/>
        </w:rPr>
        <w:t>2、中标人</w:t>
      </w:r>
      <w:r>
        <w:rPr>
          <w:rFonts w:hint="eastAsia"/>
          <w:color w:val="000000" w:themeColor="text1"/>
        </w:rPr>
        <w:t>无故</w:t>
      </w:r>
      <w:r>
        <w:rPr>
          <w:color w:val="000000" w:themeColor="text1"/>
        </w:rPr>
        <w:t>拖延、拒签合同的，将被取消中标资格。</w:t>
      </w:r>
    </w:p>
    <w:p w14:paraId="2FF313CD">
      <w:pPr>
        <w:widowControl/>
        <w:snapToGrid w:val="0"/>
        <w:spacing w:line="360" w:lineRule="auto"/>
        <w:ind w:firstLine="420"/>
        <w:rPr>
          <w:color w:val="000000" w:themeColor="text1"/>
        </w:rPr>
      </w:pPr>
      <w:r>
        <w:rPr>
          <w:rFonts w:hint="eastAsia"/>
          <w:color w:val="000000" w:themeColor="text1"/>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13834594">
      <w:pPr>
        <w:widowControl/>
        <w:snapToGrid w:val="0"/>
        <w:spacing w:line="360" w:lineRule="auto"/>
        <w:ind w:firstLine="420"/>
        <w:rPr>
          <w:color w:val="000000" w:themeColor="text1"/>
        </w:rPr>
      </w:pPr>
      <w:r>
        <w:rPr>
          <w:rFonts w:hint="eastAsia"/>
          <w:color w:val="000000" w:themeColor="text1"/>
        </w:rPr>
        <w:t>4、询问或者质疑事项可能影响中标结果的，采购人应当暂停签订合同，已经签订合同的，应当终止履行合同（中标结果的质疑期为中标结果公告期限届满之日起七个工作日）。</w:t>
      </w:r>
    </w:p>
    <w:p w14:paraId="4280433A">
      <w:pPr>
        <w:widowControl/>
        <w:snapToGrid w:val="0"/>
        <w:spacing w:before="156" w:line="360" w:lineRule="auto"/>
        <w:outlineLvl w:val="0"/>
        <w:rPr>
          <w:b/>
          <w:color w:val="000000" w:themeColor="text1"/>
        </w:rPr>
      </w:pPr>
      <w:bookmarkStart w:id="131" w:name="_Toc19423"/>
      <w:bookmarkStart w:id="132" w:name="_Toc4019"/>
      <w:bookmarkStart w:id="133" w:name="_Toc3458"/>
      <w:bookmarkStart w:id="134" w:name="_Toc17698"/>
    </w:p>
    <w:p w14:paraId="1FC75E74">
      <w:pPr>
        <w:widowControl/>
        <w:snapToGrid w:val="0"/>
        <w:spacing w:before="156" w:line="360" w:lineRule="auto"/>
        <w:outlineLvl w:val="0"/>
        <w:rPr>
          <w:b/>
          <w:color w:val="000000" w:themeColor="text1"/>
        </w:rPr>
      </w:pPr>
      <w:r>
        <w:rPr>
          <w:b/>
          <w:color w:val="000000" w:themeColor="text1"/>
        </w:rPr>
        <w:t>（二）履约保证金</w:t>
      </w:r>
      <w:bookmarkEnd w:id="131"/>
      <w:bookmarkEnd w:id="132"/>
      <w:bookmarkEnd w:id="133"/>
      <w:bookmarkEnd w:id="134"/>
    </w:p>
    <w:p w14:paraId="6C1168D6">
      <w:pPr>
        <w:widowControl/>
        <w:snapToGrid w:val="0"/>
        <w:spacing w:line="360" w:lineRule="auto"/>
        <w:ind w:firstLine="420"/>
        <w:rPr>
          <w:color w:val="000000" w:themeColor="text1"/>
        </w:rPr>
      </w:pPr>
      <w:r>
        <w:rPr>
          <w:color w:val="000000" w:themeColor="text1"/>
        </w:rPr>
        <w:t>1、签订合同前，中标人应按招标文件</w:t>
      </w:r>
      <w:r>
        <w:rPr>
          <w:rFonts w:hint="eastAsia"/>
          <w:color w:val="000000" w:themeColor="text1"/>
        </w:rPr>
        <w:t>投标人须知前附表中规定的金额</w:t>
      </w:r>
      <w:r>
        <w:rPr>
          <w:color w:val="000000" w:themeColor="text1"/>
        </w:rPr>
        <w:t>，</w:t>
      </w:r>
      <w:r>
        <w:rPr>
          <w:rFonts w:hint="eastAsia"/>
        </w:rPr>
        <w:t>按前附表约定的缴纳方式</w:t>
      </w:r>
      <w:r>
        <w:t>向</w:t>
      </w:r>
      <w:r>
        <w:rPr>
          <w:color w:val="000000" w:themeColor="text1"/>
        </w:rPr>
        <w:t>采购人交纳履约保证金。</w:t>
      </w:r>
    </w:p>
    <w:p w14:paraId="73562AE0">
      <w:pPr>
        <w:widowControl/>
        <w:snapToGrid w:val="0"/>
        <w:spacing w:line="360" w:lineRule="auto"/>
        <w:ind w:firstLine="420"/>
        <w:rPr>
          <w:color w:val="000000" w:themeColor="text1"/>
        </w:rPr>
      </w:pPr>
      <w:r>
        <w:rPr>
          <w:color w:val="000000" w:themeColor="text1"/>
        </w:rPr>
        <w:t>2、签订合同后，如中标人不按双方签订合同约定履约，则不予返还其全部履约保证金，履约保证金不足以赔偿损失的，按实际损失赔偿。</w:t>
      </w:r>
    </w:p>
    <w:p w14:paraId="14B68846">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color w:val="000000" w:themeColor="text1"/>
        </w:rPr>
        <w:t>3、</w:t>
      </w:r>
      <w:r>
        <w:rPr>
          <w:color w:val="000000" w:themeColor="text1"/>
        </w:rPr>
        <w:t>履</w:t>
      </w:r>
      <w:r>
        <w:rPr>
          <w:rFonts w:hint="eastAsia" w:ascii="宋体" w:hAnsi="宋体" w:cs="宋体"/>
          <w:szCs w:val="21"/>
          <w:lang w:val="zh-CN"/>
        </w:rPr>
        <w:t>约保证金的退还由中标供应商提出，经采购人确认，合同有效期结束后</w:t>
      </w:r>
      <w:r>
        <w:rPr>
          <w:rFonts w:hint="eastAsia" w:ascii="宋体" w:hAnsi="宋体" w:cs="宋体"/>
          <w:szCs w:val="21"/>
        </w:rPr>
        <w:t>15</w:t>
      </w:r>
      <w:r>
        <w:rPr>
          <w:rFonts w:hint="eastAsia" w:ascii="宋体" w:hAnsi="宋体" w:cs="宋体"/>
          <w:szCs w:val="21"/>
          <w:lang w:val="zh-CN"/>
        </w:rPr>
        <w:t>日内无息退</w:t>
      </w:r>
    </w:p>
    <w:p w14:paraId="365EA006">
      <w:pPr>
        <w:spacing w:line="360" w:lineRule="auto"/>
        <w:jc w:val="center"/>
        <w:rPr>
          <w:rFonts w:hint="eastAsia" w:ascii="Times New Roman" w:hAnsi="Times New Roman" w:cs="Times New Roman"/>
          <w:b/>
          <w:color w:val="000000" w:themeColor="text1"/>
          <w:sz w:val="30"/>
        </w:rPr>
      </w:pPr>
      <w:bookmarkStart w:id="135" w:name="_Toc528927422"/>
      <w:bookmarkStart w:id="136" w:name="_Toc16867"/>
      <w:bookmarkStart w:id="137" w:name="_Toc528578385"/>
      <w:bookmarkStart w:id="138" w:name="_Toc6608"/>
      <w:bookmarkStart w:id="139" w:name="_Toc17287"/>
      <w:bookmarkStart w:id="140" w:name="_Toc27647"/>
      <w:r>
        <w:rPr>
          <w:rFonts w:hint="eastAsia" w:ascii="Times New Roman" w:hAnsi="Times New Roman" w:cs="Times New Roman"/>
          <w:b/>
          <w:color w:val="000000" w:themeColor="text1"/>
          <w:sz w:val="30"/>
          <w:lang w:val="en-US" w:eastAsia="zh-CN"/>
        </w:rPr>
        <w:t>八</w:t>
      </w:r>
      <w:r>
        <w:rPr>
          <w:rFonts w:hint="eastAsia" w:ascii="Times New Roman" w:hAnsi="Times New Roman" w:cs="Times New Roman"/>
          <w:b/>
          <w:color w:val="000000" w:themeColor="text1"/>
          <w:sz w:val="30"/>
        </w:rPr>
        <w:t>、其他事项</w:t>
      </w:r>
      <w:bookmarkEnd w:id="135"/>
      <w:bookmarkEnd w:id="136"/>
      <w:bookmarkEnd w:id="137"/>
      <w:bookmarkEnd w:id="138"/>
      <w:bookmarkEnd w:id="139"/>
    </w:p>
    <w:p w14:paraId="12C06013">
      <w:pPr>
        <w:pStyle w:val="113"/>
        <w:pageBreakBefore w:val="0"/>
        <w:numPr>
          <w:ilvl w:val="0"/>
          <w:numId w:val="0"/>
        </w:numPr>
        <w:tabs>
          <w:tab w:val="left" w:pos="0"/>
        </w:tabs>
        <w:kinsoku/>
        <w:wordWrap/>
        <w:overflowPunct/>
        <w:topLinePunct w:val="0"/>
        <w:autoSpaceDE w:val="0"/>
        <w:autoSpaceDN w:val="0"/>
        <w:bidi w:val="0"/>
        <w:adjustRightInd/>
        <w:snapToGrid/>
        <w:spacing w:line="360" w:lineRule="auto"/>
        <w:ind w:left="0" w:leftChars="0" w:firstLine="422" w:firstLineChars="200"/>
        <w:textAlignment w:val="bottom"/>
        <w:outlineLvl w:val="2"/>
        <w:rPr>
          <w:rFonts w:hint="eastAsia" w:ascii="宋体" w:hAnsi="宋体" w:cs="宋体"/>
          <w:b/>
          <w:szCs w:val="21"/>
          <w:highlight w:val="none"/>
        </w:rPr>
      </w:pPr>
      <w:r>
        <w:rPr>
          <w:rFonts w:hint="eastAsia" w:ascii="宋体" w:hAnsi="宋体" w:eastAsia="宋体" w:cs="宋体"/>
          <w:b/>
          <w:kern w:val="2"/>
          <w:sz w:val="21"/>
          <w:szCs w:val="21"/>
          <w:lang w:val="en-US" w:eastAsia="zh-CN" w:bidi="ar-SA"/>
        </w:rPr>
        <w:t>30.</w:t>
      </w:r>
      <w:r>
        <w:rPr>
          <w:rFonts w:hint="eastAsia" w:ascii="宋体" w:hAnsi="宋体" w:cs="宋体"/>
          <w:b/>
          <w:szCs w:val="21"/>
          <w:highlight w:val="none"/>
        </w:rPr>
        <w:t xml:space="preserve">采购代理服务费 </w:t>
      </w:r>
    </w:p>
    <w:p w14:paraId="098F0A9D">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r>
        <w:rPr>
          <w:rFonts w:hint="eastAsia" w:ascii="宋体" w:hAnsi="宋体" w:eastAsia="宋体" w:cs="宋体"/>
          <w:kern w:val="2"/>
          <w:sz w:val="21"/>
          <w:szCs w:val="21"/>
          <w:lang w:val="en-US" w:eastAsia="zh-CN" w:bidi="ar-SA"/>
        </w:rPr>
        <w:t>30.1</w:t>
      </w:r>
      <w:r>
        <w:rPr>
          <w:rFonts w:hint="eastAsia" w:ascii="宋体" w:hAnsi="宋体" w:cs="宋体"/>
          <w:szCs w:val="21"/>
          <w:highlight w:val="none"/>
        </w:rPr>
        <w:t>本项目代理服务费由中标成交人支付，以中标价为计算基数，按</w:t>
      </w:r>
      <w:r>
        <w:rPr>
          <w:rFonts w:hint="eastAsia" w:ascii="宋体" w:hAnsi="宋体" w:cs="宋体"/>
          <w:szCs w:val="21"/>
          <w:highlight w:val="none"/>
          <w:lang w:val="en-US" w:eastAsia="zh-CN"/>
        </w:rPr>
        <w:t>以下</w:t>
      </w:r>
      <w:r>
        <w:rPr>
          <w:rFonts w:hint="eastAsia" w:ascii="宋体" w:hAnsi="宋体" w:cs="宋体"/>
          <w:szCs w:val="21"/>
          <w:highlight w:val="none"/>
        </w:rPr>
        <w:t>工程类标准费率计算值收取</w:t>
      </w:r>
      <w:r>
        <w:rPr>
          <w:rFonts w:hint="eastAsia" w:ascii="宋体" w:hAnsi="宋体" w:cs="宋体"/>
          <w:szCs w:val="21"/>
          <w:highlight w:val="none"/>
          <w:lang w:eastAsia="zh-CN"/>
        </w:rPr>
        <w:t>。</w:t>
      </w:r>
      <w:r>
        <w:rPr>
          <w:rFonts w:hint="eastAsia" w:ascii="宋体" w:hAnsi="宋体" w:cs="宋体"/>
          <w:szCs w:val="21"/>
          <w:highlight w:val="none"/>
        </w:rPr>
        <w:t>在领取中标通知书前一次性付清。成交供应商不按采购文件规定交纳采购代理服务费，将取消其成交资格。同时成交供应商应向采购代理机构交纳采购文件规定的采购代理服务费作为赔偿。</w:t>
      </w:r>
    </w:p>
    <w:tbl>
      <w:tblPr>
        <w:tblStyle w:val="3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3"/>
        <w:gridCol w:w="3146"/>
      </w:tblGrid>
      <w:tr w14:paraId="10E6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4493723E">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金额（万元）</w:t>
            </w:r>
          </w:p>
        </w:tc>
        <w:tc>
          <w:tcPr>
            <w:tcW w:w="3146" w:type="dxa"/>
            <w:noWrap w:val="0"/>
            <w:vAlign w:val="center"/>
          </w:tcPr>
          <w:p w14:paraId="470504AB">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工程类费率</w:t>
            </w:r>
          </w:p>
        </w:tc>
      </w:tr>
      <w:tr w14:paraId="2728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21E04121">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100以下部分</w:t>
            </w:r>
          </w:p>
        </w:tc>
        <w:tc>
          <w:tcPr>
            <w:tcW w:w="3146" w:type="dxa"/>
            <w:noWrap w:val="0"/>
            <w:vAlign w:val="center"/>
          </w:tcPr>
          <w:p w14:paraId="7EF9DA79">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w:t>
            </w:r>
          </w:p>
        </w:tc>
      </w:tr>
      <w:tr w14:paraId="05BA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63D2A377">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100~500之间部分</w:t>
            </w:r>
          </w:p>
        </w:tc>
        <w:tc>
          <w:tcPr>
            <w:tcW w:w="3146" w:type="dxa"/>
            <w:noWrap w:val="0"/>
            <w:vAlign w:val="center"/>
          </w:tcPr>
          <w:p w14:paraId="5A174182">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0.7%</w:t>
            </w:r>
          </w:p>
        </w:tc>
      </w:tr>
      <w:tr w14:paraId="02E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933" w:type="dxa"/>
            <w:noWrap w:val="0"/>
            <w:vAlign w:val="center"/>
          </w:tcPr>
          <w:p w14:paraId="23D16C6F">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z w:val="21"/>
                <w:szCs w:val="21"/>
              </w:rPr>
              <w:t>500-1000</w:t>
            </w:r>
            <w:r>
              <w:rPr>
                <w:rFonts w:hint="default" w:ascii="Times New Roman" w:hAnsi="Times New Roman"/>
                <w:snapToGrid w:val="0"/>
                <w:kern w:val="0"/>
                <w:sz w:val="21"/>
                <w:szCs w:val="21"/>
                <w:lang w:val="en-US" w:eastAsia="zh-CN"/>
              </w:rPr>
              <w:t>之间部分</w:t>
            </w:r>
          </w:p>
        </w:tc>
        <w:tc>
          <w:tcPr>
            <w:tcW w:w="3146" w:type="dxa"/>
            <w:noWrap w:val="0"/>
            <w:vAlign w:val="center"/>
          </w:tcPr>
          <w:p w14:paraId="555693BF">
            <w:pPr>
              <w:pStyle w:val="119"/>
              <w:keepNext w:val="0"/>
              <w:keepLines w:val="0"/>
              <w:suppressLineNumbers w:val="0"/>
              <w:shd w:val="clear"/>
              <w:adjustRightInd w:val="0"/>
              <w:snapToGrid w:val="0"/>
              <w:spacing w:before="0" w:beforeAutospacing="0" w:after="0" w:afterAutospacing="0" w:line="240" w:lineRule="auto"/>
              <w:ind w:left="0" w:right="0" w:firstLine="0" w:firstLineChars="0"/>
              <w:jc w:val="center"/>
              <w:rPr>
                <w:rFonts w:hint="default" w:ascii="Times New Roman" w:hAnsi="Times New Roman"/>
                <w:snapToGrid w:val="0"/>
                <w:kern w:val="0"/>
                <w:sz w:val="21"/>
                <w:szCs w:val="21"/>
                <w:lang w:val="en-US" w:eastAsia="zh-CN"/>
              </w:rPr>
            </w:pPr>
            <w:r>
              <w:rPr>
                <w:rFonts w:hint="default" w:ascii="Times New Roman" w:hAnsi="Times New Roman"/>
                <w:snapToGrid w:val="0"/>
                <w:kern w:val="0"/>
                <w:sz w:val="21"/>
                <w:szCs w:val="21"/>
                <w:lang w:val="en-US" w:eastAsia="zh-CN"/>
              </w:rPr>
              <w:t>0.55%</w:t>
            </w:r>
          </w:p>
        </w:tc>
      </w:tr>
    </w:tbl>
    <w:p w14:paraId="61E01EF1">
      <w:pPr>
        <w:pStyle w:val="113"/>
        <w:pageBreakBefore w:val="0"/>
        <w:numPr>
          <w:ilvl w:val="1"/>
          <w:numId w:val="0"/>
        </w:numPr>
        <w:tabs>
          <w:tab w:val="left" w:pos="0"/>
          <w:tab w:val="left" w:pos="420"/>
        </w:tabs>
        <w:kinsoku/>
        <w:wordWrap/>
        <w:overflowPunct/>
        <w:topLinePunct w:val="0"/>
        <w:autoSpaceDE w:val="0"/>
        <w:autoSpaceDN w:val="0"/>
        <w:bidi w:val="0"/>
        <w:adjustRightInd/>
        <w:snapToGrid/>
        <w:spacing w:line="360" w:lineRule="auto"/>
        <w:ind w:left="0" w:leftChars="0" w:firstLine="420" w:firstLineChars="200"/>
        <w:textAlignment w:val="bottom"/>
        <w:outlineLvl w:val="2"/>
        <w:rPr>
          <w:rFonts w:hint="eastAsia" w:ascii="宋体" w:hAnsi="宋体" w:cs="宋体"/>
          <w:szCs w:val="21"/>
          <w:highlight w:val="none"/>
        </w:rPr>
      </w:pPr>
    </w:p>
    <w:p w14:paraId="0F6CFDE0">
      <w:pPr>
        <w:pStyle w:val="3"/>
        <w:spacing w:before="0" w:after="0" w:line="360" w:lineRule="auto"/>
        <w:jc w:val="center"/>
        <w:rPr>
          <w:rFonts w:hint="eastAsia" w:ascii="宋体" w:hAnsi="宋体" w:cs="宋体"/>
          <w:sz w:val="32"/>
          <w:szCs w:val="32"/>
        </w:rPr>
      </w:pPr>
    </w:p>
    <w:p w14:paraId="557A5BF3">
      <w:pPr>
        <w:pStyle w:val="3"/>
        <w:spacing w:before="0" w:after="0" w:line="360" w:lineRule="auto"/>
        <w:jc w:val="center"/>
        <w:rPr>
          <w:rFonts w:hint="eastAsia" w:ascii="宋体" w:hAnsi="宋体" w:cs="宋体"/>
          <w:sz w:val="32"/>
          <w:szCs w:val="32"/>
        </w:rPr>
      </w:pPr>
    </w:p>
    <w:p w14:paraId="008F54C6">
      <w:pPr>
        <w:pStyle w:val="3"/>
        <w:spacing w:before="0" w:after="0" w:line="360" w:lineRule="auto"/>
        <w:jc w:val="both"/>
        <w:rPr>
          <w:rFonts w:hint="eastAsia" w:ascii="宋体" w:hAnsi="宋体" w:cs="宋体"/>
          <w:sz w:val="32"/>
          <w:szCs w:val="32"/>
        </w:rPr>
      </w:pPr>
    </w:p>
    <w:p w14:paraId="7C4DF8FD">
      <w:pPr>
        <w:pStyle w:val="3"/>
        <w:spacing w:before="0" w:after="0" w:line="360" w:lineRule="auto"/>
        <w:jc w:val="center"/>
        <w:rPr>
          <w:rFonts w:hint="eastAsia" w:ascii="宋体" w:hAnsi="宋体" w:cs="宋体"/>
          <w:sz w:val="32"/>
          <w:szCs w:val="32"/>
        </w:rPr>
      </w:pPr>
    </w:p>
    <w:p w14:paraId="2EE3C8D0">
      <w:pPr>
        <w:pStyle w:val="3"/>
        <w:spacing w:before="0" w:after="0" w:line="360" w:lineRule="auto"/>
        <w:jc w:val="center"/>
        <w:rPr>
          <w:rFonts w:hint="eastAsia" w:ascii="宋体" w:hAnsi="宋体" w:cs="宋体"/>
          <w:sz w:val="32"/>
          <w:szCs w:val="32"/>
        </w:rPr>
      </w:pPr>
    </w:p>
    <w:p w14:paraId="561C9AAE">
      <w:pPr>
        <w:pStyle w:val="3"/>
        <w:spacing w:before="0" w:after="0" w:line="360" w:lineRule="auto"/>
        <w:jc w:val="center"/>
        <w:rPr>
          <w:rFonts w:hint="eastAsia" w:ascii="宋体" w:hAnsi="宋体" w:cs="宋体"/>
          <w:sz w:val="32"/>
          <w:szCs w:val="32"/>
        </w:rPr>
      </w:pPr>
    </w:p>
    <w:p w14:paraId="17ED6BAE">
      <w:pPr>
        <w:pStyle w:val="3"/>
        <w:spacing w:before="0" w:after="0" w:line="360" w:lineRule="auto"/>
        <w:jc w:val="center"/>
        <w:rPr>
          <w:rFonts w:hint="eastAsia" w:ascii="宋体" w:hAnsi="宋体" w:cs="宋体"/>
          <w:sz w:val="32"/>
          <w:szCs w:val="32"/>
        </w:rPr>
      </w:pPr>
    </w:p>
    <w:p w14:paraId="61F3B5C3">
      <w:pPr>
        <w:pStyle w:val="3"/>
        <w:spacing w:before="0" w:after="0" w:line="360" w:lineRule="auto"/>
        <w:jc w:val="center"/>
        <w:rPr>
          <w:rFonts w:hint="eastAsia" w:ascii="宋体" w:hAnsi="宋体" w:cs="宋体"/>
          <w:sz w:val="32"/>
          <w:szCs w:val="32"/>
        </w:rPr>
      </w:pPr>
    </w:p>
    <w:p w14:paraId="17DF9727">
      <w:pPr>
        <w:pStyle w:val="3"/>
        <w:spacing w:before="0" w:after="0" w:line="360" w:lineRule="auto"/>
        <w:jc w:val="center"/>
        <w:rPr>
          <w:rFonts w:hint="eastAsia" w:ascii="宋体" w:hAnsi="宋体" w:cs="宋体"/>
          <w:sz w:val="32"/>
          <w:szCs w:val="32"/>
        </w:rPr>
      </w:pPr>
    </w:p>
    <w:p w14:paraId="5E6983CA">
      <w:pPr>
        <w:pStyle w:val="3"/>
        <w:spacing w:before="0" w:after="0" w:line="360" w:lineRule="auto"/>
        <w:jc w:val="both"/>
        <w:rPr>
          <w:rFonts w:hint="eastAsia" w:ascii="宋体" w:hAnsi="宋体" w:cs="宋体"/>
          <w:sz w:val="32"/>
          <w:szCs w:val="32"/>
        </w:rPr>
      </w:pPr>
    </w:p>
    <w:p w14:paraId="17493B46">
      <w:pPr>
        <w:pStyle w:val="3"/>
        <w:spacing w:before="0" w:after="0" w:line="360" w:lineRule="auto"/>
        <w:jc w:val="both"/>
        <w:rPr>
          <w:rFonts w:hint="eastAsia" w:ascii="宋体" w:hAnsi="宋体" w:cs="宋体"/>
          <w:sz w:val="32"/>
          <w:szCs w:val="32"/>
        </w:rPr>
      </w:pPr>
    </w:p>
    <w:p w14:paraId="394A7C7C">
      <w:pPr>
        <w:pStyle w:val="3"/>
        <w:spacing w:before="0" w:after="0" w:line="360" w:lineRule="auto"/>
        <w:jc w:val="center"/>
        <w:rPr>
          <w:rFonts w:hint="eastAsia" w:ascii="宋体" w:hAnsi="宋体" w:cs="宋体"/>
          <w:sz w:val="32"/>
          <w:szCs w:val="32"/>
        </w:rPr>
      </w:pPr>
    </w:p>
    <w:p w14:paraId="5B84D229">
      <w:pPr>
        <w:pStyle w:val="3"/>
        <w:spacing w:before="0" w:after="0" w:line="360" w:lineRule="auto"/>
        <w:jc w:val="center"/>
        <w:rPr>
          <w:rFonts w:hint="eastAsia" w:ascii="宋体" w:hAnsi="宋体" w:cs="宋体"/>
          <w:sz w:val="32"/>
          <w:szCs w:val="32"/>
        </w:rPr>
      </w:pPr>
    </w:p>
    <w:p w14:paraId="1602D4EB">
      <w:pPr>
        <w:pStyle w:val="3"/>
        <w:spacing w:before="0" w:after="0" w:line="360" w:lineRule="auto"/>
        <w:jc w:val="center"/>
        <w:rPr>
          <w:rFonts w:hint="eastAsia" w:ascii="宋体" w:hAnsi="宋体" w:cs="宋体"/>
          <w:sz w:val="32"/>
          <w:szCs w:val="32"/>
        </w:rPr>
      </w:pPr>
    </w:p>
    <w:p w14:paraId="3E4225D5">
      <w:pPr>
        <w:rPr>
          <w:rFonts w:hint="eastAsia"/>
        </w:rPr>
      </w:pPr>
    </w:p>
    <w:p w14:paraId="43DC0E54">
      <w:pPr>
        <w:pStyle w:val="3"/>
        <w:spacing w:before="0" w:after="0" w:line="360" w:lineRule="auto"/>
        <w:jc w:val="center"/>
        <w:rPr>
          <w:rFonts w:hint="eastAsia" w:ascii="宋体" w:hAnsi="宋体" w:cs="宋体"/>
          <w:sz w:val="32"/>
          <w:szCs w:val="32"/>
        </w:rPr>
      </w:pPr>
      <w:r>
        <w:rPr>
          <w:rFonts w:hint="eastAsia" w:ascii="宋体" w:hAnsi="宋体" w:cs="宋体"/>
          <w:sz w:val="32"/>
          <w:szCs w:val="32"/>
        </w:rPr>
        <w:t>第四章  评审办法</w:t>
      </w:r>
      <w:bookmarkEnd w:id="140"/>
    </w:p>
    <w:p w14:paraId="3A5EC2D9">
      <w:pPr>
        <w:spacing w:line="360" w:lineRule="auto"/>
        <w:rPr>
          <w:rFonts w:hint="eastAsia"/>
          <w:lang w:val="zh-CN"/>
        </w:rPr>
      </w:pPr>
      <w:r>
        <w:rPr>
          <w:rFonts w:hint="eastAsia"/>
          <w:lang w:val="zh-CN"/>
        </w:rPr>
        <w:t xml:space="preserve">一、采购组织机构将组织磋商小组，对供应商提供的磋商响应文件进行综合评审。   </w:t>
      </w:r>
    </w:p>
    <w:p w14:paraId="7386094D">
      <w:pPr>
        <w:spacing w:line="360" w:lineRule="auto"/>
        <w:rPr>
          <w:rFonts w:hint="eastAsia"/>
          <w:lang w:val="zh-CN"/>
        </w:rPr>
      </w:pPr>
      <w:r>
        <w:rPr>
          <w:rFonts w:hint="eastAsia"/>
          <w:lang w:val="zh-CN"/>
        </w:rPr>
        <w:t>二、本次磋商项目的评审方法为综合评分法，总计100分(商务与技术文件为</w:t>
      </w:r>
      <w:r>
        <w:rPr>
          <w:rFonts w:hint="eastAsia"/>
          <w:lang w:val="en-US" w:eastAsia="zh-CN"/>
        </w:rPr>
        <w:t>6</w:t>
      </w:r>
      <w:r>
        <w:rPr>
          <w:rFonts w:hint="eastAsia"/>
          <w:lang w:val="zh-CN"/>
        </w:rPr>
        <w:t>0分，报价文件为</w:t>
      </w:r>
      <w:r>
        <w:rPr>
          <w:rFonts w:hint="eastAsia"/>
          <w:lang w:val="en-US" w:eastAsia="zh-CN"/>
        </w:rPr>
        <w:t>4</w:t>
      </w:r>
      <w:r>
        <w:rPr>
          <w:rFonts w:hint="eastAsia"/>
          <w:lang w:val="zh-CN"/>
        </w:rPr>
        <w:t>0分)。</w:t>
      </w:r>
    </w:p>
    <w:p w14:paraId="7AF69DDA">
      <w:pPr>
        <w:spacing w:line="360" w:lineRule="auto"/>
        <w:rPr>
          <w:rFonts w:hint="eastAsia"/>
          <w:lang w:val="zh-CN"/>
        </w:rPr>
      </w:pPr>
      <w:r>
        <w:rPr>
          <w:rFonts w:hint="eastAsia"/>
          <w:lang w:val="zh-CN"/>
        </w:rPr>
        <w:t>（一）商务与技术文件中的客观分由磋商小组讨论后统一打分；其余在规定的分值内单独评定打分。</w:t>
      </w:r>
    </w:p>
    <w:p w14:paraId="562AB5CD">
      <w:pPr>
        <w:spacing w:line="360" w:lineRule="auto"/>
        <w:rPr>
          <w:rFonts w:hint="eastAsia"/>
          <w:lang w:val="zh-CN"/>
        </w:rPr>
      </w:pPr>
      <w:r>
        <w:rPr>
          <w:rFonts w:hint="eastAsia"/>
          <w:lang w:val="zh-CN"/>
        </w:rPr>
        <w:t>（二）各磋商供应商商务与技术文件得分按照磋商小组成员的独立评分结果汇总后的算术平均分计算，计算公式为：</w:t>
      </w:r>
    </w:p>
    <w:p w14:paraId="5859B2CF">
      <w:pPr>
        <w:spacing w:line="360" w:lineRule="auto"/>
        <w:rPr>
          <w:rFonts w:hint="eastAsia"/>
          <w:lang w:val="zh-CN"/>
        </w:rPr>
      </w:pPr>
      <w:r>
        <w:rPr>
          <w:rFonts w:hint="eastAsia"/>
          <w:lang w:val="zh-CN"/>
        </w:rPr>
        <w:t>商务与技术文件得分=磋商小组所有成员评分合计数/磋商小组组成人员数。</w:t>
      </w:r>
    </w:p>
    <w:p w14:paraId="21A3EC09">
      <w:pPr>
        <w:spacing w:line="360" w:lineRule="auto"/>
        <w:rPr>
          <w:rFonts w:hint="eastAsia"/>
          <w:lang w:val="zh-CN"/>
        </w:rPr>
      </w:pPr>
      <w:r>
        <w:rPr>
          <w:rFonts w:hint="eastAsia"/>
          <w:lang w:val="zh-CN"/>
        </w:rPr>
        <w:t>（三）综合评分法中的价格分统一采用低价优先法计算，即满足磋商文件要求且最终报价最低的供应商的价格作为磋商基准价，其报价得满分。其他供应商的价格分统一按照下列公式计算：</w:t>
      </w:r>
    </w:p>
    <w:p w14:paraId="59D96206">
      <w:pPr>
        <w:spacing w:line="360" w:lineRule="auto"/>
        <w:rPr>
          <w:rFonts w:hint="eastAsia"/>
          <w:lang w:val="zh-CN"/>
        </w:rPr>
      </w:pPr>
      <w:r>
        <w:rPr>
          <w:rFonts w:hint="eastAsia"/>
          <w:lang w:val="zh-CN"/>
        </w:rPr>
        <w:t>磋商报价得分=(磋商基准价／最终磋商报价)×</w:t>
      </w:r>
      <w:r>
        <w:rPr>
          <w:rFonts w:hint="eastAsia"/>
          <w:lang w:val="en-US" w:eastAsia="zh-CN"/>
        </w:rPr>
        <w:t>4</w:t>
      </w:r>
      <w:r>
        <w:rPr>
          <w:rFonts w:hint="eastAsia"/>
          <w:lang w:val="zh-CN"/>
        </w:rPr>
        <w:t>0%×100 。</w:t>
      </w:r>
    </w:p>
    <w:p w14:paraId="53B0E909">
      <w:pPr>
        <w:spacing w:line="360" w:lineRule="auto"/>
        <w:rPr>
          <w:rFonts w:hint="eastAsia"/>
          <w:lang w:val="zh-CN"/>
        </w:rPr>
      </w:pPr>
      <w:r>
        <w:rPr>
          <w:rFonts w:hint="eastAsia"/>
          <w:lang w:val="zh-CN"/>
        </w:rPr>
        <w:t>注：评分过程中采用四舍五入法，并保留小数2位（以</w:t>
      </w:r>
      <w:r>
        <w:rPr>
          <w:rFonts w:hint="eastAsia"/>
          <w:lang w:val="en-US" w:eastAsia="zh-CN"/>
        </w:rPr>
        <w:t>乐</w:t>
      </w:r>
      <w:r>
        <w:rPr>
          <w:rFonts w:hint="eastAsia"/>
          <w:lang w:val="zh-CN"/>
        </w:rPr>
        <w:t>采云系统计算为准）。</w:t>
      </w:r>
    </w:p>
    <w:p w14:paraId="30302CC9">
      <w:pPr>
        <w:spacing w:line="360" w:lineRule="auto"/>
        <w:rPr>
          <w:rFonts w:hint="eastAsia"/>
          <w:lang w:val="zh-CN"/>
        </w:rPr>
      </w:pPr>
      <w:r>
        <w:rPr>
          <w:rFonts w:hint="eastAsia"/>
          <w:lang w:val="zh-CN"/>
        </w:rPr>
        <w:t>三、在最大限度地满足磋商文件实质性要求前提下，磋商小组按照磋商文件中规定的各项因素进行综合评审后，以评审总得分最高的供应商为成交候选供应商。</w:t>
      </w:r>
    </w:p>
    <w:p w14:paraId="0EC7612B">
      <w:pPr>
        <w:spacing w:line="360" w:lineRule="auto"/>
        <w:rPr>
          <w:lang w:val="zh-CN"/>
        </w:rPr>
      </w:pPr>
      <w:r>
        <w:rPr>
          <w:rFonts w:hint="eastAsia"/>
          <w:lang w:val="zh-CN"/>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72BC0B20">
      <w:pPr>
        <w:spacing w:line="360" w:lineRule="auto"/>
        <w:rPr>
          <w:lang w:val="zh-CN"/>
        </w:rPr>
        <w:sectPr>
          <w:pgSz w:w="11905" w:h="16838"/>
          <w:pgMar w:top="1417" w:right="1587" w:bottom="1417" w:left="1587" w:header="907" w:footer="924" w:gutter="0"/>
          <w:cols w:space="0" w:num="1"/>
          <w:docGrid w:type="lines" w:linePitch="304" w:charSpace="0"/>
        </w:sectPr>
      </w:pPr>
    </w:p>
    <w:p w14:paraId="7B1F37CA">
      <w:pPr>
        <w:spacing w:line="360" w:lineRule="auto"/>
      </w:pPr>
      <w:r>
        <w:rPr>
          <w:rFonts w:hint="eastAsia" w:ascii="宋体" w:hAnsi="宋体" w:cs="宋体"/>
          <w:b/>
          <w:kern w:val="0"/>
          <w:szCs w:val="21"/>
          <w:lang w:val="zh-CN"/>
        </w:rPr>
        <w:t>附表：</w:t>
      </w:r>
      <w:r>
        <w:rPr>
          <w:rFonts w:hint="eastAsia" w:ascii="宋体" w:hAnsi="宋体" w:cs="宋体"/>
          <w:b/>
          <w:szCs w:val="21"/>
        </w:rPr>
        <w:t>评分标准表</w:t>
      </w:r>
    </w:p>
    <w:tbl>
      <w:tblPr>
        <w:tblStyle w:val="36"/>
        <w:tblpPr w:leftFromText="180" w:rightFromText="180" w:vertAnchor="text" w:horzAnchor="page" w:tblpX="1136" w:tblpY="304"/>
        <w:tblOverlap w:val="never"/>
        <w:tblW w:w="10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57"/>
        <w:gridCol w:w="6903"/>
        <w:gridCol w:w="518"/>
        <w:gridCol w:w="785"/>
      </w:tblGrid>
      <w:tr w14:paraId="52DA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258" w:type="dxa"/>
            <w:gridSpan w:val="5"/>
            <w:shd w:val="pct10" w:color="auto" w:fill="auto"/>
            <w:vAlign w:val="center"/>
          </w:tcPr>
          <w:p w14:paraId="6FE7C676">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kern w:val="0"/>
                <w:szCs w:val="21"/>
                <w:highlight w:val="none"/>
                <w:lang w:val="zh-CN"/>
              </w:rPr>
              <w:t>第一部分</w:t>
            </w:r>
            <w:r>
              <w:rPr>
                <w:rFonts w:hint="eastAsia" w:ascii="宋体" w:hAnsi="宋体" w:eastAsia="宋体" w:cs="宋体"/>
                <w:b/>
                <w:color w:val="auto"/>
                <w:kern w:val="0"/>
                <w:szCs w:val="21"/>
                <w:highlight w:val="none"/>
              </w:rPr>
              <w:t xml:space="preserve">  </w:t>
            </w:r>
            <w:r>
              <w:rPr>
                <w:rFonts w:hint="eastAsia" w:ascii="宋体" w:hAnsi="宋体" w:cs="宋体"/>
                <w:b/>
                <w:color w:val="auto"/>
                <w:kern w:val="0"/>
                <w:szCs w:val="21"/>
                <w:highlight w:val="none"/>
                <w:lang w:val="zh-CN"/>
              </w:rPr>
              <w:t>商务与技术文件</w:t>
            </w:r>
            <w:r>
              <w:rPr>
                <w:rFonts w:hint="eastAsia" w:ascii="宋体" w:hAnsi="宋体" w:eastAsia="宋体" w:cs="宋体"/>
                <w:b/>
                <w:color w:val="auto"/>
                <w:kern w:val="0"/>
                <w:szCs w:val="21"/>
                <w:highlight w:val="none"/>
                <w:lang w:val="zh-CN"/>
              </w:rPr>
              <w:t xml:space="preserve">评分 </w:t>
            </w:r>
          </w:p>
        </w:tc>
      </w:tr>
      <w:tr w14:paraId="3E9A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5" w:type="dxa"/>
            <w:vAlign w:val="center"/>
          </w:tcPr>
          <w:p w14:paraId="2294516C">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kern w:val="0"/>
                <w:szCs w:val="21"/>
                <w:highlight w:val="none"/>
              </w:rPr>
              <w:t>序号</w:t>
            </w:r>
          </w:p>
        </w:tc>
        <w:tc>
          <w:tcPr>
            <w:tcW w:w="1357" w:type="dxa"/>
            <w:vAlign w:val="center"/>
          </w:tcPr>
          <w:p w14:paraId="5795ED85">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kern w:val="0"/>
                <w:szCs w:val="21"/>
                <w:highlight w:val="none"/>
              </w:rPr>
              <w:t>评分因素</w:t>
            </w:r>
          </w:p>
        </w:tc>
        <w:tc>
          <w:tcPr>
            <w:tcW w:w="7421" w:type="dxa"/>
            <w:gridSpan w:val="2"/>
            <w:vAlign w:val="center"/>
          </w:tcPr>
          <w:p w14:paraId="0FCF71CC">
            <w:pPr>
              <w:keepNext w:val="0"/>
              <w:keepLines w:val="0"/>
              <w:pageBreakBefore w:val="0"/>
              <w:widowControl/>
              <w:kinsoku/>
              <w:wordWrap/>
              <w:overflowPunct/>
              <w:topLinePunct w:val="0"/>
              <w:bidi w:val="0"/>
              <w:adjustRightInd/>
              <w:snapToGrid/>
              <w:spacing w:line="400" w:lineRule="exact"/>
              <w:ind w:firstLine="211" w:firstLineChars="100"/>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kern w:val="0"/>
                <w:szCs w:val="21"/>
                <w:highlight w:val="none"/>
              </w:rPr>
              <w:t>具体内容及分数的构成</w:t>
            </w:r>
          </w:p>
        </w:tc>
        <w:tc>
          <w:tcPr>
            <w:tcW w:w="785" w:type="dxa"/>
            <w:vAlign w:val="center"/>
          </w:tcPr>
          <w:p w14:paraId="11ED8F96">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kern w:val="0"/>
                <w:szCs w:val="21"/>
                <w:highlight w:val="none"/>
              </w:rPr>
              <w:t>满分</w:t>
            </w:r>
          </w:p>
        </w:tc>
      </w:tr>
      <w:tr w14:paraId="26B2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5" w:type="dxa"/>
            <w:vAlign w:val="center"/>
          </w:tcPr>
          <w:p w14:paraId="1A654512">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cs="宋体"/>
                <w:b/>
                <w:kern w:val="0"/>
                <w:szCs w:val="21"/>
              </w:rPr>
              <w:t>一</w:t>
            </w:r>
          </w:p>
        </w:tc>
        <w:tc>
          <w:tcPr>
            <w:tcW w:w="8778" w:type="dxa"/>
            <w:gridSpan w:val="3"/>
            <w:vAlign w:val="center"/>
          </w:tcPr>
          <w:p w14:paraId="3045C353">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cs="宋体"/>
                <w:b/>
                <w:kern w:val="0"/>
                <w:szCs w:val="21"/>
              </w:rPr>
              <w:t>商务资信部分</w:t>
            </w:r>
          </w:p>
        </w:tc>
        <w:tc>
          <w:tcPr>
            <w:tcW w:w="785" w:type="dxa"/>
            <w:vAlign w:val="center"/>
          </w:tcPr>
          <w:p w14:paraId="2EF86B81">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cs="宋体"/>
                <w:b/>
                <w:color w:val="auto"/>
                <w:kern w:val="0"/>
                <w:szCs w:val="21"/>
                <w:highlight w:val="none"/>
                <w:lang w:val="en-US" w:eastAsia="zh-CN"/>
              </w:rPr>
              <w:t>25（分）</w:t>
            </w:r>
          </w:p>
        </w:tc>
      </w:tr>
      <w:tr w14:paraId="18F4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5" w:type="dxa"/>
            <w:vAlign w:val="center"/>
          </w:tcPr>
          <w:p w14:paraId="599AAC8D">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eastAsia="宋体" w:cs="宋体"/>
                <w:color w:val="auto"/>
                <w:kern w:val="0"/>
                <w:sz w:val="21"/>
                <w:szCs w:val="21"/>
                <w:highlight w:val="none"/>
                <w:lang w:val="en-US" w:eastAsia="zh-CN" w:bidi="ar-SA"/>
              </w:rPr>
              <w:t>1</w:t>
            </w:r>
          </w:p>
        </w:tc>
        <w:tc>
          <w:tcPr>
            <w:tcW w:w="1357" w:type="dxa"/>
            <w:vAlign w:val="center"/>
          </w:tcPr>
          <w:p w14:paraId="0E608A46">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Cs/>
                <w:szCs w:val="21"/>
              </w:rPr>
            </w:pPr>
            <w:r>
              <w:rPr>
                <w:rFonts w:hint="eastAsia" w:ascii="宋体" w:hAnsi="宋体" w:cs="宋体"/>
                <w:sz w:val="21"/>
                <w:szCs w:val="21"/>
                <w:lang w:eastAsia="zh-CN"/>
              </w:rPr>
              <w:t>标书质量</w:t>
            </w:r>
          </w:p>
        </w:tc>
        <w:tc>
          <w:tcPr>
            <w:tcW w:w="7421" w:type="dxa"/>
            <w:gridSpan w:val="2"/>
            <w:vAlign w:val="center"/>
          </w:tcPr>
          <w:p w14:paraId="4F68503D">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根据投标文件编制的完整</w:t>
            </w:r>
            <w:r>
              <w:rPr>
                <w:rFonts w:hint="eastAsia" w:ascii="宋体" w:hAnsi="宋体" w:eastAsia="宋体" w:cs="宋体"/>
                <w:b w:val="0"/>
                <w:bCs/>
                <w:sz w:val="21"/>
                <w:szCs w:val="21"/>
                <w:highlight w:val="none"/>
                <w:lang w:val="en-US" w:eastAsia="zh-CN"/>
              </w:rPr>
              <w:t>性</w:t>
            </w:r>
            <w:r>
              <w:rPr>
                <w:rFonts w:hint="eastAsia" w:ascii="宋体" w:hAnsi="宋体" w:eastAsia="宋体" w:cs="宋体"/>
                <w:b w:val="0"/>
                <w:bCs/>
                <w:sz w:val="21"/>
                <w:szCs w:val="21"/>
                <w:highlight w:val="none"/>
                <w:lang w:eastAsia="zh-CN"/>
              </w:rPr>
              <w:t>，</w:t>
            </w:r>
            <w:r>
              <w:rPr>
                <w:rFonts w:hint="eastAsia" w:ascii="宋体" w:hAnsi="宋体" w:eastAsia="宋体" w:cs="宋体"/>
                <w:bCs/>
                <w:color w:val="auto"/>
                <w:sz w:val="21"/>
                <w:szCs w:val="21"/>
              </w:rPr>
              <w:t>目录对应清晰</w:t>
            </w:r>
            <w:r>
              <w:rPr>
                <w:rFonts w:hint="eastAsia" w:ascii="宋体" w:hAnsi="宋体" w:eastAsia="宋体" w:cs="宋体"/>
                <w:bCs/>
                <w:color w:val="auto"/>
                <w:sz w:val="21"/>
                <w:szCs w:val="21"/>
                <w:lang w:val="en-US" w:eastAsia="zh-CN"/>
              </w:rPr>
              <w:t>程度、</w:t>
            </w:r>
            <w:r>
              <w:rPr>
                <w:rFonts w:hint="eastAsia" w:ascii="宋体" w:hAnsi="宋体" w:eastAsia="宋体" w:cs="宋体"/>
                <w:b w:val="0"/>
                <w:bCs/>
                <w:sz w:val="21"/>
                <w:szCs w:val="21"/>
                <w:highlight w:val="none"/>
              </w:rPr>
              <w:t>内容简洁明确程度</w:t>
            </w:r>
            <w:r>
              <w:rPr>
                <w:rFonts w:hint="eastAsia" w:ascii="宋体" w:hAnsi="宋体" w:cs="宋体"/>
                <w:b w:val="0"/>
                <w:bCs/>
                <w:sz w:val="21"/>
                <w:szCs w:val="21"/>
                <w:highlight w:val="none"/>
                <w:lang w:val="en-US" w:eastAsia="zh-CN"/>
              </w:rPr>
              <w:t>及</w:t>
            </w:r>
            <w:r>
              <w:rPr>
                <w:rFonts w:hint="eastAsia" w:ascii="宋体" w:hAnsi="宋体" w:eastAsia="宋体" w:cs="宋体"/>
                <w:b w:val="0"/>
                <w:bCs/>
                <w:sz w:val="21"/>
                <w:szCs w:val="21"/>
                <w:highlight w:val="none"/>
              </w:rPr>
              <w:t>针对性等情况酌情评分，对于各个评分指标，投标人应阐述明确，最高得2分</w:t>
            </w:r>
            <w:r>
              <w:rPr>
                <w:rFonts w:hint="eastAsia" w:ascii="宋体" w:hAnsi="宋体" w:cs="宋体"/>
                <w:b w:val="0"/>
                <w:bCs/>
                <w:sz w:val="21"/>
                <w:szCs w:val="21"/>
                <w:highlight w:val="none"/>
                <w:lang w:eastAsia="zh-CN"/>
              </w:rPr>
              <w:t>。</w:t>
            </w:r>
          </w:p>
          <w:p w14:paraId="59A83844">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Cs w:val="21"/>
              </w:rPr>
            </w:pPr>
            <w:r>
              <w:rPr>
                <w:rFonts w:hint="eastAsia" w:ascii="宋体" w:hAnsi="宋体" w:eastAsia="宋体" w:cs="宋体"/>
                <w:b/>
                <w:bCs w:val="0"/>
                <w:sz w:val="21"/>
                <w:szCs w:val="21"/>
                <w:highlight w:val="none"/>
              </w:rPr>
              <w:t>注</w:t>
            </w:r>
            <w:r>
              <w:rPr>
                <w:rFonts w:hint="eastAsia" w:ascii="宋体" w:hAnsi="宋体" w:cs="宋体"/>
                <w:b/>
                <w:bCs w:val="0"/>
                <w:sz w:val="21"/>
                <w:szCs w:val="21"/>
                <w:highlight w:val="none"/>
                <w:lang w:eastAsia="zh-CN"/>
              </w:rPr>
              <w:t>：</w:t>
            </w:r>
            <w:r>
              <w:rPr>
                <w:rFonts w:hint="eastAsia" w:ascii="宋体" w:hAnsi="宋体" w:eastAsia="宋体" w:cs="宋体"/>
                <w:b/>
                <w:bCs w:val="0"/>
                <w:sz w:val="21"/>
                <w:szCs w:val="21"/>
                <w:highlight w:val="none"/>
              </w:rPr>
              <w:t>标书应条理清晰，严格按照投标文件的顺序响应，响应标书时不得打乱条款顺序。若投标文件中出现内容顺序混乱前后矛盾或与招标文件要求不一致，该项不得分。</w:t>
            </w:r>
          </w:p>
        </w:tc>
        <w:tc>
          <w:tcPr>
            <w:tcW w:w="785" w:type="dxa"/>
            <w:vAlign w:val="center"/>
          </w:tcPr>
          <w:p w14:paraId="7A1BC78B">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2</w:t>
            </w:r>
          </w:p>
        </w:tc>
      </w:tr>
      <w:tr w14:paraId="2A10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5" w:type="dxa"/>
            <w:vMerge w:val="restart"/>
            <w:vAlign w:val="center"/>
          </w:tcPr>
          <w:p w14:paraId="3783942D">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p w14:paraId="7BA29DFE">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p>
        </w:tc>
        <w:tc>
          <w:tcPr>
            <w:tcW w:w="1357" w:type="dxa"/>
            <w:vMerge w:val="restart"/>
            <w:vAlign w:val="center"/>
          </w:tcPr>
          <w:p w14:paraId="0C6E388C">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类似项目</w:t>
            </w:r>
          </w:p>
          <w:p w14:paraId="0C2079B1">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 w:val="0"/>
                <w:bCs/>
                <w:color w:val="auto"/>
                <w:sz w:val="21"/>
                <w:szCs w:val="21"/>
                <w:highlight w:val="none"/>
                <w:u w:val="none"/>
                <w:lang w:val="en-US" w:eastAsia="zh-CN"/>
              </w:rPr>
              <w:t>业绩</w:t>
            </w:r>
          </w:p>
        </w:tc>
        <w:tc>
          <w:tcPr>
            <w:tcW w:w="7421" w:type="dxa"/>
            <w:gridSpan w:val="2"/>
            <w:vAlign w:val="top"/>
          </w:tcPr>
          <w:p w14:paraId="026A8E18">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自202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年1月1日</w:t>
            </w:r>
            <w:r>
              <w:rPr>
                <w:rFonts w:hint="eastAsia" w:ascii="宋体" w:hAnsi="宋体" w:cs="宋体"/>
                <w:color w:val="auto"/>
                <w:sz w:val="21"/>
                <w:szCs w:val="21"/>
                <w:lang w:eastAsia="zh-CN"/>
              </w:rPr>
              <w:t>（</w:t>
            </w:r>
            <w:r>
              <w:rPr>
                <w:rFonts w:hint="eastAsia" w:ascii="宋体" w:hAnsi="宋体" w:eastAsia="宋体" w:cs="宋体"/>
                <w:color w:val="auto"/>
                <w:sz w:val="21"/>
                <w:szCs w:val="21"/>
              </w:rPr>
              <w:t>以合同签订时间为准</w:t>
            </w:r>
            <w:r>
              <w:rPr>
                <w:rFonts w:hint="eastAsia" w:ascii="宋体" w:hAnsi="宋体" w:cs="宋体"/>
                <w:color w:val="auto"/>
                <w:sz w:val="21"/>
                <w:szCs w:val="21"/>
                <w:lang w:eastAsia="zh-CN"/>
              </w:rPr>
              <w:t>）</w:t>
            </w:r>
            <w:r>
              <w:rPr>
                <w:rFonts w:hint="eastAsia" w:ascii="宋体" w:hAnsi="宋体" w:eastAsia="宋体" w:cs="宋体"/>
                <w:color w:val="auto"/>
                <w:sz w:val="21"/>
                <w:szCs w:val="21"/>
              </w:rPr>
              <w:t>以来，承担过类似项目</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，每提供一</w:t>
            </w:r>
            <w:r>
              <w:rPr>
                <w:rFonts w:hint="eastAsia" w:ascii="宋体" w:hAnsi="宋体" w:eastAsia="宋体" w:cs="宋体"/>
                <w:b w:val="0"/>
                <w:bCs/>
                <w:sz w:val="21"/>
                <w:szCs w:val="21"/>
                <w:highlight w:val="none"/>
              </w:rPr>
              <w:t>个业绩得 1分，最高得</w:t>
            </w:r>
            <w:r>
              <w:rPr>
                <w:rFonts w:hint="eastAsia" w:ascii="宋体" w:hAnsi="宋体" w:eastAsia="宋体" w:cs="宋体"/>
                <w:b w:val="0"/>
                <w:bCs/>
                <w:sz w:val="21"/>
                <w:szCs w:val="21"/>
                <w:highlight w:val="none"/>
                <w:lang w:val="en-US" w:eastAsia="zh-CN"/>
              </w:rPr>
              <w:t>3</w:t>
            </w:r>
            <w:r>
              <w:rPr>
                <w:rFonts w:hint="eastAsia" w:ascii="宋体" w:hAnsi="宋体" w:eastAsia="宋体" w:cs="宋体"/>
                <w:b w:val="0"/>
                <w:bCs/>
                <w:sz w:val="21"/>
                <w:szCs w:val="21"/>
                <w:highlight w:val="none"/>
              </w:rPr>
              <w:t xml:space="preserve"> 分。</w:t>
            </w:r>
          </w:p>
          <w:p w14:paraId="154092C5">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b/>
                <w:bCs/>
                <w:szCs w:val="21"/>
              </w:rPr>
            </w:pPr>
            <w:r>
              <w:rPr>
                <w:rFonts w:hint="eastAsia" w:ascii="宋体" w:hAnsi="宋体" w:eastAsia="宋体" w:cs="宋体"/>
                <w:b/>
                <w:bCs w:val="0"/>
                <w:sz w:val="21"/>
                <w:szCs w:val="21"/>
                <w:highlight w:val="none"/>
              </w:rPr>
              <w:t>注</w:t>
            </w:r>
            <w:r>
              <w:rPr>
                <w:rFonts w:hint="eastAsia" w:ascii="宋体" w:hAnsi="宋体" w:cs="宋体"/>
                <w:b/>
                <w:bCs w:val="0"/>
                <w:sz w:val="21"/>
                <w:szCs w:val="21"/>
                <w:highlight w:val="none"/>
                <w:lang w:eastAsia="zh-CN"/>
              </w:rPr>
              <w:t>：</w:t>
            </w:r>
            <w:r>
              <w:rPr>
                <w:rFonts w:hint="eastAsia" w:ascii="宋体" w:hAnsi="宋体" w:eastAsia="宋体" w:cs="宋体"/>
                <w:b/>
                <w:bCs w:val="0"/>
                <w:sz w:val="21"/>
                <w:szCs w:val="21"/>
                <w:highlight w:val="none"/>
              </w:rPr>
              <w:t>须提供</w:t>
            </w:r>
            <w:r>
              <w:rPr>
                <w:rFonts w:hint="eastAsia" w:ascii="宋体" w:hAnsi="宋体" w:eastAsia="宋体" w:cs="宋体"/>
                <w:b/>
                <w:bCs/>
                <w:color w:val="auto"/>
                <w:sz w:val="21"/>
                <w:szCs w:val="21"/>
              </w:rPr>
              <w:t>中标通知书和合同的扫描件或复印件编入商务与技术文件中二者缺一不可，否则不得分。</w:t>
            </w:r>
          </w:p>
        </w:tc>
        <w:tc>
          <w:tcPr>
            <w:tcW w:w="785" w:type="dxa"/>
            <w:vAlign w:val="center"/>
          </w:tcPr>
          <w:p w14:paraId="6921B5C3">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b w:val="0"/>
                <w:bCs w:val="0"/>
                <w:color w:val="000000"/>
                <w:kern w:val="0"/>
                <w:sz w:val="21"/>
                <w:szCs w:val="21"/>
                <w:lang w:val="en-US" w:eastAsia="zh-CN"/>
              </w:rPr>
              <w:t>3</w:t>
            </w:r>
          </w:p>
        </w:tc>
      </w:tr>
      <w:tr w14:paraId="418A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95" w:type="dxa"/>
            <w:vMerge w:val="continue"/>
            <w:vAlign w:val="center"/>
          </w:tcPr>
          <w:p w14:paraId="22978A66">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p>
        </w:tc>
        <w:tc>
          <w:tcPr>
            <w:tcW w:w="1357" w:type="dxa"/>
            <w:vMerge w:val="continue"/>
            <w:vAlign w:val="center"/>
          </w:tcPr>
          <w:p w14:paraId="058D49F1">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p>
        </w:tc>
        <w:tc>
          <w:tcPr>
            <w:tcW w:w="7421" w:type="dxa"/>
            <w:gridSpan w:val="2"/>
            <w:vAlign w:val="top"/>
          </w:tcPr>
          <w:p w14:paraId="29DFC787">
            <w:pPr>
              <w:keepNext w:val="0"/>
              <w:keepLines w:val="0"/>
              <w:pageBreakBefore w:val="0"/>
              <w:kinsoku/>
              <w:wordWrap/>
              <w:overflowPunct/>
              <w:topLinePunct w:val="0"/>
              <w:bidi w:val="0"/>
              <w:adjustRightInd/>
              <w:snapToGri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供应商拟派项目负责人自20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年1月1日</w:t>
            </w:r>
            <w:r>
              <w:rPr>
                <w:rFonts w:hint="eastAsia" w:ascii="宋体" w:hAnsi="宋体" w:cs="Times New Roman"/>
                <w:color w:val="auto"/>
                <w:sz w:val="21"/>
                <w:szCs w:val="21"/>
                <w:lang w:val="en-US" w:eastAsia="zh-CN"/>
              </w:rPr>
              <w:t>（以合同签订时间为准）</w:t>
            </w:r>
            <w:r>
              <w:rPr>
                <w:rFonts w:hint="eastAsia" w:ascii="宋体" w:hAnsi="宋体" w:eastAsia="宋体" w:cs="宋体"/>
                <w:color w:val="auto"/>
                <w:sz w:val="21"/>
                <w:szCs w:val="21"/>
              </w:rPr>
              <w:t>以来</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完成过同类施工</w:t>
            </w:r>
            <w:r>
              <w:rPr>
                <w:rFonts w:hint="eastAsia" w:ascii="宋体" w:hAnsi="宋体" w:eastAsia="宋体" w:cs="宋体"/>
                <w:color w:val="auto"/>
                <w:sz w:val="21"/>
                <w:szCs w:val="21"/>
              </w:rPr>
              <w:t>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每项得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EDDDA34">
            <w:pPr>
              <w:pStyle w:val="17"/>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Cs/>
                <w:kern w:val="0"/>
                <w:szCs w:val="21"/>
              </w:rPr>
            </w:pPr>
            <w:r>
              <w:rPr>
                <w:rFonts w:hint="eastAsia" w:ascii="宋体" w:hAnsi="宋体" w:eastAsia="宋体" w:cs="宋体"/>
                <w:b/>
                <w:bCs/>
                <w:color w:val="auto"/>
                <w:sz w:val="21"/>
                <w:szCs w:val="21"/>
              </w:rPr>
              <w:t>注：须提供中标通知书和合同的扫描件或复印件</w:t>
            </w:r>
            <w:r>
              <w:rPr>
                <w:rFonts w:hint="eastAsia" w:ascii="宋体" w:hAnsi="宋体" w:eastAsia="宋体" w:cs="宋体"/>
                <w:b/>
                <w:bCs/>
                <w:color w:val="auto"/>
                <w:sz w:val="21"/>
                <w:szCs w:val="21"/>
                <w:lang w:eastAsia="zh-CN"/>
              </w:rPr>
              <w:t>及项目负责人近</w:t>
            </w:r>
            <w:r>
              <w:rPr>
                <w:rFonts w:hint="eastAsia" w:ascii="宋体" w:hAnsi="宋体" w:eastAsia="宋体" w:cs="宋体"/>
                <w:b/>
                <w:bCs/>
                <w:color w:val="auto"/>
                <w:sz w:val="21"/>
                <w:szCs w:val="21"/>
                <w:lang w:val="en-US" w:eastAsia="zh-CN"/>
              </w:rPr>
              <w:t>3个月的本单位社保缴纳证明复印件</w:t>
            </w:r>
            <w:r>
              <w:rPr>
                <w:rFonts w:hint="eastAsia" w:ascii="宋体" w:hAnsi="宋体" w:eastAsia="宋体" w:cs="宋体"/>
                <w:b/>
                <w:bCs w:val="0"/>
                <w:color w:val="auto"/>
                <w:kern w:val="2"/>
                <w:sz w:val="21"/>
                <w:szCs w:val="21"/>
                <w:highlight w:val="none"/>
                <w:lang w:val="en-US" w:eastAsia="zh-CN" w:bidi="ar-SA"/>
              </w:rPr>
              <w:t>编入</w:t>
            </w:r>
            <w:r>
              <w:rPr>
                <w:rFonts w:hint="eastAsia" w:ascii="宋体" w:hAnsi="宋体" w:eastAsia="宋体" w:cs="宋体"/>
                <w:b/>
                <w:color w:val="auto"/>
                <w:kern w:val="0"/>
                <w:sz w:val="21"/>
                <w:szCs w:val="21"/>
                <w:highlight w:val="none"/>
                <w:lang w:val="zh-CN"/>
              </w:rPr>
              <w:t>商务与技术文件</w:t>
            </w:r>
            <w:r>
              <w:rPr>
                <w:rFonts w:hint="eastAsia" w:ascii="宋体" w:hAnsi="宋体" w:eastAsia="宋体" w:cs="宋体"/>
                <w:b/>
                <w:color w:val="auto"/>
                <w:kern w:val="0"/>
                <w:sz w:val="21"/>
                <w:szCs w:val="21"/>
                <w:highlight w:val="none"/>
                <w:lang w:val="en-US" w:eastAsia="zh-CN"/>
              </w:rPr>
              <w:t>中</w:t>
            </w:r>
            <w:r>
              <w:rPr>
                <w:rFonts w:hint="eastAsia" w:ascii="宋体" w:hAnsi="宋体" w:eastAsia="宋体" w:cs="宋体"/>
                <w:b/>
                <w:bCs/>
                <w:color w:val="auto"/>
                <w:sz w:val="21"/>
                <w:szCs w:val="21"/>
                <w:lang w:val="en-US" w:eastAsia="zh-CN"/>
              </w:rPr>
              <w:t>,</w:t>
            </w:r>
            <w:r>
              <w:rPr>
                <w:rFonts w:hint="eastAsia" w:ascii="宋体" w:hAnsi="宋体" w:eastAsia="宋体" w:cs="宋体"/>
                <w:b/>
                <w:color w:val="auto"/>
                <w:sz w:val="21"/>
                <w:szCs w:val="21"/>
                <w:lang w:eastAsia="zh-CN"/>
              </w:rPr>
              <w:t>否则不得分。</w:t>
            </w:r>
          </w:p>
        </w:tc>
        <w:tc>
          <w:tcPr>
            <w:tcW w:w="785" w:type="dxa"/>
            <w:vAlign w:val="center"/>
          </w:tcPr>
          <w:p w14:paraId="32FE5073">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b w:val="0"/>
                <w:bCs w:val="0"/>
                <w:color w:val="000000"/>
                <w:kern w:val="0"/>
                <w:sz w:val="21"/>
                <w:szCs w:val="21"/>
                <w:lang w:val="en-US" w:eastAsia="zh-CN"/>
              </w:rPr>
              <w:t>3</w:t>
            </w:r>
          </w:p>
        </w:tc>
      </w:tr>
      <w:tr w14:paraId="1D08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2E6EC5F0">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3</w:t>
            </w:r>
          </w:p>
        </w:tc>
        <w:tc>
          <w:tcPr>
            <w:tcW w:w="1357" w:type="dxa"/>
            <w:vAlign w:val="center"/>
          </w:tcPr>
          <w:p w14:paraId="579760F1">
            <w:pPr>
              <w:keepNext w:val="0"/>
              <w:keepLines w:val="0"/>
              <w:pageBreakBefore w:val="0"/>
              <w:kinsoku/>
              <w:wordWrap/>
              <w:overflowPunct/>
              <w:topLinePunct w:val="0"/>
              <w:bidi w:val="0"/>
              <w:adjustRightInd/>
              <w:snapToGrid/>
              <w:spacing w:before="78"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 w:val="0"/>
                <w:bCs/>
                <w:color w:val="auto"/>
                <w:sz w:val="21"/>
                <w:szCs w:val="21"/>
                <w:highlight w:val="none"/>
                <w:u w:val="none"/>
                <w:lang w:val="en-US" w:eastAsia="zh-CN"/>
              </w:rPr>
              <w:t>项目管理班子人员配备</w:t>
            </w:r>
          </w:p>
        </w:tc>
        <w:tc>
          <w:tcPr>
            <w:tcW w:w="7421" w:type="dxa"/>
            <w:gridSpan w:val="2"/>
            <w:vAlign w:val="top"/>
          </w:tcPr>
          <w:p w14:paraId="60C2A6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项目管理班子的人员除《项目管理班子配备情况表》表中的</w:t>
            </w:r>
            <w:r>
              <w:rPr>
                <w:rFonts w:hint="eastAsia" w:ascii="宋体" w:hAnsi="宋体" w:cs="宋体"/>
                <w:b w:val="0"/>
                <w:bCs/>
                <w:color w:val="auto"/>
                <w:kern w:val="2"/>
                <w:sz w:val="21"/>
                <w:szCs w:val="21"/>
                <w:highlight w:val="none"/>
                <w:lang w:val="en-US" w:eastAsia="zh-CN" w:bidi="ar-SA"/>
              </w:rPr>
              <w:t>项目负责人</w:t>
            </w:r>
            <w:r>
              <w:rPr>
                <w:rFonts w:hint="eastAsia" w:ascii="宋体" w:hAnsi="宋体" w:eastAsia="宋体" w:cs="宋体"/>
                <w:b w:val="0"/>
                <w:bCs/>
                <w:color w:val="auto"/>
                <w:kern w:val="2"/>
                <w:sz w:val="21"/>
                <w:szCs w:val="21"/>
                <w:highlight w:val="none"/>
                <w:lang w:val="en-US" w:eastAsia="zh-CN" w:bidi="ar-SA"/>
              </w:rPr>
              <w:t>、现场安全生产专职管理人员外，配备本项目技术负责人、施工员、质量员，</w:t>
            </w:r>
            <w:r>
              <w:rPr>
                <w:rFonts w:hint="eastAsia" w:cs="Times New Roman"/>
                <w:b w:val="0"/>
                <w:bCs/>
                <w:color w:val="auto"/>
                <w:kern w:val="2"/>
                <w:sz w:val="21"/>
                <w:szCs w:val="21"/>
                <w:highlight w:val="none"/>
                <w:lang w:val="en-US" w:eastAsia="zh-CN" w:bidi="ar-SA"/>
              </w:rPr>
              <w:t>每提供一个人员的得1分，不得兼任</w:t>
            </w:r>
            <w:r>
              <w:rPr>
                <w:rFonts w:hint="default" w:ascii="Times New Roman" w:hAnsi="Times New Roman" w:eastAsia="宋体" w:cs="Times New Roman"/>
                <w:b w:val="0"/>
                <w:bCs/>
                <w:color w:val="auto"/>
                <w:kern w:val="2"/>
                <w:sz w:val="21"/>
                <w:szCs w:val="21"/>
                <w:highlight w:val="none"/>
                <w:lang w:val="en-US" w:eastAsia="zh-CN" w:bidi="ar-SA"/>
              </w:rPr>
              <w:t>，该项</w:t>
            </w:r>
            <w:r>
              <w:rPr>
                <w:rFonts w:hint="eastAsia" w:cs="Times New Roman"/>
                <w:b w:val="0"/>
                <w:bCs/>
                <w:color w:val="auto"/>
                <w:kern w:val="2"/>
                <w:sz w:val="21"/>
                <w:szCs w:val="21"/>
                <w:highlight w:val="none"/>
                <w:lang w:val="en-US" w:eastAsia="zh-CN" w:bidi="ar-SA"/>
              </w:rPr>
              <w:t>最高得3分</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 xml:space="preserve"> </w:t>
            </w:r>
          </w:p>
          <w:p w14:paraId="027BB2BC">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bCs/>
                <w:sz w:val="21"/>
                <w:szCs w:val="21"/>
              </w:rPr>
            </w:pPr>
            <w:r>
              <w:rPr>
                <w:rFonts w:hint="eastAsia" w:ascii="宋体" w:hAnsi="宋体" w:eastAsia="宋体" w:cs="宋体"/>
                <w:b/>
                <w:bCs w:val="0"/>
                <w:color w:val="auto"/>
                <w:kern w:val="2"/>
                <w:sz w:val="21"/>
                <w:szCs w:val="21"/>
                <w:highlight w:val="none"/>
                <w:lang w:val="en-US" w:eastAsia="zh-CN" w:bidi="ar-SA"/>
              </w:rPr>
              <w:t>注：提供项目管理班子有效证书或其他相关证明材料复印件及投标截止时间前3个月内任意一个月的在本单位社保缴纳证明复印件编入</w:t>
            </w:r>
            <w:r>
              <w:rPr>
                <w:rFonts w:hint="eastAsia" w:ascii="宋体" w:hAnsi="宋体" w:eastAsia="宋体" w:cs="宋体"/>
                <w:b/>
                <w:color w:val="auto"/>
                <w:kern w:val="0"/>
                <w:sz w:val="21"/>
                <w:szCs w:val="21"/>
                <w:highlight w:val="none"/>
                <w:lang w:val="zh-CN"/>
              </w:rPr>
              <w:t>商务与技术文件中</w:t>
            </w:r>
            <w:r>
              <w:rPr>
                <w:rFonts w:hint="eastAsia" w:ascii="宋体" w:hAnsi="宋体" w:eastAsia="宋体" w:cs="宋体"/>
                <w:b/>
                <w:bCs w:val="0"/>
                <w:color w:val="auto"/>
                <w:kern w:val="2"/>
                <w:sz w:val="21"/>
                <w:szCs w:val="21"/>
                <w:highlight w:val="none"/>
                <w:lang w:val="en-US" w:eastAsia="zh-CN" w:bidi="ar-SA"/>
              </w:rPr>
              <w:t>，否则不得分。</w:t>
            </w:r>
          </w:p>
        </w:tc>
        <w:tc>
          <w:tcPr>
            <w:tcW w:w="785" w:type="dxa"/>
            <w:vAlign w:val="center"/>
          </w:tcPr>
          <w:p w14:paraId="34A29589">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21"/>
                <w:szCs w:val="21"/>
                <w:lang w:val="en-US" w:eastAsia="zh-CN"/>
              </w:rPr>
              <w:t>3</w:t>
            </w:r>
          </w:p>
        </w:tc>
      </w:tr>
      <w:tr w14:paraId="598E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5" w:type="dxa"/>
            <w:vMerge w:val="restart"/>
            <w:vAlign w:val="center"/>
          </w:tcPr>
          <w:p w14:paraId="3FF709C0">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4</w:t>
            </w:r>
          </w:p>
        </w:tc>
        <w:tc>
          <w:tcPr>
            <w:tcW w:w="1357" w:type="dxa"/>
            <w:vMerge w:val="restart"/>
            <w:vAlign w:val="center"/>
          </w:tcPr>
          <w:p w14:paraId="59ABCE39">
            <w:pPr>
              <w:keepNext w:val="0"/>
              <w:keepLines w:val="0"/>
              <w:pageBreakBefore w:val="0"/>
              <w:kinsoku/>
              <w:wordWrap/>
              <w:overflowPunct/>
              <w:topLinePunct w:val="0"/>
              <w:bidi w:val="0"/>
              <w:adjustRightInd/>
              <w:snapToGrid/>
              <w:spacing w:before="78" w:line="400" w:lineRule="exact"/>
              <w:jc w:val="center"/>
              <w:textAlignment w:val="auto"/>
              <w:rPr>
                <w:rFonts w:hint="eastAsia" w:ascii="宋体" w:hAnsi="宋体" w:cs="宋体"/>
                <w:b w:val="0"/>
                <w:bCs/>
                <w:color w:val="auto"/>
                <w:sz w:val="21"/>
                <w:szCs w:val="21"/>
                <w:highlight w:val="none"/>
                <w:u w:val="none"/>
                <w:lang w:val="en-US" w:eastAsia="zh-CN"/>
              </w:rPr>
            </w:pPr>
            <w:r>
              <w:rPr>
                <w:rFonts w:hint="eastAsia" w:ascii="宋体" w:hAnsi="宋体" w:cs="宋体"/>
                <w:b w:val="0"/>
                <w:bCs/>
                <w:color w:val="auto"/>
                <w:sz w:val="21"/>
                <w:szCs w:val="21"/>
                <w:highlight w:val="none"/>
                <w:u w:val="none"/>
                <w:lang w:val="en-US" w:eastAsia="zh-CN"/>
              </w:rPr>
              <w:t>拟派人员</w:t>
            </w:r>
          </w:p>
          <w:p w14:paraId="428CE898">
            <w:pPr>
              <w:keepNext w:val="0"/>
              <w:keepLines w:val="0"/>
              <w:pageBreakBefore w:val="0"/>
              <w:kinsoku/>
              <w:wordWrap/>
              <w:overflowPunct/>
              <w:topLinePunct w:val="0"/>
              <w:bidi w:val="0"/>
              <w:adjustRightInd/>
              <w:snapToGrid/>
              <w:spacing w:before="78"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 w:val="0"/>
                <w:bCs/>
                <w:color w:val="auto"/>
                <w:sz w:val="21"/>
                <w:szCs w:val="21"/>
                <w:highlight w:val="none"/>
                <w:u w:val="none"/>
                <w:lang w:val="en-US" w:eastAsia="zh-CN"/>
              </w:rPr>
              <w:t>情况</w:t>
            </w:r>
          </w:p>
        </w:tc>
        <w:tc>
          <w:tcPr>
            <w:tcW w:w="7421" w:type="dxa"/>
            <w:gridSpan w:val="2"/>
            <w:vAlign w:val="center"/>
          </w:tcPr>
          <w:p w14:paraId="57A3C57F">
            <w:pPr>
              <w:keepNext w:val="0"/>
              <w:keepLines w:val="0"/>
              <w:pageBreakBefore w:val="0"/>
              <w:kinsoku/>
              <w:wordWrap/>
              <w:overflowPunct/>
              <w:topLinePunct w:val="0"/>
              <w:bidi w:val="0"/>
              <w:adjustRightInd/>
              <w:snapToGrid/>
              <w:spacing w:line="400" w:lineRule="exact"/>
              <w:textAlignment w:val="auto"/>
              <w:rPr>
                <w:rFonts w:hint="eastAsia" w:ascii="宋体" w:hAnsi="宋体" w:cs="宋体"/>
                <w:bCs/>
                <w:color w:val="auto"/>
                <w:szCs w:val="21"/>
                <w:lang w:bidi="ar"/>
              </w:rPr>
            </w:pPr>
            <w:r>
              <w:rPr>
                <w:rFonts w:hint="eastAsia" w:ascii="宋体" w:hAnsi="宋体" w:cs="宋体"/>
                <w:bCs/>
                <w:color w:val="auto"/>
                <w:szCs w:val="21"/>
                <w:lang w:bidi="ar"/>
              </w:rPr>
              <w:t>拟派本</w:t>
            </w:r>
            <w:r>
              <w:rPr>
                <w:rFonts w:hint="eastAsia" w:ascii="宋体" w:hAnsi="宋体" w:cs="宋体"/>
                <w:color w:val="auto"/>
                <w:szCs w:val="21"/>
              </w:rPr>
              <w:t>项目负责人具有</w:t>
            </w:r>
            <w:r>
              <w:rPr>
                <w:rFonts w:hint="eastAsia" w:ascii="宋体" w:hAnsi="宋体" w:cs="宋体"/>
                <w:color w:val="auto"/>
                <w:szCs w:val="21"/>
                <w:lang w:val="en-US" w:eastAsia="zh-CN"/>
              </w:rPr>
              <w:t>公路</w:t>
            </w:r>
            <w:r>
              <w:rPr>
                <w:rFonts w:hint="eastAsia" w:ascii="宋体" w:hAnsi="宋体" w:cs="宋体"/>
                <w:color w:val="auto"/>
                <w:szCs w:val="21"/>
              </w:rPr>
              <w:t>工程中级</w:t>
            </w:r>
            <w:r>
              <w:rPr>
                <w:rFonts w:hint="eastAsia" w:ascii="宋体" w:hAnsi="宋体" w:cs="宋体"/>
                <w:color w:val="auto"/>
                <w:szCs w:val="21"/>
                <w:lang w:eastAsia="zh-CN"/>
              </w:rPr>
              <w:t>及以上</w:t>
            </w:r>
            <w:r>
              <w:rPr>
                <w:rFonts w:hint="eastAsia" w:ascii="宋体" w:hAnsi="宋体" w:cs="宋体"/>
                <w:color w:val="auto"/>
                <w:szCs w:val="21"/>
              </w:rPr>
              <w:t>工程师职称的得</w:t>
            </w:r>
            <w:r>
              <w:rPr>
                <w:rFonts w:hint="eastAsia" w:ascii="宋体" w:hAnsi="宋体" w:cs="宋体"/>
                <w:color w:val="auto"/>
                <w:szCs w:val="21"/>
                <w:lang w:val="en-US" w:eastAsia="zh-CN"/>
              </w:rPr>
              <w:t>4</w:t>
            </w:r>
            <w:r>
              <w:rPr>
                <w:rFonts w:hint="eastAsia" w:ascii="宋体" w:hAnsi="宋体" w:cs="宋体"/>
                <w:color w:val="auto"/>
                <w:szCs w:val="21"/>
              </w:rPr>
              <w:t>分，具</w:t>
            </w:r>
            <w:r>
              <w:rPr>
                <w:rFonts w:hint="eastAsia" w:ascii="宋体" w:hAnsi="宋体" w:cs="宋体"/>
                <w:color w:val="auto"/>
                <w:szCs w:val="21"/>
                <w:lang w:val="zh-CN"/>
              </w:rPr>
              <w:t>有</w:t>
            </w:r>
            <w:r>
              <w:rPr>
                <w:rFonts w:hint="eastAsia" w:ascii="宋体" w:hAnsi="宋体" w:cs="宋体"/>
                <w:color w:val="auto"/>
                <w:szCs w:val="21"/>
                <w:lang w:val="en-US" w:eastAsia="zh-CN"/>
              </w:rPr>
              <w:t>公路</w:t>
            </w:r>
            <w:r>
              <w:rPr>
                <w:rFonts w:hint="eastAsia" w:ascii="宋体" w:hAnsi="宋体" w:cs="宋体"/>
                <w:color w:val="auto"/>
                <w:szCs w:val="21"/>
              </w:rPr>
              <w:t>工程助理工程师职称的得2分，本项最多得</w:t>
            </w:r>
            <w:r>
              <w:rPr>
                <w:rFonts w:hint="eastAsia" w:ascii="宋体" w:hAnsi="宋体" w:cs="宋体"/>
                <w:color w:val="auto"/>
                <w:szCs w:val="21"/>
                <w:lang w:val="en-US" w:eastAsia="zh-CN"/>
              </w:rPr>
              <w:t>4</w:t>
            </w:r>
            <w:r>
              <w:rPr>
                <w:rFonts w:hint="eastAsia" w:ascii="宋体" w:hAnsi="宋体" w:cs="宋体"/>
                <w:color w:val="auto"/>
                <w:szCs w:val="21"/>
              </w:rPr>
              <w:t>分。</w:t>
            </w:r>
          </w:p>
          <w:p w14:paraId="652739CC">
            <w:pPr>
              <w:pStyle w:val="18"/>
              <w:keepNext w:val="0"/>
              <w:keepLines w:val="0"/>
              <w:pageBreakBefore w:val="0"/>
              <w:kinsoku/>
              <w:wordWrap/>
              <w:overflowPunct/>
              <w:topLinePunct w:val="0"/>
              <w:bidi w:val="0"/>
              <w:adjustRightInd/>
              <w:snapToGrid/>
              <w:spacing w:line="400" w:lineRule="exact"/>
              <w:ind w:left="0" w:leftChars="0"/>
              <w:textAlignment w:val="auto"/>
              <w:rPr>
                <w:rFonts w:hint="eastAsia" w:asciiTheme="minorEastAsia" w:hAnsiTheme="minorEastAsia" w:eastAsiaTheme="minorEastAsia" w:cstheme="minorEastAsia"/>
                <w:b/>
                <w:bCs/>
                <w:sz w:val="21"/>
                <w:szCs w:val="21"/>
              </w:rPr>
            </w:pPr>
            <w:r>
              <w:rPr>
                <w:rFonts w:hint="eastAsia" w:ascii="宋体" w:hAnsi="宋体" w:eastAsia="宋体" w:cs="宋体"/>
                <w:b/>
                <w:bCs w:val="0"/>
                <w:color w:val="auto"/>
                <w:kern w:val="2"/>
                <w:sz w:val="21"/>
                <w:szCs w:val="21"/>
                <w:highlight w:val="none"/>
                <w:lang w:val="en-US" w:eastAsia="zh-CN" w:bidi="ar-SA"/>
              </w:rPr>
              <w:t>注：须提供相关证书及及供应商在投标截止时间前3个月内任意一个月的在本单位社保缴纳证明复印件编入</w:t>
            </w:r>
            <w:r>
              <w:rPr>
                <w:rFonts w:hint="eastAsia" w:ascii="宋体" w:hAnsi="宋体" w:eastAsia="宋体" w:cs="宋体"/>
                <w:b/>
                <w:bCs w:val="0"/>
                <w:color w:val="auto"/>
                <w:kern w:val="2"/>
                <w:sz w:val="21"/>
                <w:szCs w:val="21"/>
                <w:highlight w:val="none"/>
                <w:lang w:val="zh-CN" w:eastAsia="zh-CN" w:bidi="ar-SA"/>
              </w:rPr>
              <w:t>商务与技术文件中</w:t>
            </w:r>
            <w:r>
              <w:rPr>
                <w:rFonts w:hint="eastAsia" w:ascii="宋体" w:hAnsi="宋体" w:eastAsia="宋体" w:cs="宋体"/>
                <w:b/>
                <w:bCs w:val="0"/>
                <w:color w:val="auto"/>
                <w:kern w:val="2"/>
                <w:sz w:val="21"/>
                <w:szCs w:val="21"/>
                <w:highlight w:val="none"/>
                <w:lang w:val="en-US" w:eastAsia="zh-CN" w:bidi="ar-SA"/>
              </w:rPr>
              <w:t>，否则不得分。</w:t>
            </w:r>
          </w:p>
        </w:tc>
        <w:tc>
          <w:tcPr>
            <w:tcW w:w="785" w:type="dxa"/>
            <w:vAlign w:val="center"/>
          </w:tcPr>
          <w:p w14:paraId="54D2DF17">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21"/>
                <w:szCs w:val="21"/>
                <w:lang w:val="en-US" w:eastAsia="zh-CN"/>
              </w:rPr>
              <w:t>4</w:t>
            </w:r>
          </w:p>
        </w:tc>
      </w:tr>
      <w:tr w14:paraId="2FE3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95" w:type="dxa"/>
            <w:vMerge w:val="continue"/>
            <w:vAlign w:val="center"/>
          </w:tcPr>
          <w:p w14:paraId="30668995">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p>
        </w:tc>
        <w:tc>
          <w:tcPr>
            <w:tcW w:w="1357" w:type="dxa"/>
            <w:vMerge w:val="continue"/>
            <w:vAlign w:val="center"/>
          </w:tcPr>
          <w:p w14:paraId="63AE0D3F">
            <w:pPr>
              <w:keepNext w:val="0"/>
              <w:keepLines w:val="0"/>
              <w:pageBreakBefore w:val="0"/>
              <w:kinsoku/>
              <w:wordWrap/>
              <w:overflowPunct/>
              <w:topLinePunct w:val="0"/>
              <w:bidi w:val="0"/>
              <w:adjustRightInd/>
              <w:snapToGrid/>
              <w:spacing w:before="78" w:line="400" w:lineRule="exact"/>
              <w:jc w:val="center"/>
              <w:textAlignment w:val="auto"/>
              <w:rPr>
                <w:rFonts w:hint="eastAsia" w:asciiTheme="minorEastAsia" w:hAnsiTheme="minorEastAsia" w:eastAsiaTheme="minorEastAsia" w:cstheme="minorEastAsia"/>
                <w:szCs w:val="21"/>
              </w:rPr>
            </w:pPr>
          </w:p>
        </w:tc>
        <w:tc>
          <w:tcPr>
            <w:tcW w:w="7421" w:type="dxa"/>
            <w:gridSpan w:val="2"/>
            <w:vAlign w:val="center"/>
          </w:tcPr>
          <w:p w14:paraId="49C2B6C5">
            <w:pPr>
              <w:keepNext w:val="0"/>
              <w:keepLines w:val="0"/>
              <w:pageBreakBefore w:val="0"/>
              <w:kinsoku/>
              <w:wordWrap/>
              <w:overflowPunct/>
              <w:topLinePunct w:val="0"/>
              <w:bidi w:val="0"/>
              <w:adjustRightInd/>
              <w:snapToGrid/>
              <w:spacing w:line="400" w:lineRule="exact"/>
              <w:textAlignment w:val="auto"/>
              <w:rPr>
                <w:rFonts w:hint="eastAsia" w:ascii="宋体" w:hAnsi="宋体" w:cs="宋体"/>
                <w:bCs/>
                <w:color w:val="auto"/>
                <w:szCs w:val="21"/>
                <w:lang w:bidi="ar"/>
              </w:rPr>
            </w:pPr>
            <w:r>
              <w:rPr>
                <w:rFonts w:hint="eastAsia" w:ascii="宋体" w:hAnsi="宋体" w:cs="宋体"/>
                <w:bCs/>
                <w:color w:val="auto"/>
                <w:szCs w:val="21"/>
                <w:lang w:bidi="ar"/>
              </w:rPr>
              <w:t>拟派本</w:t>
            </w:r>
            <w:r>
              <w:rPr>
                <w:rFonts w:hint="eastAsia" w:ascii="宋体" w:hAnsi="宋体" w:cs="宋体"/>
                <w:color w:val="auto"/>
                <w:szCs w:val="21"/>
              </w:rPr>
              <w:t>技术负责人具有</w:t>
            </w:r>
            <w:r>
              <w:rPr>
                <w:rFonts w:hint="eastAsia" w:ascii="宋体" w:hAnsi="宋体" w:cs="宋体"/>
                <w:color w:val="auto"/>
                <w:szCs w:val="21"/>
                <w:lang w:val="en-US" w:eastAsia="zh-CN"/>
              </w:rPr>
              <w:t>公路</w:t>
            </w:r>
            <w:r>
              <w:rPr>
                <w:rFonts w:hint="eastAsia" w:ascii="宋体" w:hAnsi="宋体" w:cs="宋体"/>
                <w:color w:val="auto"/>
                <w:szCs w:val="21"/>
              </w:rPr>
              <w:t>工程中级</w:t>
            </w:r>
            <w:r>
              <w:rPr>
                <w:rFonts w:hint="eastAsia" w:ascii="宋体" w:hAnsi="宋体" w:cs="宋体"/>
                <w:color w:val="auto"/>
                <w:szCs w:val="21"/>
                <w:lang w:eastAsia="zh-CN"/>
              </w:rPr>
              <w:t>及以上</w:t>
            </w:r>
            <w:r>
              <w:rPr>
                <w:rFonts w:hint="eastAsia" w:ascii="宋体" w:hAnsi="宋体" w:cs="宋体"/>
                <w:color w:val="auto"/>
                <w:szCs w:val="21"/>
              </w:rPr>
              <w:t>工程师职称的得</w:t>
            </w:r>
            <w:r>
              <w:rPr>
                <w:rFonts w:hint="eastAsia" w:ascii="宋体" w:hAnsi="宋体" w:cs="宋体"/>
                <w:color w:val="auto"/>
                <w:szCs w:val="21"/>
                <w:lang w:val="en-US" w:eastAsia="zh-CN"/>
              </w:rPr>
              <w:t>4</w:t>
            </w:r>
            <w:r>
              <w:rPr>
                <w:rFonts w:hint="eastAsia" w:ascii="宋体" w:hAnsi="宋体" w:cs="宋体"/>
                <w:color w:val="auto"/>
                <w:szCs w:val="21"/>
              </w:rPr>
              <w:t>分，具</w:t>
            </w:r>
            <w:r>
              <w:rPr>
                <w:rFonts w:hint="eastAsia" w:ascii="宋体" w:hAnsi="宋体" w:cs="宋体"/>
                <w:color w:val="auto"/>
                <w:szCs w:val="21"/>
                <w:lang w:val="zh-CN"/>
              </w:rPr>
              <w:t>有</w:t>
            </w:r>
            <w:r>
              <w:rPr>
                <w:rFonts w:hint="eastAsia" w:ascii="宋体" w:hAnsi="宋体" w:cs="宋体"/>
                <w:color w:val="auto"/>
                <w:szCs w:val="21"/>
                <w:lang w:val="en-US" w:eastAsia="zh-CN"/>
              </w:rPr>
              <w:t>公路</w:t>
            </w:r>
            <w:r>
              <w:rPr>
                <w:rFonts w:hint="eastAsia" w:ascii="宋体" w:hAnsi="宋体" w:cs="宋体"/>
                <w:color w:val="auto"/>
                <w:szCs w:val="21"/>
              </w:rPr>
              <w:t>工程助理工程师职称的得2分，本项最多得</w:t>
            </w:r>
            <w:r>
              <w:rPr>
                <w:rFonts w:hint="eastAsia" w:ascii="宋体" w:hAnsi="宋体" w:cs="宋体"/>
                <w:color w:val="auto"/>
                <w:szCs w:val="21"/>
                <w:lang w:val="en-US" w:eastAsia="zh-CN"/>
              </w:rPr>
              <w:t>4</w:t>
            </w:r>
            <w:r>
              <w:rPr>
                <w:rFonts w:hint="eastAsia" w:ascii="宋体" w:hAnsi="宋体" w:cs="宋体"/>
                <w:color w:val="auto"/>
                <w:szCs w:val="21"/>
              </w:rPr>
              <w:t>分。</w:t>
            </w:r>
          </w:p>
          <w:p w14:paraId="7316D45F">
            <w:pPr>
              <w:pStyle w:val="18"/>
              <w:keepNext w:val="0"/>
              <w:keepLines w:val="0"/>
              <w:pageBreakBefore w:val="0"/>
              <w:kinsoku/>
              <w:wordWrap/>
              <w:overflowPunct/>
              <w:topLinePunct w:val="0"/>
              <w:bidi w:val="0"/>
              <w:adjustRightInd/>
              <w:snapToGrid/>
              <w:spacing w:line="400" w:lineRule="exact"/>
              <w:ind w:left="0" w:leftChars="0"/>
              <w:textAlignment w:val="auto"/>
              <w:rPr>
                <w:rFonts w:hint="eastAsia" w:asciiTheme="minorEastAsia" w:hAnsiTheme="minorEastAsia" w:eastAsiaTheme="minorEastAsia" w:cstheme="minorEastAsia"/>
                <w:sz w:val="21"/>
                <w:szCs w:val="21"/>
              </w:rPr>
            </w:pPr>
            <w:r>
              <w:rPr>
                <w:rFonts w:hint="eastAsia" w:ascii="宋体" w:hAnsi="宋体" w:eastAsia="宋体" w:cs="宋体"/>
                <w:b/>
                <w:bCs w:val="0"/>
                <w:color w:val="auto"/>
                <w:kern w:val="2"/>
                <w:sz w:val="21"/>
                <w:szCs w:val="21"/>
                <w:highlight w:val="none"/>
                <w:lang w:val="en-US" w:eastAsia="zh-CN" w:bidi="ar-SA"/>
              </w:rPr>
              <w:t>注：提供证书复印件及投标截止时间前3个月内任意一个月的在本单位社保缴纳证明复印件编入</w:t>
            </w:r>
            <w:r>
              <w:rPr>
                <w:rFonts w:hint="eastAsia" w:ascii="宋体" w:hAnsi="宋体" w:eastAsia="宋体" w:cs="宋体"/>
                <w:b/>
                <w:bCs w:val="0"/>
                <w:color w:val="auto"/>
                <w:kern w:val="2"/>
                <w:sz w:val="21"/>
                <w:szCs w:val="21"/>
                <w:highlight w:val="none"/>
                <w:lang w:val="zh-CN" w:eastAsia="zh-CN" w:bidi="ar-SA"/>
              </w:rPr>
              <w:t>商务与技术文件中</w:t>
            </w:r>
            <w:r>
              <w:rPr>
                <w:rFonts w:hint="eastAsia" w:ascii="宋体" w:hAnsi="宋体" w:eastAsia="宋体" w:cs="宋体"/>
                <w:b/>
                <w:bCs w:val="0"/>
                <w:color w:val="auto"/>
                <w:kern w:val="2"/>
                <w:sz w:val="21"/>
                <w:szCs w:val="21"/>
                <w:highlight w:val="none"/>
                <w:lang w:val="en-US" w:eastAsia="zh-CN" w:bidi="ar-SA"/>
              </w:rPr>
              <w:t>，否则不得分。</w:t>
            </w:r>
          </w:p>
        </w:tc>
        <w:tc>
          <w:tcPr>
            <w:tcW w:w="785" w:type="dxa"/>
            <w:vAlign w:val="center"/>
          </w:tcPr>
          <w:p w14:paraId="674DE60F">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21"/>
                <w:szCs w:val="21"/>
                <w:lang w:val="en-US" w:eastAsia="zh-CN"/>
              </w:rPr>
              <w:t>4</w:t>
            </w:r>
          </w:p>
        </w:tc>
      </w:tr>
      <w:tr w14:paraId="26E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95" w:type="dxa"/>
            <w:vAlign w:val="center"/>
          </w:tcPr>
          <w:p w14:paraId="0CCC8215">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5</w:t>
            </w:r>
          </w:p>
        </w:tc>
        <w:tc>
          <w:tcPr>
            <w:tcW w:w="1357" w:type="dxa"/>
            <w:vAlign w:val="center"/>
          </w:tcPr>
          <w:p w14:paraId="67A58807">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Cs/>
                <w:color w:val="auto"/>
                <w:sz w:val="21"/>
                <w:szCs w:val="21"/>
                <w:highlight w:val="none"/>
                <w:lang w:val="en-US" w:eastAsia="zh-CN"/>
              </w:rPr>
              <w:t>近三年事故情况</w:t>
            </w:r>
          </w:p>
        </w:tc>
        <w:tc>
          <w:tcPr>
            <w:tcW w:w="7421" w:type="dxa"/>
            <w:gridSpan w:val="2"/>
            <w:vAlign w:val="center"/>
          </w:tcPr>
          <w:p w14:paraId="5D45FF07">
            <w:pPr>
              <w:pStyle w:val="19"/>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提供近三年无安全事故责任、无质量事故情况承诺函(格式自拟)，提供得 </w:t>
            </w:r>
            <w:r>
              <w:rPr>
                <w:rFonts w:hint="eastAsia" w:asci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分，未提供不得分。</w:t>
            </w:r>
          </w:p>
          <w:p w14:paraId="00088C6D">
            <w:pPr>
              <w:pStyle w:val="19"/>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sz w:val="21"/>
                <w:szCs w:val="21"/>
              </w:rPr>
            </w:pPr>
            <w:r>
              <w:rPr>
                <w:rFonts w:hint="eastAsia" w:ascii="宋体" w:hAnsi="宋体" w:eastAsia="宋体" w:cs="宋体"/>
                <w:b/>
                <w:bCs/>
                <w:color w:val="auto"/>
                <w:kern w:val="2"/>
                <w:sz w:val="21"/>
                <w:szCs w:val="21"/>
                <w:highlight w:val="none"/>
                <w:lang w:val="en-US" w:eastAsia="zh-CN" w:bidi="ar-SA"/>
              </w:rPr>
              <w:t>注</w:t>
            </w:r>
            <w:r>
              <w:rPr>
                <w:rFonts w:hint="eastAsia" w:asci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须加盖公章,否则不得分。</w:t>
            </w:r>
          </w:p>
        </w:tc>
        <w:tc>
          <w:tcPr>
            <w:tcW w:w="785" w:type="dxa"/>
            <w:vAlign w:val="center"/>
          </w:tcPr>
          <w:p w14:paraId="4EC3A208">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21"/>
                <w:szCs w:val="21"/>
                <w:lang w:val="en-US" w:eastAsia="zh-CN"/>
              </w:rPr>
              <w:t>2</w:t>
            </w:r>
          </w:p>
        </w:tc>
      </w:tr>
      <w:tr w14:paraId="0A0F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5" w:type="dxa"/>
            <w:vAlign w:val="center"/>
          </w:tcPr>
          <w:p w14:paraId="02EF5C03">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6</w:t>
            </w:r>
          </w:p>
        </w:tc>
        <w:tc>
          <w:tcPr>
            <w:tcW w:w="1357" w:type="dxa"/>
            <w:vAlign w:val="center"/>
          </w:tcPr>
          <w:p w14:paraId="75D73987">
            <w:pPr>
              <w:keepNext w:val="0"/>
              <w:keepLines w:val="0"/>
              <w:pageBreakBefore w:val="0"/>
              <w:kinsoku/>
              <w:wordWrap/>
              <w:overflowPunct/>
              <w:topLinePunct w:val="0"/>
              <w:bidi w:val="0"/>
              <w:adjustRightInd/>
              <w:snapToGrid/>
              <w:spacing w:before="156" w:line="400" w:lineRule="exact"/>
              <w:jc w:val="center"/>
              <w:textAlignment w:val="auto"/>
              <w:rPr>
                <w:rFonts w:hint="eastAsia" w:asciiTheme="minorEastAsia" w:hAnsiTheme="minorEastAsia" w:eastAsiaTheme="minorEastAsia" w:cstheme="minorEastAsia"/>
                <w:b/>
                <w:bCs/>
                <w:sz w:val="21"/>
                <w:szCs w:val="21"/>
              </w:rPr>
            </w:pPr>
            <w:r>
              <w:rPr>
                <w:rFonts w:hint="eastAsia" w:ascii="宋体" w:hAnsi="宋体" w:cs="宋体"/>
                <w:bCs/>
                <w:kern w:val="0"/>
                <w:szCs w:val="21"/>
              </w:rPr>
              <w:t>近三年质量事故情况</w:t>
            </w:r>
          </w:p>
        </w:tc>
        <w:tc>
          <w:tcPr>
            <w:tcW w:w="7421" w:type="dxa"/>
            <w:gridSpan w:val="2"/>
            <w:vAlign w:val="center"/>
          </w:tcPr>
          <w:p w14:paraId="174744F6">
            <w:pPr>
              <w:keepNext w:val="0"/>
              <w:keepLines w:val="0"/>
              <w:pageBreakBefore w:val="0"/>
              <w:kinsoku/>
              <w:wordWrap/>
              <w:overflowPunct/>
              <w:topLinePunct w:val="0"/>
              <w:bidi w:val="0"/>
              <w:adjustRightInd/>
              <w:snapToGrid/>
              <w:spacing w:line="400" w:lineRule="exact"/>
              <w:textAlignment w:val="auto"/>
              <w:rPr>
                <w:rFonts w:ascii="宋体" w:hAnsi="宋体" w:cs="宋体"/>
                <w:kern w:val="0"/>
                <w:szCs w:val="21"/>
              </w:rPr>
            </w:pPr>
            <w:r>
              <w:rPr>
                <w:rFonts w:hint="eastAsia" w:ascii="宋体" w:hAnsi="宋体" w:cs="宋体"/>
                <w:kern w:val="0"/>
                <w:szCs w:val="21"/>
              </w:rPr>
              <w:t>提供近三年无质量事故情况承诺函</w:t>
            </w:r>
            <w:r>
              <w:rPr>
                <w:rFonts w:hint="eastAsia" w:ascii="宋体" w:hAnsi="宋体" w:eastAsia="宋体" w:cs="宋体"/>
                <w:b w:val="0"/>
                <w:bCs w:val="0"/>
                <w:color w:val="auto"/>
                <w:kern w:val="2"/>
                <w:sz w:val="21"/>
                <w:szCs w:val="21"/>
                <w:highlight w:val="none"/>
                <w:lang w:val="en-US" w:eastAsia="zh-CN" w:bidi="ar-SA"/>
              </w:rPr>
              <w:t>（格式自拟）</w:t>
            </w:r>
            <w:r>
              <w:rPr>
                <w:rFonts w:hint="eastAsia" w:ascii="宋体" w:hAnsi="宋体" w:cs="宋体"/>
                <w:kern w:val="0"/>
                <w:szCs w:val="21"/>
              </w:rPr>
              <w:t>，提供得</w:t>
            </w:r>
            <w:r>
              <w:rPr>
                <w:rFonts w:hint="eastAsia" w:ascii="宋体" w:hAnsi="宋体" w:cs="宋体"/>
                <w:kern w:val="0"/>
                <w:szCs w:val="21"/>
                <w:lang w:val="en-US" w:eastAsia="zh-CN"/>
              </w:rPr>
              <w:t>2</w:t>
            </w:r>
            <w:r>
              <w:rPr>
                <w:rFonts w:hint="eastAsia" w:ascii="宋体" w:hAnsi="宋体" w:cs="宋体"/>
                <w:kern w:val="0"/>
                <w:szCs w:val="21"/>
              </w:rPr>
              <w:t>分，未提供不得分。</w:t>
            </w:r>
          </w:p>
          <w:p w14:paraId="58B7F576">
            <w:pPr>
              <w:keepNext w:val="0"/>
              <w:keepLines w:val="0"/>
              <w:pageBreakBefore w:val="0"/>
              <w:kinsoku/>
              <w:wordWrap/>
              <w:overflowPunct/>
              <w:topLinePunct w:val="0"/>
              <w:bidi w:val="0"/>
              <w:adjustRightInd/>
              <w:snapToGrid/>
              <w:spacing w:line="400" w:lineRule="exact"/>
              <w:textAlignment w:val="auto"/>
            </w:pPr>
            <w:r>
              <w:rPr>
                <w:rFonts w:hint="eastAsia"/>
                <w:b/>
                <w:bCs/>
                <w:spacing w:val="-2"/>
                <w:szCs w:val="21"/>
              </w:rPr>
              <w:t>注：未提供或未承诺的不得分。</w:t>
            </w:r>
          </w:p>
        </w:tc>
        <w:tc>
          <w:tcPr>
            <w:tcW w:w="785" w:type="dxa"/>
            <w:vAlign w:val="center"/>
          </w:tcPr>
          <w:p w14:paraId="3A528430">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Cs w:val="21"/>
                <w:lang w:val="en-US" w:eastAsia="zh-CN"/>
              </w:rPr>
              <w:t>2</w:t>
            </w:r>
          </w:p>
        </w:tc>
      </w:tr>
      <w:tr w14:paraId="6249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5" w:type="dxa"/>
            <w:vAlign w:val="center"/>
          </w:tcPr>
          <w:p w14:paraId="2EAB91AA">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7</w:t>
            </w:r>
          </w:p>
        </w:tc>
        <w:tc>
          <w:tcPr>
            <w:tcW w:w="1357" w:type="dxa"/>
            <w:vAlign w:val="center"/>
          </w:tcPr>
          <w:p w14:paraId="40FEA801">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Cs/>
                <w:color w:val="auto"/>
                <w:sz w:val="21"/>
                <w:szCs w:val="21"/>
                <w:highlight w:val="none"/>
                <w:lang w:val="en-US" w:eastAsia="zh-CN"/>
              </w:rPr>
              <w:t>质保承诺</w:t>
            </w:r>
          </w:p>
        </w:tc>
        <w:tc>
          <w:tcPr>
            <w:tcW w:w="7421" w:type="dxa"/>
            <w:gridSpan w:val="2"/>
            <w:vAlign w:val="center"/>
          </w:tcPr>
          <w:p w14:paraId="36558002">
            <w:pPr>
              <w:pStyle w:val="19"/>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质保期(即缺陷责任期)在竞争性</w:t>
            </w:r>
            <w:r>
              <w:rPr>
                <w:rFonts w:hint="eastAsia" w:ascii="宋体" w:eastAsia="宋体" w:cs="宋体"/>
                <w:b w:val="0"/>
                <w:bCs w:val="0"/>
                <w:color w:val="auto"/>
                <w:kern w:val="2"/>
                <w:sz w:val="21"/>
                <w:szCs w:val="21"/>
                <w:highlight w:val="none"/>
                <w:lang w:val="en-US" w:eastAsia="zh-CN" w:bidi="ar-SA"/>
              </w:rPr>
              <w:t>磋</w:t>
            </w:r>
            <w:r>
              <w:rPr>
                <w:rFonts w:hint="eastAsia" w:ascii="宋体" w:hAnsi="宋体" w:eastAsia="宋体" w:cs="宋体"/>
                <w:b w:val="0"/>
                <w:bCs w:val="0"/>
                <w:color w:val="auto"/>
                <w:kern w:val="2"/>
                <w:sz w:val="21"/>
                <w:szCs w:val="21"/>
                <w:highlight w:val="none"/>
                <w:lang w:val="en-US" w:eastAsia="zh-CN" w:bidi="ar-SA"/>
              </w:rPr>
              <w:t>商文件基础上每</w:t>
            </w:r>
            <w:r>
              <w:rPr>
                <w:rFonts w:hint="eastAsia" w:ascii="宋体" w:eastAsia="宋体" w:cs="宋体"/>
                <w:b w:val="0"/>
                <w:bCs w:val="0"/>
                <w:color w:val="auto"/>
                <w:kern w:val="2"/>
                <w:sz w:val="21"/>
                <w:szCs w:val="21"/>
                <w:highlight w:val="none"/>
                <w:lang w:val="en-US" w:eastAsia="zh-CN" w:bidi="ar-SA"/>
              </w:rPr>
              <w:t>多</w:t>
            </w:r>
            <w:r>
              <w:rPr>
                <w:rFonts w:hint="eastAsia" w:ascii="宋体" w:hAnsi="宋体" w:eastAsia="宋体" w:cs="宋体"/>
                <w:b w:val="0"/>
                <w:bCs w:val="0"/>
                <w:color w:val="auto"/>
                <w:kern w:val="2"/>
                <w:sz w:val="21"/>
                <w:szCs w:val="21"/>
                <w:highlight w:val="none"/>
                <w:lang w:val="en-US" w:eastAsia="zh-CN" w:bidi="ar-SA"/>
              </w:rPr>
              <w:t>增加一年得1分，最高得</w:t>
            </w:r>
            <w:r>
              <w:rPr>
                <w:rFonts w:hint="eastAsia" w:asci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w:t>
            </w:r>
          </w:p>
          <w:p w14:paraId="77FF8AAE">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imes New Roman" w:hAnsi="Times New Roman" w:eastAsia="宋体" w:cs="Times New Roman"/>
                <w:b/>
                <w:bCs/>
                <w:spacing w:val="-2"/>
                <w:szCs w:val="21"/>
              </w:rPr>
              <w:t>注：未提供或未承诺的不得分。</w:t>
            </w:r>
          </w:p>
        </w:tc>
        <w:tc>
          <w:tcPr>
            <w:tcW w:w="785" w:type="dxa"/>
            <w:vAlign w:val="center"/>
          </w:tcPr>
          <w:p w14:paraId="7934FD64">
            <w:pPr>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21"/>
                <w:szCs w:val="21"/>
                <w:lang w:val="en-US" w:eastAsia="zh-CN"/>
              </w:rPr>
              <w:t>2</w:t>
            </w:r>
          </w:p>
        </w:tc>
      </w:tr>
      <w:tr w14:paraId="2485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95" w:type="dxa"/>
            <w:shd w:val="clear" w:color="auto" w:fill="auto"/>
            <w:vAlign w:val="center"/>
          </w:tcPr>
          <w:p w14:paraId="2B715231">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b/>
                <w:bCs/>
                <w:kern w:val="0"/>
                <w:szCs w:val="21"/>
              </w:rPr>
              <w:t>二</w:t>
            </w:r>
          </w:p>
        </w:tc>
        <w:tc>
          <w:tcPr>
            <w:tcW w:w="8778" w:type="dxa"/>
            <w:gridSpan w:val="3"/>
            <w:shd w:val="clear" w:color="auto" w:fill="auto"/>
            <w:vAlign w:val="center"/>
          </w:tcPr>
          <w:p w14:paraId="1D5CEDFE">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cs="Arial"/>
                <w:b/>
                <w:bCs/>
                <w:szCs w:val="21"/>
                <w:lang w:bidi="ar"/>
              </w:rPr>
              <w:t>技术部分</w:t>
            </w:r>
          </w:p>
        </w:tc>
        <w:tc>
          <w:tcPr>
            <w:tcW w:w="785" w:type="dxa"/>
            <w:vAlign w:val="center"/>
          </w:tcPr>
          <w:p w14:paraId="4C3CCEFD">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sz w:val="18"/>
                <w:szCs w:val="18"/>
                <w:lang w:val="en-US" w:eastAsia="zh-CN"/>
              </w:rPr>
              <w:t>35</w:t>
            </w:r>
          </w:p>
        </w:tc>
      </w:tr>
      <w:tr w14:paraId="7946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95" w:type="dxa"/>
            <w:shd w:val="clear" w:color="auto" w:fill="auto"/>
            <w:vAlign w:val="center"/>
          </w:tcPr>
          <w:p w14:paraId="1CA1F56F">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bidi="ar-SA"/>
              </w:rPr>
              <w:t>8</w:t>
            </w:r>
          </w:p>
        </w:tc>
        <w:tc>
          <w:tcPr>
            <w:tcW w:w="1357" w:type="dxa"/>
            <w:shd w:val="clear" w:color="auto" w:fill="auto"/>
            <w:vAlign w:val="center"/>
          </w:tcPr>
          <w:p w14:paraId="64C7A091">
            <w:pPr>
              <w:pStyle w:val="31"/>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Theme="minorEastAsia" w:hAnsiTheme="minorEastAsia" w:eastAsiaTheme="minorEastAsia" w:cstheme="minorEastAsia"/>
                <w:bCs/>
                <w:szCs w:val="21"/>
              </w:rPr>
            </w:pPr>
            <w:r>
              <w:rPr>
                <w:rFonts w:hint="eastAsia" w:ascii="宋体" w:hAnsi="宋体" w:cs="宋体"/>
                <w:color w:val="auto"/>
                <w:sz w:val="21"/>
                <w:szCs w:val="21"/>
                <w:lang w:eastAsia="zh-CN"/>
              </w:rPr>
              <w:t>工程概况</w:t>
            </w:r>
          </w:p>
        </w:tc>
        <w:tc>
          <w:tcPr>
            <w:tcW w:w="7421" w:type="dxa"/>
            <w:gridSpan w:val="2"/>
            <w:vAlign w:val="center"/>
          </w:tcPr>
          <w:p w14:paraId="26E13988">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投标人对该工程的基本情况和周围条件、建设相关单位要求、具体部署等综合阐述</w:t>
            </w:r>
            <w:r>
              <w:rPr>
                <w:rFonts w:hint="eastAsia" w:ascii="宋体" w:hAnsi="宋体" w:cs="宋体"/>
                <w:kern w:val="2"/>
                <w:sz w:val="21"/>
                <w:szCs w:val="21"/>
                <w:lang w:val="en-US" w:eastAsia="zh-CN" w:bidi="ar-SA"/>
              </w:rPr>
              <w:t>。</w:t>
            </w:r>
          </w:p>
          <w:p w14:paraId="605E7209">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bCs/>
                <w:szCs w:val="21"/>
              </w:rPr>
            </w:pPr>
            <w:r>
              <w:rPr>
                <w:rFonts w:hint="eastAsia" w:ascii="宋体" w:hAnsi="宋体" w:eastAsia="宋体" w:cs="宋体"/>
                <w:b/>
                <w:bCs/>
                <w:kern w:val="2"/>
                <w:sz w:val="21"/>
                <w:szCs w:val="21"/>
                <w:lang w:val="en-US" w:eastAsia="zh-CN" w:bidi="ar-SA"/>
              </w:rPr>
              <w:t>注</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评委根据</w:t>
            </w:r>
            <w:r>
              <w:rPr>
                <w:rFonts w:hint="eastAsia" w:ascii="宋体" w:hAnsi="宋体" w:cs="宋体"/>
                <w:b/>
                <w:bCs/>
                <w:kern w:val="2"/>
                <w:sz w:val="21"/>
                <w:szCs w:val="21"/>
                <w:lang w:val="en-US" w:eastAsia="zh-CN" w:bidi="ar-SA"/>
              </w:rPr>
              <w:t>阐述</w:t>
            </w:r>
            <w:r>
              <w:rPr>
                <w:rFonts w:hint="eastAsia" w:ascii="宋体" w:hAnsi="宋体" w:eastAsia="宋体" w:cs="宋体"/>
                <w:b/>
                <w:bCs/>
                <w:kern w:val="2"/>
                <w:sz w:val="21"/>
                <w:szCs w:val="21"/>
                <w:lang w:val="en-US" w:eastAsia="zh-CN" w:bidi="ar-SA"/>
              </w:rPr>
              <w:t>是否结合项目现场情况对其科学性、合理性</w:t>
            </w:r>
            <w:r>
              <w:rPr>
                <w:rFonts w:hint="eastAsia" w:ascii="宋体" w:hAnsi="宋体" w:eastAsia="宋体" w:cs="宋体"/>
                <w:b/>
                <w:bCs/>
                <w:sz w:val="21"/>
                <w:szCs w:val="21"/>
                <w:lang w:val="en-US" w:eastAsia="zh-CN"/>
              </w:rPr>
              <w:t>等方面由评委进行评分</w:t>
            </w:r>
            <w:r>
              <w:rPr>
                <w:rFonts w:hint="eastAsia" w:ascii="宋体" w:hAnsi="宋体" w:eastAsia="宋体" w:cs="宋体"/>
                <w:b/>
                <w:bCs/>
                <w:kern w:val="2"/>
                <w:sz w:val="21"/>
                <w:szCs w:val="21"/>
                <w:lang w:val="en-US" w:eastAsia="zh-CN" w:bidi="ar-SA"/>
              </w:rPr>
              <w:t>，如</w:t>
            </w:r>
            <w:r>
              <w:rPr>
                <w:rFonts w:hint="eastAsia" w:ascii="宋体" w:hAnsi="宋体" w:cs="宋体"/>
                <w:b/>
                <w:bCs/>
                <w:kern w:val="2"/>
                <w:sz w:val="21"/>
                <w:szCs w:val="21"/>
                <w:lang w:val="en-US" w:eastAsia="zh-CN" w:bidi="ar-SA"/>
              </w:rPr>
              <w:t>阐述内容与本项目现场情况不符</w:t>
            </w:r>
            <w:r>
              <w:rPr>
                <w:rFonts w:hint="eastAsia" w:ascii="宋体" w:hAnsi="宋体" w:eastAsia="宋体" w:cs="宋体"/>
                <w:b/>
                <w:bCs/>
                <w:kern w:val="2"/>
                <w:sz w:val="21"/>
                <w:szCs w:val="21"/>
                <w:lang w:val="en-US" w:eastAsia="zh-CN" w:bidi="ar-SA"/>
              </w:rPr>
              <w:t>现象，该项不得分。</w:t>
            </w:r>
          </w:p>
        </w:tc>
        <w:tc>
          <w:tcPr>
            <w:tcW w:w="785" w:type="dxa"/>
            <w:vAlign w:val="center"/>
          </w:tcPr>
          <w:p w14:paraId="4760FD9D">
            <w:pPr>
              <w:pStyle w:val="31"/>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Theme="minorEastAsia" w:hAnsiTheme="minorEastAsia" w:eastAsiaTheme="minorEastAsia" w:cstheme="minorEastAsia"/>
                <w:bCs/>
                <w:szCs w:val="21"/>
              </w:rPr>
            </w:pPr>
            <w:r>
              <w:rPr>
                <w:rFonts w:hint="eastAsia" w:ascii="宋体" w:hAnsi="宋体" w:cs="宋体"/>
                <w:kern w:val="0"/>
                <w:sz w:val="21"/>
                <w:szCs w:val="21"/>
                <w:lang w:val="en-US" w:eastAsia="zh-CN"/>
              </w:rPr>
              <w:t>5</w:t>
            </w:r>
          </w:p>
        </w:tc>
      </w:tr>
      <w:tr w14:paraId="2783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5" w:type="dxa"/>
            <w:vAlign w:val="center"/>
          </w:tcPr>
          <w:p w14:paraId="7F02AA04">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9</w:t>
            </w:r>
          </w:p>
        </w:tc>
        <w:tc>
          <w:tcPr>
            <w:tcW w:w="1357" w:type="dxa"/>
            <w:vAlign w:val="center"/>
          </w:tcPr>
          <w:p w14:paraId="7C43FAEA">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Cs/>
                <w:szCs w:val="21"/>
              </w:rPr>
            </w:pPr>
            <w:r>
              <w:rPr>
                <w:rFonts w:hint="eastAsia" w:ascii="宋体" w:hAnsi="宋体" w:cs="宋体"/>
                <w:bCs/>
                <w:sz w:val="21"/>
                <w:szCs w:val="21"/>
                <w:lang w:val="zh-CN"/>
              </w:rPr>
              <w:t>施工部署</w:t>
            </w:r>
          </w:p>
        </w:tc>
        <w:tc>
          <w:tcPr>
            <w:tcW w:w="7421" w:type="dxa"/>
            <w:gridSpan w:val="2"/>
            <w:vAlign w:val="center"/>
          </w:tcPr>
          <w:p w14:paraId="7FCC0777">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投标人根据招标文件以及本单位对工程管理目标的要求，对本工程的进度安排和空间组织、重难点分析等进行综合阐述。</w:t>
            </w:r>
          </w:p>
          <w:p w14:paraId="073D79B5">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bCs/>
                <w:szCs w:val="21"/>
              </w:rPr>
            </w:pPr>
            <w:r>
              <w:rPr>
                <w:rFonts w:hint="eastAsia" w:ascii="宋体" w:hAnsi="宋体" w:eastAsia="宋体" w:cs="宋体"/>
                <w:b/>
                <w:bCs/>
                <w:sz w:val="21"/>
                <w:szCs w:val="21"/>
                <w:lang w:val="en-US" w:eastAsia="zh-CN"/>
              </w:rPr>
              <w:t>注</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评委根据是否结合项目现场情况对其科学性、合理性等方面由评委进行评分</w:t>
            </w:r>
            <w:r>
              <w:rPr>
                <w:rFonts w:hint="eastAsia" w:ascii="宋体" w:hAnsi="宋体" w:cs="宋体"/>
                <w:b/>
                <w:bCs/>
                <w:sz w:val="21"/>
                <w:szCs w:val="21"/>
                <w:lang w:val="en-US" w:eastAsia="zh-CN"/>
              </w:rPr>
              <w:t>。</w:t>
            </w:r>
          </w:p>
        </w:tc>
        <w:tc>
          <w:tcPr>
            <w:tcW w:w="785" w:type="dxa"/>
            <w:vAlign w:val="center"/>
          </w:tcPr>
          <w:p w14:paraId="0E1A1CD0">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Cs/>
                <w:szCs w:val="21"/>
              </w:rPr>
            </w:pPr>
            <w:r>
              <w:rPr>
                <w:rFonts w:hint="eastAsia" w:ascii="宋体" w:hAnsi="宋体" w:cs="宋体"/>
                <w:bCs/>
                <w:sz w:val="21"/>
                <w:szCs w:val="21"/>
                <w:lang w:val="en-US" w:eastAsia="zh-CN"/>
              </w:rPr>
              <w:t>5</w:t>
            </w:r>
          </w:p>
        </w:tc>
      </w:tr>
      <w:tr w14:paraId="182D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95" w:type="dxa"/>
            <w:vAlign w:val="center"/>
          </w:tcPr>
          <w:p w14:paraId="229C4A0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10</w:t>
            </w:r>
          </w:p>
        </w:tc>
        <w:tc>
          <w:tcPr>
            <w:tcW w:w="1357" w:type="dxa"/>
            <w:vAlign w:val="center"/>
          </w:tcPr>
          <w:p w14:paraId="6AB44F72">
            <w:pPr>
              <w:pStyle w:val="19"/>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主要施工</w:t>
            </w:r>
          </w:p>
          <w:p w14:paraId="7E1D522F">
            <w:pPr>
              <w:pStyle w:val="19"/>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Cs w:val="21"/>
              </w:rPr>
            </w:pPr>
            <w:r>
              <w:rPr>
                <w:rFonts w:hint="eastAsia" w:ascii="宋体" w:eastAsia="宋体" w:cs="宋体"/>
                <w:color w:val="auto"/>
                <w:kern w:val="2"/>
                <w:sz w:val="21"/>
                <w:szCs w:val="21"/>
                <w:lang w:val="en-US" w:eastAsia="zh-CN" w:bidi="ar-SA"/>
              </w:rPr>
              <w:t>方案</w:t>
            </w:r>
          </w:p>
        </w:tc>
        <w:tc>
          <w:tcPr>
            <w:tcW w:w="7421" w:type="dxa"/>
            <w:gridSpan w:val="2"/>
            <w:vAlign w:val="center"/>
          </w:tcPr>
          <w:p w14:paraId="07438DF0">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根据是否结合</w:t>
            </w:r>
            <w:r>
              <w:rPr>
                <w:rFonts w:hint="eastAsia" w:ascii="宋体" w:hAnsi="宋体" w:cs="宋体"/>
                <w:sz w:val="21"/>
                <w:szCs w:val="21"/>
                <w:highlight w:val="none"/>
                <w:lang w:val="en-US" w:eastAsia="zh-CN"/>
              </w:rPr>
              <w:t>本</w:t>
            </w:r>
            <w:r>
              <w:rPr>
                <w:rFonts w:hint="eastAsia" w:ascii="宋体" w:hAnsi="宋体" w:eastAsia="宋体" w:cs="宋体"/>
                <w:sz w:val="21"/>
                <w:szCs w:val="21"/>
                <w:highlight w:val="none"/>
              </w:rPr>
              <w:t>项目现场情况对其科学性、合理性打分。</w:t>
            </w:r>
          </w:p>
          <w:p w14:paraId="3A7CB38A">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szCs w:val="21"/>
              </w:rPr>
            </w:pPr>
            <w:r>
              <w:rPr>
                <w:rFonts w:hint="eastAsia" w:ascii="宋体" w:hAnsi="宋体" w:eastAsia="宋体" w:cs="宋体"/>
                <w:b/>
                <w:bCs/>
                <w:sz w:val="21"/>
                <w:szCs w:val="21"/>
                <w:highlight w:val="none"/>
              </w:rPr>
              <w:t>注</w:t>
            </w:r>
            <w:r>
              <w:rPr>
                <w:rFonts w:hint="eastAsia" w:ascii="宋体" w:hAnsi="宋体" w:cs="宋体"/>
                <w:b/>
                <w:bCs/>
                <w:sz w:val="21"/>
                <w:szCs w:val="21"/>
                <w:highlight w:val="none"/>
                <w:lang w:eastAsia="zh-CN"/>
              </w:rPr>
              <w:t>：</w:t>
            </w:r>
            <w:r>
              <w:rPr>
                <w:rFonts w:hint="eastAsia" w:ascii="宋体" w:hAnsi="宋体" w:eastAsia="宋体" w:cs="宋体"/>
                <w:b/>
                <w:bCs/>
                <w:sz w:val="21"/>
                <w:szCs w:val="21"/>
                <w:highlight w:val="none"/>
              </w:rPr>
              <w:t>评委根据</w:t>
            </w:r>
            <w:r>
              <w:rPr>
                <w:rFonts w:hint="eastAsia" w:ascii="宋体" w:hAnsi="宋体" w:cs="宋体"/>
                <w:b/>
                <w:bCs/>
                <w:sz w:val="21"/>
                <w:szCs w:val="21"/>
                <w:highlight w:val="none"/>
                <w:lang w:val="en-US" w:eastAsia="zh-CN"/>
              </w:rPr>
              <w:t>提供的主要施工方案</w:t>
            </w:r>
            <w:r>
              <w:rPr>
                <w:rFonts w:hint="eastAsia" w:ascii="宋体" w:hAnsi="宋体" w:eastAsia="宋体" w:cs="宋体"/>
                <w:b/>
                <w:bCs/>
                <w:sz w:val="21"/>
                <w:szCs w:val="21"/>
                <w:highlight w:val="none"/>
              </w:rPr>
              <w:t>是否结合项目现场情况对其科学性、合理性</w:t>
            </w:r>
            <w:r>
              <w:rPr>
                <w:rFonts w:hint="eastAsia" w:ascii="宋体" w:hAnsi="宋体" w:cs="宋体"/>
                <w:b/>
                <w:bCs/>
                <w:sz w:val="21"/>
                <w:szCs w:val="21"/>
                <w:highlight w:val="none"/>
                <w:lang w:val="en-US" w:eastAsia="zh-CN"/>
              </w:rPr>
              <w:t>等由进行</w:t>
            </w:r>
            <w:r>
              <w:rPr>
                <w:rFonts w:hint="eastAsia" w:ascii="宋体" w:hAnsi="宋体" w:eastAsia="宋体" w:cs="宋体"/>
                <w:b/>
                <w:bCs/>
                <w:sz w:val="21"/>
                <w:szCs w:val="21"/>
                <w:highlight w:val="none"/>
              </w:rPr>
              <w:t>打分，如出现</w:t>
            </w:r>
            <w:r>
              <w:rPr>
                <w:rFonts w:hint="eastAsia" w:ascii="宋体" w:hAnsi="宋体" w:cs="宋体"/>
                <w:b/>
                <w:bCs/>
                <w:kern w:val="2"/>
                <w:sz w:val="21"/>
                <w:szCs w:val="21"/>
                <w:lang w:val="en-US" w:eastAsia="zh-CN" w:bidi="ar-SA"/>
              </w:rPr>
              <w:t>与本项目现场情况不符</w:t>
            </w:r>
            <w:r>
              <w:rPr>
                <w:rFonts w:hint="eastAsia" w:ascii="宋体" w:hAnsi="宋体" w:eastAsia="宋体" w:cs="宋体"/>
                <w:b/>
                <w:bCs/>
                <w:kern w:val="2"/>
                <w:sz w:val="21"/>
                <w:szCs w:val="21"/>
                <w:lang w:val="en-US" w:eastAsia="zh-CN" w:bidi="ar-SA"/>
              </w:rPr>
              <w:t>现象</w:t>
            </w:r>
            <w:r>
              <w:rPr>
                <w:rFonts w:hint="eastAsia" w:ascii="宋体" w:hAnsi="宋体" w:eastAsia="宋体" w:cs="宋体"/>
                <w:b/>
                <w:bCs/>
                <w:sz w:val="21"/>
                <w:szCs w:val="21"/>
                <w:highlight w:val="none"/>
              </w:rPr>
              <w:t>，该项不得分。</w:t>
            </w:r>
          </w:p>
        </w:tc>
        <w:tc>
          <w:tcPr>
            <w:tcW w:w="785" w:type="dxa"/>
            <w:vAlign w:val="center"/>
          </w:tcPr>
          <w:p w14:paraId="59A51B8C">
            <w:pPr>
              <w:pStyle w:val="31"/>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5</w:t>
            </w:r>
          </w:p>
        </w:tc>
      </w:tr>
      <w:tr w14:paraId="768C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5" w:type="dxa"/>
            <w:vAlign w:val="center"/>
          </w:tcPr>
          <w:p w14:paraId="2145CD12">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kern w:val="0"/>
                <w:szCs w:val="21"/>
                <w:highlight w:val="none"/>
                <w:lang w:val="en-US" w:eastAsia="zh-CN"/>
              </w:rPr>
              <w:t>11</w:t>
            </w:r>
          </w:p>
        </w:tc>
        <w:tc>
          <w:tcPr>
            <w:tcW w:w="1357" w:type="dxa"/>
            <w:vAlign w:val="center"/>
          </w:tcPr>
          <w:p w14:paraId="6A2B97B2">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kern w:val="0"/>
                <w:szCs w:val="21"/>
                <w:highlight w:val="none"/>
                <w:lang w:eastAsia="zh-CN"/>
              </w:rPr>
              <w:t>施工进度保证措施</w:t>
            </w:r>
          </w:p>
        </w:tc>
        <w:tc>
          <w:tcPr>
            <w:tcW w:w="7421" w:type="dxa"/>
            <w:gridSpan w:val="2"/>
            <w:vAlign w:val="center"/>
          </w:tcPr>
          <w:p w14:paraId="5E3EECA0">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highlight w:val="none"/>
              </w:rPr>
            </w:pPr>
            <w:r>
              <w:rPr>
                <w:rFonts w:hint="eastAsia"/>
                <w:highlight w:val="none"/>
              </w:rPr>
              <w:t>根据现场实际情况，针对性地阐述施工进度保证措施的特点、难点分析及解决措施。</w:t>
            </w:r>
          </w:p>
          <w:p w14:paraId="427BA559">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szCs w:val="21"/>
              </w:rPr>
            </w:pPr>
            <w:r>
              <w:rPr>
                <w:rFonts w:hint="eastAsia"/>
                <w:b/>
                <w:bCs/>
                <w:highlight w:val="none"/>
              </w:rPr>
              <w:t>注</w:t>
            </w:r>
            <w:r>
              <w:rPr>
                <w:rFonts w:hint="eastAsia"/>
                <w:b/>
                <w:bCs/>
                <w:highlight w:val="none"/>
                <w:lang w:eastAsia="zh-CN"/>
              </w:rPr>
              <w:t>：</w:t>
            </w:r>
            <w:r>
              <w:rPr>
                <w:rFonts w:hint="eastAsia"/>
                <w:b/>
                <w:bCs/>
                <w:highlight w:val="none"/>
              </w:rPr>
              <w:t>评委根据是否结合项目现场情况对其科学性、合理性打分，</w:t>
            </w:r>
            <w:r>
              <w:rPr>
                <w:rFonts w:hint="eastAsia" w:ascii="宋体" w:hAnsi="宋体" w:eastAsia="宋体" w:cs="宋体"/>
                <w:b/>
                <w:bCs/>
                <w:sz w:val="21"/>
                <w:szCs w:val="21"/>
                <w:highlight w:val="none"/>
              </w:rPr>
              <w:t>如出现</w:t>
            </w:r>
            <w:r>
              <w:rPr>
                <w:rFonts w:hint="eastAsia" w:ascii="宋体" w:hAnsi="宋体" w:cs="宋体"/>
                <w:b/>
                <w:bCs/>
                <w:kern w:val="2"/>
                <w:sz w:val="21"/>
                <w:szCs w:val="21"/>
                <w:lang w:val="en-US" w:eastAsia="zh-CN" w:bidi="ar-SA"/>
              </w:rPr>
              <w:t>与本项目现场情况不符</w:t>
            </w:r>
            <w:r>
              <w:rPr>
                <w:rFonts w:hint="eastAsia" w:ascii="宋体" w:hAnsi="宋体" w:eastAsia="宋体" w:cs="宋体"/>
                <w:b/>
                <w:bCs/>
                <w:kern w:val="2"/>
                <w:sz w:val="21"/>
                <w:szCs w:val="21"/>
                <w:lang w:val="en-US" w:eastAsia="zh-CN" w:bidi="ar-SA"/>
              </w:rPr>
              <w:t>现象</w:t>
            </w:r>
            <w:r>
              <w:rPr>
                <w:rFonts w:hint="eastAsia" w:ascii="宋体" w:hAnsi="宋体" w:eastAsia="宋体" w:cs="宋体"/>
                <w:b/>
                <w:bCs/>
                <w:sz w:val="21"/>
                <w:szCs w:val="21"/>
                <w:highlight w:val="none"/>
              </w:rPr>
              <w:t>，</w:t>
            </w:r>
            <w:r>
              <w:rPr>
                <w:rFonts w:hint="eastAsia"/>
                <w:b/>
                <w:bCs/>
                <w:highlight w:val="none"/>
              </w:rPr>
              <w:t>该项不得分。</w:t>
            </w:r>
          </w:p>
        </w:tc>
        <w:tc>
          <w:tcPr>
            <w:tcW w:w="785" w:type="dxa"/>
            <w:vAlign w:val="center"/>
          </w:tcPr>
          <w:p w14:paraId="48E01B97">
            <w:pPr>
              <w:pStyle w:val="31"/>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Theme="minorEastAsia" w:hAnsiTheme="minorEastAsia" w:eastAsiaTheme="minorEastAsia" w:cstheme="minorEastAsia"/>
                <w:kern w:val="0"/>
                <w:szCs w:val="21"/>
              </w:rPr>
            </w:pPr>
            <w:r>
              <w:rPr>
                <w:rFonts w:hint="eastAsia" w:ascii="宋体" w:hAnsi="宋体" w:cs="宋体"/>
                <w:kern w:val="0"/>
                <w:sz w:val="21"/>
                <w:szCs w:val="21"/>
                <w:lang w:val="en-US" w:eastAsia="zh-CN"/>
              </w:rPr>
              <w:t>5</w:t>
            </w:r>
          </w:p>
        </w:tc>
      </w:tr>
      <w:tr w14:paraId="333C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95" w:type="dxa"/>
            <w:vAlign w:val="center"/>
          </w:tcPr>
          <w:p w14:paraId="57B2D159">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kern w:val="0"/>
                <w:szCs w:val="21"/>
                <w:highlight w:val="none"/>
                <w:lang w:val="en-US" w:eastAsia="zh-CN"/>
              </w:rPr>
              <w:t>12</w:t>
            </w:r>
          </w:p>
        </w:tc>
        <w:tc>
          <w:tcPr>
            <w:tcW w:w="1357" w:type="dxa"/>
            <w:vAlign w:val="center"/>
          </w:tcPr>
          <w:p w14:paraId="1AF898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kern w:val="2"/>
                <w:sz w:val="21"/>
                <w:szCs w:val="21"/>
                <w:highlight w:val="none"/>
                <w:lang w:val="en-US" w:eastAsia="zh-CN" w:bidi="ar-SA"/>
              </w:rPr>
            </w:pPr>
            <w:r>
              <w:rPr>
                <w:rFonts w:hint="eastAsia" w:cs="Times New Roman"/>
                <w:kern w:val="2"/>
                <w:sz w:val="21"/>
                <w:szCs w:val="21"/>
                <w:highlight w:val="none"/>
                <w:lang w:val="en-US" w:eastAsia="zh-CN" w:bidi="ar-SA"/>
              </w:rPr>
              <w:t>安全保证</w:t>
            </w:r>
          </w:p>
          <w:p w14:paraId="32E75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rPr>
            </w:pPr>
            <w:r>
              <w:rPr>
                <w:rFonts w:hint="eastAsia" w:cs="Times New Roman"/>
                <w:kern w:val="2"/>
                <w:sz w:val="21"/>
                <w:szCs w:val="21"/>
                <w:highlight w:val="none"/>
                <w:lang w:val="en-US" w:eastAsia="zh-CN" w:bidi="ar-SA"/>
              </w:rPr>
              <w:t>措施</w:t>
            </w:r>
          </w:p>
        </w:tc>
        <w:tc>
          <w:tcPr>
            <w:tcW w:w="7421" w:type="dxa"/>
            <w:gridSpan w:val="2"/>
            <w:vAlign w:val="center"/>
          </w:tcPr>
          <w:p w14:paraId="072DAC7B">
            <w:pPr>
              <w:keepNext w:val="0"/>
              <w:keepLines w:val="0"/>
              <w:pageBreakBefore w:val="0"/>
              <w:widowControl w:val="0"/>
              <w:kinsoku/>
              <w:wordWrap/>
              <w:overflowPunct/>
              <w:topLinePunct w:val="0"/>
              <w:autoSpaceDE/>
              <w:autoSpaceDN/>
              <w:bidi w:val="0"/>
              <w:adjustRightInd/>
              <w:snapToGrid/>
              <w:spacing w:line="394"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按照本工程实际情况，对该工程特殊天气施工、安全措施及疫情防治等方面予以合理安排。</w:t>
            </w:r>
          </w:p>
          <w:p w14:paraId="01BDCF87">
            <w:pPr>
              <w:keepNext w:val="0"/>
              <w:keepLines w:val="0"/>
              <w:pageBreakBefore w:val="0"/>
              <w:widowControl w:val="0"/>
              <w:kinsoku/>
              <w:wordWrap/>
              <w:overflowPunct/>
              <w:topLinePunct w:val="0"/>
              <w:autoSpaceDE/>
              <w:autoSpaceDN/>
              <w:bidi w:val="0"/>
              <w:adjustRightInd/>
              <w:snapToGrid/>
              <w:spacing w:line="394" w:lineRule="exact"/>
              <w:jc w:val="left"/>
              <w:textAlignment w:val="auto"/>
              <w:rPr>
                <w:rFonts w:hint="eastAsia" w:asciiTheme="minorEastAsia" w:hAnsiTheme="minorEastAsia" w:eastAsiaTheme="minorEastAsia" w:cstheme="minorEastAsia"/>
                <w:szCs w:val="21"/>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评委根据是否结合项目现场情况对其科学性、合理性打分，</w:t>
            </w:r>
            <w:r>
              <w:rPr>
                <w:rFonts w:hint="eastAsia" w:ascii="宋体" w:hAnsi="宋体" w:eastAsia="宋体" w:cs="宋体"/>
                <w:b/>
                <w:bCs/>
                <w:sz w:val="21"/>
                <w:szCs w:val="21"/>
                <w:highlight w:val="none"/>
              </w:rPr>
              <w:t>如出现</w:t>
            </w:r>
            <w:r>
              <w:rPr>
                <w:rFonts w:hint="eastAsia" w:ascii="宋体" w:hAnsi="宋体" w:cs="宋体"/>
                <w:b/>
                <w:bCs/>
                <w:kern w:val="2"/>
                <w:sz w:val="21"/>
                <w:szCs w:val="21"/>
                <w:lang w:val="en-US" w:eastAsia="zh-CN" w:bidi="ar-SA"/>
              </w:rPr>
              <w:t>与本工程实际情况不符</w:t>
            </w:r>
            <w:r>
              <w:rPr>
                <w:rFonts w:hint="eastAsia" w:ascii="宋体" w:hAnsi="宋体" w:eastAsia="宋体" w:cs="宋体"/>
                <w:b/>
                <w:bCs/>
                <w:kern w:val="2"/>
                <w:sz w:val="21"/>
                <w:szCs w:val="21"/>
                <w:lang w:val="en-US" w:eastAsia="zh-CN" w:bidi="ar-SA"/>
              </w:rPr>
              <w:t>现象</w:t>
            </w:r>
            <w:r>
              <w:rPr>
                <w:rFonts w:hint="eastAsia" w:ascii="宋体" w:hAnsi="宋体" w:eastAsia="宋体" w:cs="宋体"/>
                <w:b/>
                <w:bCs/>
                <w:color w:val="auto"/>
                <w:kern w:val="2"/>
                <w:sz w:val="21"/>
                <w:szCs w:val="21"/>
                <w:highlight w:val="none"/>
                <w:lang w:val="en-US" w:eastAsia="zh-CN" w:bidi="ar-SA"/>
              </w:rPr>
              <w:t>，该项不得分。</w:t>
            </w:r>
          </w:p>
        </w:tc>
        <w:tc>
          <w:tcPr>
            <w:tcW w:w="785" w:type="dxa"/>
            <w:vAlign w:val="center"/>
          </w:tcPr>
          <w:p w14:paraId="1AE5BD91">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outlineLvl w:val="9"/>
              <w:rPr>
                <w:rFonts w:hint="eastAsia" w:asciiTheme="minorEastAsia" w:hAnsiTheme="minorEastAsia" w:eastAsiaTheme="minorEastAsia" w:cstheme="minorEastAsia"/>
                <w:kern w:val="0"/>
                <w:szCs w:val="21"/>
              </w:rPr>
            </w:pPr>
            <w:r>
              <w:rPr>
                <w:rFonts w:hint="eastAsia" w:ascii="宋体" w:hAnsi="宋体" w:cs="宋体"/>
                <w:bCs/>
                <w:sz w:val="21"/>
                <w:szCs w:val="21"/>
                <w:lang w:val="en-US" w:eastAsia="zh-CN"/>
              </w:rPr>
              <w:t>5</w:t>
            </w:r>
          </w:p>
        </w:tc>
      </w:tr>
      <w:tr w14:paraId="6F2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5" w:type="dxa"/>
            <w:vAlign w:val="center"/>
          </w:tcPr>
          <w:p w14:paraId="58AEC83C">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13</w:t>
            </w:r>
          </w:p>
        </w:tc>
        <w:tc>
          <w:tcPr>
            <w:tcW w:w="1357" w:type="dxa"/>
            <w:vAlign w:val="center"/>
          </w:tcPr>
          <w:p w14:paraId="5C2EF4A8">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cs="Times New Roman"/>
                <w:kern w:val="2"/>
                <w:sz w:val="21"/>
                <w:szCs w:val="21"/>
                <w:highlight w:val="none"/>
                <w:lang w:val="en-US" w:eastAsia="zh-CN" w:bidi="ar-SA"/>
              </w:rPr>
              <w:t>投标人自身考评</w:t>
            </w:r>
          </w:p>
        </w:tc>
        <w:tc>
          <w:tcPr>
            <w:tcW w:w="7421" w:type="dxa"/>
            <w:gridSpan w:val="2"/>
            <w:vAlign w:val="center"/>
          </w:tcPr>
          <w:p w14:paraId="5C12D459">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围绕本项目施工建设的特点，由投标人从自身实力、优势、从事该项目施工的专业化程度等角度自我阐述，并提供相应有效的依据。</w:t>
            </w:r>
          </w:p>
          <w:p w14:paraId="793AAF9D">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bCs/>
                <w:szCs w:val="21"/>
              </w:rPr>
            </w:pPr>
            <w:r>
              <w:rPr>
                <w:rFonts w:hint="eastAsia" w:ascii="宋体" w:hAnsi="宋体" w:eastAsia="宋体" w:cs="宋体"/>
                <w:b/>
                <w:bCs/>
                <w:kern w:val="2"/>
                <w:sz w:val="21"/>
                <w:szCs w:val="21"/>
                <w:lang w:val="en-US" w:eastAsia="zh-CN" w:bidi="ar-SA"/>
              </w:rPr>
              <w:t>注</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由评委结合投标人的阐述及提供的依据进行综合打分。</w:t>
            </w:r>
          </w:p>
        </w:tc>
        <w:tc>
          <w:tcPr>
            <w:tcW w:w="785" w:type="dxa"/>
            <w:vAlign w:val="center"/>
          </w:tcPr>
          <w:p w14:paraId="7383AE7A">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kern w:val="0"/>
                <w:szCs w:val="21"/>
              </w:rPr>
            </w:pPr>
            <w:r>
              <w:rPr>
                <w:rFonts w:hint="eastAsia" w:ascii="宋体" w:hAnsi="宋体" w:cs="宋体"/>
                <w:bCs/>
                <w:sz w:val="21"/>
                <w:szCs w:val="21"/>
                <w:lang w:val="en-US" w:eastAsia="zh-CN"/>
              </w:rPr>
              <w:t>4</w:t>
            </w:r>
          </w:p>
        </w:tc>
      </w:tr>
      <w:tr w14:paraId="0615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95" w:type="dxa"/>
            <w:vAlign w:val="center"/>
          </w:tcPr>
          <w:p w14:paraId="2C7690CB">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14</w:t>
            </w:r>
          </w:p>
        </w:tc>
        <w:tc>
          <w:tcPr>
            <w:tcW w:w="1357" w:type="dxa"/>
            <w:vAlign w:val="center"/>
          </w:tcPr>
          <w:p w14:paraId="46F4426B">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 w:val="21"/>
                <w:szCs w:val="21"/>
              </w:rPr>
            </w:pPr>
            <w:r>
              <w:rPr>
                <w:rFonts w:hint="eastAsia" w:ascii="宋体" w:hAnsi="宋体" w:cs="宋体"/>
                <w:kern w:val="0"/>
                <w:szCs w:val="21"/>
                <w:highlight w:val="none"/>
                <w:lang w:eastAsia="zh-CN"/>
              </w:rPr>
              <w:t>本地化服务</w:t>
            </w:r>
          </w:p>
        </w:tc>
        <w:tc>
          <w:tcPr>
            <w:tcW w:w="7421" w:type="dxa"/>
            <w:gridSpan w:val="2"/>
            <w:vAlign w:val="center"/>
          </w:tcPr>
          <w:p w14:paraId="64DFDE02">
            <w:pPr>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供应商承诺设有机构网点，停放场所并能满足机具停放要求和材料仓库</w:t>
            </w:r>
            <w:r>
              <w:rPr>
                <w:rFonts w:hint="eastAsia" w:ascii="宋体" w:hAnsi="宋体" w:cs="宋体"/>
                <w:kern w:val="2"/>
                <w:sz w:val="21"/>
                <w:szCs w:val="21"/>
                <w:lang w:val="en-US" w:eastAsia="zh-CN" w:bidi="ar-SA"/>
              </w:rPr>
              <w:t>（格式自拟），</w:t>
            </w:r>
            <w:r>
              <w:rPr>
                <w:rFonts w:hint="eastAsia" w:ascii="宋体" w:hAnsi="宋体" w:cs="宋体"/>
                <w:kern w:val="0"/>
                <w:szCs w:val="21"/>
              </w:rPr>
              <w:t>提供得</w:t>
            </w:r>
            <w:r>
              <w:rPr>
                <w:rFonts w:hint="eastAsia" w:ascii="宋体" w:hAnsi="宋体" w:cs="宋体"/>
                <w:kern w:val="0"/>
                <w:szCs w:val="21"/>
                <w:lang w:val="en-US" w:eastAsia="zh-CN"/>
              </w:rPr>
              <w:t>3</w:t>
            </w:r>
            <w:r>
              <w:rPr>
                <w:rFonts w:hint="eastAsia" w:ascii="宋体" w:hAnsi="宋体" w:cs="宋体"/>
                <w:kern w:val="0"/>
                <w:szCs w:val="21"/>
              </w:rPr>
              <w:t>分，未提供不得分。</w:t>
            </w:r>
          </w:p>
          <w:p w14:paraId="61BED2AE">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Theme="minorEastAsia" w:hAnsiTheme="minorEastAsia" w:eastAsiaTheme="minorEastAsia" w:cstheme="minorEastAsia"/>
                <w:szCs w:val="21"/>
              </w:rPr>
            </w:pPr>
            <w:r>
              <w:rPr>
                <w:rFonts w:hint="eastAsia" w:ascii="宋体" w:hAnsi="宋体" w:eastAsia="宋体" w:cs="宋体"/>
                <w:b/>
                <w:bCs/>
                <w:color w:val="auto"/>
                <w:kern w:val="2"/>
                <w:sz w:val="21"/>
                <w:szCs w:val="21"/>
                <w:highlight w:val="none"/>
                <w:lang w:val="en-US" w:eastAsia="zh-CN" w:bidi="ar-SA"/>
              </w:rPr>
              <w:t>注</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须加盖公章,否则不得分。</w:t>
            </w:r>
          </w:p>
        </w:tc>
        <w:tc>
          <w:tcPr>
            <w:tcW w:w="785" w:type="dxa"/>
            <w:vAlign w:val="center"/>
          </w:tcPr>
          <w:p w14:paraId="31E5E1E6">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bCs/>
                <w:sz w:val="21"/>
                <w:szCs w:val="21"/>
                <w:lang w:val="en-US" w:eastAsia="zh-CN"/>
              </w:rPr>
              <w:t>3</w:t>
            </w:r>
          </w:p>
        </w:tc>
      </w:tr>
      <w:tr w14:paraId="78B5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5" w:type="dxa"/>
            <w:vAlign w:val="center"/>
          </w:tcPr>
          <w:p w14:paraId="589F6EB0">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Theme="minorEastAsia" w:hAnsiTheme="minorEastAsia" w:eastAsiaTheme="minorEastAsia" w:cstheme="minorEastAsia"/>
                <w:kern w:val="0"/>
                <w:szCs w:val="21"/>
              </w:rPr>
            </w:pPr>
            <w:r>
              <w:rPr>
                <w:rFonts w:hint="eastAsia" w:ascii="宋体" w:hAnsi="宋体" w:cs="宋体"/>
                <w:color w:val="auto"/>
                <w:kern w:val="0"/>
                <w:sz w:val="21"/>
                <w:szCs w:val="21"/>
                <w:highlight w:val="none"/>
                <w:lang w:val="en-US" w:eastAsia="zh-CN"/>
              </w:rPr>
              <w:t>15</w:t>
            </w:r>
          </w:p>
        </w:tc>
        <w:tc>
          <w:tcPr>
            <w:tcW w:w="1357" w:type="dxa"/>
            <w:vAlign w:val="center"/>
          </w:tcPr>
          <w:p w14:paraId="55CCC2E8">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szCs w:val="21"/>
              </w:rPr>
            </w:pPr>
            <w:r>
              <w:rPr>
                <w:rFonts w:hint="eastAsia" w:ascii="宋体" w:hAnsi="宋体" w:cs="宋体"/>
                <w:kern w:val="0"/>
                <w:szCs w:val="21"/>
                <w:highlight w:val="none"/>
                <w:lang w:eastAsia="zh-CN"/>
              </w:rPr>
              <w:t>合理化建议</w:t>
            </w:r>
          </w:p>
        </w:tc>
        <w:tc>
          <w:tcPr>
            <w:tcW w:w="7421" w:type="dxa"/>
            <w:gridSpan w:val="2"/>
            <w:vAlign w:val="center"/>
          </w:tcPr>
          <w:p w14:paraId="2950A5C0">
            <w:pPr>
              <w:pStyle w:val="75"/>
              <w:keepNext w:val="0"/>
              <w:keepLines w:val="0"/>
              <w:pageBreakBefore w:val="0"/>
              <w:widowControl w:val="0"/>
              <w:kinsoku/>
              <w:wordWrap/>
              <w:overflowPunct/>
              <w:topLinePunct w:val="0"/>
              <w:autoSpaceDE/>
              <w:autoSpaceDN/>
              <w:bidi w:val="0"/>
              <w:adjustRightInd/>
              <w:snapToGrid/>
              <w:spacing w:line="394" w:lineRule="exact"/>
              <w:textAlignment w:val="auto"/>
              <w:rPr>
                <w:rFonts w:hint="eastAsia" w:ascii="宋体" w:hAnsi="宋体" w:eastAsia="宋体" w:cs="宋体"/>
                <w:kern w:val="2"/>
                <w:sz w:val="21"/>
                <w:szCs w:val="21"/>
                <w:lang w:val="en-US" w:eastAsia="zh-CN" w:bidi="ar-SA"/>
              </w:rPr>
            </w:pPr>
            <w:r>
              <w:rPr>
                <w:rFonts w:hint="eastAsia" w:ascii="宋体" w:hAnsi="宋体" w:cs="宋体"/>
                <w:color w:val="auto"/>
                <w:sz w:val="21"/>
                <w:szCs w:val="21"/>
                <w:lang w:eastAsia="zh-CN"/>
              </w:rPr>
              <w:t>投标人</w:t>
            </w:r>
            <w:r>
              <w:rPr>
                <w:rFonts w:hint="eastAsia" w:ascii="宋体" w:hAnsi="宋体" w:cs="宋体"/>
                <w:color w:val="auto"/>
                <w:sz w:val="21"/>
                <w:szCs w:val="21"/>
                <w:lang w:val="en-US" w:eastAsia="zh-CN"/>
              </w:rPr>
              <w:t>结合采购人需求</w:t>
            </w:r>
            <w:r>
              <w:rPr>
                <w:rFonts w:hint="eastAsia" w:ascii="宋体" w:hAnsi="宋体" w:cs="宋体"/>
                <w:color w:val="auto"/>
                <w:sz w:val="21"/>
                <w:szCs w:val="21"/>
                <w:lang w:eastAsia="zh-CN"/>
              </w:rPr>
              <w:t>对未来使用提出合</w:t>
            </w:r>
            <w:r>
              <w:rPr>
                <w:rFonts w:hint="eastAsia" w:ascii="宋体" w:hAnsi="宋体" w:eastAsia="宋体" w:cs="宋体"/>
                <w:kern w:val="2"/>
                <w:sz w:val="21"/>
                <w:szCs w:val="21"/>
                <w:lang w:val="en-US" w:eastAsia="zh-CN" w:bidi="ar-SA"/>
              </w:rPr>
              <w:t>理化建议。</w:t>
            </w:r>
          </w:p>
          <w:p w14:paraId="4B65B1A8">
            <w:pPr>
              <w:pStyle w:val="75"/>
              <w:keepNext w:val="0"/>
              <w:keepLines w:val="0"/>
              <w:pageBreakBefore w:val="0"/>
              <w:widowControl w:val="0"/>
              <w:kinsoku/>
              <w:wordWrap/>
              <w:overflowPunct/>
              <w:topLinePunct w:val="0"/>
              <w:autoSpaceDE/>
              <w:autoSpaceDN/>
              <w:bidi w:val="0"/>
              <w:adjustRightInd/>
              <w:snapToGrid/>
              <w:spacing w:line="394" w:lineRule="exact"/>
              <w:textAlignment w:val="auto"/>
            </w:pPr>
            <w:r>
              <w:rPr>
                <w:rFonts w:hint="eastAsia" w:ascii="宋体" w:hAnsi="宋体" w:eastAsia="宋体" w:cs="宋体"/>
                <w:b/>
                <w:bCs/>
                <w:kern w:val="2"/>
                <w:sz w:val="21"/>
                <w:szCs w:val="21"/>
                <w:lang w:val="en-US" w:eastAsia="zh-CN" w:bidi="ar-SA"/>
              </w:rPr>
              <w:t>注</w:t>
            </w:r>
            <w:r>
              <w:rPr>
                <w:rFonts w:hint="eastAsia" w:ascii="宋体" w:hAnsi="宋体" w:cs="宋体"/>
                <w:b/>
                <w:bCs/>
                <w:kern w:val="2"/>
                <w:sz w:val="21"/>
                <w:szCs w:val="21"/>
                <w:lang w:val="en-US" w:eastAsia="zh-CN" w:bidi="ar-SA"/>
              </w:rPr>
              <w:t>：</w:t>
            </w:r>
            <w:r>
              <w:rPr>
                <w:rFonts w:hint="eastAsia" w:ascii="宋体" w:hAnsi="宋体" w:eastAsia="宋体" w:cs="宋体"/>
                <w:b/>
                <w:bCs/>
                <w:kern w:val="2"/>
                <w:sz w:val="21"/>
                <w:szCs w:val="21"/>
                <w:lang w:val="en-US" w:eastAsia="zh-CN" w:bidi="ar-SA"/>
              </w:rPr>
              <w:t>评委根据是否结合项目现场情况对其科学性、合理性打分，如出现与本项目现场情况不符现象，该项不得分。</w:t>
            </w:r>
          </w:p>
        </w:tc>
        <w:tc>
          <w:tcPr>
            <w:tcW w:w="785" w:type="dxa"/>
            <w:vAlign w:val="center"/>
          </w:tcPr>
          <w:p w14:paraId="688DBC3D">
            <w:pPr>
              <w:keepNext w:val="0"/>
              <w:keepLines w:val="0"/>
              <w:pageBreakBefore w:val="0"/>
              <w:kinsoku/>
              <w:wordWrap/>
              <w:overflowPunct/>
              <w:topLinePunct w:val="0"/>
              <w:bidi w:val="0"/>
              <w:adjustRightInd/>
              <w:snapToGrid/>
              <w:spacing w:line="400" w:lineRule="exact"/>
              <w:jc w:val="center"/>
              <w:textAlignment w:val="auto"/>
            </w:pPr>
            <w:r>
              <w:rPr>
                <w:rFonts w:hint="eastAsia" w:ascii="宋体" w:hAnsi="宋体" w:cs="宋体"/>
                <w:bCs/>
                <w:sz w:val="21"/>
                <w:szCs w:val="21"/>
                <w:lang w:val="en-US" w:eastAsia="zh-CN"/>
              </w:rPr>
              <w:t>3</w:t>
            </w:r>
          </w:p>
        </w:tc>
      </w:tr>
      <w:tr w14:paraId="0AA9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5" w:type="dxa"/>
            <w:shd w:val="clear" w:color="auto" w:fill="D7D7D7"/>
            <w:vAlign w:val="center"/>
          </w:tcPr>
          <w:p w14:paraId="7D6A3802">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kern w:val="0"/>
                <w:szCs w:val="21"/>
              </w:rPr>
            </w:pPr>
            <w:r>
              <w:rPr>
                <w:rFonts w:hint="eastAsia" w:ascii="宋体" w:hAnsi="宋体" w:eastAsia="宋体" w:cs="宋体"/>
                <w:b/>
                <w:color w:val="auto"/>
                <w:szCs w:val="21"/>
                <w:highlight w:val="none"/>
              </w:rPr>
              <w:t>备注</w:t>
            </w:r>
          </w:p>
        </w:tc>
        <w:tc>
          <w:tcPr>
            <w:tcW w:w="9563" w:type="dxa"/>
            <w:gridSpan w:val="4"/>
            <w:shd w:val="clear" w:color="auto" w:fill="D7D7D7"/>
            <w:vAlign w:val="center"/>
          </w:tcPr>
          <w:p w14:paraId="64C2EBE3">
            <w:pPr>
              <w:keepNext w:val="0"/>
              <w:keepLines w:val="0"/>
              <w:pageBreakBefore w:val="0"/>
              <w:widowControl/>
              <w:numPr>
                <w:ilvl w:val="0"/>
                <w:numId w:val="9"/>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kern w:val="0"/>
                <w:szCs w:val="21"/>
                <w:lang w:val="zh-CN"/>
              </w:rPr>
            </w:pPr>
            <w:r>
              <w:rPr>
                <w:rFonts w:hint="eastAsia" w:ascii="宋体" w:hAnsi="宋体" w:eastAsia="宋体" w:cs="宋体"/>
                <w:color w:val="auto"/>
                <w:kern w:val="0"/>
                <w:szCs w:val="21"/>
                <w:highlight w:val="none"/>
              </w:rPr>
              <w:t>供应商须按要求提供相关证明材料的复印件</w:t>
            </w:r>
            <w:r>
              <w:rPr>
                <w:rFonts w:hint="eastAsia" w:ascii="宋体" w:hAnsi="宋体" w:eastAsia="宋体" w:cs="宋体"/>
                <w:color w:val="auto"/>
                <w:kern w:val="0"/>
                <w:szCs w:val="21"/>
                <w:highlight w:val="none"/>
                <w:lang w:eastAsia="zh-CN"/>
              </w:rPr>
              <w:t>或扫描件</w:t>
            </w:r>
            <w:r>
              <w:rPr>
                <w:rFonts w:hint="eastAsia" w:ascii="宋体" w:hAnsi="宋体" w:eastAsia="宋体" w:cs="宋体"/>
                <w:color w:val="auto"/>
                <w:kern w:val="0"/>
                <w:szCs w:val="21"/>
                <w:highlight w:val="none"/>
              </w:rPr>
              <w:t>编入响应文件中，不符要求的该项不得分。</w:t>
            </w:r>
          </w:p>
        </w:tc>
      </w:tr>
      <w:tr w14:paraId="21B8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5" w:type="dxa"/>
            <w:gridSpan w:val="3"/>
            <w:vAlign w:val="center"/>
          </w:tcPr>
          <w:p w14:paraId="54BEBAF8">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szCs w:val="21"/>
              </w:rPr>
            </w:pPr>
            <w:r>
              <w:rPr>
                <w:rFonts w:hint="eastAsia" w:ascii="宋体" w:hAnsi="宋体" w:eastAsia="宋体" w:cs="宋体"/>
                <w:b/>
                <w:color w:val="auto"/>
                <w:kern w:val="0"/>
                <w:szCs w:val="21"/>
                <w:highlight w:val="none"/>
                <w:lang w:val="zh-CN"/>
              </w:rPr>
              <w:t>第二部分</w:t>
            </w: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Cs w:val="21"/>
                <w:highlight w:val="none"/>
                <w:lang w:val="zh-CN"/>
              </w:rPr>
              <w:t>报价文件评分</w:t>
            </w:r>
          </w:p>
        </w:tc>
        <w:tc>
          <w:tcPr>
            <w:tcW w:w="1303" w:type="dxa"/>
            <w:gridSpan w:val="2"/>
            <w:vAlign w:val="center"/>
          </w:tcPr>
          <w:p w14:paraId="69EEF25C">
            <w:pPr>
              <w:keepNext w:val="0"/>
              <w:keepLines w:val="0"/>
              <w:pageBreakBefore w:val="0"/>
              <w:widowControl/>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szCs w:val="21"/>
                <w:u w:val="single"/>
              </w:rPr>
            </w:pPr>
            <w:r>
              <w:rPr>
                <w:rFonts w:hint="eastAsia" w:ascii="宋体" w:hAnsi="宋体" w:eastAsia="宋体" w:cs="宋体"/>
                <w:b/>
                <w:color w:val="auto"/>
                <w:kern w:val="0"/>
                <w:szCs w:val="21"/>
                <w:highlight w:val="none"/>
                <w:lang w:val="zh-CN"/>
              </w:rPr>
              <w:t>满分</w:t>
            </w:r>
          </w:p>
        </w:tc>
      </w:tr>
      <w:tr w14:paraId="4B9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225538B4">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b/>
                <w:color w:val="auto"/>
                <w:kern w:val="0"/>
                <w:szCs w:val="21"/>
                <w:highlight w:val="none"/>
                <w:lang w:val="zh-CN"/>
              </w:rPr>
            </w:pPr>
            <w:bookmarkStart w:id="141" w:name="_Toc1386"/>
            <w:r>
              <w:rPr>
                <w:rFonts w:hint="eastAsia" w:ascii="宋体" w:hAnsi="宋体" w:eastAsia="宋体" w:cs="宋体"/>
                <w:b/>
                <w:color w:val="auto"/>
                <w:szCs w:val="21"/>
                <w:highlight w:val="none"/>
              </w:rPr>
              <w:t>评分标准</w:t>
            </w:r>
          </w:p>
        </w:tc>
        <w:tc>
          <w:tcPr>
            <w:tcW w:w="8260" w:type="dxa"/>
            <w:gridSpan w:val="2"/>
            <w:vAlign w:val="center"/>
          </w:tcPr>
          <w:p w14:paraId="007BB897">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
                <w:color w:val="auto"/>
                <w:kern w:val="0"/>
                <w:szCs w:val="21"/>
                <w:highlight w:val="none"/>
                <w:u w:val="single"/>
                <w:lang w:val="zh-CN"/>
              </w:rPr>
            </w:pPr>
            <w:r>
              <w:rPr>
                <w:rFonts w:hint="eastAsia" w:ascii="宋体" w:hAnsi="宋体" w:eastAsia="宋体" w:cs="宋体"/>
                <w:color w:val="auto"/>
                <w:kern w:val="0"/>
                <w:szCs w:val="21"/>
                <w:highlight w:val="none"/>
                <w:lang w:val="zh-CN"/>
              </w:rPr>
              <w:t>（1）各供应商报价文件得分由评标委员会按各供应商的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报价统一计算</w:t>
            </w:r>
            <w:r>
              <w:rPr>
                <w:rFonts w:hint="eastAsia" w:ascii="宋体" w:hAnsi="宋体" w:eastAsia="宋体" w:cs="宋体"/>
                <w:b/>
                <w:color w:val="auto"/>
                <w:kern w:val="0"/>
                <w:szCs w:val="21"/>
                <w:highlight w:val="none"/>
                <w:lang w:val="zh-CN"/>
              </w:rPr>
              <w:t>。</w:t>
            </w:r>
          </w:p>
          <w:p w14:paraId="39770A1A">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）报价文件评分采用低价优先法计算，即满足采购文件要求且投标报价最低的投标报价为评标基准价。投标报价最低的的供应商，其报价文件得满分。其他供应商的报价文件得分按下列公式计算：</w:t>
            </w:r>
          </w:p>
          <w:p w14:paraId="6F5F0969">
            <w:pPr>
              <w:keepNext w:val="0"/>
              <w:keepLines w:val="0"/>
              <w:pageBreakBefore w:val="0"/>
              <w:kinsoku/>
              <w:wordWrap/>
              <w:overflowPunct/>
              <w:topLinePunct w:val="0"/>
              <w:bidi w:val="0"/>
              <w:adjustRightInd/>
              <w:snapToGrid/>
              <w:spacing w:line="400" w:lineRule="exact"/>
              <w:ind w:firstLine="422" w:firstLineChars="200"/>
              <w:textAlignment w:val="auto"/>
            </w:pPr>
            <w:r>
              <w:rPr>
                <w:rFonts w:hint="eastAsia" w:ascii="宋体" w:hAnsi="宋体" w:eastAsia="宋体" w:cs="宋体"/>
                <w:b/>
                <w:szCs w:val="21"/>
                <w:u w:val="single"/>
                <w:lang w:val="zh-CN" w:bidi="ar"/>
              </w:rPr>
              <w:t>投标报价</w:t>
            </w:r>
            <w:r>
              <w:rPr>
                <w:rFonts w:hint="eastAsia" w:ascii="宋体" w:hAnsi="宋体" w:eastAsia="宋体" w:cs="宋体"/>
                <w:b/>
                <w:kern w:val="0"/>
                <w:szCs w:val="21"/>
                <w:u w:val="single"/>
                <w:lang w:val="zh-CN"/>
              </w:rPr>
              <w:t>得分=(评标基准价／投标报价)×价格权重×100 。</w:t>
            </w:r>
          </w:p>
        </w:tc>
        <w:tc>
          <w:tcPr>
            <w:tcW w:w="1303" w:type="dxa"/>
            <w:gridSpan w:val="2"/>
            <w:vAlign w:val="center"/>
          </w:tcPr>
          <w:p w14:paraId="0A739EB6">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b/>
                <w:color w:val="auto"/>
                <w:kern w:val="0"/>
                <w:szCs w:val="21"/>
                <w:highlight w:val="none"/>
                <w:lang w:val="zh-CN"/>
              </w:rPr>
            </w:pPr>
            <w:r>
              <w:rPr>
                <w:rFonts w:hint="eastAsia" w:ascii="宋体" w:hAnsi="宋体" w:cs="宋体"/>
                <w:bCs/>
                <w:color w:val="auto"/>
                <w:szCs w:val="21"/>
                <w:highlight w:val="none"/>
                <w:lang w:val="en-US" w:eastAsia="zh-CN" w:bidi="ar"/>
              </w:rPr>
              <w:t>40</w:t>
            </w:r>
          </w:p>
        </w:tc>
      </w:tr>
    </w:tbl>
    <w:p w14:paraId="182821B8">
      <w:pPr>
        <w:pStyle w:val="3"/>
        <w:spacing w:before="0" w:after="0" w:line="360" w:lineRule="auto"/>
        <w:jc w:val="center"/>
        <w:rPr>
          <w:rFonts w:hint="eastAsia" w:ascii="宋体" w:hAnsi="宋体" w:cs="宋体"/>
          <w:sz w:val="32"/>
          <w:szCs w:val="32"/>
        </w:rPr>
      </w:pPr>
    </w:p>
    <w:p w14:paraId="725A02F1">
      <w:pPr>
        <w:pStyle w:val="3"/>
        <w:spacing w:before="0" w:after="0" w:line="360" w:lineRule="auto"/>
        <w:jc w:val="center"/>
        <w:rPr>
          <w:rFonts w:hint="eastAsia" w:ascii="宋体" w:hAnsi="宋体" w:cs="宋体"/>
          <w:sz w:val="32"/>
          <w:szCs w:val="32"/>
        </w:rPr>
      </w:pPr>
    </w:p>
    <w:p w14:paraId="469E399B">
      <w:pPr>
        <w:pStyle w:val="3"/>
        <w:spacing w:before="0" w:after="0" w:line="360" w:lineRule="auto"/>
        <w:jc w:val="center"/>
        <w:rPr>
          <w:rFonts w:hint="eastAsia" w:ascii="宋体" w:hAnsi="宋体" w:cs="宋体"/>
          <w:sz w:val="32"/>
          <w:szCs w:val="32"/>
        </w:rPr>
      </w:pPr>
    </w:p>
    <w:p w14:paraId="18A27144">
      <w:pPr>
        <w:pStyle w:val="3"/>
        <w:spacing w:before="0" w:after="0" w:line="360" w:lineRule="auto"/>
        <w:jc w:val="center"/>
        <w:rPr>
          <w:rFonts w:hint="eastAsia" w:ascii="宋体" w:hAnsi="宋体" w:cs="宋体"/>
          <w:sz w:val="32"/>
          <w:szCs w:val="32"/>
        </w:rPr>
      </w:pPr>
    </w:p>
    <w:p w14:paraId="5C065A9B">
      <w:pPr>
        <w:pStyle w:val="3"/>
        <w:spacing w:before="0" w:after="0" w:line="360" w:lineRule="auto"/>
        <w:jc w:val="center"/>
        <w:rPr>
          <w:rFonts w:hint="eastAsia" w:ascii="宋体" w:hAnsi="宋体" w:cs="宋体"/>
          <w:sz w:val="32"/>
          <w:szCs w:val="32"/>
        </w:rPr>
      </w:pPr>
    </w:p>
    <w:p w14:paraId="30FF24BD">
      <w:pPr>
        <w:pStyle w:val="3"/>
        <w:spacing w:before="0" w:after="0" w:line="360" w:lineRule="auto"/>
        <w:jc w:val="both"/>
        <w:rPr>
          <w:rFonts w:hint="eastAsia" w:ascii="宋体" w:hAnsi="宋体" w:cs="宋体"/>
          <w:sz w:val="32"/>
          <w:szCs w:val="32"/>
        </w:rPr>
      </w:pPr>
    </w:p>
    <w:p w14:paraId="548458FD">
      <w:pPr>
        <w:pStyle w:val="3"/>
        <w:spacing w:before="0" w:after="0" w:line="360" w:lineRule="auto"/>
        <w:jc w:val="center"/>
        <w:rPr>
          <w:rFonts w:hint="eastAsia" w:ascii="宋体" w:hAnsi="宋体" w:cs="宋体"/>
          <w:sz w:val="32"/>
          <w:szCs w:val="32"/>
        </w:rPr>
      </w:pPr>
    </w:p>
    <w:p w14:paraId="0C695C36">
      <w:pPr>
        <w:pStyle w:val="3"/>
        <w:spacing w:before="0" w:after="0" w:line="360" w:lineRule="auto"/>
        <w:jc w:val="center"/>
        <w:rPr>
          <w:rFonts w:hint="eastAsia" w:ascii="宋体" w:hAnsi="宋体" w:cs="宋体"/>
          <w:sz w:val="32"/>
          <w:szCs w:val="32"/>
        </w:rPr>
      </w:pPr>
    </w:p>
    <w:p w14:paraId="7AD5AA15">
      <w:pPr>
        <w:pStyle w:val="3"/>
        <w:spacing w:before="0" w:after="0" w:line="360" w:lineRule="auto"/>
        <w:jc w:val="center"/>
        <w:rPr>
          <w:rFonts w:hint="eastAsia" w:ascii="宋体" w:hAnsi="宋体" w:cs="宋体"/>
          <w:sz w:val="32"/>
          <w:szCs w:val="32"/>
        </w:rPr>
      </w:pPr>
    </w:p>
    <w:p w14:paraId="3419861E">
      <w:pPr>
        <w:pStyle w:val="3"/>
        <w:spacing w:before="0" w:after="0" w:line="360" w:lineRule="auto"/>
        <w:jc w:val="center"/>
        <w:rPr>
          <w:rFonts w:hint="eastAsia" w:ascii="宋体" w:hAnsi="宋体" w:cs="宋体"/>
          <w:sz w:val="32"/>
          <w:szCs w:val="32"/>
        </w:rPr>
      </w:pPr>
    </w:p>
    <w:p w14:paraId="43C1BCF1">
      <w:pPr>
        <w:pStyle w:val="3"/>
        <w:spacing w:before="0" w:after="0" w:line="360" w:lineRule="auto"/>
        <w:jc w:val="center"/>
        <w:rPr>
          <w:rFonts w:hint="eastAsia" w:ascii="宋体" w:hAnsi="宋体" w:cs="宋体"/>
          <w:sz w:val="32"/>
          <w:szCs w:val="32"/>
        </w:rPr>
      </w:pPr>
    </w:p>
    <w:p w14:paraId="0AA4425C">
      <w:pPr>
        <w:pStyle w:val="3"/>
        <w:spacing w:before="0" w:after="0" w:line="360" w:lineRule="auto"/>
        <w:jc w:val="center"/>
        <w:rPr>
          <w:rFonts w:hint="eastAsia" w:ascii="宋体" w:hAnsi="宋体" w:cs="宋体"/>
          <w:sz w:val="32"/>
          <w:szCs w:val="32"/>
        </w:rPr>
      </w:pPr>
    </w:p>
    <w:p w14:paraId="46102C5F">
      <w:pPr>
        <w:pStyle w:val="3"/>
        <w:spacing w:before="0" w:after="0" w:line="360" w:lineRule="auto"/>
        <w:jc w:val="center"/>
        <w:rPr>
          <w:rFonts w:hint="eastAsia" w:ascii="宋体" w:hAnsi="宋体" w:cs="宋体"/>
          <w:sz w:val="32"/>
          <w:szCs w:val="32"/>
        </w:rPr>
      </w:pPr>
    </w:p>
    <w:p w14:paraId="1B114432">
      <w:pPr>
        <w:rPr>
          <w:rFonts w:hint="eastAsia" w:ascii="宋体" w:hAnsi="宋体" w:cs="宋体"/>
          <w:sz w:val="32"/>
          <w:szCs w:val="32"/>
        </w:rPr>
      </w:pPr>
    </w:p>
    <w:p w14:paraId="106454B3">
      <w:pPr>
        <w:pStyle w:val="17"/>
        <w:rPr>
          <w:rFonts w:hint="eastAsia"/>
        </w:rPr>
      </w:pPr>
    </w:p>
    <w:p w14:paraId="3C0F3CCC">
      <w:pPr>
        <w:pStyle w:val="3"/>
        <w:spacing w:before="0" w:after="0" w:line="360" w:lineRule="auto"/>
        <w:jc w:val="center"/>
        <w:rPr>
          <w:rFonts w:hint="eastAsia" w:ascii="宋体" w:hAnsi="宋体" w:cs="宋体"/>
          <w:sz w:val="32"/>
          <w:szCs w:val="32"/>
        </w:rPr>
      </w:pPr>
    </w:p>
    <w:p w14:paraId="7D43CBD2">
      <w:pPr>
        <w:pStyle w:val="3"/>
        <w:spacing w:before="0" w:after="0" w:line="360" w:lineRule="auto"/>
        <w:jc w:val="center"/>
        <w:rPr>
          <w:rFonts w:hint="eastAsia" w:ascii="宋体" w:hAnsi="宋体" w:cs="宋体"/>
          <w:sz w:val="32"/>
          <w:szCs w:val="32"/>
        </w:rPr>
      </w:pPr>
      <w:r>
        <w:rPr>
          <w:rFonts w:hint="eastAsia" w:ascii="宋体" w:hAnsi="宋体" w:cs="宋体"/>
          <w:sz w:val="32"/>
          <w:szCs w:val="32"/>
        </w:rPr>
        <w:t>第五章  合同条款及格式</w:t>
      </w:r>
      <w:bookmarkEnd w:id="141"/>
    </w:p>
    <w:p w14:paraId="27837CD7">
      <w:pPr>
        <w:spacing w:line="360" w:lineRule="auto"/>
        <w:rPr>
          <w:rFonts w:ascii="宋体" w:cs="宋体"/>
          <w:sz w:val="24"/>
        </w:rPr>
      </w:pPr>
    </w:p>
    <w:p w14:paraId="36B989BC">
      <w:pPr>
        <w:pStyle w:val="3"/>
        <w:spacing w:line="240" w:lineRule="auto"/>
        <w:jc w:val="center"/>
        <w:rPr>
          <w:rFonts w:hint="eastAsia" w:asciiTheme="majorEastAsia" w:hAnsiTheme="majorEastAsia" w:eastAsiaTheme="majorEastAsia" w:cstheme="majorEastAsia"/>
          <w:sz w:val="28"/>
          <w:szCs w:val="28"/>
        </w:rPr>
      </w:pPr>
      <w:bookmarkStart w:id="142" w:name="_Toc5649"/>
      <w:bookmarkStart w:id="143" w:name="_Toc179632628"/>
      <w:bookmarkStart w:id="144" w:name="_Toc152045610"/>
      <w:bookmarkStart w:id="145" w:name="_Toc152042388"/>
      <w:bookmarkStart w:id="146" w:name="_Toc16515"/>
      <w:bookmarkStart w:id="147" w:name="_Toc144974578"/>
      <w:bookmarkStart w:id="148" w:name="_Toc30475"/>
      <w:r>
        <w:rPr>
          <w:rFonts w:hint="eastAsia" w:asciiTheme="majorEastAsia" w:hAnsiTheme="majorEastAsia" w:eastAsiaTheme="majorEastAsia" w:cstheme="majorEastAsia"/>
          <w:sz w:val="28"/>
          <w:szCs w:val="28"/>
        </w:rPr>
        <w:t>第一节 通用合同条款</w:t>
      </w:r>
      <w:bookmarkEnd w:id="142"/>
      <w:bookmarkEnd w:id="143"/>
      <w:bookmarkEnd w:id="144"/>
      <w:bookmarkEnd w:id="145"/>
      <w:bookmarkEnd w:id="146"/>
      <w:bookmarkEnd w:id="147"/>
      <w:bookmarkEnd w:id="148"/>
    </w:p>
    <w:p w14:paraId="4857705B">
      <w:pPr>
        <w:spacing w:line="360" w:lineRule="auto"/>
        <w:rPr>
          <w:rFonts w:hint="eastAsia" w:asciiTheme="majorEastAsia" w:hAnsiTheme="majorEastAsia" w:eastAsiaTheme="majorEastAsia" w:cstheme="majorEastAsia"/>
          <w:sz w:val="21"/>
          <w:szCs w:val="21"/>
        </w:rPr>
      </w:pPr>
    </w:p>
    <w:p w14:paraId="4EF99017">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“通用合同条款”采用《标准施工招标文件》第四章第一节“通用合同条款”。</w:t>
      </w:r>
    </w:p>
    <w:p w14:paraId="628C5CFF">
      <w:pPr>
        <w:spacing w:line="360" w:lineRule="auto"/>
        <w:rPr>
          <w:rFonts w:hint="eastAsia" w:asciiTheme="majorEastAsia" w:hAnsiTheme="majorEastAsia" w:eastAsiaTheme="majorEastAsia" w:cstheme="majorEastAsia"/>
          <w:sz w:val="21"/>
          <w:szCs w:val="21"/>
        </w:rPr>
      </w:pPr>
    </w:p>
    <w:p w14:paraId="4FA19C83">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5CE76442">
      <w:pPr>
        <w:pStyle w:val="3"/>
        <w:spacing w:line="240" w:lineRule="auto"/>
        <w:jc w:val="center"/>
        <w:rPr>
          <w:rFonts w:hint="eastAsia" w:asciiTheme="majorEastAsia" w:hAnsiTheme="majorEastAsia" w:eastAsiaTheme="majorEastAsia" w:cstheme="majorEastAsia"/>
          <w:sz w:val="21"/>
          <w:szCs w:val="21"/>
        </w:rPr>
      </w:pPr>
      <w:bookmarkStart w:id="149" w:name="_Toc179632784"/>
      <w:bookmarkStart w:id="150" w:name="_Toc152042545"/>
      <w:bookmarkStart w:id="151" w:name="_Toc15782"/>
      <w:bookmarkStart w:id="152" w:name="_Toc144974736"/>
      <w:bookmarkStart w:id="153" w:name="_Toc21816"/>
      <w:bookmarkStart w:id="154" w:name="_Toc18055"/>
      <w:bookmarkStart w:id="155" w:name="_Toc152045766"/>
      <w:r>
        <w:rPr>
          <w:rFonts w:hint="eastAsia" w:asciiTheme="majorEastAsia" w:hAnsiTheme="majorEastAsia" w:eastAsiaTheme="majorEastAsia" w:cstheme="majorEastAsia"/>
          <w:sz w:val="28"/>
          <w:szCs w:val="28"/>
        </w:rPr>
        <w:t>第二节  专用合同条款</w:t>
      </w:r>
      <w:bookmarkEnd w:id="149"/>
      <w:bookmarkEnd w:id="150"/>
      <w:bookmarkEnd w:id="151"/>
      <w:bookmarkEnd w:id="152"/>
      <w:bookmarkEnd w:id="153"/>
      <w:bookmarkEnd w:id="154"/>
      <w:bookmarkEnd w:id="155"/>
    </w:p>
    <w:p w14:paraId="2F298FC4">
      <w:pPr>
        <w:pStyle w:val="3"/>
        <w:spacing w:line="240" w:lineRule="auto"/>
        <w:jc w:val="center"/>
        <w:rPr>
          <w:rFonts w:hint="eastAsia" w:asciiTheme="majorEastAsia" w:hAnsiTheme="majorEastAsia" w:eastAsiaTheme="majorEastAsia" w:cstheme="majorEastAsia"/>
          <w:sz w:val="28"/>
          <w:szCs w:val="28"/>
        </w:rPr>
      </w:pPr>
      <w:bookmarkStart w:id="156" w:name="_Toc18006"/>
      <w:bookmarkStart w:id="157" w:name="_Toc4672"/>
      <w:bookmarkStart w:id="158" w:name="_Toc15154"/>
      <w:r>
        <w:rPr>
          <w:rFonts w:hint="eastAsia" w:asciiTheme="majorEastAsia" w:hAnsiTheme="majorEastAsia" w:eastAsiaTheme="majorEastAsia" w:cstheme="majorEastAsia"/>
          <w:sz w:val="28"/>
          <w:szCs w:val="28"/>
        </w:rPr>
        <w:t>A．公路工程专用合同条款</w:t>
      </w:r>
      <w:bookmarkEnd w:id="156"/>
      <w:bookmarkEnd w:id="157"/>
      <w:bookmarkEnd w:id="158"/>
    </w:p>
    <w:p w14:paraId="1C0777C0">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“A. 公路工程专用合同条款”采用《公路工程标准施工招标文件》（2018年版）第四章第二节“A. 公路工程专用合同条款”。</w:t>
      </w:r>
    </w:p>
    <w:p w14:paraId="05C48739">
      <w:pPr>
        <w:widowControl/>
        <w:spacing w:line="360" w:lineRule="auto"/>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br w:type="page"/>
      </w:r>
    </w:p>
    <w:p w14:paraId="356FC9B9">
      <w:pPr>
        <w:pStyle w:val="3"/>
        <w:spacing w:line="240" w:lineRule="auto"/>
        <w:jc w:val="center"/>
        <w:rPr>
          <w:rFonts w:hint="eastAsia" w:asciiTheme="majorEastAsia" w:hAnsiTheme="majorEastAsia" w:eastAsiaTheme="majorEastAsia" w:cstheme="majorEastAsia"/>
          <w:sz w:val="28"/>
          <w:szCs w:val="28"/>
        </w:rPr>
      </w:pPr>
      <w:bookmarkStart w:id="159" w:name="_Toc18035"/>
      <w:bookmarkStart w:id="160" w:name="_Toc22764"/>
      <w:bookmarkStart w:id="161" w:name="_Toc1012"/>
      <w:r>
        <w:rPr>
          <w:rFonts w:hint="eastAsia" w:asciiTheme="majorEastAsia" w:hAnsiTheme="majorEastAsia" w:eastAsiaTheme="majorEastAsia" w:cstheme="majorEastAsia"/>
          <w:sz w:val="28"/>
          <w:szCs w:val="28"/>
        </w:rPr>
        <w:t>B．项目专用合同条款</w:t>
      </w:r>
      <w:bookmarkEnd w:id="159"/>
      <w:bookmarkEnd w:id="160"/>
      <w:bookmarkEnd w:id="161"/>
    </w:p>
    <w:p w14:paraId="77F8D01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说明：</w:t>
      </w:r>
    </w:p>
    <w:p w14:paraId="553A538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招标人在根据《标准施工招标文件》、《公路工程标准施工招标文件》编制项目施工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68AB63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2.项目专用合同条款的序号应与通用合同条款和公路工程专用合同条款一致。</w:t>
      </w:r>
    </w:p>
    <w:p w14:paraId="67CE9E4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3.项目专用合同条款可对下列内容进行补充和细化：</w:t>
      </w:r>
    </w:p>
    <w:p w14:paraId="220643B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通用合同条款”中明确指出“专用合同条款”可对“通用合同条款”进行补充和细化的内容（在“通用合同条款”中用“应按合同约定”、“应按专用合同条款约定”“除合同另有约定外”、“除专用合同条款另有约定外”、“在专用合同条款中约定”等多种文字形式表达）；</w:t>
      </w:r>
    </w:p>
    <w:p w14:paraId="258DF64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公路工程专用合同条款”中明确指出“项目专用合同条款”可对“公路工程专用合同条款”进行补充和细化的内容（在“公路工程专用合同条款”中用“除项目专用合同条款另有约定外”，“项目专用合同条款可能约定的”，“项目专用合同条款约定的其他情形”等多种文字形式表达）；</w:t>
      </w:r>
    </w:p>
    <w:p w14:paraId="5436577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（3）其他需要补充、细化的内容。</w:t>
      </w:r>
    </w:p>
    <w:p w14:paraId="25CD208E">
      <w:pPr>
        <w:pStyle w:val="4"/>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162" w:name="_Toc9646"/>
      <w:bookmarkStart w:id="163" w:name="_Toc28946"/>
      <w:bookmarkStart w:id="164" w:name="_Toc23144"/>
      <w:r>
        <w:rPr>
          <w:rFonts w:hint="eastAsia" w:asciiTheme="majorEastAsia" w:hAnsiTheme="majorEastAsia" w:eastAsiaTheme="majorEastAsia" w:cstheme="majorEastAsia"/>
          <w:sz w:val="21"/>
          <w:szCs w:val="21"/>
        </w:rPr>
        <w:t>项目专用合同条款数据表</w:t>
      </w:r>
      <w:bookmarkEnd w:id="162"/>
      <w:bookmarkEnd w:id="163"/>
      <w:bookmarkEnd w:id="164"/>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28" w:type="dxa"/>
          <w:bottom w:w="57" w:type="dxa"/>
          <w:right w:w="28" w:type="dxa"/>
        </w:tblCellMar>
      </w:tblPr>
      <w:tblGrid>
        <w:gridCol w:w="738"/>
        <w:gridCol w:w="1050"/>
        <w:gridCol w:w="7350"/>
      </w:tblGrid>
      <w:tr w14:paraId="6A35F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blHeader/>
        </w:trPr>
        <w:tc>
          <w:tcPr>
            <w:tcW w:w="738" w:type="dxa"/>
            <w:noWrap w:val="0"/>
            <w:vAlign w:val="center"/>
          </w:tcPr>
          <w:p w14:paraId="431DC08F">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050" w:type="dxa"/>
            <w:noWrap w:val="0"/>
            <w:vAlign w:val="center"/>
          </w:tcPr>
          <w:p w14:paraId="797BFEF2">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条目号</w:t>
            </w:r>
          </w:p>
        </w:tc>
        <w:tc>
          <w:tcPr>
            <w:tcW w:w="7350" w:type="dxa"/>
            <w:noWrap w:val="0"/>
            <w:vAlign w:val="center"/>
          </w:tcPr>
          <w:p w14:paraId="57D1991F">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信息或数据</w:t>
            </w:r>
          </w:p>
        </w:tc>
      </w:tr>
      <w:tr w14:paraId="767FB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8BDF1C8">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050" w:type="dxa"/>
            <w:noWrap w:val="0"/>
            <w:vAlign w:val="center"/>
          </w:tcPr>
          <w:p w14:paraId="35605A3A">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1.1.2.2</w:t>
            </w:r>
          </w:p>
        </w:tc>
        <w:tc>
          <w:tcPr>
            <w:tcW w:w="7350" w:type="dxa"/>
            <w:noWrap w:val="0"/>
            <w:vAlign w:val="center"/>
          </w:tcPr>
          <w:p w14:paraId="43CDBB77">
            <w:pPr>
              <w:tabs>
                <w:tab w:val="left" w:pos="2790"/>
              </w:tabs>
              <w:spacing w:line="36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发 包 人：</w:t>
            </w:r>
            <w:r>
              <w:rPr>
                <w:rFonts w:hint="eastAsia" w:asciiTheme="majorEastAsia" w:hAnsiTheme="majorEastAsia" w:eastAsiaTheme="majorEastAsia" w:cstheme="majorEastAsia"/>
                <w:sz w:val="21"/>
                <w:szCs w:val="21"/>
                <w:lang w:eastAsia="zh-CN"/>
              </w:rPr>
              <w:t>浙江仙台旅游发展有限公司</w:t>
            </w:r>
          </w:p>
          <w:p w14:paraId="79DE59C0">
            <w:pPr>
              <w:tabs>
                <w:tab w:val="left" w:pos="2790"/>
              </w:tabs>
              <w:spacing w:line="36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地    址：</w:t>
            </w:r>
            <w:r>
              <w:rPr>
                <w:rFonts w:hint="eastAsia" w:asciiTheme="majorEastAsia" w:hAnsiTheme="majorEastAsia" w:eastAsiaTheme="majorEastAsia" w:cstheme="majorEastAsia"/>
                <w:sz w:val="21"/>
                <w:szCs w:val="21"/>
                <w:lang w:eastAsia="zh-CN"/>
              </w:rPr>
              <w:t>仙居县</w:t>
            </w:r>
          </w:p>
          <w:p w14:paraId="01F233BA">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邮政编码：317300</w:t>
            </w:r>
          </w:p>
        </w:tc>
      </w:tr>
      <w:tr w14:paraId="4EFE6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F871F98">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050" w:type="dxa"/>
            <w:noWrap w:val="0"/>
            <w:vAlign w:val="center"/>
          </w:tcPr>
          <w:p w14:paraId="3D45F9C0">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1.1.2.6</w:t>
            </w:r>
          </w:p>
        </w:tc>
        <w:tc>
          <w:tcPr>
            <w:tcW w:w="7350" w:type="dxa"/>
            <w:noWrap w:val="0"/>
            <w:vAlign w:val="center"/>
          </w:tcPr>
          <w:p w14:paraId="02833299">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监理人：签订合同后，通知承包人</w:t>
            </w:r>
          </w:p>
          <w:p w14:paraId="21FE45F9">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  址：                               邮政编码：</w:t>
            </w:r>
          </w:p>
        </w:tc>
      </w:tr>
      <w:tr w14:paraId="69849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7B6F757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1050" w:type="dxa"/>
            <w:noWrap w:val="0"/>
            <w:vAlign w:val="center"/>
          </w:tcPr>
          <w:p w14:paraId="7FE8F2E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1.1.4.5</w:t>
            </w:r>
          </w:p>
        </w:tc>
        <w:tc>
          <w:tcPr>
            <w:tcW w:w="7350" w:type="dxa"/>
            <w:noWrap w:val="0"/>
            <w:vAlign w:val="center"/>
          </w:tcPr>
          <w:p w14:paraId="201EE34F">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缺陷责任期：自实际交工日期起计算</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2</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p>
        </w:tc>
      </w:tr>
      <w:tr w14:paraId="3716F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57FEDDBA">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1050" w:type="dxa"/>
            <w:noWrap w:val="0"/>
            <w:vAlign w:val="center"/>
          </w:tcPr>
          <w:p w14:paraId="646B56E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1.6.3</w:t>
            </w:r>
          </w:p>
        </w:tc>
        <w:tc>
          <w:tcPr>
            <w:tcW w:w="7350" w:type="dxa"/>
            <w:noWrap w:val="0"/>
            <w:vAlign w:val="center"/>
          </w:tcPr>
          <w:p w14:paraId="17E2D23B">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图纸需要修改和补充的，应由监理人取得发包人同意后，在该工程或工程相应部位施工前</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14</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天内签发图纸修改图和补充图给承包人</w:t>
            </w:r>
          </w:p>
        </w:tc>
      </w:tr>
      <w:tr w14:paraId="563F0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4B3E2B60">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1050" w:type="dxa"/>
            <w:noWrap w:val="0"/>
            <w:vAlign w:val="center"/>
          </w:tcPr>
          <w:p w14:paraId="582EAD22">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3.1.1</w:t>
            </w:r>
          </w:p>
        </w:tc>
        <w:tc>
          <w:tcPr>
            <w:tcW w:w="7350" w:type="dxa"/>
            <w:noWrap w:val="0"/>
            <w:vAlign w:val="center"/>
          </w:tcPr>
          <w:p w14:paraId="5E4B4221">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监理人在行使下列权力前需经发包人事先批准：</w:t>
            </w:r>
          </w:p>
          <w:p w14:paraId="4CC0F82D">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(6)根据第15.3款发出的变更指示，所有涉及本项目的工程变更</w:t>
            </w:r>
          </w:p>
        </w:tc>
      </w:tr>
      <w:tr w14:paraId="7FC47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6770BBB3">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1050" w:type="dxa"/>
            <w:noWrap w:val="0"/>
            <w:vAlign w:val="center"/>
          </w:tcPr>
          <w:p w14:paraId="0869AFA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5.2.1</w:t>
            </w:r>
          </w:p>
        </w:tc>
        <w:tc>
          <w:tcPr>
            <w:tcW w:w="7350" w:type="dxa"/>
            <w:noWrap w:val="0"/>
            <w:vAlign w:val="center"/>
          </w:tcPr>
          <w:p w14:paraId="6DCE69B7">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发包人是否提供材料或工程设备：</w:t>
            </w:r>
            <w:r>
              <w:rPr>
                <w:rFonts w:hint="eastAsia" w:asciiTheme="majorEastAsia" w:hAnsiTheme="majorEastAsia" w:eastAsiaTheme="majorEastAsia" w:cstheme="majorEastAsia"/>
                <w:sz w:val="21"/>
                <w:szCs w:val="21"/>
                <w:u w:val="single"/>
              </w:rPr>
              <w:t>否</w:t>
            </w:r>
          </w:p>
        </w:tc>
      </w:tr>
      <w:tr w14:paraId="26D9D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2431947D">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1050" w:type="dxa"/>
            <w:noWrap w:val="0"/>
            <w:vAlign w:val="center"/>
          </w:tcPr>
          <w:p w14:paraId="605F8D7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6.2</w:t>
            </w:r>
          </w:p>
        </w:tc>
        <w:tc>
          <w:tcPr>
            <w:tcW w:w="7350" w:type="dxa"/>
            <w:noWrap w:val="0"/>
            <w:vAlign w:val="center"/>
          </w:tcPr>
          <w:p w14:paraId="585BA162">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发包人是否提供施工设备和临时设施：</w:t>
            </w:r>
            <w:r>
              <w:rPr>
                <w:rFonts w:hint="eastAsia" w:asciiTheme="majorEastAsia" w:hAnsiTheme="majorEastAsia" w:eastAsiaTheme="majorEastAsia" w:cstheme="majorEastAsia"/>
                <w:sz w:val="21"/>
                <w:szCs w:val="21"/>
                <w:u w:val="single"/>
              </w:rPr>
              <w:t>否</w:t>
            </w:r>
          </w:p>
        </w:tc>
      </w:tr>
      <w:tr w14:paraId="10420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5A56980">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1050" w:type="dxa"/>
            <w:noWrap w:val="0"/>
            <w:vAlign w:val="center"/>
          </w:tcPr>
          <w:p w14:paraId="1F175E7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8.1.1</w:t>
            </w:r>
          </w:p>
        </w:tc>
        <w:tc>
          <w:tcPr>
            <w:tcW w:w="7350" w:type="dxa"/>
            <w:noWrap w:val="0"/>
            <w:vAlign w:val="center"/>
          </w:tcPr>
          <w:p w14:paraId="76870856">
            <w:pPr>
              <w:spacing w:line="360" w:lineRule="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发包人提供测量基准点、基准线和水准点及其书面资料的期限：在签订合同协议书后7天内  </w:t>
            </w:r>
          </w:p>
          <w:p w14:paraId="2501E9A8">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
                <w:sz w:val="21"/>
                <w:szCs w:val="21"/>
              </w:rPr>
              <w:t>承包人将施</w:t>
            </w:r>
            <w:r>
              <w:rPr>
                <w:rFonts w:hint="eastAsia" w:asciiTheme="majorEastAsia" w:hAnsiTheme="majorEastAsia" w:eastAsiaTheme="majorEastAsia" w:cstheme="majorEastAsia"/>
                <w:sz w:val="21"/>
                <w:szCs w:val="21"/>
              </w:rPr>
              <w:t>工控制网资料报送监理人审批的期限</w:t>
            </w:r>
            <w:r>
              <w:rPr>
                <w:rFonts w:hint="eastAsia" w:asciiTheme="majorEastAsia" w:hAnsiTheme="majorEastAsia" w:eastAsiaTheme="majorEastAsia" w:cstheme="majorEastAsia"/>
                <w:kern w:val="0"/>
                <w:sz w:val="21"/>
                <w:szCs w:val="21"/>
              </w:rPr>
              <w:t>：在收到发包人提供的上述资料后14天内</w:t>
            </w:r>
          </w:p>
        </w:tc>
      </w:tr>
      <w:tr w14:paraId="21A57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97" w:hRule="atLeast"/>
        </w:trPr>
        <w:tc>
          <w:tcPr>
            <w:tcW w:w="738" w:type="dxa"/>
            <w:noWrap w:val="0"/>
            <w:vAlign w:val="center"/>
          </w:tcPr>
          <w:p w14:paraId="1F841DA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1050" w:type="dxa"/>
            <w:noWrap w:val="0"/>
            <w:vAlign w:val="center"/>
          </w:tcPr>
          <w:p w14:paraId="1A7F8882">
            <w:pPr>
              <w:tabs>
                <w:tab w:val="left" w:pos="2790"/>
              </w:tabs>
              <w:spacing w:line="360" w:lineRule="auto"/>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11.5（3）</w:t>
            </w:r>
          </w:p>
        </w:tc>
        <w:tc>
          <w:tcPr>
            <w:tcW w:w="7350" w:type="dxa"/>
            <w:noWrap w:val="0"/>
            <w:vAlign w:val="center"/>
          </w:tcPr>
          <w:p w14:paraId="444C4C0C">
            <w:pPr>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spacing w:val="-8"/>
                <w:sz w:val="21"/>
                <w:szCs w:val="21"/>
                <w:highlight w:val="none"/>
              </w:rPr>
              <w:t>逾</w:t>
            </w:r>
            <w:r>
              <w:rPr>
                <w:rFonts w:hint="eastAsia" w:asciiTheme="majorEastAsia" w:hAnsiTheme="majorEastAsia" w:eastAsiaTheme="majorEastAsia" w:cstheme="majorEastAsia"/>
                <w:color w:val="000000"/>
                <w:spacing w:val="-6"/>
                <w:sz w:val="21"/>
                <w:szCs w:val="21"/>
                <w:highlight w:val="none"/>
              </w:rPr>
              <w:t>期交工违约金</w:t>
            </w:r>
            <w:r>
              <w:rPr>
                <w:rFonts w:hint="eastAsia" w:asciiTheme="majorEastAsia" w:hAnsiTheme="majorEastAsia" w:eastAsiaTheme="majorEastAsia" w:cstheme="majorEastAsia"/>
                <w:color w:val="000000"/>
                <w:kern w:val="0"/>
                <w:sz w:val="21"/>
                <w:szCs w:val="21"/>
                <w:highlight w:val="none"/>
              </w:rPr>
              <w:t>：</w:t>
            </w:r>
            <w:r>
              <w:rPr>
                <w:rFonts w:hint="eastAsia" w:asciiTheme="majorEastAsia" w:hAnsiTheme="majorEastAsia" w:eastAsiaTheme="majorEastAsia" w:cstheme="majorEastAsia"/>
                <w:color w:val="000000"/>
                <w:kern w:val="0"/>
                <w:sz w:val="21"/>
                <w:szCs w:val="21"/>
                <w:highlight w:val="none"/>
                <w:u w:val="single"/>
                <w:lang w:val="en-US" w:eastAsia="zh-CN"/>
              </w:rPr>
              <w:t>1500元/天</w:t>
            </w:r>
          </w:p>
        </w:tc>
      </w:tr>
      <w:tr w14:paraId="54524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97" w:hRule="atLeast"/>
        </w:trPr>
        <w:tc>
          <w:tcPr>
            <w:tcW w:w="738" w:type="dxa"/>
            <w:noWrap w:val="0"/>
            <w:vAlign w:val="center"/>
          </w:tcPr>
          <w:p w14:paraId="0C6394DD">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1050" w:type="dxa"/>
            <w:noWrap w:val="0"/>
            <w:vAlign w:val="center"/>
          </w:tcPr>
          <w:p w14:paraId="4ABE366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11.5（3）</w:t>
            </w:r>
          </w:p>
        </w:tc>
        <w:tc>
          <w:tcPr>
            <w:tcW w:w="7350" w:type="dxa"/>
            <w:noWrap w:val="0"/>
            <w:vAlign w:val="center"/>
          </w:tcPr>
          <w:p w14:paraId="0F340D62">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pacing w:val="-8"/>
                <w:sz w:val="21"/>
                <w:szCs w:val="21"/>
                <w:highlight w:val="none"/>
              </w:rPr>
              <w:t>逾期交工</w:t>
            </w:r>
            <w:r>
              <w:rPr>
                <w:rFonts w:hint="eastAsia" w:asciiTheme="majorEastAsia" w:hAnsiTheme="majorEastAsia" w:eastAsiaTheme="majorEastAsia" w:cstheme="majorEastAsia"/>
                <w:color w:val="auto"/>
                <w:spacing w:val="-6"/>
                <w:sz w:val="21"/>
                <w:szCs w:val="21"/>
                <w:highlight w:val="none"/>
              </w:rPr>
              <w:t>违</w:t>
            </w:r>
            <w:r>
              <w:rPr>
                <w:rFonts w:hint="eastAsia" w:asciiTheme="majorEastAsia" w:hAnsiTheme="majorEastAsia" w:eastAsiaTheme="majorEastAsia" w:cstheme="majorEastAsia"/>
                <w:color w:val="auto"/>
                <w:spacing w:val="-4"/>
                <w:sz w:val="21"/>
                <w:szCs w:val="21"/>
                <w:highlight w:val="none"/>
              </w:rPr>
              <w:t>约金限额</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u w:val="single"/>
                <w:lang w:val="en-US" w:eastAsia="zh-CN"/>
              </w:rPr>
              <w:t>10%签约合同价</w:t>
            </w:r>
          </w:p>
        </w:tc>
      </w:tr>
      <w:tr w14:paraId="7B60B0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97" w:hRule="atLeast"/>
        </w:trPr>
        <w:tc>
          <w:tcPr>
            <w:tcW w:w="738" w:type="dxa"/>
            <w:noWrap w:val="0"/>
            <w:vAlign w:val="center"/>
          </w:tcPr>
          <w:p w14:paraId="1C9808AA">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1050" w:type="dxa"/>
            <w:noWrap w:val="0"/>
            <w:vAlign w:val="center"/>
          </w:tcPr>
          <w:p w14:paraId="7D444FF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11.6</w:t>
            </w:r>
          </w:p>
        </w:tc>
        <w:tc>
          <w:tcPr>
            <w:tcW w:w="7350" w:type="dxa"/>
            <w:noWrap w:val="0"/>
            <w:vAlign w:val="center"/>
          </w:tcPr>
          <w:p w14:paraId="716141CE">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pacing w:val="-12"/>
                <w:sz w:val="21"/>
                <w:szCs w:val="21"/>
              </w:rPr>
              <w:t>提</w:t>
            </w:r>
            <w:r>
              <w:rPr>
                <w:rFonts w:hint="eastAsia" w:asciiTheme="majorEastAsia" w:hAnsiTheme="majorEastAsia" w:eastAsiaTheme="majorEastAsia" w:cstheme="majorEastAsia"/>
                <w:color w:val="auto"/>
                <w:spacing w:val="-11"/>
                <w:sz w:val="21"/>
                <w:szCs w:val="21"/>
              </w:rPr>
              <w:t>前</w:t>
            </w:r>
            <w:r>
              <w:rPr>
                <w:rFonts w:hint="eastAsia" w:asciiTheme="majorEastAsia" w:hAnsiTheme="majorEastAsia" w:eastAsiaTheme="majorEastAsia" w:cstheme="majorEastAsia"/>
                <w:color w:val="auto"/>
                <w:spacing w:val="-6"/>
                <w:sz w:val="21"/>
                <w:szCs w:val="21"/>
              </w:rPr>
              <w:t>交工的奖金</w:t>
            </w:r>
            <w:r>
              <w:rPr>
                <w:rFonts w:hint="eastAsia" w:asciiTheme="majorEastAsia" w:hAnsiTheme="majorEastAsia" w:eastAsiaTheme="majorEastAsia" w:cstheme="majorEastAsia"/>
                <w:color w:val="auto"/>
                <w:kern w:val="0"/>
                <w:sz w:val="21"/>
                <w:szCs w:val="21"/>
              </w:rPr>
              <w:t>：</w:t>
            </w:r>
            <w:r>
              <w:rPr>
                <w:rFonts w:hint="eastAsia" w:asciiTheme="majorEastAsia" w:hAnsiTheme="majorEastAsia" w:eastAsiaTheme="majorEastAsia" w:cstheme="majorEastAsia"/>
                <w:color w:val="auto"/>
                <w:kern w:val="0"/>
                <w:sz w:val="21"/>
                <w:szCs w:val="21"/>
                <w:u w:val="single"/>
              </w:rPr>
              <w:t xml:space="preserve">  / </w:t>
            </w:r>
            <w:r>
              <w:rPr>
                <w:rFonts w:hint="eastAsia" w:asciiTheme="majorEastAsia" w:hAnsiTheme="majorEastAsia" w:eastAsiaTheme="majorEastAsia" w:cstheme="majorEastAsia"/>
                <w:color w:val="auto"/>
                <w:kern w:val="0"/>
                <w:sz w:val="21"/>
                <w:szCs w:val="21"/>
              </w:rPr>
              <w:t>元/天</w:t>
            </w:r>
          </w:p>
        </w:tc>
      </w:tr>
      <w:tr w14:paraId="24751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97" w:hRule="atLeast"/>
        </w:trPr>
        <w:tc>
          <w:tcPr>
            <w:tcW w:w="738" w:type="dxa"/>
            <w:noWrap w:val="0"/>
            <w:vAlign w:val="center"/>
          </w:tcPr>
          <w:p w14:paraId="7476F43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1050" w:type="dxa"/>
            <w:noWrap w:val="0"/>
            <w:vAlign w:val="center"/>
          </w:tcPr>
          <w:p w14:paraId="6FA36DF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11.6</w:t>
            </w:r>
          </w:p>
        </w:tc>
        <w:tc>
          <w:tcPr>
            <w:tcW w:w="7350" w:type="dxa"/>
            <w:noWrap w:val="0"/>
            <w:vAlign w:val="center"/>
          </w:tcPr>
          <w:p w14:paraId="20142678">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pacing w:val="-8"/>
                <w:sz w:val="21"/>
                <w:szCs w:val="21"/>
              </w:rPr>
              <w:t>提</w:t>
            </w:r>
            <w:r>
              <w:rPr>
                <w:rFonts w:hint="eastAsia" w:asciiTheme="majorEastAsia" w:hAnsiTheme="majorEastAsia" w:eastAsiaTheme="majorEastAsia" w:cstheme="majorEastAsia"/>
                <w:color w:val="auto"/>
                <w:spacing w:val="-5"/>
                <w:sz w:val="21"/>
                <w:szCs w:val="21"/>
              </w:rPr>
              <w:t>前交工的奖金限额</w:t>
            </w:r>
            <w:r>
              <w:rPr>
                <w:rFonts w:hint="eastAsia" w:asciiTheme="majorEastAsia" w:hAnsiTheme="majorEastAsia" w:eastAsiaTheme="majorEastAsia" w:cstheme="majorEastAsia"/>
                <w:color w:val="auto"/>
                <w:kern w:val="0"/>
                <w:sz w:val="21"/>
                <w:szCs w:val="21"/>
              </w:rPr>
              <w:t>：</w:t>
            </w:r>
            <w:r>
              <w:rPr>
                <w:rFonts w:hint="eastAsia" w:asciiTheme="majorEastAsia" w:hAnsiTheme="majorEastAsia" w:eastAsiaTheme="majorEastAsia" w:cstheme="majorEastAsia"/>
                <w:color w:val="auto"/>
                <w:kern w:val="0"/>
                <w:sz w:val="21"/>
                <w:szCs w:val="21"/>
                <w:u w:val="single"/>
              </w:rPr>
              <w:t xml:space="preserve"> / </w:t>
            </w:r>
            <w:r>
              <w:rPr>
                <w:rFonts w:hint="eastAsia" w:asciiTheme="majorEastAsia" w:hAnsiTheme="majorEastAsia" w:eastAsiaTheme="majorEastAsia" w:cstheme="majorEastAsia"/>
                <w:color w:val="auto"/>
                <w:kern w:val="0"/>
                <w:sz w:val="21"/>
                <w:szCs w:val="21"/>
              </w:rPr>
              <w:t>%签约合同价</w:t>
            </w:r>
          </w:p>
        </w:tc>
      </w:tr>
      <w:tr w14:paraId="0941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52EDE5DA">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1050" w:type="dxa"/>
            <w:noWrap w:val="0"/>
            <w:vAlign w:val="center"/>
          </w:tcPr>
          <w:p w14:paraId="115EE8D7">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15.5.2</w:t>
            </w:r>
          </w:p>
        </w:tc>
        <w:tc>
          <w:tcPr>
            <w:tcW w:w="7350" w:type="dxa"/>
            <w:noWrap w:val="0"/>
            <w:vAlign w:val="center"/>
          </w:tcPr>
          <w:p w14:paraId="7B996B04">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rPr>
              <w:t>承包人提出的合理化建议降低了合同价格或者提高了工程经济效益的，发包人按所节约成本的</w:t>
            </w:r>
            <w:r>
              <w:rPr>
                <w:rFonts w:hint="eastAsia" w:asciiTheme="majorEastAsia" w:hAnsiTheme="majorEastAsia" w:eastAsiaTheme="majorEastAsia" w:cstheme="majorEastAsia"/>
                <w:color w:val="auto"/>
                <w:kern w:val="0"/>
                <w:sz w:val="21"/>
                <w:szCs w:val="21"/>
                <w:u w:val="single"/>
              </w:rPr>
              <w:t xml:space="preserve">  /  </w:t>
            </w:r>
            <w:r>
              <w:rPr>
                <w:rFonts w:hint="eastAsia" w:asciiTheme="majorEastAsia" w:hAnsiTheme="majorEastAsia" w:eastAsiaTheme="majorEastAsia" w:cstheme="majorEastAsia"/>
                <w:color w:val="auto"/>
                <w:kern w:val="0"/>
                <w:sz w:val="21"/>
                <w:szCs w:val="21"/>
              </w:rPr>
              <w:t>%或增加收益的</w:t>
            </w:r>
            <w:r>
              <w:rPr>
                <w:rFonts w:hint="eastAsia" w:asciiTheme="majorEastAsia" w:hAnsiTheme="majorEastAsia" w:eastAsiaTheme="majorEastAsia" w:cstheme="majorEastAsia"/>
                <w:color w:val="auto"/>
                <w:kern w:val="0"/>
                <w:sz w:val="21"/>
                <w:szCs w:val="21"/>
                <w:u w:val="single"/>
              </w:rPr>
              <w:t xml:space="preserve">  /  </w:t>
            </w:r>
            <w:r>
              <w:rPr>
                <w:rFonts w:hint="eastAsia" w:asciiTheme="majorEastAsia" w:hAnsiTheme="majorEastAsia" w:eastAsiaTheme="majorEastAsia" w:cstheme="majorEastAsia"/>
                <w:color w:val="auto"/>
                <w:kern w:val="0"/>
                <w:sz w:val="21"/>
                <w:szCs w:val="21"/>
              </w:rPr>
              <w:t>%给予奖励。</w:t>
            </w:r>
          </w:p>
        </w:tc>
      </w:tr>
      <w:tr w14:paraId="31BD7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24346C4">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1050" w:type="dxa"/>
            <w:noWrap w:val="0"/>
            <w:vAlign w:val="center"/>
          </w:tcPr>
          <w:p w14:paraId="7769EA24">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16.1</w:t>
            </w:r>
          </w:p>
        </w:tc>
        <w:tc>
          <w:tcPr>
            <w:tcW w:w="7350" w:type="dxa"/>
            <w:noWrap w:val="0"/>
            <w:vAlign w:val="center"/>
          </w:tcPr>
          <w:p w14:paraId="0FB509DE">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z w:val="21"/>
                <w:szCs w:val="21"/>
              </w:rPr>
              <w:t>本项目合同期内不调价</w:t>
            </w:r>
          </w:p>
        </w:tc>
      </w:tr>
      <w:tr w14:paraId="4FE66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E27A34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1050" w:type="dxa"/>
            <w:noWrap w:val="0"/>
            <w:vAlign w:val="center"/>
          </w:tcPr>
          <w:p w14:paraId="2D6F9DD1">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17.2.1（1）</w:t>
            </w:r>
          </w:p>
        </w:tc>
        <w:tc>
          <w:tcPr>
            <w:tcW w:w="7350" w:type="dxa"/>
            <w:noWrap w:val="0"/>
            <w:vAlign w:val="center"/>
          </w:tcPr>
          <w:p w14:paraId="5582A443">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pacing w:val="-1"/>
                <w:sz w:val="21"/>
                <w:szCs w:val="21"/>
                <w:highlight w:val="none"/>
              </w:rPr>
              <w:t>开工预付款金</w:t>
            </w:r>
            <w:r>
              <w:rPr>
                <w:rFonts w:hint="eastAsia" w:asciiTheme="majorEastAsia" w:hAnsiTheme="majorEastAsia" w:eastAsiaTheme="majorEastAsia" w:cstheme="majorEastAsia"/>
                <w:color w:val="auto"/>
                <w:sz w:val="21"/>
                <w:szCs w:val="21"/>
                <w:highlight w:val="none"/>
              </w:rPr>
              <w:t>额：</w:t>
            </w:r>
            <w:r>
              <w:rPr>
                <w:rFonts w:hint="eastAsia" w:asciiTheme="majorEastAsia" w:hAnsiTheme="majorEastAsia" w:eastAsiaTheme="majorEastAsia" w:cstheme="majorEastAsia"/>
                <w:color w:val="auto"/>
                <w:sz w:val="21"/>
                <w:szCs w:val="21"/>
                <w:highlight w:val="none"/>
                <w:u w:val="single" w:color="auto"/>
              </w:rPr>
              <w:t xml:space="preserve"> </w:t>
            </w:r>
            <w:r>
              <w:rPr>
                <w:rFonts w:hint="eastAsia" w:asciiTheme="majorEastAsia" w:hAnsiTheme="majorEastAsia" w:eastAsiaTheme="majorEastAsia" w:cstheme="majorEastAsia"/>
                <w:color w:val="auto"/>
                <w:sz w:val="21"/>
                <w:szCs w:val="21"/>
                <w:highlight w:val="none"/>
                <w:u w:val="single" w:color="auto"/>
                <w:lang w:val="en-US" w:eastAsia="zh-CN"/>
              </w:rPr>
              <w:t>20</w:t>
            </w:r>
            <w:r>
              <w:rPr>
                <w:rFonts w:hint="eastAsia" w:asciiTheme="majorEastAsia" w:hAnsiTheme="majorEastAsia" w:eastAsiaTheme="majorEastAsia" w:cstheme="majorEastAsia"/>
                <w:color w:val="auto"/>
                <w:sz w:val="21"/>
                <w:szCs w:val="21"/>
                <w:highlight w:val="none"/>
                <w:u w:val="single" w:color="auto"/>
              </w:rPr>
              <w:t xml:space="preserve"> </w:t>
            </w:r>
            <w:r>
              <w:rPr>
                <w:rFonts w:hint="eastAsia" w:asciiTheme="majorEastAsia" w:hAnsiTheme="majorEastAsia" w:eastAsiaTheme="majorEastAsia" w:cstheme="majorEastAsia"/>
                <w:color w:val="auto"/>
                <w:sz w:val="21"/>
                <w:szCs w:val="21"/>
                <w:highlight w:val="none"/>
              </w:rPr>
              <w:t>%签约合同价。</w:t>
            </w:r>
          </w:p>
        </w:tc>
      </w:tr>
      <w:tr w14:paraId="6F669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47E15FAE">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1050" w:type="dxa"/>
            <w:noWrap w:val="0"/>
            <w:vAlign w:val="center"/>
          </w:tcPr>
          <w:p w14:paraId="58A10A0E">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17.2.1（2）</w:t>
            </w:r>
          </w:p>
        </w:tc>
        <w:tc>
          <w:tcPr>
            <w:tcW w:w="7350" w:type="dxa"/>
            <w:noWrap w:val="0"/>
            <w:vAlign w:val="center"/>
          </w:tcPr>
          <w:p w14:paraId="01B506DB">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材料、设备预付款比例：本项目不适用。</w:t>
            </w:r>
          </w:p>
        </w:tc>
      </w:tr>
      <w:tr w14:paraId="0DC4E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79A6E5E">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w:t>
            </w:r>
          </w:p>
        </w:tc>
        <w:tc>
          <w:tcPr>
            <w:tcW w:w="1050" w:type="dxa"/>
            <w:noWrap w:val="0"/>
            <w:vAlign w:val="center"/>
          </w:tcPr>
          <w:p w14:paraId="31AD30D6">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17.3.2</w:t>
            </w:r>
          </w:p>
        </w:tc>
        <w:tc>
          <w:tcPr>
            <w:tcW w:w="7350" w:type="dxa"/>
            <w:noWrap w:val="0"/>
            <w:vAlign w:val="center"/>
          </w:tcPr>
          <w:p w14:paraId="4FFE89EB">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承包人在每个付款周期末向监理人提交进度付款申请单的份数</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kern w:val="0"/>
                <w:sz w:val="21"/>
                <w:szCs w:val="21"/>
                <w:u w:val="single"/>
              </w:rPr>
              <w:t xml:space="preserve"> 6 </w:t>
            </w:r>
            <w:r>
              <w:rPr>
                <w:rFonts w:hint="eastAsia" w:asciiTheme="majorEastAsia" w:hAnsiTheme="majorEastAsia" w:eastAsiaTheme="majorEastAsia" w:cstheme="majorEastAsia"/>
                <w:kern w:val="0"/>
                <w:sz w:val="21"/>
                <w:szCs w:val="21"/>
              </w:rPr>
              <w:t>份</w:t>
            </w:r>
          </w:p>
        </w:tc>
      </w:tr>
      <w:tr w14:paraId="55C30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860F1A1">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w:t>
            </w:r>
          </w:p>
        </w:tc>
        <w:tc>
          <w:tcPr>
            <w:tcW w:w="1050" w:type="dxa"/>
            <w:noWrap w:val="0"/>
            <w:vAlign w:val="center"/>
          </w:tcPr>
          <w:p w14:paraId="7BEF312E">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17.3.3（1）</w:t>
            </w:r>
          </w:p>
        </w:tc>
        <w:tc>
          <w:tcPr>
            <w:tcW w:w="7350" w:type="dxa"/>
            <w:noWrap w:val="0"/>
            <w:vAlign w:val="center"/>
          </w:tcPr>
          <w:p w14:paraId="3ACAD88D">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highlight w:val="none"/>
              </w:rPr>
              <w:t>进度付款证书最低限额</w:t>
            </w:r>
            <w:r>
              <w:rPr>
                <w:rFonts w:hint="eastAsia" w:asciiTheme="majorEastAsia" w:hAnsiTheme="majorEastAsia" w:eastAsiaTheme="majorEastAsia" w:cstheme="majorEastAsia"/>
                <w:b/>
                <w:bCs/>
                <w:color w:val="auto"/>
                <w:kern w:val="0"/>
                <w:sz w:val="21"/>
                <w:szCs w:val="21"/>
                <w:highlight w:val="none"/>
              </w:rPr>
              <w:t>：</w:t>
            </w:r>
            <w:r>
              <w:rPr>
                <w:szCs w:val="21"/>
                <w:u w:val="single"/>
              </w:rPr>
              <w:t xml:space="preserve">     </w:t>
            </w:r>
            <w:r>
              <w:rPr>
                <w:szCs w:val="21"/>
              </w:rPr>
              <w:t>%</w:t>
            </w:r>
            <w:r>
              <w:rPr>
                <w:rFonts w:hint="eastAsia"/>
                <w:szCs w:val="21"/>
              </w:rPr>
              <w:t>签约合同价或</w:t>
            </w:r>
            <w:r>
              <w:rPr>
                <w:szCs w:val="21"/>
                <w:u w:val="single"/>
              </w:rPr>
              <w:t xml:space="preserve">     </w:t>
            </w:r>
            <w:r>
              <w:rPr>
                <w:rFonts w:hint="eastAsia"/>
                <w:szCs w:val="21"/>
              </w:rPr>
              <w:t>万元</w:t>
            </w:r>
            <w:r>
              <w:rPr>
                <w:rFonts w:hint="eastAsia" w:asciiTheme="majorEastAsia" w:hAnsiTheme="majorEastAsia" w:eastAsiaTheme="majorEastAsia" w:cstheme="majorEastAsia"/>
                <w:b/>
                <w:bCs/>
                <w:color w:val="auto"/>
                <w:kern w:val="0"/>
                <w:sz w:val="21"/>
                <w:szCs w:val="21"/>
                <w:highlight w:val="none"/>
                <w:lang w:val="en-US" w:eastAsia="zh-CN"/>
              </w:rPr>
              <w:t>。</w:t>
            </w:r>
          </w:p>
        </w:tc>
      </w:tr>
      <w:tr w14:paraId="61FE7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2C34BD4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w:t>
            </w:r>
          </w:p>
        </w:tc>
        <w:tc>
          <w:tcPr>
            <w:tcW w:w="1050" w:type="dxa"/>
            <w:noWrap w:val="0"/>
            <w:vAlign w:val="center"/>
          </w:tcPr>
          <w:p w14:paraId="0EA04E7B">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17.3.3（2）</w:t>
            </w:r>
          </w:p>
        </w:tc>
        <w:tc>
          <w:tcPr>
            <w:tcW w:w="7350" w:type="dxa"/>
            <w:noWrap w:val="0"/>
            <w:vAlign w:val="center"/>
          </w:tcPr>
          <w:p w14:paraId="4C2EBDA9">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rPr>
              <w:t>逾期付款违约金的利率：</w:t>
            </w:r>
            <w:r>
              <w:rPr>
                <w:rFonts w:hint="eastAsia" w:asciiTheme="majorEastAsia" w:hAnsiTheme="majorEastAsia" w:eastAsiaTheme="majorEastAsia" w:cstheme="majorEastAsia"/>
                <w:color w:val="auto"/>
                <w:sz w:val="21"/>
                <w:szCs w:val="21"/>
              </w:rPr>
              <w:t>中国人民银行发布的同期六个月以内(含六个月)短期贷款基准利率(不计复利)</w:t>
            </w:r>
          </w:p>
        </w:tc>
      </w:tr>
      <w:tr w14:paraId="6BC4F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6841FF12">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w:t>
            </w:r>
          </w:p>
        </w:tc>
        <w:tc>
          <w:tcPr>
            <w:tcW w:w="1050" w:type="dxa"/>
            <w:noWrap w:val="0"/>
            <w:vAlign w:val="center"/>
          </w:tcPr>
          <w:p w14:paraId="120A6CC0">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17.4.1</w:t>
            </w:r>
          </w:p>
        </w:tc>
        <w:tc>
          <w:tcPr>
            <w:tcW w:w="7350" w:type="dxa"/>
            <w:noWrap w:val="0"/>
            <w:vAlign w:val="center"/>
          </w:tcPr>
          <w:p w14:paraId="372F8EFA">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highlight w:val="none"/>
              </w:rPr>
              <w:t>质量保证金限额：</w:t>
            </w:r>
            <w:r>
              <w:rPr>
                <w:rFonts w:hint="eastAsia" w:asciiTheme="majorEastAsia" w:hAnsiTheme="majorEastAsia" w:eastAsiaTheme="majorEastAsia" w:cstheme="majorEastAsia"/>
                <w:color w:val="auto"/>
                <w:sz w:val="21"/>
                <w:szCs w:val="21"/>
                <w:highlight w:val="none"/>
              </w:rPr>
              <w:t>工程价款结算总额的1.5%，允许采用现金、支票或工程保函(包括银行 保函、保险机构保证保险保单和融资担保公司保函) 形式</w:t>
            </w:r>
            <w:r>
              <w:rPr>
                <w:rFonts w:hint="eastAsia" w:asciiTheme="majorEastAsia" w:hAnsiTheme="majorEastAsia" w:eastAsiaTheme="majorEastAsia" w:cstheme="majorEastAsia"/>
                <w:color w:val="auto"/>
                <w:sz w:val="21"/>
                <w:szCs w:val="21"/>
                <w:highlight w:val="none"/>
                <w:lang w:eastAsia="zh-CN"/>
              </w:rPr>
              <w:t>。</w:t>
            </w:r>
          </w:p>
        </w:tc>
      </w:tr>
      <w:tr w14:paraId="4B949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739DD23D">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w:t>
            </w:r>
          </w:p>
        </w:tc>
        <w:tc>
          <w:tcPr>
            <w:tcW w:w="1050" w:type="dxa"/>
            <w:noWrap w:val="0"/>
            <w:vAlign w:val="center"/>
          </w:tcPr>
          <w:p w14:paraId="1AC9422F">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17.5.1（1）</w:t>
            </w:r>
          </w:p>
        </w:tc>
        <w:tc>
          <w:tcPr>
            <w:tcW w:w="7350" w:type="dxa"/>
            <w:noWrap w:val="0"/>
            <w:vAlign w:val="center"/>
          </w:tcPr>
          <w:p w14:paraId="2C873BE3">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rPr>
              <w:t>承包人向监理人提交交工付款申请单（包括相关证明材料）的份数：</w:t>
            </w:r>
            <w:r>
              <w:rPr>
                <w:rFonts w:hint="eastAsia" w:asciiTheme="majorEastAsia" w:hAnsiTheme="majorEastAsia" w:eastAsiaTheme="majorEastAsia" w:cstheme="majorEastAsia"/>
                <w:color w:val="auto"/>
                <w:kern w:val="0"/>
                <w:sz w:val="21"/>
                <w:szCs w:val="21"/>
                <w:u w:val="single"/>
              </w:rPr>
              <w:t xml:space="preserve"> 6 </w:t>
            </w:r>
            <w:r>
              <w:rPr>
                <w:rFonts w:hint="eastAsia" w:asciiTheme="majorEastAsia" w:hAnsiTheme="majorEastAsia" w:eastAsiaTheme="majorEastAsia" w:cstheme="majorEastAsia"/>
                <w:color w:val="auto"/>
                <w:kern w:val="0"/>
                <w:sz w:val="21"/>
                <w:szCs w:val="21"/>
              </w:rPr>
              <w:t>份</w:t>
            </w:r>
          </w:p>
        </w:tc>
      </w:tr>
      <w:tr w14:paraId="38703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FC02C7F">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w:t>
            </w:r>
          </w:p>
        </w:tc>
        <w:tc>
          <w:tcPr>
            <w:tcW w:w="1050" w:type="dxa"/>
            <w:noWrap w:val="0"/>
            <w:vAlign w:val="center"/>
          </w:tcPr>
          <w:p w14:paraId="69A23731">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17.6.1（1）</w:t>
            </w:r>
          </w:p>
        </w:tc>
        <w:tc>
          <w:tcPr>
            <w:tcW w:w="7350" w:type="dxa"/>
            <w:noWrap w:val="0"/>
            <w:vAlign w:val="center"/>
          </w:tcPr>
          <w:p w14:paraId="24D62F32">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kern w:val="0"/>
                <w:sz w:val="21"/>
                <w:szCs w:val="21"/>
              </w:rPr>
              <w:t>承包人向监理人提交最终结清申请单（包括相关证明材料）的份数：</w:t>
            </w:r>
            <w:r>
              <w:rPr>
                <w:rFonts w:hint="eastAsia" w:asciiTheme="majorEastAsia" w:hAnsiTheme="majorEastAsia" w:eastAsiaTheme="majorEastAsia" w:cstheme="majorEastAsia"/>
                <w:color w:val="auto"/>
                <w:kern w:val="0"/>
                <w:sz w:val="21"/>
                <w:szCs w:val="21"/>
                <w:u w:val="single"/>
              </w:rPr>
              <w:t xml:space="preserve"> 6 </w:t>
            </w:r>
            <w:r>
              <w:rPr>
                <w:rFonts w:hint="eastAsia" w:asciiTheme="majorEastAsia" w:hAnsiTheme="majorEastAsia" w:eastAsiaTheme="majorEastAsia" w:cstheme="majorEastAsia"/>
                <w:color w:val="auto"/>
                <w:kern w:val="0"/>
                <w:sz w:val="21"/>
                <w:szCs w:val="21"/>
              </w:rPr>
              <w:t>份</w:t>
            </w:r>
          </w:p>
        </w:tc>
      </w:tr>
      <w:tr w14:paraId="75AB2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287BF5D0">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23</w:t>
            </w:r>
          </w:p>
        </w:tc>
        <w:tc>
          <w:tcPr>
            <w:tcW w:w="1050" w:type="dxa"/>
            <w:noWrap w:val="0"/>
            <w:vAlign w:val="center"/>
          </w:tcPr>
          <w:p w14:paraId="312DCA97">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18.2（2）</w:t>
            </w:r>
          </w:p>
        </w:tc>
        <w:tc>
          <w:tcPr>
            <w:tcW w:w="7350" w:type="dxa"/>
            <w:noWrap w:val="0"/>
            <w:vAlign w:val="center"/>
          </w:tcPr>
          <w:p w14:paraId="22256374">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竣工资料的份数：</w:t>
            </w:r>
            <w:r>
              <w:rPr>
                <w:rFonts w:hint="eastAsia" w:asciiTheme="majorEastAsia" w:hAnsiTheme="majorEastAsia" w:eastAsiaTheme="majorEastAsia" w:cstheme="majorEastAsia"/>
                <w:kern w:val="0"/>
                <w:sz w:val="21"/>
                <w:szCs w:val="21"/>
                <w:u w:val="single"/>
              </w:rPr>
              <w:t xml:space="preserve"> 6 </w:t>
            </w:r>
            <w:r>
              <w:rPr>
                <w:rFonts w:hint="eastAsia" w:asciiTheme="majorEastAsia" w:hAnsiTheme="majorEastAsia" w:eastAsiaTheme="majorEastAsia" w:cstheme="majorEastAsia"/>
                <w:kern w:val="0"/>
                <w:sz w:val="21"/>
                <w:szCs w:val="21"/>
              </w:rPr>
              <w:t>份</w:t>
            </w:r>
          </w:p>
        </w:tc>
      </w:tr>
      <w:tr w14:paraId="050E7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0DB5AE63">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24</w:t>
            </w:r>
          </w:p>
        </w:tc>
        <w:tc>
          <w:tcPr>
            <w:tcW w:w="1050" w:type="dxa"/>
            <w:noWrap w:val="0"/>
            <w:vAlign w:val="center"/>
          </w:tcPr>
          <w:p w14:paraId="09E7518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18.5.1</w:t>
            </w:r>
          </w:p>
        </w:tc>
        <w:tc>
          <w:tcPr>
            <w:tcW w:w="7350" w:type="dxa"/>
            <w:noWrap w:val="0"/>
            <w:vAlign w:val="center"/>
          </w:tcPr>
          <w:p w14:paraId="62D3EC41">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单位工程或工程设备是否需投入施工期运行：</w:t>
            </w:r>
            <w:r>
              <w:rPr>
                <w:rFonts w:hint="eastAsia" w:asciiTheme="majorEastAsia" w:hAnsiTheme="majorEastAsia" w:eastAsiaTheme="majorEastAsia" w:cstheme="majorEastAsia"/>
                <w:kern w:val="0"/>
                <w:sz w:val="21"/>
                <w:szCs w:val="21"/>
                <w:u w:val="single"/>
              </w:rPr>
              <w:t>否</w:t>
            </w:r>
          </w:p>
        </w:tc>
      </w:tr>
      <w:tr w14:paraId="5491F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BF43937">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25</w:t>
            </w:r>
          </w:p>
        </w:tc>
        <w:tc>
          <w:tcPr>
            <w:tcW w:w="1050" w:type="dxa"/>
            <w:noWrap w:val="0"/>
            <w:vAlign w:val="center"/>
          </w:tcPr>
          <w:p w14:paraId="707E562D">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18.6.1</w:t>
            </w:r>
          </w:p>
        </w:tc>
        <w:tc>
          <w:tcPr>
            <w:tcW w:w="7350" w:type="dxa"/>
            <w:noWrap w:val="0"/>
            <w:vAlign w:val="center"/>
          </w:tcPr>
          <w:p w14:paraId="29423A86">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本工程及工程设备是否进行试运行：</w:t>
            </w:r>
            <w:r>
              <w:rPr>
                <w:rFonts w:hint="eastAsia" w:asciiTheme="majorEastAsia" w:hAnsiTheme="majorEastAsia" w:eastAsiaTheme="majorEastAsia" w:cstheme="majorEastAsia"/>
                <w:kern w:val="0"/>
                <w:sz w:val="21"/>
                <w:szCs w:val="21"/>
                <w:u w:val="single"/>
              </w:rPr>
              <w:t>否</w:t>
            </w:r>
          </w:p>
        </w:tc>
      </w:tr>
      <w:tr w14:paraId="56F33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55839313">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26</w:t>
            </w:r>
          </w:p>
        </w:tc>
        <w:tc>
          <w:tcPr>
            <w:tcW w:w="1050" w:type="dxa"/>
            <w:noWrap w:val="0"/>
            <w:vAlign w:val="center"/>
          </w:tcPr>
          <w:p w14:paraId="60F0687B">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19.7（1）</w:t>
            </w:r>
          </w:p>
        </w:tc>
        <w:tc>
          <w:tcPr>
            <w:tcW w:w="7350" w:type="dxa"/>
            <w:noWrap w:val="0"/>
            <w:vAlign w:val="center"/>
          </w:tcPr>
          <w:p w14:paraId="6CAD5CBB">
            <w:pPr>
              <w:pStyle w:val="114"/>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highlight w:val="none"/>
              </w:rPr>
              <w:t>保修期：自实际交工日期起计算</w:t>
            </w:r>
            <w:r>
              <w:rPr>
                <w:rFonts w:hint="eastAsia" w:asciiTheme="majorEastAsia" w:hAnsiTheme="majorEastAsia" w:eastAsiaTheme="majorEastAsia" w:cstheme="majorEastAsia"/>
                <w:sz w:val="21"/>
                <w:szCs w:val="21"/>
                <w:highlight w:val="none"/>
                <w:u w:val="none"/>
                <w:lang w:val="en-US" w:eastAsia="zh-CN"/>
              </w:rPr>
              <w:t>2年</w:t>
            </w:r>
            <w:r>
              <w:rPr>
                <w:rFonts w:hint="eastAsia" w:asciiTheme="majorEastAsia" w:hAnsiTheme="majorEastAsia" w:eastAsiaTheme="majorEastAsia" w:cstheme="majorEastAsia"/>
                <w:sz w:val="21"/>
                <w:szCs w:val="21"/>
                <w:highlight w:val="none"/>
              </w:rPr>
              <w:t>。</w:t>
            </w:r>
          </w:p>
        </w:tc>
      </w:tr>
      <w:tr w14:paraId="5AB28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80F9CE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27</w:t>
            </w:r>
          </w:p>
        </w:tc>
        <w:tc>
          <w:tcPr>
            <w:tcW w:w="1050" w:type="dxa"/>
            <w:noWrap w:val="0"/>
            <w:vAlign w:val="center"/>
          </w:tcPr>
          <w:p w14:paraId="00DFC0EF">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20.1</w:t>
            </w:r>
          </w:p>
        </w:tc>
        <w:tc>
          <w:tcPr>
            <w:tcW w:w="7350" w:type="dxa"/>
            <w:noWrap w:val="0"/>
            <w:vAlign w:val="center"/>
          </w:tcPr>
          <w:p w14:paraId="1EDD4D0F">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2"/>
                <w:sz w:val="21"/>
                <w:szCs w:val="21"/>
                <w:highlight w:val="none"/>
                <w:lang w:val="en-US" w:eastAsia="zh-CN" w:bidi="ar-SA"/>
              </w:rPr>
              <w:t>建筑工程一切险的保险费率：3‰</w:t>
            </w:r>
          </w:p>
        </w:tc>
      </w:tr>
      <w:tr w14:paraId="74AA2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340" w:hRule="atLeast"/>
        </w:trPr>
        <w:tc>
          <w:tcPr>
            <w:tcW w:w="738" w:type="dxa"/>
            <w:noWrap w:val="0"/>
            <w:vAlign w:val="center"/>
          </w:tcPr>
          <w:p w14:paraId="37A5D799">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28</w:t>
            </w:r>
          </w:p>
        </w:tc>
        <w:tc>
          <w:tcPr>
            <w:tcW w:w="1050" w:type="dxa"/>
            <w:noWrap w:val="0"/>
            <w:vAlign w:val="center"/>
          </w:tcPr>
          <w:p w14:paraId="33B19852">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20.4.2</w:t>
            </w:r>
          </w:p>
        </w:tc>
        <w:tc>
          <w:tcPr>
            <w:tcW w:w="7350" w:type="dxa"/>
            <w:noWrap w:val="0"/>
            <w:vAlign w:val="center"/>
          </w:tcPr>
          <w:p w14:paraId="156D9F4B">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2"/>
                <w:sz w:val="21"/>
                <w:szCs w:val="21"/>
                <w:highlight w:val="none"/>
                <w:lang w:val="en-US" w:eastAsia="zh-CN" w:bidi="ar-SA"/>
              </w:rPr>
              <w:t>第三者责任险的最低投保金额：100万元，事故次数不限（不计免陪额）；保险费率：按5‰计。</w:t>
            </w:r>
          </w:p>
        </w:tc>
      </w:tr>
      <w:tr w14:paraId="15862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28" w:type="dxa"/>
            <w:bottom w:w="57" w:type="dxa"/>
            <w:right w:w="28" w:type="dxa"/>
          </w:tblCellMar>
        </w:tblPrEx>
        <w:trPr>
          <w:trHeight w:val="858" w:hRule="atLeast"/>
        </w:trPr>
        <w:tc>
          <w:tcPr>
            <w:tcW w:w="738" w:type="dxa"/>
            <w:noWrap w:val="0"/>
            <w:vAlign w:val="center"/>
          </w:tcPr>
          <w:p w14:paraId="1147ED54">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29</w:t>
            </w:r>
          </w:p>
        </w:tc>
        <w:tc>
          <w:tcPr>
            <w:tcW w:w="1050" w:type="dxa"/>
            <w:noWrap w:val="0"/>
            <w:vAlign w:val="center"/>
          </w:tcPr>
          <w:p w14:paraId="11BD58DC">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24.1</w:t>
            </w:r>
          </w:p>
        </w:tc>
        <w:tc>
          <w:tcPr>
            <w:tcW w:w="7350" w:type="dxa"/>
            <w:noWrap w:val="0"/>
            <w:vAlign w:val="center"/>
          </w:tcPr>
          <w:p w14:paraId="13CED3FA">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争议的最终解决方式：诉讼</w:t>
            </w:r>
          </w:p>
          <w:p w14:paraId="449E9C07">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争议的最终解决地点：仙居县人民法院</w:t>
            </w:r>
          </w:p>
        </w:tc>
      </w:tr>
    </w:tbl>
    <w:p w14:paraId="19050777">
      <w:pPr>
        <w:tabs>
          <w:tab w:val="left" w:pos="2790"/>
        </w:tabs>
        <w:spacing w:line="360" w:lineRule="auto"/>
        <w:jc w:val="left"/>
        <w:rPr>
          <w:rFonts w:hint="eastAsia" w:asciiTheme="majorEastAsia" w:hAnsiTheme="majorEastAsia" w:eastAsiaTheme="majorEastAsia" w:cstheme="majorEastAsia"/>
          <w:sz w:val="21"/>
          <w:szCs w:val="21"/>
        </w:rPr>
      </w:pPr>
    </w:p>
    <w:p w14:paraId="30AF8AD4">
      <w:pPr>
        <w:tabs>
          <w:tab w:val="left" w:pos="2790"/>
        </w:tabs>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br w:type="page"/>
      </w:r>
    </w:p>
    <w:p w14:paraId="59350930">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165" w:name="_Toc11436"/>
      <w:bookmarkStart w:id="166" w:name="_Toc15284"/>
      <w:bookmarkStart w:id="167" w:name="_Toc16455"/>
      <w:r>
        <w:rPr>
          <w:rFonts w:hint="eastAsia" w:ascii="宋体" w:hAnsi="宋体" w:eastAsia="宋体" w:cs="宋体"/>
          <w:bCs w:val="0"/>
          <w:color w:val="auto"/>
          <w:sz w:val="28"/>
          <w:szCs w:val="28"/>
          <w:highlight w:val="none"/>
        </w:rPr>
        <w:t>项目专用合同条款</w:t>
      </w:r>
      <w:bookmarkEnd w:id="165"/>
      <w:bookmarkEnd w:id="166"/>
      <w:bookmarkEnd w:id="167"/>
    </w:p>
    <w:p w14:paraId="254FF080">
      <w:pPr>
        <w:tabs>
          <w:tab w:val="left" w:pos="2790"/>
        </w:tabs>
        <w:spacing w:line="360" w:lineRule="auto"/>
        <w:rPr>
          <w:rFonts w:hint="eastAsia" w:asciiTheme="majorEastAsia" w:hAnsiTheme="majorEastAsia" w:eastAsiaTheme="majorEastAsia" w:cstheme="majorEastAsia"/>
          <w:sz w:val="21"/>
          <w:szCs w:val="21"/>
        </w:rPr>
      </w:pPr>
    </w:p>
    <w:p w14:paraId="5D7B4BE6">
      <w:pPr>
        <w:tabs>
          <w:tab w:val="left" w:pos="2790"/>
        </w:tabs>
        <w:spacing w:line="360" w:lineRule="auto"/>
        <w:outlineLvl w:val="2"/>
        <w:rPr>
          <w:rFonts w:hint="eastAsia" w:asciiTheme="majorEastAsia" w:hAnsiTheme="majorEastAsia" w:eastAsiaTheme="majorEastAsia" w:cstheme="majorEastAsia"/>
          <w:sz w:val="21"/>
          <w:szCs w:val="21"/>
        </w:rPr>
      </w:pPr>
      <w:bookmarkStart w:id="168" w:name="_Toc27245"/>
      <w:r>
        <w:rPr>
          <w:rFonts w:hint="eastAsia" w:asciiTheme="majorEastAsia" w:hAnsiTheme="majorEastAsia" w:eastAsiaTheme="majorEastAsia" w:cstheme="majorEastAsia"/>
          <w:sz w:val="21"/>
          <w:szCs w:val="21"/>
        </w:rPr>
        <w:t>1. 一般约定</w:t>
      </w:r>
      <w:bookmarkEnd w:id="168"/>
    </w:p>
    <w:p w14:paraId="4F54F5C3">
      <w:pPr>
        <w:tabs>
          <w:tab w:val="left" w:pos="2790"/>
        </w:tabs>
        <w:spacing w:line="360" w:lineRule="auto"/>
        <w:outlineLvl w:val="3"/>
        <w:rPr>
          <w:rFonts w:hint="eastAsia" w:asciiTheme="majorEastAsia" w:hAnsiTheme="majorEastAsia" w:eastAsiaTheme="majorEastAsia" w:cstheme="majorEastAsia"/>
          <w:sz w:val="21"/>
          <w:szCs w:val="21"/>
        </w:rPr>
      </w:pPr>
      <w:bookmarkStart w:id="169" w:name="_Toc10611"/>
      <w:r>
        <w:rPr>
          <w:rFonts w:hint="eastAsia" w:asciiTheme="majorEastAsia" w:hAnsiTheme="majorEastAsia" w:eastAsiaTheme="majorEastAsia" w:cstheme="majorEastAsia"/>
          <w:sz w:val="21"/>
          <w:szCs w:val="21"/>
        </w:rPr>
        <w:t>1.1  词语定义</w:t>
      </w:r>
      <w:bookmarkEnd w:id="169"/>
    </w:p>
    <w:p w14:paraId="04EEF4D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1.1.1  合同</w:t>
      </w:r>
    </w:p>
    <w:p w14:paraId="77CC99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第1.1.1.8目细化为：</w:t>
      </w:r>
    </w:p>
    <w:p w14:paraId="2FB7E16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1.1.1.8已标价工程量清单：指构成合同文件组成部分的已标明价格、经算术性错误修正及其他错误修正（如有）且承包人已确认的最终的工程量清单，包括工程量清单说明、投标报价说明、其他说明及工程量清单各项表格（工程量清单表</w:t>
      </w:r>
      <w:r>
        <w:rPr>
          <w:rFonts w:hint="eastAsia" w:asciiTheme="majorEastAsia" w:hAnsiTheme="majorEastAsia" w:eastAsiaTheme="majorEastAsia" w:cstheme="majorEastAsia"/>
          <w:sz w:val="21"/>
          <w:szCs w:val="21"/>
          <w:lang w:val="en-US" w:eastAsia="zh-CN"/>
        </w:rPr>
        <w:t>3.1</w:t>
      </w:r>
      <w:r>
        <w:rPr>
          <w:rFonts w:hint="eastAsia" w:asciiTheme="majorEastAsia" w:hAnsiTheme="majorEastAsia" w:eastAsiaTheme="majorEastAsia" w:cstheme="majorEastAsia"/>
          <w:sz w:val="21"/>
          <w:szCs w:val="21"/>
        </w:rPr>
        <w:t>、表</w:t>
      </w:r>
      <w:r>
        <w:rPr>
          <w:rFonts w:hint="eastAsia" w:asciiTheme="majorEastAsia" w:hAnsiTheme="majorEastAsia" w:eastAsiaTheme="majorEastAsia" w:cstheme="majorEastAsia"/>
          <w:sz w:val="21"/>
          <w:szCs w:val="21"/>
          <w:lang w:val="en-US" w:eastAsia="zh-CN"/>
        </w:rPr>
        <w:t>3.2</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表</w:t>
      </w:r>
      <w:r>
        <w:rPr>
          <w:rFonts w:hint="eastAsia" w:asciiTheme="majorEastAsia" w:hAnsiTheme="majorEastAsia" w:eastAsiaTheme="majorEastAsia" w:cstheme="majorEastAsia"/>
          <w:sz w:val="21"/>
          <w:szCs w:val="21"/>
          <w:lang w:val="en-US" w:eastAsia="zh-CN"/>
        </w:rPr>
        <w:t>3.3</w:t>
      </w:r>
      <w:r>
        <w:rPr>
          <w:rFonts w:hint="eastAsia" w:asciiTheme="majorEastAsia" w:hAnsiTheme="majorEastAsia" w:eastAsiaTheme="majorEastAsia" w:cstheme="majorEastAsia"/>
          <w:sz w:val="21"/>
          <w:szCs w:val="21"/>
        </w:rPr>
        <w:t>）。</w:t>
      </w:r>
    </w:p>
    <w:p w14:paraId="4EDE94C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1.1.2 合同当事人和人员</w:t>
      </w:r>
    </w:p>
    <w:p w14:paraId="63FFCE6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第1.1.2.8目细化为：</w:t>
      </w:r>
    </w:p>
    <w:p w14:paraId="3A933E4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1.1.2.8 承包人项目技术负责人：指由承包人书面委派常驻现场负责管理本合同工程的总工程师或技术总负责人，与公路工程专用合同条款中的承包人项目总工具有相同的含义。</w:t>
      </w:r>
    </w:p>
    <w:p w14:paraId="12997CF4">
      <w:pPr>
        <w:tabs>
          <w:tab w:val="left" w:pos="2790"/>
        </w:tabs>
        <w:spacing w:line="360" w:lineRule="auto"/>
        <w:outlineLvl w:val="3"/>
        <w:rPr>
          <w:rFonts w:hint="eastAsia" w:asciiTheme="majorEastAsia" w:hAnsiTheme="majorEastAsia" w:eastAsiaTheme="majorEastAsia" w:cstheme="majorEastAsia"/>
          <w:sz w:val="21"/>
          <w:szCs w:val="21"/>
        </w:rPr>
      </w:pPr>
      <w:bookmarkStart w:id="170" w:name="_Toc434"/>
      <w:r>
        <w:rPr>
          <w:rFonts w:hint="eastAsia" w:asciiTheme="majorEastAsia" w:hAnsiTheme="majorEastAsia" w:eastAsiaTheme="majorEastAsia" w:cstheme="majorEastAsia"/>
          <w:sz w:val="21"/>
          <w:szCs w:val="21"/>
        </w:rPr>
        <w:t>1.4  合同文件的优先顺序</w:t>
      </w:r>
      <w:bookmarkEnd w:id="170"/>
    </w:p>
    <w:p w14:paraId="619C3830">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第1.4款约定为：</w:t>
      </w:r>
    </w:p>
    <w:p w14:paraId="3A64C6DD">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组成合同的各项文件应互相解释，互为说明。解释合同文件的优先顺序如下：</w:t>
      </w:r>
    </w:p>
    <w:p w14:paraId="7EC30FE8">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（1）合同协议书及各种合同附件（含廉政合同、安全生产合同、工程质量责任合同、工程资金监管协议及评标期间和合同谈判过程中的澄清文件和补充资料）；</w:t>
      </w:r>
    </w:p>
    <w:p w14:paraId="71B3D7CB">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（2）中标通知书；</w:t>
      </w:r>
    </w:p>
    <w:p w14:paraId="0D0DA6E8">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（3）投标函及投标函附录；</w:t>
      </w:r>
    </w:p>
    <w:p w14:paraId="009C18E1">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（4）项目专用合同条款（含招标文件补遗书中与此有关的部分）；</w:t>
      </w:r>
    </w:p>
    <w:p w14:paraId="388701C3">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（5）公路工程专用合同条款；</w:t>
      </w:r>
    </w:p>
    <w:p w14:paraId="400DE2CD">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（6）通用合同条款；</w:t>
      </w:r>
    </w:p>
    <w:p w14:paraId="35AC212F">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（7）工程量清单计量规则（含招标文件补遗书中与此有关的部分）；</w:t>
      </w:r>
    </w:p>
    <w:p w14:paraId="72C376EE">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（8）项目专用技术规范（含招标文件补遗书中与此有关的部分）；</w:t>
      </w:r>
    </w:p>
    <w:p w14:paraId="175C95D3">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（9）通用技术规范；</w:t>
      </w:r>
    </w:p>
    <w:p w14:paraId="06B0F4FE">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（10）图纸（含招标文件补遗书中与此有关的部分）；</w:t>
      </w:r>
    </w:p>
    <w:p w14:paraId="619C3204">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（11）已标价工程量清单；</w:t>
      </w:r>
    </w:p>
    <w:p w14:paraId="1F8BFB48">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（12）承包人有关人员、设备投入、财务能力的承诺及投标文件中的施工组织设计；</w:t>
      </w:r>
    </w:p>
    <w:p w14:paraId="2BA23AA2">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（13）其他合同文件。</w:t>
      </w:r>
    </w:p>
    <w:p w14:paraId="743A3240">
      <w:pPr>
        <w:tabs>
          <w:tab w:val="left" w:pos="2790"/>
        </w:tabs>
        <w:spacing w:line="360" w:lineRule="auto"/>
        <w:outlineLvl w:val="2"/>
        <w:rPr>
          <w:rFonts w:hint="eastAsia" w:asciiTheme="majorEastAsia" w:hAnsiTheme="majorEastAsia" w:eastAsiaTheme="majorEastAsia" w:cstheme="majorEastAsia"/>
          <w:sz w:val="21"/>
          <w:szCs w:val="21"/>
        </w:rPr>
      </w:pPr>
      <w:bookmarkStart w:id="171" w:name="_Toc30342"/>
      <w:bookmarkStart w:id="172" w:name="_Toc247643360"/>
      <w:bookmarkStart w:id="173" w:name="_Toc458406024"/>
      <w:bookmarkStart w:id="174" w:name="_Toc19000"/>
      <w:bookmarkStart w:id="175" w:name="_Toc28467"/>
      <w:bookmarkStart w:id="176" w:name="_Toc32366"/>
      <w:bookmarkStart w:id="177" w:name="_Toc2053"/>
      <w:bookmarkStart w:id="178" w:name="_Toc144974598"/>
      <w:bookmarkStart w:id="179" w:name="_Toc152042408"/>
      <w:bookmarkStart w:id="180" w:name="_Toc13841"/>
      <w:bookmarkStart w:id="181" w:name="_Toc247643366"/>
      <w:bookmarkStart w:id="182" w:name="_Toc19985"/>
      <w:bookmarkStart w:id="183" w:name="_Toc179632648"/>
      <w:bookmarkStart w:id="184" w:name="_Toc458406030"/>
      <w:bookmarkStart w:id="185" w:name="_Toc152045630"/>
      <w:r>
        <w:rPr>
          <w:rFonts w:hint="eastAsia" w:asciiTheme="majorEastAsia" w:hAnsiTheme="majorEastAsia" w:eastAsiaTheme="majorEastAsia" w:cstheme="majorEastAsia"/>
          <w:sz w:val="21"/>
          <w:szCs w:val="21"/>
        </w:rPr>
        <w:t>2. 发包人义务</w:t>
      </w:r>
      <w:bookmarkEnd w:id="171"/>
      <w:bookmarkEnd w:id="172"/>
      <w:bookmarkEnd w:id="173"/>
      <w:bookmarkEnd w:id="174"/>
      <w:bookmarkEnd w:id="175"/>
      <w:bookmarkEnd w:id="176"/>
    </w:p>
    <w:bookmarkEnd w:id="177"/>
    <w:bookmarkEnd w:id="178"/>
    <w:bookmarkEnd w:id="179"/>
    <w:bookmarkEnd w:id="180"/>
    <w:bookmarkEnd w:id="181"/>
    <w:bookmarkEnd w:id="182"/>
    <w:bookmarkEnd w:id="183"/>
    <w:bookmarkEnd w:id="184"/>
    <w:bookmarkEnd w:id="185"/>
    <w:p w14:paraId="358DCA49">
      <w:pPr>
        <w:tabs>
          <w:tab w:val="left" w:pos="2790"/>
        </w:tabs>
        <w:spacing w:line="360" w:lineRule="auto"/>
        <w:outlineLvl w:val="3"/>
        <w:rPr>
          <w:rFonts w:hint="eastAsia" w:asciiTheme="majorEastAsia" w:hAnsiTheme="majorEastAsia" w:eastAsiaTheme="majorEastAsia" w:cstheme="majorEastAsia"/>
          <w:sz w:val="21"/>
          <w:szCs w:val="21"/>
        </w:rPr>
      </w:pPr>
      <w:bookmarkStart w:id="186" w:name="_Toc26498"/>
      <w:bookmarkStart w:id="187" w:name="_Toc152042410"/>
      <w:bookmarkStart w:id="188" w:name="_Toc152045632"/>
      <w:bookmarkStart w:id="189" w:name="_Toc179632650"/>
      <w:bookmarkStart w:id="190" w:name="_Toc447719696"/>
      <w:bookmarkStart w:id="191" w:name="_Toc240967055"/>
      <w:bookmarkStart w:id="192" w:name="_Toc144974600"/>
      <w:r>
        <w:rPr>
          <w:rFonts w:hint="eastAsia" w:asciiTheme="majorEastAsia" w:hAnsiTheme="majorEastAsia" w:eastAsiaTheme="majorEastAsia" w:cstheme="majorEastAsia"/>
          <w:sz w:val="21"/>
          <w:szCs w:val="21"/>
        </w:rPr>
        <w:t>2.6 支付合同价款</w:t>
      </w:r>
      <w:bookmarkEnd w:id="186"/>
    </w:p>
    <w:p w14:paraId="022440F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w:t>
      </w:r>
    </w:p>
    <w:p w14:paraId="42D0373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发包人将按照合同约定的比例，将应支付工程款中的人工费单独拨付到承包人项目所在地开设的农民工工资（劳务费）专用账户。</w:t>
      </w:r>
    </w:p>
    <w:p w14:paraId="58E2DE8B">
      <w:pPr>
        <w:tabs>
          <w:tab w:val="left" w:pos="2790"/>
        </w:tabs>
        <w:spacing w:line="360" w:lineRule="auto"/>
        <w:outlineLvl w:val="3"/>
        <w:rPr>
          <w:rFonts w:hint="eastAsia" w:asciiTheme="majorEastAsia" w:hAnsiTheme="majorEastAsia" w:eastAsiaTheme="majorEastAsia" w:cstheme="majorEastAsia"/>
          <w:sz w:val="21"/>
          <w:szCs w:val="21"/>
        </w:rPr>
      </w:pPr>
      <w:bookmarkStart w:id="193" w:name="_Toc32607"/>
      <w:r>
        <w:rPr>
          <w:rFonts w:hint="eastAsia" w:asciiTheme="majorEastAsia" w:hAnsiTheme="majorEastAsia" w:eastAsiaTheme="majorEastAsia" w:cstheme="majorEastAsia"/>
          <w:sz w:val="21"/>
          <w:szCs w:val="21"/>
        </w:rPr>
        <w:t>2.8 其他义务</w:t>
      </w:r>
      <w:bookmarkEnd w:id="187"/>
      <w:bookmarkEnd w:id="188"/>
      <w:bookmarkEnd w:id="189"/>
      <w:bookmarkEnd w:id="190"/>
      <w:bookmarkEnd w:id="191"/>
      <w:bookmarkEnd w:id="192"/>
      <w:bookmarkEnd w:id="193"/>
    </w:p>
    <w:p w14:paraId="6897E0F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w:t>
      </w:r>
    </w:p>
    <w:p w14:paraId="2AAF930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要求承包人提供履约保证金的，发包人应向承包人提交和履约保证金对等金额的支付担保。发包人应在签署合同协议书后28天内，按照金额和条件对等的原则，按招标文件规定的格式或者其他经承包人事先认可的格式向承包人提交一份支付担保。支付担保的有效期同履约保证金。支付担保应在发包人付清交工付款之后28天内退还给发包人，承包人不承担发包人与支付担保有关的任何利息或其他费用或收益。</w:t>
      </w:r>
    </w:p>
    <w:p w14:paraId="2FD4DEA4">
      <w:pPr>
        <w:tabs>
          <w:tab w:val="left" w:pos="2790"/>
        </w:tabs>
        <w:spacing w:line="360" w:lineRule="auto"/>
        <w:outlineLvl w:val="2"/>
        <w:rPr>
          <w:rFonts w:hint="eastAsia" w:asciiTheme="majorEastAsia" w:hAnsiTheme="majorEastAsia" w:eastAsiaTheme="majorEastAsia" w:cstheme="majorEastAsia"/>
          <w:sz w:val="21"/>
          <w:szCs w:val="21"/>
        </w:rPr>
      </w:pPr>
      <w:bookmarkStart w:id="194" w:name="_Toc11178"/>
      <w:r>
        <w:rPr>
          <w:rFonts w:hint="eastAsia" w:asciiTheme="majorEastAsia" w:hAnsiTheme="majorEastAsia" w:eastAsiaTheme="majorEastAsia" w:cstheme="majorEastAsia"/>
          <w:sz w:val="21"/>
          <w:szCs w:val="21"/>
        </w:rPr>
        <w:t>4. 承包人</w:t>
      </w:r>
      <w:bookmarkEnd w:id="194"/>
    </w:p>
    <w:p w14:paraId="7C884409">
      <w:pPr>
        <w:tabs>
          <w:tab w:val="left" w:pos="2790"/>
        </w:tabs>
        <w:spacing w:line="360" w:lineRule="auto"/>
        <w:outlineLvl w:val="3"/>
        <w:rPr>
          <w:rFonts w:hint="eastAsia" w:asciiTheme="majorEastAsia" w:hAnsiTheme="majorEastAsia" w:eastAsiaTheme="majorEastAsia" w:cstheme="majorEastAsia"/>
          <w:sz w:val="21"/>
          <w:szCs w:val="21"/>
        </w:rPr>
      </w:pPr>
      <w:bookmarkStart w:id="195" w:name="_Toc17296"/>
      <w:r>
        <w:rPr>
          <w:rFonts w:hint="eastAsia" w:asciiTheme="majorEastAsia" w:hAnsiTheme="majorEastAsia" w:eastAsiaTheme="majorEastAsia" w:cstheme="majorEastAsia"/>
          <w:sz w:val="21"/>
          <w:szCs w:val="21"/>
        </w:rPr>
        <w:t>4.1  承包人的一般义务</w:t>
      </w:r>
      <w:bookmarkEnd w:id="195"/>
    </w:p>
    <w:p w14:paraId="47A9AA2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4.1.3  完成各项承包工作</w:t>
      </w:r>
    </w:p>
    <w:p w14:paraId="5B22949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w:t>
      </w:r>
    </w:p>
    <w:p w14:paraId="27D7A98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承包人应在签订合同协议书后14天内为本合同实施设立现场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部，该</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部应成为承包人授权的代理人或代表的合法机构，承包人应保证该</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部履行职责直至合同期满为止。</w:t>
      </w:r>
    </w:p>
    <w:p w14:paraId="1255144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4.1.10  其他义务</w:t>
      </w:r>
    </w:p>
    <w:p w14:paraId="3A1BECC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本项第（2）目细化为：</w:t>
      </w:r>
    </w:p>
    <w:p w14:paraId="6CFAB37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777F4D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发包人协助办理的成功与否，不免除根据合同文件规定的承包人的一切责任。</w:t>
      </w:r>
    </w:p>
    <w:p w14:paraId="6FFE861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本项第（3）目细化为：</w:t>
      </w:r>
    </w:p>
    <w:p w14:paraId="46AAA3A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在本工程中，应严格执行国家、浙江省及项目所在地政府有关拖欠工程款和农民工工资相关法律法规及规定，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浙江省交通运输信用综合管理服务系统。</w:t>
      </w:r>
    </w:p>
    <w:p w14:paraId="7A2AFDA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承包人的</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部是民工工资支付行为的主体，承包人的</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是民工工资支付的责任人。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要建立全体民工花名册和工资支付表（包含分包单位），确保将工资直接发放给民工本人，或委托银行发放民工工资，严禁发放给“包工头”或其他不具备用工主体资格的组织和个人。工资支付表应如实记录支付单位、支付时间、支付对象、支付数额、支付对象的身份证号和签字等信息。民工花名册和工资支付表应报监理人备查。</w:t>
      </w:r>
    </w:p>
    <w:p w14:paraId="4F0075D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承包人应按规定缴纳农民工工资保证金。</w:t>
      </w:r>
    </w:p>
    <w:p w14:paraId="606D99F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承包人应在用工后 15 天内与农民工签订劳动合同，根据劳动合同签订情况，统计农民工人数，按照实际人数办理记工考勤卡。项目完工后或农民工提前离开工地，承包人应在合同约定期限之内对农民工工资进行结算，并一次性付清所有应发放的工资。同时承包人应在</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和新闻媒介上分阶段公示民工工资支付情况，并公开2个监督电话（电话为当地交通主管部门和劳动保障部门等第三方单位可打通的号码），公示期符合相关规定。承包人应加强劳动合同管理，规范公路建设用工行为。不拖欠农民工工资，及时、足额发放农民工工资。</w:t>
      </w:r>
    </w:p>
    <w:p w14:paraId="22441DF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本项第（6）目细化为：</w:t>
      </w:r>
    </w:p>
    <w:p w14:paraId="4E24DCD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 承包人应按照浙江省交通运输厅《浙江省高速公路建设工程标准化工地管理规定》、《关于印发浙江省深化高速公路施工标准化活动实施方案的通知》、《浙江省交通建设工程平安工地建设管理实施办法》、交通运输部《关于开展高速公路施工标准化活动的通知》、《高速公路施工标准化技术指南》和《关于开展公路水运工程“平安工地”考核评价工作的通知》等相关部门的要求进行工地标准化、施工标准化和管理标准化建设和安全、文明施工。</w:t>
      </w:r>
      <w:r>
        <w:rPr>
          <w:rStyle w:val="115"/>
          <w:rFonts w:hint="eastAsia" w:asciiTheme="majorEastAsia" w:hAnsiTheme="majorEastAsia" w:eastAsiaTheme="majorEastAsia" w:cstheme="majorEastAsia"/>
          <w:sz w:val="21"/>
          <w:szCs w:val="21"/>
          <w:vertAlign w:val="superscript"/>
        </w:rPr>
        <w:footnoteReference w:id="0"/>
      </w:r>
    </w:p>
    <w:p w14:paraId="2706E72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按照浙江省交通运输厅《关于印发浙江省普通国省道公路建设工程标准化工地建设管理和考核办法（试行）的通知》、《浙江省交通建设工程平安工地建设管理实施办法》和交通运输部《关于开展公路水运工程“平安工地”考核评价工作的通知》等相关部门的要求进行工地标准化、施工标准化和管理标准化建设和安全、文明施工。</w:t>
      </w:r>
    </w:p>
    <w:p w14:paraId="4792A1B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本项补充第（7）～（19）目：</w:t>
      </w:r>
    </w:p>
    <w:p w14:paraId="518E95C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（7）项目审计（含跟踪审计）、稽查和检查等的配合</w:t>
      </w:r>
    </w:p>
    <w:p w14:paraId="5ECAFC6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a.与本工程项目相关的审计和稽查，承包人应高度重视并委派专人积极予以配合；</w:t>
      </w:r>
    </w:p>
    <w:p w14:paraId="04BA3C9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b.有关单位对本项目的各种检查等活动，承包人有义务予以积极配合开展各项工作；</w:t>
      </w:r>
    </w:p>
    <w:p w14:paraId="3718FAC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c.本工程项目有关的各类统计报表、汇报材料包括交（竣）工验收和项目后评价报告等，承包人有义务配合发包人做好编制工作并提供相应的资料；</w:t>
      </w:r>
    </w:p>
    <w:p w14:paraId="312D2A4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d.承包人应按发包人、监理人和有关文件要求，建立相应的计量、支付和变更台账，同时承包人应配合发包人、监理人建立相应的台账，并保持其持续有效直至工程决算完成。</w:t>
      </w:r>
    </w:p>
    <w:p w14:paraId="1AC8576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（8）与第三方检测、监控、科研单位的配合</w:t>
      </w:r>
    </w:p>
    <w:p w14:paraId="69F1DCC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w:t>
      </w:r>
      <w:r>
        <w:rPr>
          <w:rFonts w:hint="eastAsia" w:asciiTheme="majorEastAsia" w:hAnsiTheme="majorEastAsia" w:eastAsiaTheme="majorEastAsia" w:cstheme="majorEastAsia"/>
          <w:spacing w:val="-2"/>
          <w:sz w:val="21"/>
          <w:szCs w:val="21"/>
        </w:rPr>
        <w:t>承包人必须积极配合、协助第三方检测、监控、科研等单位的工作，委派专人做好配合工作</w:t>
      </w:r>
      <w:r>
        <w:rPr>
          <w:rFonts w:hint="eastAsia" w:asciiTheme="majorEastAsia" w:hAnsiTheme="majorEastAsia" w:eastAsiaTheme="majorEastAsia" w:cstheme="majorEastAsia"/>
          <w:sz w:val="21"/>
          <w:szCs w:val="21"/>
        </w:rPr>
        <w:t>。</w:t>
      </w:r>
    </w:p>
    <w:p w14:paraId="04FC337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b.承包人应熟悉第三方检测、监控、科研等单位的检测、监控、科研实施方案和流程，配合工作也应有相应的方案，该方案须经监理人审批同意；</w:t>
      </w:r>
    </w:p>
    <w:p w14:paraId="140C0EC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c.施工检测、监控、科研过程中，应在监理人的统一调配下，承包人应尽可能地提供人员、材料、设备的便利，以便施工检测、监控、科研工作顺利的进行；</w:t>
      </w:r>
    </w:p>
    <w:p w14:paraId="3946839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d.承包人应参与检测、监控、科研资料的总结与分析工作。</w:t>
      </w:r>
    </w:p>
    <w:p w14:paraId="2911BDF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（9）地方道路、分流道路的维护和管理</w:t>
      </w:r>
    </w:p>
    <w:p w14:paraId="0BDBDB5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在使用现有地方道路和分流道路过程中，必须采取一切措施确保车辆正常通行，做到施工、通车两不误。承包人应针对通车路段的施工特点，提出通车路段的施工维护、交通组织方案，报监理人及相关职能部门批准，并认真组织实施。施工方案和措施应包括：</w:t>
      </w:r>
    </w:p>
    <w:p w14:paraId="23A84FB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a.成立维护、管理组织，负责正常道路维护和交通管理工作；</w:t>
      </w:r>
    </w:p>
    <w:p w14:paraId="21D38AE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b.配备交通管理标志，指定专人维护交通秩序；</w:t>
      </w:r>
    </w:p>
    <w:p w14:paraId="22A7D06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c.加强与交警、公路管理等职能部门联系，争取交警、公路管理部门等的参与，建立切实可行交通管理制度。</w:t>
      </w:r>
    </w:p>
    <w:p w14:paraId="23EB48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由</w:t>
      </w:r>
      <w:r>
        <w:rPr>
          <w:rFonts w:hint="eastAsia" w:asciiTheme="majorEastAsia" w:hAnsiTheme="majorEastAsia" w:eastAsiaTheme="majorEastAsia" w:cstheme="majorEastAsia"/>
          <w:spacing w:val="-2"/>
          <w:sz w:val="21"/>
          <w:szCs w:val="21"/>
        </w:rPr>
        <w:t>于承包人措施不力，导致阻车和事故频发或损坏现有</w:t>
      </w:r>
      <w:r>
        <w:rPr>
          <w:rFonts w:hint="eastAsia" w:asciiTheme="majorEastAsia" w:hAnsiTheme="majorEastAsia" w:eastAsiaTheme="majorEastAsia" w:cstheme="majorEastAsia"/>
          <w:sz w:val="21"/>
          <w:szCs w:val="21"/>
        </w:rPr>
        <w:t>地方道路及分流道路</w:t>
      </w:r>
      <w:r>
        <w:rPr>
          <w:rFonts w:hint="eastAsia" w:asciiTheme="majorEastAsia" w:hAnsiTheme="majorEastAsia" w:eastAsiaTheme="majorEastAsia" w:cstheme="majorEastAsia"/>
          <w:spacing w:val="-2"/>
          <w:sz w:val="21"/>
          <w:szCs w:val="21"/>
        </w:rPr>
        <w:t>，影响交通安全和正常运行，并造成重大影响，引起索赔，赔偿、诉讼费用及工程拖延或施工费用增加时，应由承包人承担一切责任和费用</w:t>
      </w:r>
      <w:r>
        <w:rPr>
          <w:rFonts w:hint="eastAsia" w:asciiTheme="majorEastAsia" w:hAnsiTheme="majorEastAsia" w:eastAsiaTheme="majorEastAsia" w:cstheme="majorEastAsia"/>
          <w:sz w:val="21"/>
          <w:szCs w:val="21"/>
        </w:rPr>
        <w:t>。</w:t>
      </w:r>
    </w:p>
    <w:p w14:paraId="33DCA32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（10）承包人应配合发包人做好征地拆迁的配合工作，必要时应无偿提供人力、设备以及材料等方面的支持配合，</w:t>
      </w:r>
      <w:r>
        <w:rPr>
          <w:rFonts w:hint="eastAsia" w:asciiTheme="majorEastAsia" w:hAnsiTheme="majorEastAsia" w:eastAsiaTheme="majorEastAsia" w:cstheme="majorEastAsia"/>
          <w:spacing w:val="-2"/>
          <w:sz w:val="21"/>
          <w:szCs w:val="21"/>
        </w:rPr>
        <w:t>承包人因此增加的费用应认为已包括在合同价之中，发包人不另行支付。</w:t>
      </w:r>
    </w:p>
    <w:p w14:paraId="4AEEACA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几个承包人或与相邻标段或与相邻项目在同一区域内施工时，监理人有权协调工程的实施，并对工程衔接作出指示，承包人应在监理人的统一协调下工作，承包人因此增加的费用应认为已包括在合同价之中，发包人不另行支付。</w:t>
      </w:r>
    </w:p>
    <w:p w14:paraId="32581FA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（12）未经发包人事先批准，承包人不得在任何报纸、商业或技术文献上刊登或披露任何与本合同或与本工程有关的详细资料。</w:t>
      </w:r>
    </w:p>
    <w:p w14:paraId="5A3F46C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承包人不应在现场或施工设施上展示或允许展示任何贸易和商业性广告。在工地现场张贴布告，应事先得到监理人的批准，当监理人指示撤除时，应立即执行。</w:t>
      </w:r>
    </w:p>
    <w:p w14:paraId="4DDC3EC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承包人不得将任何种类的爆破器材给予、易货或以其他任何方式转给他人，承包人应遵守《中华人民共和国民用爆炸物品管理条例》。承包人在进行爆破施工前应当编制详细实施性施工方案、安全专项方案以及进行相关的试爆工作的实施方案，并报经监理人及相关部门审批认可，同时应综合考虑爆破震动、落物等负面因素对正在运营的高速公路、电力、通信通讯等周边设施、建筑物和环境等的影响，承包人应加强施工过程中的监控量测工作，制定相应的预警预控机制和安全应急预案，避免对上述设施造成破坏，否则，由此引起的一切费用均由承包人承担。</w:t>
      </w:r>
    </w:p>
    <w:p w14:paraId="5E7EF45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r>
        <w:rPr>
          <w:rFonts w:hint="eastAsia" w:asciiTheme="majorEastAsia" w:hAnsiTheme="majorEastAsia" w:eastAsiaTheme="majorEastAsia" w:cstheme="majorEastAsia"/>
          <w:spacing w:val="-2"/>
          <w:sz w:val="21"/>
          <w:szCs w:val="21"/>
        </w:rPr>
        <w:t xml:space="preserve"> 工程完工后，承包人所在标段的遗留问题，如（不限于）：河道清理、渣土清运、临时用地（含取、弃土场等）的复耕复绿、老桥拆除砼垃圾的清理外运解小、建筑垃圾和渣土清运,临时工程的清除、赔偿，因承包人施工原因造成的受损地方道路、桥梁或其他公共设施等，承包人应积极主动进行处理、解决、修复和恢复等，并承担所有费用。如果上述问题在发包人规定的期限内不能解决，发包人有权单独或委托其他单位进行处理，发生的全部费用由承包人承担</w:t>
      </w:r>
      <w:r>
        <w:rPr>
          <w:rFonts w:hint="eastAsia" w:asciiTheme="majorEastAsia" w:hAnsiTheme="majorEastAsia" w:eastAsiaTheme="majorEastAsia" w:cstheme="majorEastAsia"/>
          <w:sz w:val="21"/>
          <w:szCs w:val="21"/>
        </w:rPr>
        <w:t>。</w:t>
      </w:r>
    </w:p>
    <w:p w14:paraId="76C4254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（15）承包人应按照浙江省交通运输厅《关于在我省政府投资公路水运建设工程中推行安全质量远程视频监控系统的通知》、《</w:t>
      </w:r>
      <w:bookmarkStart w:id="196" w:name="_Hlk91741028"/>
      <w:r>
        <w:rPr>
          <w:rFonts w:hint="eastAsia" w:asciiTheme="majorEastAsia" w:hAnsiTheme="majorEastAsia" w:eastAsiaTheme="majorEastAsia" w:cstheme="majorEastAsia"/>
          <w:sz w:val="21"/>
          <w:szCs w:val="21"/>
        </w:rPr>
        <w:t>关于进一步加强我省公路水运建设工程安全质量远程视频监控系统建设和管理的通知</w:t>
      </w:r>
      <w:bookmarkEnd w:id="196"/>
      <w:r>
        <w:rPr>
          <w:rFonts w:hint="eastAsia" w:asciiTheme="majorEastAsia" w:hAnsiTheme="majorEastAsia" w:eastAsiaTheme="majorEastAsia" w:cstheme="majorEastAsia"/>
          <w:sz w:val="21"/>
          <w:szCs w:val="21"/>
        </w:rPr>
        <w:t>》、《关于扎实做好在建项目安全质量远程视频监控系统资源整合接入工作的通知》</w:t>
      </w:r>
      <w:r>
        <w:rPr>
          <w:rFonts w:hint="eastAsia" w:asciiTheme="majorEastAsia" w:hAnsiTheme="majorEastAsia" w:eastAsiaTheme="majorEastAsia" w:cstheme="majorEastAsia"/>
          <w:bCs/>
          <w:sz w:val="21"/>
          <w:szCs w:val="21"/>
        </w:rPr>
        <w:t>以及推进世界一流强港、交通强省建设和浙路品质等相关要求</w:t>
      </w:r>
      <w:r>
        <w:rPr>
          <w:rFonts w:hint="eastAsia" w:asciiTheme="majorEastAsia" w:hAnsiTheme="majorEastAsia" w:eastAsiaTheme="majorEastAsia" w:cstheme="majorEastAsia"/>
          <w:sz w:val="21"/>
          <w:szCs w:val="21"/>
        </w:rPr>
        <w:t>做好相关工作。</w:t>
      </w:r>
    </w:p>
    <w:p w14:paraId="6E07B75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（16）承包人应按照浙江省交通运输厅《关于进一步深化公路工程施工标准化开展“美丽班组”创建活动的通知》做好相关工作。</w:t>
      </w:r>
    </w:p>
    <w:p w14:paraId="4741EC8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（17）承包人应按照浙江省交通运输厅《浙江省公路水运工程质量提升三年专项行动方案（2021—2023）》、《浙江省交通建设工程推进平安百年品质工程建设实施方案》（浙交〔2023〕132 号），明确平安百年品质工程建设目标和要求，健全管理体系制度，落实平安百年品质工程建设各项要求。</w:t>
      </w:r>
    </w:p>
    <w:p w14:paraId="4E45A50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（18）承包人应按照浙江省交通运输厅《浙江省公路水运工程施工原材料和产品质量管理若干规定》做好相关工作。</w:t>
      </w:r>
    </w:p>
    <w:p w14:paraId="41AFCB3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（19）承包人应按照浙江省交通运输厅《浙江省公路水运工程项目智慧建设三年专项行动实施意见》做好相关工作。</w:t>
      </w:r>
    </w:p>
    <w:p w14:paraId="3C5459B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p>
    <w:p w14:paraId="2F1F4B32">
      <w:pPr>
        <w:tabs>
          <w:tab w:val="left" w:pos="2790"/>
        </w:tabs>
        <w:spacing w:line="360" w:lineRule="auto"/>
        <w:outlineLvl w:val="3"/>
        <w:rPr>
          <w:rFonts w:hint="eastAsia" w:asciiTheme="majorEastAsia" w:hAnsiTheme="majorEastAsia" w:eastAsiaTheme="majorEastAsia" w:cstheme="majorEastAsia"/>
          <w:sz w:val="21"/>
          <w:szCs w:val="21"/>
        </w:rPr>
      </w:pPr>
      <w:bookmarkStart w:id="197" w:name="_Toc370143952"/>
      <w:bookmarkStart w:id="198" w:name="_Toc31805"/>
      <w:r>
        <w:rPr>
          <w:rFonts w:hint="eastAsia" w:asciiTheme="majorEastAsia" w:hAnsiTheme="majorEastAsia" w:eastAsiaTheme="majorEastAsia" w:cstheme="majorEastAsia"/>
          <w:sz w:val="21"/>
          <w:szCs w:val="21"/>
        </w:rPr>
        <w:t>4.3  分包</w:t>
      </w:r>
      <w:bookmarkEnd w:id="197"/>
      <w:bookmarkEnd w:id="198"/>
    </w:p>
    <w:p w14:paraId="5CC642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第4.3.3（1）目补充：</w:t>
      </w:r>
    </w:p>
    <w:p w14:paraId="2E298F8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（1）不允许分包的工程内容为：__</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___。</w:t>
      </w:r>
    </w:p>
    <w:p w14:paraId="5534A9E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承包人在中标后补充提交分包计划的，应按规定及时向监理人提交分包计划并经发包人批准后，可以依法实施分包。</w:t>
      </w:r>
    </w:p>
    <w:p w14:paraId="235D723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第4.3.7项细化为：</w:t>
      </w:r>
    </w:p>
    <w:p w14:paraId="79B0EC5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4.3.7 本项目的各项分包工作均应遵守《公路工程施工分包管理办法》及《浙江省公路水运工程施工分包管理办法（试行）》的有关规定。</w:t>
      </w:r>
    </w:p>
    <w:p w14:paraId="305ABF71">
      <w:pPr>
        <w:tabs>
          <w:tab w:val="left" w:pos="2790"/>
        </w:tabs>
        <w:spacing w:line="360" w:lineRule="auto"/>
        <w:outlineLvl w:val="3"/>
        <w:rPr>
          <w:rFonts w:hint="eastAsia" w:asciiTheme="majorEastAsia" w:hAnsiTheme="majorEastAsia" w:eastAsiaTheme="majorEastAsia" w:cstheme="majorEastAsia"/>
          <w:sz w:val="21"/>
          <w:szCs w:val="21"/>
        </w:rPr>
      </w:pPr>
      <w:bookmarkStart w:id="199" w:name="_Toc3339"/>
      <w:r>
        <w:rPr>
          <w:rFonts w:hint="eastAsia" w:asciiTheme="majorEastAsia" w:hAnsiTheme="majorEastAsia" w:eastAsiaTheme="majorEastAsia" w:cstheme="majorEastAsia"/>
          <w:sz w:val="21"/>
          <w:szCs w:val="21"/>
        </w:rPr>
        <w:t>4.6  承包人人员的管理</w:t>
      </w:r>
      <w:bookmarkEnd w:id="199"/>
    </w:p>
    <w:p w14:paraId="0EB4666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第4.6.3项补充：</w:t>
      </w:r>
    </w:p>
    <w:p w14:paraId="3DCA0BC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、项目技术负责人及安全负责人应签署承诺书，承诺按招标文件规定到位，若有更换，同意按《浙江省公路水运建设工程从业主体信用评价管理细则》扣分或纳入负面清单管理。</w:t>
      </w:r>
    </w:p>
    <w:p w14:paraId="676F9DD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本款补充第4.6.6项～第4.6.8项：</w:t>
      </w:r>
    </w:p>
    <w:p w14:paraId="347BE11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4.6.6 承包人的所有管理、施工人员（包括分包队伍）需着统一的明显标志服，夜间须为反光标志服，同时须符合相关安全管理的规定，并按不同岗位佩证上岗。</w:t>
      </w:r>
    </w:p>
    <w:p w14:paraId="422CF44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4.6.7承包人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、项目技术负责人及主要管理人员的出勤需进行考勤。</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及项目技术负责人离开工地必须向监理人书面请假，并经发包人同意后才能离开；每月在工地天数应大于20天（特殊情况经监理人批准报发包人同意例外）。</w:t>
      </w:r>
    </w:p>
    <w:p w14:paraId="3B94DA3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4.6.8 除因管理原因发生重大质量安全事故不适合再任，因生病住院、终止劳动合同关系（需提供相关部门或单位的证明材料）等无法继续履行合同责任和义务，被责令停止执业、羁押或判刑外，承包人不得提出更换</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、项目技术负责人。符合上述规定确需更换的，应征得发包人同意，并经有关行业行政主管部门备案，且更换后的人员不得低于原投标承诺人员所具有的资格和业绩条件。</w:t>
      </w:r>
    </w:p>
    <w:p w14:paraId="53FDAF70">
      <w:pPr>
        <w:tabs>
          <w:tab w:val="left" w:pos="2790"/>
        </w:tabs>
        <w:spacing w:line="360" w:lineRule="auto"/>
        <w:outlineLvl w:val="3"/>
        <w:rPr>
          <w:rFonts w:hint="eastAsia" w:asciiTheme="majorEastAsia" w:hAnsiTheme="majorEastAsia" w:eastAsiaTheme="majorEastAsia" w:cstheme="majorEastAsia"/>
          <w:sz w:val="21"/>
          <w:szCs w:val="21"/>
        </w:rPr>
      </w:pPr>
      <w:bookmarkStart w:id="200" w:name="_Toc13906"/>
      <w:r>
        <w:rPr>
          <w:rFonts w:hint="eastAsia" w:asciiTheme="majorEastAsia" w:hAnsiTheme="majorEastAsia" w:eastAsiaTheme="majorEastAsia" w:cstheme="majorEastAsia"/>
          <w:sz w:val="21"/>
          <w:szCs w:val="21"/>
        </w:rPr>
        <w:t>4.8  保障承包人人员的合法权益</w:t>
      </w:r>
      <w:bookmarkEnd w:id="200"/>
    </w:p>
    <w:p w14:paraId="251DEF4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第4.8.3项补充：</w:t>
      </w:r>
    </w:p>
    <w:p w14:paraId="67E95A3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承包人应至少设一名具有一定卫生常识及传染病防治知识的卫生督查员，负责承包人所在施工现场的传染病检查、控制、报告。</w:t>
      </w:r>
    </w:p>
    <w:p w14:paraId="686C73E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14:paraId="53ABF00D">
      <w:pPr>
        <w:tabs>
          <w:tab w:val="left" w:pos="2790"/>
        </w:tabs>
        <w:spacing w:line="360" w:lineRule="auto"/>
        <w:outlineLvl w:val="3"/>
        <w:rPr>
          <w:rFonts w:hint="eastAsia" w:asciiTheme="majorEastAsia" w:hAnsiTheme="majorEastAsia" w:eastAsiaTheme="majorEastAsia" w:cstheme="majorEastAsia"/>
          <w:sz w:val="21"/>
          <w:szCs w:val="21"/>
        </w:rPr>
      </w:pPr>
      <w:bookmarkStart w:id="201" w:name="_Toc17116"/>
      <w:r>
        <w:rPr>
          <w:rFonts w:hint="eastAsia" w:asciiTheme="majorEastAsia" w:hAnsiTheme="majorEastAsia" w:eastAsiaTheme="majorEastAsia" w:cstheme="majorEastAsia"/>
          <w:sz w:val="21"/>
          <w:szCs w:val="21"/>
        </w:rPr>
        <w:t>4.11  不利物质条件</w:t>
      </w:r>
      <w:bookmarkEnd w:id="201"/>
    </w:p>
    <w:p w14:paraId="66E90EA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4.11.1  不利物质条件的范围：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w:t>
      </w:r>
      <w:r>
        <w:rPr>
          <w:rFonts w:hint="eastAsia" w:asciiTheme="majorEastAsia" w:hAnsiTheme="majorEastAsia" w:eastAsiaTheme="majorEastAsia" w:cstheme="majorEastAsia"/>
          <w:sz w:val="21"/>
          <w:szCs w:val="21"/>
          <w:u w:val="single"/>
        </w:rPr>
        <w:t xml:space="preserve">    </w:t>
      </w:r>
    </w:p>
    <w:p w14:paraId="4D11E91E">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2C37DEC2">
      <w:pPr>
        <w:tabs>
          <w:tab w:val="left" w:pos="2790"/>
        </w:tabs>
        <w:spacing w:line="360" w:lineRule="auto"/>
        <w:outlineLvl w:val="2"/>
        <w:rPr>
          <w:rFonts w:hint="eastAsia" w:asciiTheme="majorEastAsia" w:hAnsiTheme="majorEastAsia" w:eastAsiaTheme="majorEastAsia" w:cstheme="majorEastAsia"/>
          <w:sz w:val="21"/>
          <w:szCs w:val="21"/>
        </w:rPr>
      </w:pPr>
      <w:bookmarkStart w:id="202" w:name="_Toc29136"/>
      <w:r>
        <w:rPr>
          <w:rFonts w:hint="eastAsia" w:asciiTheme="majorEastAsia" w:hAnsiTheme="majorEastAsia" w:eastAsiaTheme="majorEastAsia" w:cstheme="majorEastAsia"/>
          <w:sz w:val="21"/>
          <w:szCs w:val="21"/>
        </w:rPr>
        <w:t>6. 施工设备和临时设施</w:t>
      </w:r>
      <w:bookmarkEnd w:id="202"/>
    </w:p>
    <w:p w14:paraId="127D38DE">
      <w:pPr>
        <w:tabs>
          <w:tab w:val="left" w:pos="2790"/>
        </w:tabs>
        <w:spacing w:line="360" w:lineRule="auto"/>
        <w:outlineLvl w:val="3"/>
        <w:rPr>
          <w:rFonts w:hint="eastAsia" w:asciiTheme="majorEastAsia" w:hAnsiTheme="majorEastAsia" w:eastAsiaTheme="majorEastAsia" w:cstheme="majorEastAsia"/>
          <w:sz w:val="21"/>
          <w:szCs w:val="21"/>
        </w:rPr>
      </w:pPr>
      <w:bookmarkStart w:id="203" w:name="_Toc24112"/>
      <w:r>
        <w:rPr>
          <w:rFonts w:hint="eastAsia" w:asciiTheme="majorEastAsia" w:hAnsiTheme="majorEastAsia" w:eastAsiaTheme="majorEastAsia" w:cstheme="majorEastAsia"/>
          <w:sz w:val="21"/>
          <w:szCs w:val="21"/>
        </w:rPr>
        <w:t>6.1  承包人提供的施工设备和临时设施</w:t>
      </w:r>
      <w:bookmarkEnd w:id="203"/>
    </w:p>
    <w:p w14:paraId="0C40D18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本款补充第6.1.3项：</w:t>
      </w:r>
    </w:p>
    <w:p w14:paraId="5DDE85F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6.1.3 承包人按照合同附件提出的最低要求填报的主要机械设备和试验检测设备，在经发包人审批后作为主要设备不得任意更换。</w:t>
      </w:r>
    </w:p>
    <w:p w14:paraId="0D0B049A">
      <w:pPr>
        <w:tabs>
          <w:tab w:val="left" w:pos="2790"/>
        </w:tabs>
        <w:spacing w:line="360" w:lineRule="auto"/>
        <w:outlineLvl w:val="3"/>
        <w:rPr>
          <w:rFonts w:hint="eastAsia" w:asciiTheme="majorEastAsia" w:hAnsiTheme="majorEastAsia" w:eastAsiaTheme="majorEastAsia" w:cstheme="majorEastAsia"/>
          <w:sz w:val="21"/>
          <w:szCs w:val="21"/>
        </w:rPr>
      </w:pPr>
      <w:bookmarkStart w:id="204" w:name="_Toc2184"/>
      <w:r>
        <w:rPr>
          <w:rFonts w:hint="eastAsia" w:asciiTheme="majorEastAsia" w:hAnsiTheme="majorEastAsia" w:eastAsiaTheme="majorEastAsia" w:cstheme="majorEastAsia"/>
          <w:sz w:val="21"/>
          <w:szCs w:val="21"/>
        </w:rPr>
        <w:t>6.3  要求承包人增加或更换施工设备</w:t>
      </w:r>
      <w:bookmarkEnd w:id="204"/>
    </w:p>
    <w:p w14:paraId="756521D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w:t>
      </w:r>
    </w:p>
    <w:p w14:paraId="4FF1035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承包人的机械、车辆必须证（照）齐全，三无车辆不得进场。</w:t>
      </w:r>
    </w:p>
    <w:p w14:paraId="7F20C44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违反本款规定，则按第22.1款承包人违约处理。</w:t>
      </w:r>
    </w:p>
    <w:p w14:paraId="5D361229">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58D28F91">
      <w:pPr>
        <w:tabs>
          <w:tab w:val="left" w:pos="2790"/>
        </w:tabs>
        <w:spacing w:line="360" w:lineRule="auto"/>
        <w:outlineLvl w:val="2"/>
        <w:rPr>
          <w:rFonts w:hint="eastAsia" w:asciiTheme="majorEastAsia" w:hAnsiTheme="majorEastAsia" w:eastAsiaTheme="majorEastAsia" w:cstheme="majorEastAsia"/>
          <w:sz w:val="21"/>
          <w:szCs w:val="21"/>
        </w:rPr>
      </w:pPr>
      <w:bookmarkStart w:id="205" w:name="_Toc27015"/>
      <w:r>
        <w:rPr>
          <w:rFonts w:hint="eastAsia" w:asciiTheme="majorEastAsia" w:hAnsiTheme="majorEastAsia" w:eastAsiaTheme="majorEastAsia" w:cstheme="majorEastAsia"/>
          <w:sz w:val="21"/>
          <w:szCs w:val="21"/>
        </w:rPr>
        <w:t>7. 交通运输</w:t>
      </w:r>
      <w:bookmarkEnd w:id="205"/>
    </w:p>
    <w:p w14:paraId="1F8B8A61">
      <w:pPr>
        <w:tabs>
          <w:tab w:val="left" w:pos="2790"/>
        </w:tabs>
        <w:spacing w:line="360" w:lineRule="auto"/>
        <w:outlineLvl w:val="3"/>
        <w:rPr>
          <w:rFonts w:hint="eastAsia" w:asciiTheme="majorEastAsia" w:hAnsiTheme="majorEastAsia" w:eastAsiaTheme="majorEastAsia" w:cstheme="majorEastAsia"/>
          <w:sz w:val="21"/>
          <w:szCs w:val="21"/>
        </w:rPr>
      </w:pPr>
      <w:bookmarkStart w:id="206" w:name="_Toc23338"/>
      <w:r>
        <w:rPr>
          <w:rFonts w:hint="eastAsia" w:asciiTheme="majorEastAsia" w:hAnsiTheme="majorEastAsia" w:eastAsiaTheme="majorEastAsia" w:cstheme="majorEastAsia"/>
          <w:sz w:val="21"/>
          <w:szCs w:val="21"/>
        </w:rPr>
        <w:t>7.2  场内施工道路</w:t>
      </w:r>
      <w:bookmarkEnd w:id="206"/>
    </w:p>
    <w:p w14:paraId="360B2F1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第7.2.2项约定为：</w:t>
      </w:r>
    </w:p>
    <w:p w14:paraId="66AB7A1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7.2.2 承包人应允许发包人、监理人及发包人安排的其他相关人员无偿使用由承包人修建和维护的临时道路、桥梁等设施。承包人应允许与发包人签订有承包合同的其他承包人或其工作人员使用由承包人修建和维护的临时道路、桥梁等设施；如其他承包人或其工作人员在使用中对临时设施有损坏时，承包人可通过监理人指出由其他承包人给予修复或赔偿的要求。</w:t>
      </w:r>
    </w:p>
    <w:p w14:paraId="617DD226">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35B7BAF5">
      <w:pPr>
        <w:tabs>
          <w:tab w:val="left" w:pos="2790"/>
        </w:tabs>
        <w:spacing w:line="360" w:lineRule="auto"/>
        <w:outlineLvl w:val="2"/>
        <w:rPr>
          <w:rFonts w:hint="eastAsia" w:asciiTheme="majorEastAsia" w:hAnsiTheme="majorEastAsia" w:eastAsiaTheme="majorEastAsia" w:cstheme="majorEastAsia"/>
          <w:sz w:val="21"/>
          <w:szCs w:val="21"/>
        </w:rPr>
      </w:pPr>
      <w:bookmarkStart w:id="207" w:name="_Toc27217"/>
      <w:r>
        <w:rPr>
          <w:rFonts w:hint="eastAsia" w:asciiTheme="majorEastAsia" w:hAnsiTheme="majorEastAsia" w:eastAsiaTheme="majorEastAsia" w:cstheme="majorEastAsia"/>
          <w:sz w:val="21"/>
          <w:szCs w:val="21"/>
        </w:rPr>
        <w:t>9. 施工安全、治安保卫和环境保护</w:t>
      </w:r>
      <w:bookmarkEnd w:id="207"/>
    </w:p>
    <w:p w14:paraId="293A0CA7">
      <w:pPr>
        <w:tabs>
          <w:tab w:val="left" w:pos="2790"/>
        </w:tabs>
        <w:spacing w:line="360" w:lineRule="auto"/>
        <w:outlineLvl w:val="3"/>
        <w:rPr>
          <w:rFonts w:hint="eastAsia" w:asciiTheme="majorEastAsia" w:hAnsiTheme="majorEastAsia" w:eastAsiaTheme="majorEastAsia" w:cstheme="majorEastAsia"/>
          <w:sz w:val="21"/>
          <w:szCs w:val="21"/>
        </w:rPr>
      </w:pPr>
      <w:bookmarkStart w:id="208" w:name="_Toc27354"/>
      <w:r>
        <w:rPr>
          <w:rFonts w:hint="eastAsia" w:asciiTheme="majorEastAsia" w:hAnsiTheme="majorEastAsia" w:eastAsiaTheme="majorEastAsia" w:cstheme="majorEastAsia"/>
          <w:sz w:val="21"/>
          <w:szCs w:val="21"/>
        </w:rPr>
        <w:t>9.2  承包人的施工安全责任</w:t>
      </w:r>
      <w:bookmarkEnd w:id="208"/>
    </w:p>
    <w:p w14:paraId="74BD7E0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第9.2.5项约定为：</w:t>
      </w:r>
    </w:p>
    <w:p w14:paraId="59ADCA1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9.2.5 安全生产费用应为招标人公布的工程量清单预算的2%。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2916320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承包人还应执行《浙江省交通建设工程质量和安全生产管理条例》的相关规定和要求。安全生产费的使用和支付按《浙江省交通建设工程安全生产费用管理办法》的相关要求以及相关最新规定办理。</w:t>
      </w:r>
    </w:p>
    <w:p w14:paraId="00C0E67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第9.2.8（1）目细化为：</w:t>
      </w:r>
    </w:p>
    <w:p w14:paraId="068F72B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公路水运工程安全生产监督管理办法》、《浙江省交通建设工程质量和安全生产管理条例》、《浙江省交通建设工程质量和安全生产监督工作实施办法》、《关于进一步加强全省交通建设工程安全生产管理工作的若干规定》、《省交通运输厅安委办关于印发&lt;浙江省交通建设工程施工安全十条规定&gt;的通知》配备固定专职安全生产管理人员，并履行安全生产管理人员职责。</w:t>
      </w:r>
    </w:p>
    <w:p w14:paraId="71B8F47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第9.2.8（4）目细化为：</w:t>
      </w:r>
    </w:p>
    <w:p w14:paraId="2FF0028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根据本合同各单位工程的施工特点，严格执行《公路水运工程安全生产监督管理办法》、《浙江省交通建设工程质量和安全生产管理条例》、《浙江省交通建设工程质量和安全生产监督工作实施办法》、《关于进一步加强全省交通建设工程安全生产管理工作的若干规定》、《省交通运输厅安委办关于印发&lt;浙江省交通建设工程施工安全十条规定&gt;的通知》、《公路工程施工安全技术规范》等有关规定。</w:t>
      </w:r>
    </w:p>
    <w:p w14:paraId="33B17D1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第9.2.8项补充第（5）目：</w:t>
      </w:r>
    </w:p>
    <w:p w14:paraId="232B478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（5）严格按批准的实施性交通安全组织方案做好施工安全相关组织管理工作。</w:t>
      </w:r>
    </w:p>
    <w:p w14:paraId="2966229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补充第9.2.12~9.2.19项：</w:t>
      </w:r>
    </w:p>
    <w:p w14:paraId="4F34CCBB">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 xml:space="preserve">9.2.12 </w:t>
      </w:r>
      <w:r>
        <w:rPr>
          <w:rFonts w:hint="eastAsia" w:asciiTheme="majorEastAsia" w:hAnsiTheme="majorEastAsia" w:eastAsiaTheme="majorEastAsia" w:cstheme="majorEastAsia"/>
          <w:sz w:val="21"/>
          <w:szCs w:val="21"/>
        </w:rPr>
        <w:t>承包人应按照《浙江省交通建设工程施工安全风险管理办法》，在施工标段开工前负责组织开展专项风险评估工作，</w:t>
      </w:r>
      <w:r>
        <w:rPr>
          <w:rFonts w:hint="eastAsia" w:asciiTheme="majorEastAsia" w:hAnsiTheme="majorEastAsia" w:eastAsiaTheme="majorEastAsia" w:cstheme="majorEastAsia"/>
          <w:spacing w:val="-2"/>
          <w:sz w:val="21"/>
          <w:szCs w:val="21"/>
        </w:rPr>
        <w:t>承包人因此增加的费用认为已包括在合同价中，发包人不另行支付。</w:t>
      </w:r>
    </w:p>
    <w:p w14:paraId="504C9D7A">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9.2.13 承包人应对危险性较大的分部分项工程按照《浙江省交通建设危险性较大的分部分项工程专项施工方案管理办法》要求做好专项施工方案编制、审查等工作。由施工引起涉及各类管线的，由承包人负责安全评估等相关工作，以保证施工安全。由施工引起的涉河、涉水等审批应由承包人负责。承包人所采取的所有措施以及因此增加的费用（含技术、安全论证专题费、风险评估费用、聘请专家的会务费、 安评、 审批等）应认为已包括在合同价中，发包人不另行支付。危大工程、关键工序施工时，施工单位项目负责人必须现场带班作业，并指定专业技术人员现场落实方案实施。</w:t>
      </w:r>
    </w:p>
    <w:p w14:paraId="04A6890A">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9.2.14在合同执行期间，承包人应执行发包人和行业主管部门下发的安全生产管理的相关规定和文件。</w:t>
      </w:r>
    </w:p>
    <w:p w14:paraId="1DFB1517">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9.2.15在合同执行期间，因承包人原因引起的交通事故，其所涉及的停工、索赔、赔偿、诉讼费用及工程拖延或施工费用增加时，应由承包人承担一切责任和费用。</w:t>
      </w:r>
    </w:p>
    <w:p w14:paraId="017F4D7C">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9.2.16承包人要加强源头控制，落实安全管理责任，切实做好施工车辆、施工路段管理。一是强化源头管理，对施工车辆上路条件、安全技术状况和资质进行严格把关。二是加强检查力度，严禁施工车辆超载、违法载人以及遮挡号牌、无牌上路等违法行为。三是做好施工路段管控，严格按照有关标准设置明显的安全警示标志，采取安全防护措施，引导施工路段车辆安全通行，严禁非施工作业车辆进入施工区域。</w:t>
      </w:r>
    </w:p>
    <w:p w14:paraId="7CFD2B40">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9.2.17 承包人原则上不得安排夜间施工，确需施工的，必须制定专项方案，报发包人批准。夜间施工时，承包人项目负责人必须现场带班作业，并指定工程管理人员和专职安全生产管理人员监督现场施工。</w:t>
      </w:r>
    </w:p>
    <w:p w14:paraId="6642112D">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9.2.18 承包人应按照《交通运输部 应急管理部关于发布&lt;公路水运工程淘汰危及生产安全施工工艺、设备和材料目录&gt;的公告》、《浙江省交通运输厅关于发布&lt;浙江省公路水运工程落后施工工艺、设备和材料的淘汰目录（第一批）&gt;的通知》等规定，严格淘汰危及生产安全和落后的施工工艺、设备和材料。</w:t>
      </w:r>
    </w:p>
    <w:p w14:paraId="0CB81BBF">
      <w:pPr>
        <w:tabs>
          <w:tab w:val="left" w:pos="2790"/>
        </w:tabs>
        <w:spacing w:line="360" w:lineRule="auto"/>
        <w:ind w:firstLine="412" w:firstLineChars="200"/>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pacing w:val="-2"/>
          <w:sz w:val="21"/>
          <w:szCs w:val="21"/>
        </w:rPr>
        <w:t>9.2.19 EPC总承包和联合体牵头单位对施工安全生产负总责，必须设立项目安全生产管理机构，与成员单位签订安全生产专项协议，明确安全生产工作和管控要求。</w:t>
      </w:r>
    </w:p>
    <w:p w14:paraId="6994478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违反本款规定，则按第22.1款承包人违约处理。</w:t>
      </w:r>
    </w:p>
    <w:p w14:paraId="30162D22">
      <w:pPr>
        <w:tabs>
          <w:tab w:val="left" w:pos="2790"/>
        </w:tabs>
        <w:spacing w:line="360" w:lineRule="auto"/>
        <w:outlineLvl w:val="3"/>
        <w:rPr>
          <w:rFonts w:hint="eastAsia" w:asciiTheme="majorEastAsia" w:hAnsiTheme="majorEastAsia" w:eastAsiaTheme="majorEastAsia" w:cstheme="majorEastAsia"/>
          <w:sz w:val="21"/>
          <w:szCs w:val="21"/>
        </w:rPr>
      </w:pPr>
      <w:bookmarkStart w:id="209" w:name="_Toc324338183"/>
      <w:bookmarkStart w:id="210" w:name="_Toc4277"/>
      <w:bookmarkStart w:id="211" w:name="_Toc322539172"/>
      <w:bookmarkStart w:id="212" w:name="_Toc370143964"/>
      <w:bookmarkStart w:id="213" w:name="_Toc302652295"/>
      <w:r>
        <w:rPr>
          <w:rFonts w:hint="eastAsia" w:asciiTheme="majorEastAsia" w:hAnsiTheme="majorEastAsia" w:eastAsiaTheme="majorEastAsia" w:cstheme="majorEastAsia"/>
          <w:sz w:val="21"/>
          <w:szCs w:val="21"/>
        </w:rPr>
        <w:t>9.4  环境保护</w:t>
      </w:r>
      <w:bookmarkEnd w:id="209"/>
      <w:bookmarkEnd w:id="210"/>
      <w:bookmarkEnd w:id="211"/>
      <w:bookmarkEnd w:id="212"/>
      <w:bookmarkEnd w:id="213"/>
    </w:p>
    <w:p w14:paraId="001B5E77">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本款补充第9.4.12项：</w:t>
      </w:r>
    </w:p>
    <w:p w14:paraId="40FBD25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9.4.12承包人在施工中应当贯彻“不破坏就是最大的保护”思想，尊重自然植被地貌，原则上不准在主线视线范围内设置借土场（取土坑）、弃土场（弃渣场），确需要的，承包人须采取复绿、排水及防护等措施，保证公路沿线美观、和谐、环保。</w:t>
      </w:r>
      <w:r>
        <w:rPr>
          <w:rFonts w:hint="eastAsia" w:asciiTheme="majorEastAsia" w:hAnsiTheme="majorEastAsia" w:eastAsiaTheme="majorEastAsia" w:cstheme="majorEastAsia"/>
          <w:sz w:val="21"/>
          <w:szCs w:val="21"/>
        </w:rPr>
        <w:cr/>
      </w:r>
      <w:r>
        <w:rPr>
          <w:rFonts w:hint="eastAsia" w:asciiTheme="majorEastAsia" w:hAnsiTheme="majorEastAsia" w:eastAsiaTheme="majorEastAsia" w:cstheme="majorEastAsia"/>
          <w:sz w:val="21"/>
          <w:szCs w:val="21"/>
        </w:rPr>
        <w:t xml:space="preserve">    承包人对借土场（取土坑）、弃土场（弃渣场）以及其他临时用地须按照设计图纸或承包人自行调查确定，选取工作须报监理人审批、发包人同意，并履行相关职能部门的报批程序后，方可开展施工，所采取的复绿、复耕、排水及防护等措施须通过相关部门的环评、水保、土地等验收，承包人所采取的所有措施以及因此增加的费用应认为已包括在合同价中，发包人不另行支付。若承包人无视借、弃土场的环保、水保等的处理要求，发包人有权指定第三方专业施工队伍履行承包人的上述义务，因此所发生的所有费用将在承包人的计量款中直接扣除。</w:t>
      </w:r>
    </w:p>
    <w:p w14:paraId="4B80A1D1">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47BA41A0">
      <w:pPr>
        <w:tabs>
          <w:tab w:val="left" w:pos="2790"/>
        </w:tabs>
        <w:spacing w:line="360" w:lineRule="auto"/>
        <w:outlineLvl w:val="2"/>
        <w:rPr>
          <w:rFonts w:hint="eastAsia" w:asciiTheme="majorEastAsia" w:hAnsiTheme="majorEastAsia" w:eastAsiaTheme="majorEastAsia" w:cstheme="majorEastAsia"/>
          <w:sz w:val="21"/>
          <w:szCs w:val="21"/>
        </w:rPr>
      </w:pPr>
      <w:bookmarkStart w:id="214" w:name="_Toc21613"/>
      <w:r>
        <w:rPr>
          <w:rFonts w:hint="eastAsia" w:asciiTheme="majorEastAsia" w:hAnsiTheme="majorEastAsia" w:eastAsiaTheme="majorEastAsia" w:cstheme="majorEastAsia"/>
          <w:sz w:val="21"/>
          <w:szCs w:val="21"/>
        </w:rPr>
        <w:t>10. 进度计划</w:t>
      </w:r>
      <w:bookmarkEnd w:id="214"/>
    </w:p>
    <w:p w14:paraId="56801905">
      <w:pPr>
        <w:tabs>
          <w:tab w:val="left" w:pos="2790"/>
        </w:tabs>
        <w:spacing w:line="360" w:lineRule="auto"/>
        <w:outlineLvl w:val="3"/>
        <w:rPr>
          <w:rFonts w:hint="eastAsia" w:asciiTheme="majorEastAsia" w:hAnsiTheme="majorEastAsia" w:eastAsiaTheme="majorEastAsia" w:cstheme="majorEastAsia"/>
          <w:sz w:val="21"/>
          <w:szCs w:val="21"/>
        </w:rPr>
      </w:pPr>
      <w:bookmarkStart w:id="215" w:name="_Toc9814"/>
      <w:r>
        <w:rPr>
          <w:rFonts w:hint="eastAsia" w:asciiTheme="majorEastAsia" w:hAnsiTheme="majorEastAsia" w:eastAsiaTheme="majorEastAsia" w:cstheme="majorEastAsia"/>
          <w:sz w:val="21"/>
          <w:szCs w:val="21"/>
        </w:rPr>
        <w:t>10.1  合同进度计划</w:t>
      </w:r>
      <w:bookmarkEnd w:id="215"/>
    </w:p>
    <w:p w14:paraId="41063F95">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本款中</w:t>
      </w:r>
    </w:p>
    <w:p w14:paraId="12373910">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承包人编制施工方案的内容应包括（但不限于）：</w:t>
      </w:r>
    </w:p>
    <w:p w14:paraId="1B15AE80">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（1）总体施工组织布置及规划</w:t>
      </w:r>
    </w:p>
    <w:p w14:paraId="7746CCB4">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（2）主要工程项目的施工方案、方法与技术措施（尤其对重点、关键和难点工程的施工方案、方法及其措施）</w:t>
      </w:r>
    </w:p>
    <w:p w14:paraId="14376101">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（3）工期保证体系及保证措施</w:t>
      </w:r>
    </w:p>
    <w:p w14:paraId="01678698">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（4）工程质量管理体系及保证措施</w:t>
      </w:r>
    </w:p>
    <w:p w14:paraId="5046FD6F">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（5）安全生产管理体系及保证措施</w:t>
      </w:r>
    </w:p>
    <w:p w14:paraId="611CE289">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（6）环境保护、水土保持保证体系及保证措施</w:t>
      </w:r>
    </w:p>
    <w:p w14:paraId="4606CF55">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（7）文明施工、文物保护保证体系及保证措施</w:t>
      </w:r>
    </w:p>
    <w:p w14:paraId="18031159">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（8）项目风险预测与防范，事故应急预案</w:t>
      </w:r>
    </w:p>
    <w:p w14:paraId="7181E109">
      <w:pPr>
        <w:spacing w:line="360" w:lineRule="auto"/>
        <w:ind w:firstLine="435"/>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（9）其他应说明的事项以及相应的图表。</w:t>
      </w:r>
    </w:p>
    <w:p w14:paraId="1C517B9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补充第10.5款：</w:t>
      </w:r>
    </w:p>
    <w:p w14:paraId="6E1B9654">
      <w:pPr>
        <w:tabs>
          <w:tab w:val="left" w:pos="2790"/>
        </w:tabs>
        <w:spacing w:line="360" w:lineRule="auto"/>
        <w:outlineLvl w:val="3"/>
        <w:rPr>
          <w:rFonts w:hint="eastAsia" w:asciiTheme="majorEastAsia" w:hAnsiTheme="majorEastAsia" w:eastAsiaTheme="majorEastAsia" w:cstheme="majorEastAsia"/>
          <w:sz w:val="21"/>
          <w:szCs w:val="21"/>
        </w:rPr>
      </w:pPr>
      <w:bookmarkStart w:id="216" w:name="_Toc25243"/>
      <w:r>
        <w:rPr>
          <w:rFonts w:hint="eastAsia" w:asciiTheme="majorEastAsia" w:hAnsiTheme="majorEastAsia" w:eastAsiaTheme="majorEastAsia" w:cstheme="majorEastAsia"/>
          <w:sz w:val="21"/>
          <w:szCs w:val="21"/>
        </w:rPr>
        <w:t>10.5  季度计划、月度计划、旬计划</w:t>
      </w:r>
      <w:bookmarkEnd w:id="216"/>
    </w:p>
    <w:p w14:paraId="59A5312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（1）季度计划</w:t>
      </w:r>
    </w:p>
    <w:p w14:paraId="366EA6F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在总体计划（年度计划）总体要求下编制季度计划，其格式统一按发包人批准后下发的填报要求执行。季度计划必须保持总体计划（年度计划）的实现。季度计划应在上一个季度的最后一个月的25日前提交给监理人。</w:t>
      </w:r>
    </w:p>
    <w:p w14:paraId="33DF05A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（2）月度计划</w:t>
      </w:r>
    </w:p>
    <w:p w14:paraId="50B2AD6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在季度计划的要求下编制月度计划，其格式统一按发包人批准后下发的填报要求执行。月度计划必须保持季度计划的实现。月度计划如未能完成，应在文字介绍里详述原因，并在剩余工期中的下一阶段进度试刊中补回来，且详述补救措施。</w:t>
      </w:r>
    </w:p>
    <w:p w14:paraId="5319E31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（3）旬计划</w:t>
      </w:r>
    </w:p>
    <w:p w14:paraId="5783CFA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承包人应根据批复的月度计划编制旬计划，并按要求定期向发包人上报旬计划及完成情况汇报资料。</w:t>
      </w:r>
    </w:p>
    <w:p w14:paraId="45C10C4E">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4E64E8BD">
      <w:pPr>
        <w:tabs>
          <w:tab w:val="left" w:pos="2790"/>
        </w:tabs>
        <w:spacing w:line="360" w:lineRule="auto"/>
        <w:outlineLvl w:val="2"/>
        <w:rPr>
          <w:rFonts w:hint="eastAsia" w:asciiTheme="majorEastAsia" w:hAnsiTheme="majorEastAsia" w:eastAsiaTheme="majorEastAsia" w:cstheme="majorEastAsia"/>
          <w:sz w:val="21"/>
          <w:szCs w:val="21"/>
        </w:rPr>
      </w:pPr>
      <w:bookmarkStart w:id="217" w:name="_Toc15424"/>
      <w:r>
        <w:rPr>
          <w:rFonts w:hint="eastAsia" w:asciiTheme="majorEastAsia" w:hAnsiTheme="majorEastAsia" w:eastAsiaTheme="majorEastAsia" w:cstheme="majorEastAsia"/>
          <w:sz w:val="21"/>
          <w:szCs w:val="21"/>
        </w:rPr>
        <w:t>11. 开工和交工</w:t>
      </w:r>
      <w:bookmarkEnd w:id="217"/>
    </w:p>
    <w:p w14:paraId="2DBE5768">
      <w:pPr>
        <w:tabs>
          <w:tab w:val="left" w:pos="2790"/>
        </w:tabs>
        <w:spacing w:line="360" w:lineRule="auto"/>
        <w:outlineLvl w:val="3"/>
        <w:rPr>
          <w:rFonts w:hint="eastAsia" w:asciiTheme="majorEastAsia" w:hAnsiTheme="majorEastAsia" w:eastAsiaTheme="majorEastAsia" w:cstheme="majorEastAsia"/>
          <w:sz w:val="21"/>
          <w:szCs w:val="21"/>
        </w:rPr>
      </w:pPr>
      <w:bookmarkStart w:id="218" w:name="_Toc22179"/>
      <w:r>
        <w:rPr>
          <w:rFonts w:hint="eastAsia" w:asciiTheme="majorEastAsia" w:hAnsiTheme="majorEastAsia" w:eastAsiaTheme="majorEastAsia" w:cstheme="majorEastAsia"/>
          <w:sz w:val="21"/>
          <w:szCs w:val="21"/>
        </w:rPr>
        <w:t>11.4  异常恶劣的气候条件</w:t>
      </w:r>
      <w:bookmarkEnd w:id="218"/>
    </w:p>
    <w:p w14:paraId="7BE290A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本款约定为：</w:t>
      </w:r>
    </w:p>
    <w:p w14:paraId="667F88E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（1）异常恶劣的气候条件，对本项目而言，是指发生龙卷风、工地受淹、超过桥梁设计洪水位以及不利降水等引起延误的情况。</w:t>
      </w:r>
    </w:p>
    <w:p w14:paraId="6662407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（2）不利降水的衡量标准为：</w:t>
      </w:r>
    </w:p>
    <w:p w14:paraId="172B3D4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a.按本省气象部门统计的项目所在地降水资料，取最近二十年的年平均降水天数为标准；</w:t>
      </w:r>
    </w:p>
    <w:p w14:paraId="56FB09B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b.按项目所在地实际统计的年降水天数与a所指的年降水天数之差，每年计算一次。</w:t>
      </w:r>
    </w:p>
    <w:p w14:paraId="0EE641D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异常恶劣气候的时间，监理人将根据承包人的申请和提交的证明予以评定，但在评定时还将考虑按同等标准，用施工期限内其它月份良好的气候的时间予以抵补。恶劣气候在每个月对工程进度影响的评定，应在整个合同期内予以累计。</w:t>
      </w:r>
    </w:p>
    <w:p w14:paraId="1EAEA24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（4）若恶劣气候只是对局部工程有影响，承包人应采取合同措施予以弥补，而不能推迟工程的总工期。</w:t>
      </w:r>
    </w:p>
    <w:p w14:paraId="4E4A983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（5）受本款所述的恶劣气候影响的分项工程，必须在工程施工进度网络计划的关键线路上，监理人方能考虑延长工程总工期。</w:t>
      </w:r>
    </w:p>
    <w:p w14:paraId="64EC7AAA">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48E45A0A">
      <w:pPr>
        <w:tabs>
          <w:tab w:val="left" w:pos="2790"/>
        </w:tabs>
        <w:spacing w:line="360" w:lineRule="auto"/>
        <w:outlineLvl w:val="2"/>
        <w:rPr>
          <w:rFonts w:hint="eastAsia" w:asciiTheme="majorEastAsia" w:hAnsiTheme="majorEastAsia" w:eastAsiaTheme="majorEastAsia" w:cstheme="majorEastAsia"/>
          <w:sz w:val="21"/>
          <w:szCs w:val="21"/>
        </w:rPr>
      </w:pPr>
      <w:bookmarkStart w:id="219" w:name="_Toc22903"/>
      <w:r>
        <w:rPr>
          <w:rFonts w:hint="eastAsia" w:asciiTheme="majorEastAsia" w:hAnsiTheme="majorEastAsia" w:eastAsiaTheme="majorEastAsia" w:cstheme="majorEastAsia"/>
          <w:sz w:val="21"/>
          <w:szCs w:val="21"/>
        </w:rPr>
        <w:t>12. 暂停施工</w:t>
      </w:r>
      <w:bookmarkEnd w:id="219"/>
    </w:p>
    <w:p w14:paraId="27F680BA">
      <w:pPr>
        <w:tabs>
          <w:tab w:val="left" w:pos="2790"/>
        </w:tabs>
        <w:spacing w:line="360" w:lineRule="auto"/>
        <w:outlineLvl w:val="3"/>
        <w:rPr>
          <w:rFonts w:hint="eastAsia" w:asciiTheme="majorEastAsia" w:hAnsiTheme="majorEastAsia" w:eastAsiaTheme="majorEastAsia" w:cstheme="majorEastAsia"/>
          <w:sz w:val="21"/>
          <w:szCs w:val="21"/>
        </w:rPr>
      </w:pPr>
      <w:bookmarkStart w:id="220" w:name="_Toc17206"/>
      <w:r>
        <w:rPr>
          <w:rFonts w:hint="eastAsia" w:asciiTheme="majorEastAsia" w:hAnsiTheme="majorEastAsia" w:eastAsiaTheme="majorEastAsia" w:cstheme="majorEastAsia"/>
          <w:sz w:val="21"/>
          <w:szCs w:val="21"/>
        </w:rPr>
        <w:t>12.1  承包人暂停施工的责任</w:t>
      </w:r>
      <w:bookmarkEnd w:id="220"/>
    </w:p>
    <w:p w14:paraId="1062F41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本款第（6）项约定：</w:t>
      </w:r>
    </w:p>
    <w:p w14:paraId="18C9274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（6）由承包人承担的其他暂停施工：</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无</w:t>
      </w:r>
      <w:r>
        <w:rPr>
          <w:rFonts w:hint="eastAsia" w:asciiTheme="majorEastAsia" w:hAnsiTheme="majorEastAsia" w:eastAsiaTheme="majorEastAsia" w:cstheme="majorEastAsia"/>
          <w:sz w:val="21"/>
          <w:szCs w:val="21"/>
          <w:u w:val="single"/>
        </w:rPr>
        <w:t xml:space="preserve">  </w:t>
      </w:r>
    </w:p>
    <w:p w14:paraId="6387BFFF">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5C9126C9">
      <w:pPr>
        <w:tabs>
          <w:tab w:val="left" w:pos="2790"/>
        </w:tabs>
        <w:spacing w:line="360" w:lineRule="auto"/>
        <w:outlineLvl w:val="2"/>
        <w:rPr>
          <w:rFonts w:hint="eastAsia" w:asciiTheme="majorEastAsia" w:hAnsiTheme="majorEastAsia" w:eastAsiaTheme="majorEastAsia" w:cstheme="majorEastAsia"/>
          <w:sz w:val="21"/>
          <w:szCs w:val="21"/>
        </w:rPr>
      </w:pPr>
      <w:bookmarkStart w:id="221" w:name="_Toc14005"/>
      <w:r>
        <w:rPr>
          <w:rFonts w:hint="eastAsia" w:asciiTheme="majorEastAsia" w:hAnsiTheme="majorEastAsia" w:eastAsiaTheme="majorEastAsia" w:cstheme="majorEastAsia"/>
          <w:sz w:val="21"/>
          <w:szCs w:val="21"/>
        </w:rPr>
        <w:t>13. 工程质量</w:t>
      </w:r>
      <w:bookmarkEnd w:id="221"/>
    </w:p>
    <w:p w14:paraId="2078AD9E">
      <w:pPr>
        <w:tabs>
          <w:tab w:val="left" w:pos="2790"/>
        </w:tabs>
        <w:spacing w:line="360" w:lineRule="auto"/>
        <w:outlineLvl w:val="3"/>
        <w:rPr>
          <w:rFonts w:hint="eastAsia" w:asciiTheme="majorEastAsia" w:hAnsiTheme="majorEastAsia" w:eastAsiaTheme="majorEastAsia" w:cstheme="majorEastAsia"/>
          <w:sz w:val="21"/>
          <w:szCs w:val="21"/>
        </w:rPr>
      </w:pPr>
      <w:bookmarkStart w:id="222" w:name="_Toc29613"/>
      <w:r>
        <w:rPr>
          <w:rFonts w:hint="eastAsia" w:asciiTheme="majorEastAsia" w:hAnsiTheme="majorEastAsia" w:eastAsiaTheme="majorEastAsia" w:cstheme="majorEastAsia"/>
          <w:sz w:val="21"/>
          <w:szCs w:val="21"/>
        </w:rPr>
        <w:t>13.1  工程质量要求</w:t>
      </w:r>
      <w:bookmarkEnd w:id="222"/>
    </w:p>
    <w:p w14:paraId="54710F9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第13.1.1项约定为：</w:t>
      </w:r>
    </w:p>
    <w:p w14:paraId="1A43D87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工程质量验收按技术规范及《公路工程质量检验评定标准》执行。本工程的质量目标为：标段工程交工验收的质量评定：__</w:t>
      </w:r>
      <w:r>
        <w:rPr>
          <w:rFonts w:hint="eastAsia" w:asciiTheme="majorEastAsia" w:hAnsiTheme="majorEastAsia" w:eastAsiaTheme="majorEastAsia" w:cstheme="majorEastAsia"/>
          <w:sz w:val="21"/>
          <w:szCs w:val="21"/>
          <w:lang w:eastAsia="zh-CN"/>
        </w:rPr>
        <w:t>合格</w:t>
      </w:r>
      <w:r>
        <w:rPr>
          <w:rFonts w:hint="eastAsia" w:asciiTheme="majorEastAsia" w:hAnsiTheme="majorEastAsia" w:eastAsiaTheme="majorEastAsia" w:cstheme="majorEastAsia"/>
          <w:sz w:val="21"/>
          <w:szCs w:val="21"/>
        </w:rPr>
        <w:t>___；标段工程竣工验收的质量评定：___</w:t>
      </w:r>
      <w:r>
        <w:rPr>
          <w:rFonts w:hint="eastAsia" w:asciiTheme="majorEastAsia" w:hAnsiTheme="majorEastAsia" w:eastAsiaTheme="majorEastAsia" w:cstheme="majorEastAsia"/>
          <w:sz w:val="21"/>
          <w:szCs w:val="21"/>
          <w:lang w:eastAsia="zh-CN"/>
        </w:rPr>
        <w:t>合格</w:t>
      </w:r>
      <w:r>
        <w:rPr>
          <w:rFonts w:hint="eastAsia" w:asciiTheme="majorEastAsia" w:hAnsiTheme="majorEastAsia" w:eastAsiaTheme="majorEastAsia" w:cstheme="majorEastAsia"/>
          <w:sz w:val="21"/>
          <w:szCs w:val="21"/>
        </w:rPr>
        <w:t>___。</w:t>
      </w:r>
    </w:p>
    <w:p w14:paraId="0975AA11">
      <w:pPr>
        <w:tabs>
          <w:tab w:val="left" w:pos="2790"/>
        </w:tabs>
        <w:spacing w:line="360" w:lineRule="auto"/>
        <w:outlineLvl w:val="3"/>
        <w:rPr>
          <w:rFonts w:hint="eastAsia" w:asciiTheme="majorEastAsia" w:hAnsiTheme="majorEastAsia" w:eastAsiaTheme="majorEastAsia" w:cstheme="majorEastAsia"/>
          <w:sz w:val="21"/>
          <w:szCs w:val="21"/>
        </w:rPr>
      </w:pPr>
      <w:bookmarkStart w:id="223" w:name="_Toc14683"/>
      <w:bookmarkStart w:id="224" w:name="_Toc370143974"/>
      <w:bookmarkStart w:id="225" w:name="_Toc324338193"/>
      <w:bookmarkStart w:id="226" w:name="_Toc322539182"/>
      <w:r>
        <w:rPr>
          <w:rFonts w:hint="eastAsia" w:asciiTheme="majorEastAsia" w:hAnsiTheme="majorEastAsia" w:eastAsiaTheme="majorEastAsia" w:cstheme="majorEastAsia"/>
          <w:sz w:val="21"/>
          <w:szCs w:val="21"/>
        </w:rPr>
        <w:t>13.2  承包人的质量管理</w:t>
      </w:r>
      <w:bookmarkEnd w:id="223"/>
      <w:bookmarkEnd w:id="224"/>
    </w:p>
    <w:p w14:paraId="79E2A25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第13.2.4项细化为：</w:t>
      </w:r>
    </w:p>
    <w:p w14:paraId="08F690F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13.2.4承包人应当建立健全工程质量保证体系，制定质量管理制度，强化工程质量管理措施，完善工程质量目标保障机制；严格遵守国家有关法律、法规、规章及《浙江省交通建设工程质量和安全生产管理条例》，严格执行公路工程强制性技术标准、各类技术规范及规程，全面履行工程合同义务。</w:t>
      </w:r>
    </w:p>
    <w:p w14:paraId="41CD848E">
      <w:pPr>
        <w:tabs>
          <w:tab w:val="left" w:pos="2790"/>
        </w:tabs>
        <w:spacing w:line="360" w:lineRule="auto"/>
        <w:outlineLvl w:val="3"/>
        <w:rPr>
          <w:rFonts w:hint="eastAsia" w:asciiTheme="majorEastAsia" w:hAnsiTheme="majorEastAsia" w:eastAsiaTheme="majorEastAsia" w:cstheme="majorEastAsia"/>
          <w:sz w:val="21"/>
          <w:szCs w:val="21"/>
        </w:rPr>
      </w:pPr>
      <w:bookmarkStart w:id="227" w:name="_Toc11936"/>
      <w:bookmarkStart w:id="228" w:name="_Toc370143975"/>
      <w:r>
        <w:rPr>
          <w:rFonts w:hint="eastAsia" w:asciiTheme="majorEastAsia" w:hAnsiTheme="majorEastAsia" w:eastAsiaTheme="majorEastAsia" w:cstheme="majorEastAsia"/>
          <w:sz w:val="21"/>
          <w:szCs w:val="21"/>
        </w:rPr>
        <w:t>13.5  工程隐蔽部位覆盖前的检查</w:t>
      </w:r>
      <w:bookmarkEnd w:id="225"/>
      <w:bookmarkEnd w:id="226"/>
      <w:bookmarkEnd w:id="227"/>
      <w:bookmarkEnd w:id="228"/>
    </w:p>
    <w:p w14:paraId="1D0FC89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第13.5.1项补充：</w:t>
      </w:r>
    </w:p>
    <w:p w14:paraId="26595BC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隐蔽工程覆盖前应经监理人检查签认，分阶段（工序）进行摄像或照相，并向监理人提供相关资料作为计量支付的依据。</w:t>
      </w:r>
    </w:p>
    <w:p w14:paraId="4F50519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补充第13.7款：</w:t>
      </w:r>
    </w:p>
    <w:p w14:paraId="27EE6CC5">
      <w:pPr>
        <w:tabs>
          <w:tab w:val="left" w:pos="2790"/>
        </w:tabs>
        <w:spacing w:line="360" w:lineRule="auto"/>
        <w:outlineLvl w:val="3"/>
        <w:rPr>
          <w:rFonts w:hint="eastAsia" w:asciiTheme="majorEastAsia" w:hAnsiTheme="majorEastAsia" w:eastAsiaTheme="majorEastAsia" w:cstheme="majorEastAsia"/>
          <w:sz w:val="21"/>
          <w:szCs w:val="21"/>
        </w:rPr>
      </w:pPr>
      <w:bookmarkStart w:id="229" w:name="_Toc3707"/>
      <w:bookmarkStart w:id="230" w:name="_Toc324338194"/>
      <w:bookmarkStart w:id="231" w:name="_Toc370143976"/>
      <w:bookmarkStart w:id="232" w:name="_Toc322539183"/>
      <w:r>
        <w:rPr>
          <w:rFonts w:hint="eastAsia" w:asciiTheme="majorEastAsia" w:hAnsiTheme="majorEastAsia" w:eastAsiaTheme="majorEastAsia" w:cstheme="majorEastAsia"/>
          <w:sz w:val="21"/>
          <w:szCs w:val="21"/>
        </w:rPr>
        <w:t>13.7  质量抽检</w:t>
      </w:r>
      <w:bookmarkEnd w:id="229"/>
      <w:bookmarkEnd w:id="230"/>
      <w:bookmarkEnd w:id="231"/>
      <w:bookmarkEnd w:id="232"/>
    </w:p>
    <w:p w14:paraId="66ED9D4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管交通工程质量监督机构有权对承包人施工质量随时进行抽检，并通过监理人对工程质量实施否决，承包人应积极配合并免费提供试验用的试件。承包人为配合上述工作发生的材料、机械、人员及试验和检验等费用不另行支付。</w:t>
      </w:r>
    </w:p>
    <w:p w14:paraId="6ACD2A93">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66091B78">
      <w:pPr>
        <w:tabs>
          <w:tab w:val="left" w:pos="2790"/>
        </w:tabs>
        <w:spacing w:line="360" w:lineRule="auto"/>
        <w:outlineLvl w:val="2"/>
        <w:rPr>
          <w:rFonts w:hint="eastAsia" w:asciiTheme="majorEastAsia" w:hAnsiTheme="majorEastAsia" w:eastAsiaTheme="majorEastAsia" w:cstheme="majorEastAsia"/>
          <w:sz w:val="21"/>
          <w:szCs w:val="21"/>
        </w:rPr>
      </w:pPr>
      <w:bookmarkStart w:id="233" w:name="_Toc4481"/>
      <w:r>
        <w:rPr>
          <w:rFonts w:hint="eastAsia" w:asciiTheme="majorEastAsia" w:hAnsiTheme="majorEastAsia" w:eastAsiaTheme="majorEastAsia" w:cstheme="majorEastAsia"/>
          <w:sz w:val="21"/>
          <w:szCs w:val="21"/>
        </w:rPr>
        <w:t>14. 试验和检验</w:t>
      </w:r>
      <w:bookmarkEnd w:id="233"/>
    </w:p>
    <w:p w14:paraId="047239B1">
      <w:pPr>
        <w:tabs>
          <w:tab w:val="left" w:pos="2790"/>
        </w:tabs>
        <w:spacing w:line="360" w:lineRule="auto"/>
        <w:outlineLvl w:val="3"/>
        <w:rPr>
          <w:rFonts w:hint="eastAsia" w:asciiTheme="majorEastAsia" w:hAnsiTheme="majorEastAsia" w:eastAsiaTheme="majorEastAsia" w:cstheme="majorEastAsia"/>
          <w:sz w:val="21"/>
          <w:szCs w:val="21"/>
        </w:rPr>
      </w:pPr>
      <w:bookmarkStart w:id="234" w:name="_Toc22232"/>
      <w:r>
        <w:rPr>
          <w:rFonts w:hint="eastAsia" w:asciiTheme="majorEastAsia" w:hAnsiTheme="majorEastAsia" w:eastAsiaTheme="majorEastAsia" w:cstheme="majorEastAsia"/>
          <w:sz w:val="21"/>
          <w:szCs w:val="21"/>
        </w:rPr>
        <w:t>14.1  材料、工程设备和工程的试验和检验</w:t>
      </w:r>
      <w:bookmarkEnd w:id="234"/>
    </w:p>
    <w:p w14:paraId="4094B02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第14.1.3项细化为：</w:t>
      </w:r>
    </w:p>
    <w:p w14:paraId="7EB9EBC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14.1.3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省级及以上市场监督管理部门的认定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0AC3CCD">
      <w:pPr>
        <w:tabs>
          <w:tab w:val="left" w:pos="2790"/>
        </w:tabs>
        <w:spacing w:line="360" w:lineRule="auto"/>
        <w:rPr>
          <w:rFonts w:hint="eastAsia" w:asciiTheme="majorEastAsia" w:hAnsiTheme="majorEastAsia" w:eastAsiaTheme="majorEastAsia" w:cstheme="majorEastAsia"/>
          <w:sz w:val="21"/>
          <w:szCs w:val="21"/>
        </w:rPr>
      </w:pPr>
    </w:p>
    <w:p w14:paraId="3B636571">
      <w:pPr>
        <w:tabs>
          <w:tab w:val="left" w:pos="2790"/>
        </w:tabs>
        <w:spacing w:line="360" w:lineRule="auto"/>
        <w:outlineLvl w:val="2"/>
        <w:rPr>
          <w:rFonts w:hint="eastAsia" w:asciiTheme="majorEastAsia" w:hAnsiTheme="majorEastAsia" w:eastAsiaTheme="majorEastAsia" w:cstheme="majorEastAsia"/>
          <w:sz w:val="21"/>
          <w:szCs w:val="21"/>
        </w:rPr>
      </w:pPr>
      <w:bookmarkStart w:id="235" w:name="_Toc14602"/>
      <w:r>
        <w:rPr>
          <w:rFonts w:hint="eastAsia" w:asciiTheme="majorEastAsia" w:hAnsiTheme="majorEastAsia" w:eastAsiaTheme="majorEastAsia" w:cstheme="majorEastAsia"/>
          <w:sz w:val="21"/>
          <w:szCs w:val="21"/>
        </w:rPr>
        <w:t>15. 变更</w:t>
      </w:r>
      <w:bookmarkEnd w:id="235"/>
    </w:p>
    <w:p w14:paraId="7B643C14">
      <w:pPr>
        <w:tabs>
          <w:tab w:val="left" w:pos="2790"/>
        </w:tabs>
        <w:spacing w:line="360" w:lineRule="auto"/>
        <w:outlineLvl w:val="3"/>
        <w:rPr>
          <w:rFonts w:hint="eastAsia" w:asciiTheme="majorEastAsia" w:hAnsiTheme="majorEastAsia" w:eastAsiaTheme="majorEastAsia" w:cstheme="majorEastAsia"/>
          <w:sz w:val="21"/>
          <w:szCs w:val="21"/>
        </w:rPr>
      </w:pPr>
      <w:bookmarkStart w:id="236" w:name="_Toc322539187"/>
      <w:bookmarkStart w:id="237" w:name="_Toc397692066"/>
      <w:bookmarkStart w:id="238" w:name="_Toc403992001"/>
      <w:bookmarkStart w:id="239" w:name="_Toc25475"/>
      <w:bookmarkStart w:id="240" w:name="_Toc324338198"/>
      <w:r>
        <w:rPr>
          <w:rFonts w:hint="eastAsia" w:asciiTheme="majorEastAsia" w:hAnsiTheme="majorEastAsia" w:eastAsiaTheme="majorEastAsia" w:cstheme="majorEastAsia"/>
          <w:sz w:val="21"/>
          <w:szCs w:val="21"/>
        </w:rPr>
        <w:t>15.3  变更程序</w:t>
      </w:r>
      <w:bookmarkEnd w:id="236"/>
      <w:bookmarkEnd w:id="237"/>
      <w:bookmarkEnd w:id="238"/>
      <w:bookmarkEnd w:id="239"/>
      <w:bookmarkEnd w:id="240"/>
    </w:p>
    <w:p w14:paraId="0ABA43F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第15.3.4项细化为：</w:t>
      </w:r>
    </w:p>
    <w:p w14:paraId="4AB0809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15.3.4设计变更程序应执行交通运输部《公路工程设计变更管理办法》和浙江省交通运输厅《关于进一步加强我省高速公路工程重大较大设计变更管理的通知》的相关规定和要求。</w:t>
      </w:r>
      <w:r>
        <w:rPr>
          <w:rStyle w:val="115"/>
          <w:rFonts w:hint="eastAsia" w:asciiTheme="majorEastAsia" w:hAnsiTheme="majorEastAsia" w:eastAsiaTheme="majorEastAsia" w:cstheme="majorEastAsia"/>
          <w:sz w:val="21"/>
          <w:szCs w:val="21"/>
          <w:vertAlign w:val="superscript"/>
        </w:rPr>
        <w:footnoteReference w:id="1"/>
      </w:r>
    </w:p>
    <w:p w14:paraId="570E8A2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15.3.4设计变更程序应执行交通运输部《公路工程设计变更管理办法》、《关于印发浙江省普通国省道干线公路工程设计变更管理实施细则的通知》的相关规定和要求。</w:t>
      </w:r>
      <w:r>
        <w:rPr>
          <w:rStyle w:val="115"/>
          <w:rFonts w:hint="eastAsia" w:asciiTheme="majorEastAsia" w:hAnsiTheme="majorEastAsia" w:eastAsiaTheme="majorEastAsia" w:cstheme="majorEastAsia"/>
          <w:sz w:val="21"/>
          <w:szCs w:val="21"/>
          <w:vertAlign w:val="superscript"/>
        </w:rPr>
        <w:footnoteReference w:id="2"/>
      </w:r>
    </w:p>
    <w:p w14:paraId="44EF8F81">
      <w:pPr>
        <w:tabs>
          <w:tab w:val="left" w:pos="2790"/>
        </w:tabs>
        <w:spacing w:line="360" w:lineRule="auto"/>
        <w:outlineLvl w:val="3"/>
        <w:rPr>
          <w:rFonts w:hint="eastAsia" w:asciiTheme="majorEastAsia" w:hAnsiTheme="majorEastAsia" w:eastAsiaTheme="majorEastAsia" w:cstheme="majorEastAsia"/>
          <w:sz w:val="21"/>
          <w:szCs w:val="21"/>
        </w:rPr>
      </w:pPr>
      <w:bookmarkStart w:id="241" w:name="_Toc31200"/>
      <w:r>
        <w:rPr>
          <w:rFonts w:hint="eastAsia" w:asciiTheme="majorEastAsia" w:hAnsiTheme="majorEastAsia" w:eastAsiaTheme="majorEastAsia" w:cstheme="majorEastAsia"/>
          <w:sz w:val="21"/>
          <w:szCs w:val="21"/>
        </w:rPr>
        <w:t>15.4  变更的估价原则</w:t>
      </w:r>
      <w:bookmarkEnd w:id="241"/>
    </w:p>
    <w:p w14:paraId="56B7228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第15.4.4项细化为：</w:t>
      </w:r>
    </w:p>
    <w:p w14:paraId="4C7969E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15.4.4已标价工程量清单中无适用或类似子目的单价，按以下原则进行组价：</w:t>
      </w:r>
    </w:p>
    <w:p w14:paraId="0FB6A70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交通运输部《公路工程建设项目概算预算编制办法》（JTG3830—2018）、《公路工程预算定额》（JTG/T3832-2018）、《公路工程机械台班费用定额》（JTG/T3833-2018）、浙江省交通运输厅《转发交通运输部2018年第86号公告的通知》、《财政部税务总局海关总署关于深化增值税改革有关政策的公告》等有关文件及浙江省补充定额进行组价；取费时施工场地建设费和安全生产费不得计取。</w:t>
      </w:r>
    </w:p>
    <w:p w14:paraId="6741A90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无法套用上述定额和取费标准的，借用水运、市政、水利、铁路、建筑定额消耗，参照公路组价办法进行组价。上述定额有区域性的，优先适用浙江定额与取费标准。若仍难以确定变更单价，可按照实际的施工工艺经测算后合理确定工料机消耗量进行组价。</w:t>
      </w:r>
    </w:p>
    <w:p w14:paraId="3F6C261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组价时，材料、机械台班单价按投标截止时间前28天所在月份浙江省交通工程管理中心发布的《质监与造价》上的信息价计算（该期《质监与造价》无材料价格但前两期《质监与造价》有材料价格的，可按最新期材料价格计算）；《质监与造价》中也无信息价的，参考同期项目所在地《建设工程造价信息》中的信息价；《建设工程造价信息》中也无信息价的，参考投标人单价分析表中载明的合理的材料和机械台班单价，若仍无法确定单价的，由监理人询价确定。</w:t>
      </w:r>
    </w:p>
    <w:p w14:paraId="71884B7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（4）根据上述原则组价的综合单价，乘以承包人的投标价与招标时公布的工程量清单预算价的比例，作为该子目的单价。</w:t>
      </w:r>
    </w:p>
    <w:p w14:paraId="3B9BF4FD">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0F6D2F68">
      <w:pPr>
        <w:tabs>
          <w:tab w:val="left" w:pos="2790"/>
        </w:tabs>
        <w:spacing w:line="360" w:lineRule="auto"/>
        <w:outlineLvl w:val="2"/>
        <w:rPr>
          <w:rFonts w:hint="eastAsia" w:asciiTheme="majorEastAsia" w:hAnsiTheme="majorEastAsia" w:eastAsiaTheme="majorEastAsia" w:cstheme="majorEastAsia"/>
          <w:sz w:val="21"/>
          <w:szCs w:val="21"/>
        </w:rPr>
      </w:pPr>
      <w:bookmarkStart w:id="242" w:name="_Toc6818"/>
      <w:r>
        <w:rPr>
          <w:rFonts w:hint="eastAsia" w:asciiTheme="majorEastAsia" w:hAnsiTheme="majorEastAsia" w:eastAsiaTheme="majorEastAsia" w:cstheme="majorEastAsia"/>
          <w:sz w:val="21"/>
          <w:szCs w:val="21"/>
        </w:rPr>
        <w:t>16. 价格调整</w:t>
      </w:r>
      <w:bookmarkEnd w:id="242"/>
    </w:p>
    <w:p w14:paraId="21771477">
      <w:pPr>
        <w:tabs>
          <w:tab w:val="left" w:pos="2790"/>
        </w:tabs>
        <w:spacing w:line="360" w:lineRule="auto"/>
        <w:outlineLvl w:val="3"/>
        <w:rPr>
          <w:rFonts w:hint="eastAsia" w:asciiTheme="majorEastAsia" w:hAnsiTheme="majorEastAsia" w:eastAsiaTheme="majorEastAsia" w:cstheme="majorEastAsia"/>
          <w:sz w:val="21"/>
          <w:szCs w:val="21"/>
        </w:rPr>
      </w:pPr>
      <w:bookmarkStart w:id="243" w:name="_Toc23871"/>
      <w:r>
        <w:rPr>
          <w:rFonts w:hint="eastAsia" w:asciiTheme="majorEastAsia" w:hAnsiTheme="majorEastAsia" w:eastAsiaTheme="majorEastAsia" w:cstheme="majorEastAsia"/>
          <w:sz w:val="21"/>
          <w:szCs w:val="21"/>
        </w:rPr>
        <w:t>16.1  物价波动引起的价格调整</w:t>
      </w:r>
      <w:bookmarkEnd w:id="243"/>
    </w:p>
    <w:p w14:paraId="3D34D4EA">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本项目由于施工期较短，在合同实施过程中，价格不予调整。</w:t>
      </w:r>
    </w:p>
    <w:p w14:paraId="4B9FB8EC">
      <w:pPr>
        <w:tabs>
          <w:tab w:val="left" w:pos="2790"/>
        </w:tabs>
        <w:spacing w:line="360" w:lineRule="auto"/>
        <w:outlineLvl w:val="2"/>
        <w:rPr>
          <w:rFonts w:hint="eastAsia" w:asciiTheme="majorEastAsia" w:hAnsiTheme="majorEastAsia" w:eastAsiaTheme="majorEastAsia" w:cstheme="majorEastAsia"/>
          <w:sz w:val="21"/>
          <w:szCs w:val="21"/>
        </w:rPr>
      </w:pPr>
      <w:bookmarkStart w:id="244" w:name="_Toc30059"/>
      <w:r>
        <w:rPr>
          <w:rFonts w:hint="eastAsia" w:asciiTheme="majorEastAsia" w:hAnsiTheme="majorEastAsia" w:eastAsiaTheme="majorEastAsia" w:cstheme="majorEastAsia"/>
          <w:sz w:val="21"/>
          <w:szCs w:val="21"/>
        </w:rPr>
        <w:t>17. 计量与支付</w:t>
      </w:r>
      <w:bookmarkEnd w:id="244"/>
    </w:p>
    <w:p w14:paraId="1316F1A7">
      <w:pPr>
        <w:tabs>
          <w:tab w:val="left" w:pos="2790"/>
        </w:tabs>
        <w:spacing w:line="360" w:lineRule="auto"/>
        <w:outlineLvl w:val="3"/>
        <w:rPr>
          <w:rFonts w:hint="eastAsia" w:asciiTheme="majorEastAsia" w:hAnsiTheme="majorEastAsia" w:eastAsiaTheme="majorEastAsia" w:cstheme="majorEastAsia"/>
          <w:sz w:val="21"/>
          <w:szCs w:val="21"/>
        </w:rPr>
      </w:pPr>
      <w:bookmarkStart w:id="245" w:name="_Toc24778"/>
      <w:r>
        <w:rPr>
          <w:rFonts w:hint="eastAsia" w:asciiTheme="majorEastAsia" w:hAnsiTheme="majorEastAsia" w:eastAsiaTheme="majorEastAsia" w:cstheme="majorEastAsia"/>
          <w:sz w:val="21"/>
          <w:szCs w:val="21"/>
        </w:rPr>
        <w:t>17.1  计量</w:t>
      </w:r>
      <w:bookmarkEnd w:id="245"/>
    </w:p>
    <w:p w14:paraId="388F16A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17.1.5 总价子目的计量。</w:t>
      </w:r>
    </w:p>
    <w:p w14:paraId="13C838F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本项目工程量清单中以总额为计量单位的总价子目，除安全生产费和暂估价外，实行总价包干，合同履行过程中不予调整。</w:t>
      </w:r>
    </w:p>
    <w:p w14:paraId="3F77C4C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总价子目的支付原则和支付进度见《第八章 工程量清单计量规则》。</w:t>
      </w:r>
    </w:p>
    <w:p w14:paraId="634882DE">
      <w:pPr>
        <w:tabs>
          <w:tab w:val="left" w:pos="2790"/>
        </w:tabs>
        <w:spacing w:line="360" w:lineRule="auto"/>
        <w:outlineLvl w:val="0"/>
        <w:rPr>
          <w:rFonts w:hint="eastAsia" w:asciiTheme="majorEastAsia" w:hAnsiTheme="majorEastAsia" w:eastAsiaTheme="majorEastAsia" w:cstheme="majorEastAsia"/>
          <w:sz w:val="21"/>
          <w:szCs w:val="21"/>
        </w:rPr>
      </w:pPr>
      <w:bookmarkStart w:id="246" w:name="_Toc2273"/>
      <w:bookmarkStart w:id="247" w:name="_Toc343590101"/>
      <w:bookmarkStart w:id="248" w:name="_Toc30284"/>
      <w:bookmarkStart w:id="249" w:name="_Toc514147017"/>
      <w:bookmarkStart w:id="250" w:name="_Toc10487"/>
      <w:bookmarkStart w:id="251" w:name="_Toc7193"/>
      <w:bookmarkStart w:id="252" w:name="_Toc18228"/>
      <w:bookmarkStart w:id="253" w:name="_Toc262895550"/>
      <w:bookmarkStart w:id="254" w:name="_Toc245538885"/>
      <w:bookmarkStart w:id="255" w:name="_Toc249418761"/>
      <w:bookmarkStart w:id="256" w:name="_Toc246699778"/>
      <w:bookmarkStart w:id="257" w:name="_Toc246867763"/>
      <w:r>
        <w:rPr>
          <w:rFonts w:hint="eastAsia" w:asciiTheme="majorEastAsia" w:hAnsiTheme="majorEastAsia" w:eastAsiaTheme="majorEastAsia" w:cstheme="majorEastAsia"/>
          <w:sz w:val="21"/>
          <w:szCs w:val="21"/>
        </w:rPr>
        <w:t>17.2  预付款</w:t>
      </w:r>
      <w:bookmarkEnd w:id="246"/>
      <w:bookmarkEnd w:id="247"/>
      <w:bookmarkEnd w:id="248"/>
      <w:bookmarkEnd w:id="249"/>
      <w:bookmarkEnd w:id="250"/>
      <w:bookmarkEnd w:id="251"/>
      <w:bookmarkEnd w:id="252"/>
    </w:p>
    <w:p w14:paraId="68FCB2BB">
      <w:pPr>
        <w:tabs>
          <w:tab w:val="left" w:pos="2790"/>
        </w:tabs>
        <w:spacing w:line="360" w:lineRule="auto"/>
        <w:ind w:firstLine="420" w:firstLineChars="200"/>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公路工程专用合同条款17.2款细化为：</w:t>
      </w:r>
    </w:p>
    <w:p w14:paraId="63D74C03">
      <w:pPr>
        <w:tabs>
          <w:tab w:val="left" w:pos="2790"/>
        </w:tabs>
        <w:spacing w:line="360" w:lineRule="auto"/>
        <w:ind w:firstLine="420" w:firstLineChars="200"/>
        <w:rPr>
          <w:rFonts w:hint="eastAsia" w:asciiTheme="majorEastAsia" w:hAnsiTheme="majorEastAsia" w:eastAsiaTheme="majorEastAsia" w:cstheme="majorEastAsia"/>
          <w:color w:val="auto"/>
          <w:sz w:val="21"/>
          <w:szCs w:val="21"/>
          <w:highlight w:val="none"/>
        </w:rPr>
      </w:pPr>
      <w:bookmarkStart w:id="258" w:name="_Toc338772128"/>
      <w:bookmarkStart w:id="259" w:name="_Toc329247757"/>
      <w:bookmarkStart w:id="260" w:name="_Toc338770509"/>
      <w:bookmarkStart w:id="261" w:name="_Toc343590102"/>
      <w:r>
        <w:rPr>
          <w:rFonts w:hint="eastAsia" w:asciiTheme="majorEastAsia" w:hAnsiTheme="majorEastAsia" w:eastAsiaTheme="majorEastAsia" w:cstheme="majorEastAsia"/>
          <w:color w:val="auto"/>
          <w:sz w:val="21"/>
          <w:szCs w:val="21"/>
          <w:highlight w:val="none"/>
        </w:rPr>
        <w:t>17.2.1  预付款</w:t>
      </w:r>
      <w:bookmarkEnd w:id="258"/>
      <w:bookmarkEnd w:id="259"/>
      <w:bookmarkEnd w:id="260"/>
      <w:bookmarkEnd w:id="261"/>
    </w:p>
    <w:p w14:paraId="4D8A4E30">
      <w:pPr>
        <w:tabs>
          <w:tab w:val="left" w:pos="2790"/>
        </w:tabs>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w:t>
      </w:r>
      <w:bookmarkEnd w:id="253"/>
      <w:bookmarkEnd w:id="254"/>
      <w:r>
        <w:rPr>
          <w:rFonts w:hint="eastAsia" w:asciiTheme="majorEastAsia" w:hAnsiTheme="majorEastAsia" w:eastAsiaTheme="majorEastAsia" w:cstheme="majorEastAsia"/>
          <w:color w:val="000000"/>
          <w:sz w:val="21"/>
          <w:szCs w:val="21"/>
          <w:highlight w:val="none"/>
        </w:rPr>
        <w:t>签约合同价的</w:t>
      </w:r>
      <w:r>
        <w:rPr>
          <w:rFonts w:hint="eastAsia" w:asciiTheme="majorEastAsia" w:hAnsiTheme="majorEastAsia" w:eastAsiaTheme="majorEastAsia" w:cstheme="majorEastAsia"/>
          <w:color w:val="000000"/>
          <w:sz w:val="21"/>
          <w:szCs w:val="21"/>
          <w:highlight w:val="none"/>
          <w:lang w:val="en-US" w:eastAsia="zh-CN"/>
        </w:rPr>
        <w:t>2</w:t>
      </w:r>
      <w:r>
        <w:rPr>
          <w:rFonts w:hint="eastAsia" w:asciiTheme="majorEastAsia" w:hAnsiTheme="majorEastAsia" w:eastAsiaTheme="majorEastAsia" w:cstheme="majorEastAsia"/>
          <w:color w:val="000000"/>
          <w:sz w:val="21"/>
          <w:szCs w:val="21"/>
          <w:highlight w:val="none"/>
        </w:rPr>
        <w:t>0%（包含1%工资性工程预付款，转入农民工工资专用账户），在合同生效，承包人人员设备进场后7天内支付。</w:t>
      </w:r>
    </w:p>
    <w:p w14:paraId="0EC386F1">
      <w:pPr>
        <w:tabs>
          <w:tab w:val="left" w:pos="2790"/>
        </w:tabs>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承包人不得将该预付款用于与本工程无关的支出，监理人有权监督承包人对该项费用的使用，如经查实承包人滥用开工预付款，发包人有权立即将该款收回。</w:t>
      </w:r>
    </w:p>
    <w:p w14:paraId="4661DACA">
      <w:pPr>
        <w:tabs>
          <w:tab w:val="left" w:pos="2790"/>
        </w:tabs>
        <w:snapToGri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（2）本项目不支付材料、设备预付款。</w:t>
      </w:r>
    </w:p>
    <w:p w14:paraId="1907C8C8">
      <w:pPr>
        <w:tabs>
          <w:tab w:val="left" w:pos="2790"/>
        </w:tabs>
        <w:spacing w:line="360" w:lineRule="auto"/>
        <w:ind w:firstLine="420" w:firstLineChars="200"/>
        <w:outlineLvl w:val="0"/>
        <w:rPr>
          <w:rFonts w:hint="eastAsia" w:asciiTheme="majorEastAsia" w:hAnsiTheme="majorEastAsia" w:eastAsiaTheme="majorEastAsia" w:cstheme="majorEastAsia"/>
          <w:color w:val="auto"/>
          <w:sz w:val="21"/>
          <w:szCs w:val="21"/>
          <w:highlight w:val="none"/>
        </w:rPr>
      </w:pPr>
      <w:bookmarkStart w:id="262" w:name="_Toc12379"/>
      <w:bookmarkStart w:id="263" w:name="_Toc3541"/>
      <w:bookmarkStart w:id="264" w:name="_Toc28936"/>
      <w:bookmarkStart w:id="265" w:name="_Toc7942"/>
      <w:bookmarkStart w:id="266" w:name="_Toc24240"/>
      <w:bookmarkStart w:id="267" w:name="_Toc32692"/>
      <w:bookmarkStart w:id="268" w:name="_Toc25109"/>
      <w:bookmarkStart w:id="269" w:name="_Toc329247758"/>
      <w:bookmarkStart w:id="270" w:name="_Toc338770510"/>
      <w:bookmarkStart w:id="271" w:name="_Toc338772129"/>
      <w:bookmarkStart w:id="272" w:name="_Toc343590103"/>
      <w:r>
        <w:rPr>
          <w:rFonts w:hint="eastAsia" w:asciiTheme="majorEastAsia" w:hAnsiTheme="majorEastAsia" w:eastAsiaTheme="majorEastAsia" w:cstheme="majorEastAsia"/>
          <w:color w:val="auto"/>
          <w:sz w:val="21"/>
          <w:szCs w:val="21"/>
          <w:highlight w:val="none"/>
        </w:rPr>
        <w:t>17.2.2  预付款保函</w:t>
      </w:r>
      <w:bookmarkEnd w:id="262"/>
      <w:bookmarkEnd w:id="263"/>
      <w:bookmarkEnd w:id="264"/>
      <w:bookmarkEnd w:id="265"/>
      <w:bookmarkEnd w:id="266"/>
      <w:bookmarkEnd w:id="267"/>
      <w:bookmarkEnd w:id="268"/>
    </w:p>
    <w:bookmarkEnd w:id="269"/>
    <w:bookmarkEnd w:id="270"/>
    <w:bookmarkEnd w:id="271"/>
    <w:bookmarkEnd w:id="272"/>
    <w:p w14:paraId="1E2EA79F">
      <w:pPr>
        <w:tabs>
          <w:tab w:val="left" w:pos="2790"/>
        </w:tabs>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本项目无需提交。</w:t>
      </w:r>
    </w:p>
    <w:bookmarkEnd w:id="255"/>
    <w:bookmarkEnd w:id="256"/>
    <w:bookmarkEnd w:id="257"/>
    <w:p w14:paraId="1F4AB374">
      <w:pPr>
        <w:spacing w:before="120" w:beforeLines="50" w:line="360" w:lineRule="auto"/>
        <w:outlineLvl w:val="3"/>
        <w:rPr>
          <w:rFonts w:hint="eastAsia" w:asciiTheme="majorEastAsia" w:hAnsiTheme="majorEastAsia" w:eastAsiaTheme="majorEastAsia" w:cstheme="majorEastAsia"/>
          <w:b/>
          <w:color w:val="auto"/>
          <w:kern w:val="0"/>
          <w:sz w:val="21"/>
          <w:szCs w:val="21"/>
          <w:highlight w:val="none"/>
        </w:rPr>
      </w:pPr>
      <w:bookmarkStart w:id="273" w:name="_Toc12809"/>
      <w:bookmarkStart w:id="274" w:name="_Toc5089"/>
      <w:bookmarkStart w:id="275" w:name="_Toc24433"/>
      <w:bookmarkStart w:id="276" w:name="_Toc18248"/>
      <w:bookmarkStart w:id="277" w:name="_Toc16789"/>
      <w:r>
        <w:rPr>
          <w:rFonts w:hint="eastAsia" w:asciiTheme="majorEastAsia" w:hAnsiTheme="majorEastAsia" w:eastAsiaTheme="majorEastAsia" w:cstheme="majorEastAsia"/>
          <w:b/>
          <w:color w:val="auto"/>
          <w:kern w:val="0"/>
          <w:sz w:val="21"/>
          <w:szCs w:val="21"/>
          <w:highlight w:val="none"/>
        </w:rPr>
        <w:t>17.3工程进度付款</w:t>
      </w:r>
      <w:bookmarkEnd w:id="273"/>
      <w:bookmarkEnd w:id="274"/>
      <w:bookmarkEnd w:id="275"/>
      <w:bookmarkEnd w:id="276"/>
      <w:bookmarkEnd w:id="277"/>
    </w:p>
    <w:p w14:paraId="3A7B401F">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17.3.2进度付款申请单</w:t>
      </w:r>
    </w:p>
    <w:p w14:paraId="65E207DE">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将通用合同条款第17.3.2项中的“承包人应在每个付款周期末”约定为“承包人应在每月25日”。</w:t>
      </w:r>
    </w:p>
    <w:p w14:paraId="68430105">
      <w:pPr>
        <w:spacing w:line="360" w:lineRule="auto"/>
        <w:ind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将公路工程专用合同条款第17.3.2细化为：</w:t>
      </w:r>
    </w:p>
    <w:p w14:paraId="064B39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ajorEastAsia" w:hAnsiTheme="majorEastAsia" w:eastAsiaTheme="majorEastAsia" w:cstheme="majorEastAsia"/>
          <w:color w:val="auto"/>
          <w:kern w:val="0"/>
          <w:sz w:val="21"/>
          <w:szCs w:val="21"/>
          <w:highlight w:val="none"/>
          <w:lang w:eastAsia="zh-CN"/>
        </w:rPr>
      </w:pPr>
      <w:r>
        <w:rPr>
          <w:rFonts w:hint="eastAsia" w:ascii="宋体" w:hAnsi="宋体" w:eastAsia="宋体" w:cs="宋体"/>
          <w:color w:val="auto"/>
          <w:sz w:val="21"/>
          <w:szCs w:val="21"/>
          <w:highlight w:val="none"/>
          <w:lang w:eastAsia="zh-CN"/>
        </w:rPr>
        <w:t>待工程完工竣工初验后，付至合同价的8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eastAsia="zh-CN"/>
        </w:rPr>
        <w:t>（包括</w:t>
      </w:r>
      <w:r>
        <w:rPr>
          <w:rFonts w:hint="eastAsia" w:asciiTheme="majorEastAsia" w:hAnsiTheme="majorEastAsia" w:eastAsiaTheme="majorEastAsia" w:cstheme="majorEastAsia"/>
          <w:color w:val="auto"/>
          <w:kern w:val="0"/>
          <w:sz w:val="21"/>
          <w:szCs w:val="21"/>
          <w:highlight w:val="none"/>
          <w:lang w:val="en-US" w:eastAsia="zh-CN"/>
        </w:rPr>
        <w:t>20</w:t>
      </w:r>
      <w:r>
        <w:rPr>
          <w:rFonts w:hint="eastAsia" w:asciiTheme="majorEastAsia" w:hAnsiTheme="majorEastAsia" w:eastAsiaTheme="majorEastAsia" w:cstheme="majorEastAsia"/>
          <w:color w:val="auto"/>
          <w:kern w:val="0"/>
          <w:sz w:val="21"/>
          <w:szCs w:val="21"/>
          <w:highlight w:val="none"/>
          <w:lang w:eastAsia="zh-CN"/>
        </w:rPr>
        <w:t>%的开工预付款）</w:t>
      </w:r>
      <w:r>
        <w:rPr>
          <w:rFonts w:hint="eastAsia" w:ascii="宋体" w:hAnsi="宋体" w:eastAsia="宋体" w:cs="宋体"/>
          <w:color w:val="auto"/>
          <w:sz w:val="21"/>
          <w:szCs w:val="21"/>
          <w:highlight w:val="none"/>
          <w:lang w:eastAsia="zh-CN"/>
        </w:rPr>
        <w:t>，审计结算后，出具审计报告后支付至审计价款的98.5%，剩余1.5%（不计息）在缺陷责任期满后工程无质量问题、成交供应商无违约行为的情况下</w:t>
      </w:r>
      <w:r>
        <w:rPr>
          <w:rFonts w:hint="eastAsia" w:ascii="宋体" w:eastAsia="宋体" w:cs="宋体"/>
          <w:color w:val="auto"/>
          <w:sz w:val="21"/>
          <w:szCs w:val="21"/>
          <w:highlight w:val="none"/>
          <w:lang w:val="en-US" w:eastAsia="zh-CN"/>
        </w:rPr>
        <w:t>7个工作</w:t>
      </w:r>
      <w:r>
        <w:rPr>
          <w:rFonts w:hint="eastAsia" w:ascii="宋体" w:hAnsi="宋体" w:eastAsia="宋体" w:cs="宋体"/>
          <w:color w:val="auto"/>
          <w:sz w:val="21"/>
          <w:szCs w:val="21"/>
          <w:highlight w:val="none"/>
          <w:lang w:eastAsia="zh-CN"/>
        </w:rPr>
        <w:t>日内付清。承包人收取每期工程款时应开具正式发票。承包人应在每个付款周期末，向监理人提交进度付款申请单，并附相应的支持性证明文件。</w:t>
      </w:r>
    </w:p>
    <w:p w14:paraId="6A66C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工</w:t>
      </w:r>
      <w:r>
        <w:rPr>
          <w:rFonts w:hint="eastAsia" w:asciiTheme="majorEastAsia" w:hAnsiTheme="majorEastAsia" w:eastAsiaTheme="majorEastAsia" w:cstheme="majorEastAsia"/>
          <w:color w:val="auto"/>
          <w:kern w:val="0"/>
          <w:sz w:val="21"/>
          <w:szCs w:val="21"/>
          <w:highlight w:val="none"/>
          <w:lang w:eastAsia="zh-CN"/>
        </w:rPr>
        <w:t>程正式开工后发包人按月将工资性工程进度款足额拨付至农民工工资（劳务费）专用账户，工资性工程进度款＝签约合同价×15%÷合同工期（月）。该先行支付的工资性工程进度款项在计量支付款中予以扣回。</w:t>
      </w:r>
    </w:p>
    <w:p w14:paraId="7FB8D936">
      <w:pPr>
        <w:pStyle w:val="52"/>
        <w:spacing w:before="120" w:beforeLines="50" w:line="360" w:lineRule="auto"/>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sz w:val="21"/>
          <w:szCs w:val="21"/>
          <w:highlight w:val="none"/>
        </w:rPr>
        <w:t>17.4 质量保证金</w:t>
      </w:r>
    </w:p>
    <w:p w14:paraId="31E8EEC0">
      <w:pPr>
        <w:pStyle w:val="52"/>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 17.4.1 项、第 17.4.2 项细化为：</w:t>
      </w:r>
    </w:p>
    <w:p w14:paraId="58C415E3">
      <w:pPr>
        <w:pStyle w:val="52"/>
        <w:tabs>
          <w:tab w:val="left" w:pos="2790"/>
        </w:tabs>
        <w:spacing w:line="360" w:lineRule="auto"/>
        <w:ind w:firstLine="420" w:firstLineChars="20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rPr>
        <w:t>17.4.1交工验收证书签发前，承包人应向发包人缴纳质量保证金。质量保证金可采用银行保函、</w:t>
      </w:r>
      <w:r>
        <w:rPr>
          <w:rFonts w:hint="eastAsia" w:asciiTheme="majorEastAsia" w:hAnsiTheme="majorEastAsia" w:eastAsiaTheme="majorEastAsia" w:cstheme="majorEastAsia"/>
          <w:color w:val="000000"/>
          <w:sz w:val="21"/>
          <w:szCs w:val="21"/>
          <w:highlight w:val="none"/>
        </w:rPr>
        <w:t>保险机构保证保险保单和融资担保公司保函，金</w:t>
      </w:r>
      <w:r>
        <w:rPr>
          <w:rFonts w:hint="eastAsia" w:asciiTheme="majorEastAsia" w:hAnsiTheme="majorEastAsia" w:eastAsiaTheme="majorEastAsia" w:cstheme="majorEastAsia"/>
          <w:color w:val="000000"/>
          <w:sz w:val="21"/>
          <w:szCs w:val="21"/>
        </w:rPr>
        <w:t>额见项目专用合同条款数据表。采用银行保函时，出具保函的银行须具有相应担保能力，且按照发包人批准的格式出具，所需费用由承包人承担。若交工验收证书签发时累计月支付未超过累计工程计量款审核额的98.5%，则无须提交质量保证金。</w:t>
      </w:r>
    </w:p>
    <w:p w14:paraId="3D461E24">
      <w:pPr>
        <w:pStyle w:val="52"/>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17.4.2 在第 1.1.4.5 目约定的缺陷责任期满，承包人向发包人申请到期应返还承包人剩余的质量保证金金额，发包人应在 14 天内会同承包人按照合同约定的内容核实承包人是否完成缺陷责任。如无异议，发包人应当在核实后将剩余保证金返还承包人。</w:t>
      </w:r>
    </w:p>
    <w:p w14:paraId="5DD2BE87">
      <w:pPr>
        <w:spacing w:before="120" w:beforeLines="50" w:line="360" w:lineRule="auto"/>
        <w:outlineLvl w:val="0"/>
        <w:rPr>
          <w:rFonts w:hint="eastAsia" w:asciiTheme="majorEastAsia" w:hAnsiTheme="majorEastAsia" w:eastAsiaTheme="majorEastAsia" w:cstheme="majorEastAsia"/>
          <w:kern w:val="0"/>
          <w:sz w:val="21"/>
          <w:szCs w:val="21"/>
        </w:rPr>
      </w:pPr>
      <w:bookmarkStart w:id="278" w:name="_Toc31842"/>
      <w:bookmarkStart w:id="279" w:name="_Toc21778"/>
      <w:bookmarkStart w:id="280" w:name="_Toc16730"/>
      <w:bookmarkStart w:id="281" w:name="_Toc27670"/>
      <w:bookmarkStart w:id="282" w:name="_Toc29084"/>
      <w:r>
        <w:rPr>
          <w:rFonts w:hint="eastAsia" w:asciiTheme="majorEastAsia" w:hAnsiTheme="majorEastAsia" w:eastAsiaTheme="majorEastAsia" w:cstheme="majorEastAsia"/>
          <w:kern w:val="0"/>
          <w:sz w:val="21"/>
          <w:szCs w:val="21"/>
        </w:rPr>
        <w:t>17.6最终结清</w:t>
      </w:r>
      <w:bookmarkEnd w:id="278"/>
      <w:bookmarkEnd w:id="279"/>
      <w:bookmarkEnd w:id="280"/>
      <w:bookmarkEnd w:id="281"/>
      <w:bookmarkEnd w:id="282"/>
    </w:p>
    <w:p w14:paraId="0D8E06F3">
      <w:pPr>
        <w:tabs>
          <w:tab w:val="left" w:pos="2790"/>
        </w:tabs>
        <w:spacing w:line="360" w:lineRule="auto"/>
        <w:ind w:firstLine="420" w:firstLineChars="200"/>
        <w:outlineLvl w:val="0"/>
        <w:rPr>
          <w:rFonts w:hint="eastAsia" w:asciiTheme="majorEastAsia" w:hAnsiTheme="majorEastAsia" w:eastAsiaTheme="majorEastAsia" w:cstheme="majorEastAsia"/>
          <w:sz w:val="21"/>
          <w:szCs w:val="21"/>
        </w:rPr>
      </w:pPr>
      <w:bookmarkStart w:id="283" w:name="_Toc18782"/>
      <w:bookmarkStart w:id="284" w:name="_Toc32383"/>
      <w:bookmarkStart w:id="285" w:name="_Toc23838"/>
      <w:bookmarkStart w:id="286" w:name="_Toc31991"/>
      <w:bookmarkStart w:id="287" w:name="_Toc16117"/>
      <w:bookmarkStart w:id="288" w:name="_Toc9911"/>
      <w:bookmarkStart w:id="289" w:name="_Toc29551"/>
      <w:r>
        <w:rPr>
          <w:rFonts w:hint="eastAsia" w:asciiTheme="majorEastAsia" w:hAnsiTheme="majorEastAsia" w:eastAsiaTheme="majorEastAsia" w:cstheme="majorEastAsia"/>
          <w:sz w:val="21"/>
          <w:szCs w:val="21"/>
        </w:rPr>
        <w:t>17.6.2  最终结清证书和支付时间</w:t>
      </w:r>
      <w:bookmarkEnd w:id="283"/>
      <w:bookmarkEnd w:id="284"/>
      <w:bookmarkEnd w:id="285"/>
      <w:bookmarkEnd w:id="286"/>
      <w:bookmarkEnd w:id="287"/>
      <w:bookmarkEnd w:id="288"/>
      <w:bookmarkEnd w:id="289"/>
    </w:p>
    <w:p w14:paraId="301A63B6">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通用合同条款本项(2)目细化为：</w:t>
      </w:r>
    </w:p>
    <w:p w14:paraId="51F29A68">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（2）发包人应在项目决算完成并在监理人出具最终结清证书后的14天内，将应支付款支付给承包人。发包人不按期支付的，按第17.3.3（2）目的约定，将逾期付款违约金支付给承包人。</w:t>
      </w:r>
    </w:p>
    <w:p w14:paraId="57798246">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最终结清申请证书中的总金额应认为是代表了根据合同规定应付给承包人的全部款项的最后结算。</w:t>
      </w:r>
    </w:p>
    <w:p w14:paraId="1C2BD49B">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通用合同条款本项补充第(5)目：</w:t>
      </w:r>
    </w:p>
    <w:p w14:paraId="4CF972F4">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(5)工程价款的最终结清以审计部门的审定数为准。</w:t>
      </w:r>
    </w:p>
    <w:p w14:paraId="643E642C">
      <w:pPr>
        <w:tabs>
          <w:tab w:val="left" w:pos="2790"/>
        </w:tabs>
        <w:spacing w:line="360" w:lineRule="auto"/>
        <w:outlineLvl w:val="2"/>
        <w:rPr>
          <w:rFonts w:hint="eastAsia" w:asciiTheme="majorEastAsia" w:hAnsiTheme="majorEastAsia" w:eastAsiaTheme="majorEastAsia" w:cstheme="majorEastAsia"/>
          <w:sz w:val="21"/>
          <w:szCs w:val="21"/>
        </w:rPr>
      </w:pPr>
      <w:bookmarkStart w:id="290" w:name="_Toc13033"/>
      <w:r>
        <w:rPr>
          <w:rFonts w:hint="eastAsia" w:asciiTheme="majorEastAsia" w:hAnsiTheme="majorEastAsia" w:eastAsiaTheme="majorEastAsia" w:cstheme="majorEastAsia"/>
          <w:sz w:val="21"/>
          <w:szCs w:val="21"/>
        </w:rPr>
        <w:t>18. 交工验收</w:t>
      </w:r>
      <w:bookmarkEnd w:id="290"/>
    </w:p>
    <w:p w14:paraId="2EB69D66">
      <w:pPr>
        <w:tabs>
          <w:tab w:val="left" w:pos="2790"/>
        </w:tabs>
        <w:spacing w:line="360" w:lineRule="auto"/>
        <w:outlineLvl w:val="3"/>
        <w:rPr>
          <w:rFonts w:hint="eastAsia" w:asciiTheme="majorEastAsia" w:hAnsiTheme="majorEastAsia" w:eastAsiaTheme="majorEastAsia" w:cstheme="majorEastAsia"/>
          <w:sz w:val="21"/>
          <w:szCs w:val="21"/>
        </w:rPr>
      </w:pPr>
      <w:bookmarkStart w:id="291" w:name="_Toc25486"/>
      <w:r>
        <w:rPr>
          <w:rFonts w:hint="eastAsia" w:asciiTheme="majorEastAsia" w:hAnsiTheme="majorEastAsia" w:eastAsiaTheme="majorEastAsia" w:cstheme="majorEastAsia"/>
          <w:sz w:val="21"/>
          <w:szCs w:val="21"/>
        </w:rPr>
        <w:t>18.9  竣工文件</w:t>
      </w:r>
      <w:bookmarkEnd w:id="291"/>
    </w:p>
    <w:p w14:paraId="7A1DFDF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本款细化为：</w:t>
      </w:r>
    </w:p>
    <w:p w14:paraId="616AFE6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竣工文件应按交通运输部《公路工程竣（交）工验收办法》、《公路工程竣（交）工验收办法实施细则》和浙江省交通运输厅《浙江省公路工程竣工文件编制办法》、《浙江省公路工程竣（交）工验收办法》等编制。在缺陷责任期内应为竣工验收补充竣工资料，并在缺陷责任期满45天之前提交。承包人还应按交通运输部《交通基本建设项目竣工决算报告编制办法》的规定和要求编制（由承包人实施的部分）竣工决算一式六套，提交监理人审核，同时应提交全套竣工资料的电子文档刻录光盘或其他电子存储介质，费用由承包人承担。</w:t>
      </w:r>
    </w:p>
    <w:p w14:paraId="7B4105A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承包人应综合考虑本项目阶段性交工、节点工程试运营、验收等的特殊性，按规定整理完成并经阶段性验收合格后，最后按整个项目进行汇总整理及评定。</w:t>
      </w:r>
      <w:r>
        <w:rPr>
          <w:rFonts w:hint="eastAsia" w:asciiTheme="majorEastAsia" w:hAnsiTheme="majorEastAsia" w:eastAsiaTheme="majorEastAsia" w:cstheme="majorEastAsia"/>
          <w:spacing w:val="-2"/>
          <w:sz w:val="21"/>
          <w:szCs w:val="21"/>
        </w:rPr>
        <w:t>承包人因此增加的费用应认为已包括在投标价之中，发包人不另行支付。</w:t>
      </w:r>
    </w:p>
    <w:p w14:paraId="5E81FB4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竣工文件中涉及施工及监理文件的有关表式，应按《浙江省公路建设项目施工统一用表管理系统》规定的统一试验用表选用。</w:t>
      </w:r>
    </w:p>
    <w:p w14:paraId="1F38C56B">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补充第18.10款：</w:t>
      </w:r>
    </w:p>
    <w:p w14:paraId="4D5D9006">
      <w:pPr>
        <w:tabs>
          <w:tab w:val="left" w:pos="2790"/>
        </w:tabs>
        <w:spacing w:line="360" w:lineRule="auto"/>
        <w:outlineLvl w:val="3"/>
        <w:rPr>
          <w:rFonts w:hint="eastAsia" w:asciiTheme="majorEastAsia" w:hAnsiTheme="majorEastAsia" w:eastAsiaTheme="majorEastAsia" w:cstheme="majorEastAsia"/>
          <w:sz w:val="21"/>
          <w:szCs w:val="21"/>
        </w:rPr>
      </w:pPr>
      <w:bookmarkStart w:id="292" w:name="_Toc26178"/>
      <w:bookmarkStart w:id="293" w:name="_Toc370143989"/>
      <w:r>
        <w:rPr>
          <w:rFonts w:hint="eastAsia" w:asciiTheme="majorEastAsia" w:hAnsiTheme="majorEastAsia" w:eastAsiaTheme="majorEastAsia" w:cstheme="majorEastAsia"/>
          <w:sz w:val="21"/>
          <w:szCs w:val="21"/>
        </w:rPr>
        <w:t>18.10  工程档案管理</w:t>
      </w:r>
      <w:bookmarkEnd w:id="292"/>
      <w:bookmarkEnd w:id="293"/>
    </w:p>
    <w:p w14:paraId="65B2393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必须确保工程施工原始资料与工程进度同步完成，并由专人负责档案管理工作，同时按照《中华人民共和国档案法》、交通运输部《关于印发公路建设项目文件材料立卷归档管理办法的通知》、《浙江省公路工程竣工文件编制办法》、《重大建设项目档案验收办法》、《浙江省档案登记备份管理办法》以及交通运输部《公路工程竣（交）工验收办法》、《公路工程竣（交）工验收办法实施细则》等有关规定做好工程竣工资料的编制，必须配备具有档案资质的专职人员负责竣工档案编制，且人员应稳定，未经发包人同意不得变更。承包人在工程施工结束并在发包人要求的规定时间内，通过档案专项验收，并移交所有工程档案资料、工程竣工结算报告给发包人。</w:t>
      </w:r>
    </w:p>
    <w:p w14:paraId="605F37F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省重大建设项目应按相关规定做好建设项目档案登记备份工作。</w:t>
      </w:r>
    </w:p>
    <w:p w14:paraId="25D1865B">
      <w:pPr>
        <w:tabs>
          <w:tab w:val="left" w:pos="2790"/>
        </w:tabs>
        <w:spacing w:line="360" w:lineRule="auto"/>
        <w:outlineLvl w:val="2"/>
        <w:rPr>
          <w:rFonts w:hint="eastAsia" w:asciiTheme="majorEastAsia" w:hAnsiTheme="majorEastAsia" w:eastAsiaTheme="majorEastAsia" w:cstheme="majorEastAsia"/>
          <w:sz w:val="21"/>
          <w:szCs w:val="21"/>
        </w:rPr>
      </w:pPr>
      <w:bookmarkStart w:id="294" w:name="_Toc322592864"/>
      <w:bookmarkStart w:id="295" w:name="_Toc324338209"/>
      <w:bookmarkStart w:id="296" w:name="_Toc10668"/>
      <w:bookmarkStart w:id="297" w:name="_Toc320086287"/>
      <w:bookmarkStart w:id="298" w:name="_Toc370143990"/>
      <w:bookmarkStart w:id="299" w:name="_Toc322076182"/>
      <w:r>
        <w:rPr>
          <w:rFonts w:hint="eastAsia" w:asciiTheme="majorEastAsia" w:hAnsiTheme="majorEastAsia" w:eastAsiaTheme="majorEastAsia" w:cstheme="majorEastAsia"/>
          <w:sz w:val="21"/>
          <w:szCs w:val="21"/>
        </w:rPr>
        <w:t>20. 保险</w:t>
      </w:r>
      <w:bookmarkEnd w:id="294"/>
      <w:bookmarkEnd w:id="295"/>
      <w:bookmarkEnd w:id="296"/>
      <w:bookmarkEnd w:id="297"/>
      <w:bookmarkEnd w:id="298"/>
      <w:bookmarkEnd w:id="299"/>
    </w:p>
    <w:p w14:paraId="144F2475">
      <w:pPr>
        <w:tabs>
          <w:tab w:val="left" w:pos="2790"/>
        </w:tabs>
        <w:spacing w:line="360" w:lineRule="auto"/>
        <w:outlineLvl w:val="3"/>
        <w:rPr>
          <w:rFonts w:hint="eastAsia" w:asciiTheme="majorEastAsia" w:hAnsiTheme="majorEastAsia" w:eastAsiaTheme="majorEastAsia" w:cstheme="majorEastAsia"/>
          <w:sz w:val="21"/>
          <w:szCs w:val="21"/>
        </w:rPr>
      </w:pPr>
      <w:bookmarkStart w:id="300" w:name="_Toc370143991"/>
      <w:bookmarkStart w:id="301" w:name="_Toc324338210"/>
      <w:bookmarkStart w:id="302" w:name="_Toc16894"/>
      <w:r>
        <w:rPr>
          <w:rFonts w:hint="eastAsia" w:asciiTheme="majorEastAsia" w:hAnsiTheme="majorEastAsia" w:eastAsiaTheme="majorEastAsia" w:cstheme="majorEastAsia"/>
          <w:sz w:val="21"/>
          <w:szCs w:val="21"/>
        </w:rPr>
        <w:t xml:space="preserve">20.2  </w:t>
      </w:r>
      <w:bookmarkEnd w:id="300"/>
      <w:bookmarkEnd w:id="301"/>
      <w:r>
        <w:rPr>
          <w:rFonts w:hint="eastAsia" w:asciiTheme="majorEastAsia" w:hAnsiTheme="majorEastAsia" w:eastAsiaTheme="majorEastAsia" w:cstheme="majorEastAsia"/>
          <w:sz w:val="21"/>
          <w:szCs w:val="21"/>
        </w:rPr>
        <w:t>人员工伤事故的保险</w:t>
      </w:r>
      <w:bookmarkEnd w:id="302"/>
    </w:p>
    <w:p w14:paraId="753E3B5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20.2.1  承包人员工伤事故的保险</w:t>
      </w:r>
    </w:p>
    <w:p w14:paraId="4B54F84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本项补充：</w:t>
      </w:r>
    </w:p>
    <w:p w14:paraId="39EA82A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按《浙江省人力资源和社会保障厅等六部门转发人力资源社会保障部等六部门关于铁路、公路、水运、水利、能源、机场工程建设项目参加工伤保险工作的通知》要求，根据项目所在地规定在开工前及时缴纳工伤保险。</w:t>
      </w:r>
    </w:p>
    <w:p w14:paraId="4F49AA32">
      <w:pPr>
        <w:tabs>
          <w:tab w:val="left" w:pos="2790"/>
        </w:tabs>
        <w:spacing w:line="360" w:lineRule="auto"/>
        <w:outlineLvl w:val="3"/>
        <w:rPr>
          <w:rFonts w:hint="eastAsia" w:asciiTheme="majorEastAsia" w:hAnsiTheme="majorEastAsia" w:eastAsiaTheme="majorEastAsia" w:cstheme="majorEastAsia"/>
          <w:sz w:val="21"/>
          <w:szCs w:val="21"/>
        </w:rPr>
      </w:pPr>
      <w:bookmarkStart w:id="303" w:name="_Toc9798"/>
      <w:r>
        <w:rPr>
          <w:rFonts w:hint="eastAsia" w:asciiTheme="majorEastAsia" w:hAnsiTheme="majorEastAsia" w:eastAsiaTheme="majorEastAsia" w:cstheme="majorEastAsia"/>
          <w:sz w:val="21"/>
          <w:szCs w:val="21"/>
        </w:rPr>
        <w:t>20.5  其他保险</w:t>
      </w:r>
      <w:bookmarkEnd w:id="303"/>
    </w:p>
    <w:p w14:paraId="58D9F13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本款约定为：</w:t>
      </w:r>
    </w:p>
    <w:p w14:paraId="06B6E89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承包人应为其施工设备等办理保险，其投保金额应足以现场重置。</w:t>
      </w:r>
    </w:p>
    <w:p w14:paraId="3B433A5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承包人应办理法律法规规定必须投保的其他保险。</w:t>
      </w:r>
    </w:p>
    <w:p w14:paraId="23F22A3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承包人为本项目办理保险的一切费用，除在工程量清单中另有列明外，均视为已包含在合同价中，不另行支付。</w:t>
      </w:r>
    </w:p>
    <w:p w14:paraId="3BB352D1">
      <w:pPr>
        <w:tabs>
          <w:tab w:val="left" w:pos="2790"/>
        </w:tabs>
        <w:spacing w:line="360" w:lineRule="auto"/>
        <w:outlineLvl w:val="3"/>
        <w:rPr>
          <w:rFonts w:hint="eastAsia" w:asciiTheme="majorEastAsia" w:hAnsiTheme="majorEastAsia" w:eastAsiaTheme="majorEastAsia" w:cstheme="majorEastAsia"/>
          <w:sz w:val="21"/>
          <w:szCs w:val="21"/>
        </w:rPr>
      </w:pPr>
      <w:bookmarkStart w:id="304" w:name="_Toc13027"/>
      <w:r>
        <w:rPr>
          <w:rFonts w:hint="eastAsia" w:asciiTheme="majorEastAsia" w:hAnsiTheme="majorEastAsia" w:eastAsiaTheme="majorEastAsia" w:cstheme="majorEastAsia"/>
          <w:sz w:val="21"/>
          <w:szCs w:val="21"/>
        </w:rPr>
        <w:t>20.6  对各项保险的一般要求</w:t>
      </w:r>
      <w:bookmarkEnd w:id="304"/>
    </w:p>
    <w:p w14:paraId="4C8DAE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20.6.4  保险金不足的补偿</w:t>
      </w:r>
    </w:p>
    <w:p w14:paraId="65D2B88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本项补充：</w:t>
      </w:r>
    </w:p>
    <w:p w14:paraId="4F80FFF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保险金的赔偿金额以有资质的公估单位确定的金额为准，免赔额和超过赔偿限额的部分由承包人承担。</w:t>
      </w:r>
    </w:p>
    <w:p w14:paraId="4C5616BF">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37F3689C">
      <w:pPr>
        <w:tabs>
          <w:tab w:val="left" w:pos="2790"/>
        </w:tabs>
        <w:spacing w:line="360" w:lineRule="auto"/>
        <w:outlineLvl w:val="2"/>
        <w:rPr>
          <w:rFonts w:hint="eastAsia" w:asciiTheme="majorEastAsia" w:hAnsiTheme="majorEastAsia" w:eastAsiaTheme="majorEastAsia" w:cstheme="majorEastAsia"/>
          <w:sz w:val="21"/>
          <w:szCs w:val="21"/>
        </w:rPr>
      </w:pPr>
      <w:bookmarkStart w:id="305" w:name="_Toc23839"/>
      <w:r>
        <w:rPr>
          <w:rFonts w:hint="eastAsia" w:asciiTheme="majorEastAsia" w:hAnsiTheme="majorEastAsia" w:eastAsiaTheme="majorEastAsia" w:cstheme="majorEastAsia"/>
          <w:sz w:val="21"/>
          <w:szCs w:val="21"/>
        </w:rPr>
        <w:t>21. 不可抗力</w:t>
      </w:r>
      <w:bookmarkEnd w:id="305"/>
    </w:p>
    <w:p w14:paraId="21360853">
      <w:pPr>
        <w:tabs>
          <w:tab w:val="left" w:pos="2790"/>
        </w:tabs>
        <w:spacing w:line="360" w:lineRule="auto"/>
        <w:outlineLvl w:val="3"/>
        <w:rPr>
          <w:rFonts w:hint="eastAsia" w:asciiTheme="majorEastAsia" w:hAnsiTheme="majorEastAsia" w:eastAsiaTheme="majorEastAsia" w:cstheme="majorEastAsia"/>
          <w:sz w:val="21"/>
          <w:szCs w:val="21"/>
        </w:rPr>
      </w:pPr>
      <w:bookmarkStart w:id="306" w:name="_Toc14564"/>
      <w:r>
        <w:rPr>
          <w:rFonts w:hint="eastAsia" w:asciiTheme="majorEastAsia" w:hAnsiTheme="majorEastAsia" w:eastAsiaTheme="majorEastAsia" w:cstheme="majorEastAsia"/>
          <w:sz w:val="21"/>
          <w:szCs w:val="21"/>
        </w:rPr>
        <w:t>21.1  不可抗力的确认</w:t>
      </w:r>
      <w:bookmarkEnd w:id="306"/>
    </w:p>
    <w:p w14:paraId="536CDC7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公路工程专用合同条款21.1.1项（6）目约定为：</w:t>
      </w:r>
    </w:p>
    <w:p w14:paraId="283AB4A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21.1.1  （6）不可抗力的其他情形：</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w:t>
      </w:r>
      <w:r>
        <w:rPr>
          <w:rFonts w:hint="eastAsia" w:asciiTheme="majorEastAsia" w:hAnsiTheme="majorEastAsia" w:eastAsiaTheme="majorEastAsia" w:cstheme="majorEastAsia"/>
          <w:sz w:val="21"/>
          <w:szCs w:val="21"/>
          <w:u w:val="single"/>
        </w:rPr>
        <w:t xml:space="preserve">  </w:t>
      </w:r>
    </w:p>
    <w:p w14:paraId="749C70DE">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4D6F92F3">
      <w:pPr>
        <w:tabs>
          <w:tab w:val="left" w:pos="2790"/>
        </w:tabs>
        <w:spacing w:line="360" w:lineRule="auto"/>
        <w:outlineLvl w:val="2"/>
        <w:rPr>
          <w:rFonts w:hint="eastAsia" w:asciiTheme="majorEastAsia" w:hAnsiTheme="majorEastAsia" w:eastAsiaTheme="majorEastAsia" w:cstheme="majorEastAsia"/>
          <w:sz w:val="21"/>
          <w:szCs w:val="21"/>
        </w:rPr>
      </w:pPr>
      <w:bookmarkStart w:id="307" w:name="_Toc30239"/>
      <w:r>
        <w:rPr>
          <w:rFonts w:hint="eastAsia" w:asciiTheme="majorEastAsia" w:hAnsiTheme="majorEastAsia" w:eastAsiaTheme="majorEastAsia" w:cstheme="majorEastAsia"/>
          <w:sz w:val="21"/>
          <w:szCs w:val="21"/>
        </w:rPr>
        <w:t>22. 违约</w:t>
      </w:r>
      <w:bookmarkEnd w:id="307"/>
    </w:p>
    <w:p w14:paraId="6F845695">
      <w:pPr>
        <w:tabs>
          <w:tab w:val="left" w:pos="2790"/>
        </w:tabs>
        <w:spacing w:line="360" w:lineRule="auto"/>
        <w:outlineLvl w:val="3"/>
        <w:rPr>
          <w:rFonts w:hint="eastAsia" w:asciiTheme="majorEastAsia" w:hAnsiTheme="majorEastAsia" w:eastAsiaTheme="majorEastAsia" w:cstheme="majorEastAsia"/>
          <w:sz w:val="21"/>
          <w:szCs w:val="21"/>
        </w:rPr>
      </w:pPr>
      <w:bookmarkStart w:id="308" w:name="_Toc27903"/>
      <w:r>
        <w:rPr>
          <w:rFonts w:hint="eastAsia" w:asciiTheme="majorEastAsia" w:hAnsiTheme="majorEastAsia" w:eastAsiaTheme="majorEastAsia" w:cstheme="majorEastAsia"/>
          <w:sz w:val="21"/>
          <w:szCs w:val="21"/>
        </w:rPr>
        <w:t>22.1  承包人违约</w:t>
      </w:r>
      <w:bookmarkEnd w:id="308"/>
    </w:p>
    <w:p w14:paraId="27BD64A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22.1.1  承包人违约的情形</w:t>
      </w:r>
    </w:p>
    <w:p w14:paraId="395EDBB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本项细化为：</w:t>
      </w:r>
    </w:p>
    <w:p w14:paraId="662E9013">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（1）承包人违反第1.8款或第4.3款的约定，私自将合同的全部或部分权利转让给其他人，或私自将合同的全部或部分义务转移给其他人；</w:t>
      </w:r>
    </w:p>
    <w:p w14:paraId="01710DE0">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（2）承包人违反第5.3款或第6.4款的约定，未经监理人批准，私自将已按合同约定进入施工场地的施工设备、临时设施、材料或工程设备撤离施工场地；</w:t>
      </w:r>
    </w:p>
    <w:p w14:paraId="790251E8">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（3）承包人违反第5.4款的约定使用了不合格材料或工程设备，工程质量达不到标准要求，又拒绝清除不合格工程；</w:t>
      </w:r>
    </w:p>
    <w:p w14:paraId="0D397F63">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（4）承包人未能按合同进度计划、节点计划及时完成合同约定的工作，已造成或预期造成工期延误；</w:t>
      </w:r>
    </w:p>
    <w:p w14:paraId="3BFEDE41">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（5）承包人在缺陷责任期内，未能对工程接收证书所列的缺陷清单的内容或缺陷责任期内发生的缺陷进行修复，而又拒绝按监理人指示再进行修补；</w:t>
      </w:r>
    </w:p>
    <w:p w14:paraId="48880E52">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（6）承包人无法继续履行或明确表示不履行或实质上已停止履行合同；</w:t>
      </w:r>
    </w:p>
    <w:p w14:paraId="4CD2443D">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（7）项目已具备开工条件，因承包人原因，承包人未能按期开工；</w:t>
      </w:r>
    </w:p>
    <w:p w14:paraId="37783302">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（8）承包人违反第6.1款或第6.3款的规定，未按承诺或未按监理人的要求及时配备合同约定的关键施工设备；</w:t>
      </w:r>
    </w:p>
    <w:p w14:paraId="207C5A04">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（9）经监理人和发包人检查，发现承包人违反9.2项约定有安全问题或有违反安全管理规章制度的情形；</w:t>
      </w:r>
    </w:p>
    <w:p w14:paraId="04D4388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（10）承包人违反第13.1.1项的约定，工程质量未达到标段竣工验收的质量评定要求的；</w:t>
      </w:r>
    </w:p>
    <w:p w14:paraId="23ADFF7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（11）承包人违反第4.9款及17.2款的约定，将发包人支付给承包人的各项价款转移或用于其他工程；</w:t>
      </w:r>
    </w:p>
    <w:p w14:paraId="6239BAD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（12）承包人违反第4.6款的规定，未按承诺或未按监理人的要求及时配备称职的主要管理人员、技术骨干，或未按规定替换，或擅离职守的；</w:t>
      </w:r>
    </w:p>
    <w:p w14:paraId="00C00BD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（13）承包人违反投标人须知3.5款的规定，在合同实施期间发现承包人在投标时提供了虚假资料的。</w:t>
      </w:r>
    </w:p>
    <w:p w14:paraId="751327D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（14）安全目标未达到招标文件规定要求的；</w:t>
      </w:r>
    </w:p>
    <w:p w14:paraId="6786599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22.1.2  对承包人违约的处理</w:t>
      </w:r>
    </w:p>
    <w:p w14:paraId="08B9ED5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本项细化为：</w:t>
      </w:r>
    </w:p>
    <w:p w14:paraId="458823BF">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（1）承包人发生第22.1.1（6）目约定的违约情形时，发包人可通知承包人立即解除合同，并按有关法律处理。</w:t>
      </w:r>
    </w:p>
    <w:p w14:paraId="5F4DC18B">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（2）承包人发生除第22.1.1（6）目约定以外的其他违约情形时，监理人可向承包人发出整改通知，要求其在指定的期限内改正。承包人应承担其违约所引起的费用增加和（或）工期延误。</w:t>
      </w:r>
    </w:p>
    <w:p w14:paraId="215659C7">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（3）经检查证明承包人已采取了有效措施纠正违约行为，具备复工条件的，可由监理人签发复工通知复工。</w:t>
      </w:r>
    </w:p>
    <w:p w14:paraId="558B2BF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承包人发生第22.1.1项约定的违约情形时，无论发包人是否解除合同，发包人均有权向承包人课以违约金，并由发包人将其违约行为上报省级交通主管部门，作为不良记录纳入浙江省交通运输信用综合管理服务系统。</w:t>
      </w:r>
    </w:p>
    <w:p w14:paraId="3F6F3EE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当承包人发生第22.1.1项约定的违约情形时，发包人有权向承包人课以违约金，具体约定如下</w:t>
      </w:r>
      <w:r>
        <w:rPr>
          <w:rStyle w:val="115"/>
          <w:rFonts w:hint="eastAsia" w:asciiTheme="majorEastAsia" w:hAnsiTheme="majorEastAsia" w:eastAsiaTheme="majorEastAsia" w:cstheme="majorEastAsia"/>
          <w:sz w:val="21"/>
          <w:szCs w:val="21"/>
          <w:vertAlign w:val="superscript"/>
        </w:rPr>
        <w:footnoteReference w:id="3"/>
      </w:r>
      <w:r>
        <w:rPr>
          <w:rFonts w:hint="eastAsia" w:asciiTheme="majorEastAsia" w:hAnsiTheme="majorEastAsia" w:eastAsiaTheme="majorEastAsia" w:cstheme="majorEastAsia"/>
          <w:sz w:val="21"/>
          <w:szCs w:val="21"/>
        </w:rPr>
        <w:t>：</w:t>
      </w:r>
    </w:p>
    <w:p w14:paraId="00C5AB9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承包人发生第22.1.1项（1）目中违反第1.8款约定的情形，除责令立即纠正外，并课以不超过1％签约合同价的违约金；发生第22.1.1项（1）目中违反第4.3款约定的情形，在发包人向承包人发出书面通知的14天内未见纠正后，发包人将酌情向承包人课以不超过1％签约合同价的违约金。即使缴纳了违约金，承包人仍应按合同规定继续实施和完成本合同工程及其缺陷修复；</w:t>
      </w:r>
    </w:p>
    <w:p w14:paraId="3B3389D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b.承包人发生第22.1.1项（2）目中违反第5.3款约定的情形，在发包人向承包人发出书面通知的14天内未见纠正后，发包人将向承包人课以不超过材料和工程设备价值两倍的违约金；发生第22.1.1项（2）目中违反第6.4款约定的情形，在发包人向承包人发出书面通知的14天内未见纠正后，发包人将向承包人课以不超过其台班费两倍的违约金； </w:t>
      </w:r>
    </w:p>
    <w:p w14:paraId="140C7730">
      <w:pPr>
        <w:tabs>
          <w:tab w:val="left" w:pos="2790"/>
        </w:tabs>
        <w:spacing w:line="360" w:lineRule="auto"/>
        <w:ind w:left="105" w:leftChars="50"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承包人发生第22.1.1项（3）目情形，在发包人向承包人发出书面通知的14天内未见纠正后，发包人将按每一情形酌情向承包人课以不超过0.5％签约合同价的违约金。即使缴纳了违约金，承包人仍应按合同规定继续实施和完成本合同工程及其缺陷修复；</w:t>
      </w:r>
    </w:p>
    <w:p w14:paraId="748AB40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d.承包人发生第22.1.1项（4）目情形，则按第11.5款规定处理；</w:t>
      </w:r>
    </w:p>
    <w:p w14:paraId="4631FE6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e.承包人发生第22.1.1项（5）目情形，则按第19.2.4项规定处理；</w:t>
      </w:r>
    </w:p>
    <w:p w14:paraId="4B341FA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f.承包人发生第22.1.1项（7）目情形，发包人有权按第11.5款规定的逾期交工违约金金额的二分之一乘以未按期开工天数处以违约金；</w:t>
      </w:r>
    </w:p>
    <w:p w14:paraId="54DEC65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g.承包人发生第22.1.1项（8）目情形，在发包人向承包人发出书面通知的14天内未见纠正后，发包人将向承包人课以不超过0.5%签约合同价的违约金；</w:t>
      </w:r>
    </w:p>
    <w:p w14:paraId="151F4C2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h.承包人发生第22.1.1项（9）目情形，发包人将责令整改；情节严重的，将停工整顿，并酌情扣除安全生产费；</w:t>
      </w:r>
    </w:p>
    <w:p w14:paraId="184369C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i.承包人发生第22.1.1项（10）目情形，则课以不超过1%签约合同价的违约金；</w:t>
      </w:r>
    </w:p>
    <w:p w14:paraId="387041D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j.承包人发生第22.1.1项（11）目情形，则课以转移（挪用）资金10%的违约金；</w:t>
      </w:r>
    </w:p>
    <w:p w14:paraId="5BFDE54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k.承包人发生第22.1.1项（12）目情形，</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或项目技术负责人未经发包人同意擅自离开工地，每天课以违约金</w:t>
      </w:r>
      <w:r>
        <w:rPr>
          <w:rFonts w:hint="eastAsia" w:asciiTheme="majorEastAsia" w:hAnsiTheme="majorEastAsia" w:eastAsiaTheme="majorEastAsia" w:cstheme="majorEastAsia"/>
          <w:sz w:val="21"/>
          <w:szCs w:val="21"/>
          <w:lang w:val="en-US" w:eastAsia="zh-CN"/>
        </w:rPr>
        <w:t>2000</w:t>
      </w:r>
      <w:r>
        <w:rPr>
          <w:rFonts w:hint="eastAsia" w:asciiTheme="majorEastAsia" w:hAnsiTheme="majorEastAsia" w:eastAsiaTheme="majorEastAsia" w:cstheme="majorEastAsia"/>
          <w:sz w:val="21"/>
          <w:szCs w:val="21"/>
        </w:rPr>
        <w:t>_元／人；若每月在工地天数不足20天（特殊情形经监理人批准报发包人同意例外）者，每不足一天额外课以违约金</w:t>
      </w:r>
      <w:r>
        <w:rPr>
          <w:rFonts w:hint="eastAsia" w:asciiTheme="majorEastAsia" w:hAnsiTheme="majorEastAsia" w:eastAsiaTheme="majorEastAsia" w:cstheme="majorEastAsia"/>
          <w:sz w:val="21"/>
          <w:szCs w:val="21"/>
          <w:lang w:val="en-US" w:eastAsia="zh-CN"/>
        </w:rPr>
        <w:t>1000</w:t>
      </w:r>
      <w:r>
        <w:rPr>
          <w:rFonts w:hint="eastAsia" w:asciiTheme="majorEastAsia" w:hAnsiTheme="majorEastAsia" w:eastAsiaTheme="majorEastAsia" w:cstheme="majorEastAsia"/>
          <w:sz w:val="21"/>
          <w:szCs w:val="21"/>
        </w:rPr>
        <w:t>元／人；承包人未经发包人书面同意更换</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课以</w:t>
      </w: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万元的违约金，更换项目技术负责人课以</w:t>
      </w:r>
      <w:r>
        <w:rPr>
          <w:rFonts w:hint="eastAsia" w:asciiTheme="majorEastAsia" w:hAnsiTheme="majorEastAsia" w:eastAsiaTheme="majorEastAsia" w:cstheme="majorEastAsia"/>
          <w:sz w:val="21"/>
          <w:szCs w:val="21"/>
          <w:u w:val="single"/>
          <w:lang w:val="en-US" w:eastAsia="zh-CN"/>
        </w:rPr>
        <w:t>5</w:t>
      </w:r>
      <w:r>
        <w:rPr>
          <w:rFonts w:hint="eastAsia" w:asciiTheme="majorEastAsia" w:hAnsiTheme="majorEastAsia" w:eastAsiaTheme="majorEastAsia" w:cstheme="majorEastAsia"/>
          <w:sz w:val="21"/>
          <w:szCs w:val="21"/>
        </w:rPr>
        <w:t>万元的违约金，更换其他主要管理人员、技术骨干课以每人次</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万元的违约金；</w:t>
      </w:r>
    </w:p>
    <w:p w14:paraId="0C3AC19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l.承包人发生第22.1.1项（13）目情形，在合同实施期间发现承包人在投标时提供了虚假材料的，课以不超过5%签约合同价的违约金；</w:t>
      </w:r>
    </w:p>
    <w:p w14:paraId="73525C4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m.承包人发生第22.1.1项（14）目情形，则课以不超过1%签约合同价的违约金。</w:t>
      </w:r>
    </w:p>
    <w:p w14:paraId="04225695">
      <w:pPr>
        <w:tabs>
          <w:tab w:val="left" w:pos="2790"/>
        </w:tabs>
        <w:spacing w:line="360" w:lineRule="auto"/>
        <w:outlineLvl w:val="3"/>
        <w:rPr>
          <w:rFonts w:hint="eastAsia" w:asciiTheme="majorEastAsia" w:hAnsiTheme="majorEastAsia" w:eastAsiaTheme="majorEastAsia" w:cstheme="majorEastAsia"/>
          <w:sz w:val="21"/>
          <w:szCs w:val="21"/>
        </w:rPr>
      </w:pPr>
      <w:bookmarkStart w:id="309" w:name="_Toc23578"/>
      <w:r>
        <w:rPr>
          <w:rFonts w:hint="eastAsia" w:asciiTheme="majorEastAsia" w:hAnsiTheme="majorEastAsia" w:eastAsiaTheme="majorEastAsia" w:cstheme="majorEastAsia"/>
          <w:sz w:val="21"/>
          <w:szCs w:val="21"/>
        </w:rPr>
        <w:t>22.2  发包人违约</w:t>
      </w:r>
      <w:bookmarkEnd w:id="309"/>
    </w:p>
    <w:p w14:paraId="12790C1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22.2.1  发包人违约的情形</w:t>
      </w:r>
    </w:p>
    <w:p w14:paraId="1F5339D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本项细化为：</w:t>
      </w:r>
    </w:p>
    <w:p w14:paraId="346E5060">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在履行合同过程中发生的下列情形，属发包人违约：</w:t>
      </w:r>
    </w:p>
    <w:p w14:paraId="57F1DD77">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（1）发包人未能按合同约定支付预付款或合同价款，或拖延、拒绝批准付款申请和支付凭证，导致付款延误的（包括未按照第17.4.2项规定及时退还质量保证金的）；</w:t>
      </w:r>
    </w:p>
    <w:p w14:paraId="7E9F89CF">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（2）由于发包人征地拆迁不到位、开工的正常条件不具备，导致承包人无法按合同约定如期开工的；</w:t>
      </w:r>
    </w:p>
    <w:p w14:paraId="42FEEB21">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（3）由于发包人下列原因造成停工的：</w:t>
      </w:r>
    </w:p>
    <w:p w14:paraId="169A18DD">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 合同约定应由发包人提供的材料、设备未能按时交货或质量不符合要求或变更交货地点导致承包人停工的；</w:t>
      </w:r>
    </w:p>
    <w:p w14:paraId="2970DD30">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 发包人提供的施工图纸延误或施工图存在差错影响施工，工程变更通知未及时下达导致承包人停工的；</w:t>
      </w:r>
    </w:p>
    <w:p w14:paraId="615BD22C">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 非承包人原因发生第三方阻工，而发包人未及时协调处理导致承包人停工的；</w:t>
      </w:r>
    </w:p>
    <w:p w14:paraId="2141118E">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 监理人无正当理由没有在约定期限内发出复工指示，导致承包人无法复工的；</w:t>
      </w:r>
    </w:p>
    <w:p w14:paraId="434EDE70">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（4）发包人无法继续履行或明确表示不履行或实质上已停止履行合同的；</w:t>
      </w:r>
    </w:p>
    <w:p w14:paraId="6AED26A1">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（5）发包人不履行合同约定其他义务的。</w:t>
      </w:r>
    </w:p>
    <w:p w14:paraId="295F5896">
      <w:pPr>
        <w:spacing w:line="360" w:lineRule="auto"/>
        <w:ind w:firstLine="420" w:firstLineChars="200"/>
        <w:rPr>
          <w:rFonts w:hint="eastAsia" w:asciiTheme="majorEastAsia" w:hAnsiTheme="majorEastAsia" w:eastAsiaTheme="majorEastAsia" w:cstheme="majorEastAsia"/>
          <w:sz w:val="21"/>
          <w:szCs w:val="21"/>
        </w:rPr>
      </w:pPr>
    </w:p>
    <w:p w14:paraId="55105BD1">
      <w:pPr>
        <w:pStyle w:val="52"/>
        <w:tabs>
          <w:tab w:val="left" w:pos="2790"/>
        </w:tabs>
        <w:spacing w:line="360" w:lineRule="auto"/>
        <w:outlineLvl w:val="2"/>
        <w:rPr>
          <w:rFonts w:hint="eastAsia" w:asciiTheme="majorEastAsia" w:hAnsiTheme="majorEastAsia" w:eastAsiaTheme="majorEastAsia" w:cstheme="majorEastAsia"/>
          <w:sz w:val="21"/>
          <w:szCs w:val="21"/>
        </w:rPr>
      </w:pPr>
      <w:bookmarkStart w:id="310" w:name="_Toc470858030"/>
      <w:bookmarkStart w:id="311" w:name="_Toc470250850"/>
      <w:bookmarkStart w:id="312" w:name="_Toc514147031"/>
      <w:bookmarkStart w:id="313" w:name="_Toc24889"/>
      <w:bookmarkStart w:id="314" w:name="_Toc698"/>
      <w:bookmarkStart w:id="315" w:name="_Toc421800639"/>
      <w:bookmarkStart w:id="316" w:name="_Toc13635"/>
      <w:bookmarkStart w:id="317" w:name="_Toc363806257"/>
      <w:r>
        <w:rPr>
          <w:rFonts w:hint="eastAsia" w:asciiTheme="majorEastAsia" w:hAnsiTheme="majorEastAsia" w:eastAsiaTheme="majorEastAsia" w:cstheme="majorEastAsia"/>
          <w:sz w:val="21"/>
          <w:szCs w:val="21"/>
        </w:rPr>
        <w:t>24.争议的解决</w:t>
      </w:r>
      <w:bookmarkEnd w:id="310"/>
      <w:bookmarkEnd w:id="311"/>
      <w:bookmarkEnd w:id="312"/>
      <w:bookmarkEnd w:id="313"/>
      <w:bookmarkEnd w:id="314"/>
      <w:bookmarkEnd w:id="315"/>
      <w:bookmarkEnd w:id="316"/>
      <w:bookmarkEnd w:id="317"/>
    </w:p>
    <w:p w14:paraId="3D141EA1">
      <w:pPr>
        <w:pStyle w:val="52"/>
        <w:spacing w:line="360" w:lineRule="auto"/>
        <w:ind w:firstLine="420" w:firstLineChars="200"/>
        <w:outlineLvl w:val="0"/>
        <w:rPr>
          <w:rFonts w:hint="eastAsia" w:asciiTheme="majorEastAsia" w:hAnsiTheme="majorEastAsia" w:eastAsiaTheme="majorEastAsia" w:cstheme="majorEastAsia"/>
          <w:sz w:val="21"/>
          <w:szCs w:val="21"/>
        </w:rPr>
      </w:pPr>
      <w:bookmarkStart w:id="318" w:name="_Toc363806258"/>
      <w:bookmarkStart w:id="319" w:name="_Toc391475768"/>
      <w:bookmarkStart w:id="320" w:name="_Toc8021"/>
      <w:bookmarkStart w:id="321" w:name="_Toc4426"/>
      <w:bookmarkStart w:id="322" w:name="_Toc322076136"/>
      <w:bookmarkStart w:id="323" w:name="_Toc31033"/>
      <w:bookmarkStart w:id="324" w:name="_Toc881"/>
      <w:bookmarkStart w:id="325" w:name="_Toc430850289"/>
      <w:bookmarkStart w:id="326" w:name="_Toc12058"/>
      <w:r>
        <w:rPr>
          <w:rFonts w:hint="eastAsia" w:asciiTheme="majorEastAsia" w:hAnsiTheme="majorEastAsia" w:eastAsiaTheme="majorEastAsia" w:cstheme="majorEastAsia"/>
          <w:sz w:val="21"/>
          <w:szCs w:val="21"/>
        </w:rPr>
        <w:t>24.5  仲裁的执行</w:t>
      </w:r>
      <w:bookmarkEnd w:id="318"/>
      <w:bookmarkEnd w:id="319"/>
      <w:bookmarkEnd w:id="320"/>
      <w:bookmarkEnd w:id="321"/>
      <w:bookmarkEnd w:id="322"/>
      <w:bookmarkEnd w:id="323"/>
      <w:bookmarkEnd w:id="324"/>
      <w:bookmarkEnd w:id="325"/>
      <w:bookmarkEnd w:id="326"/>
    </w:p>
    <w:p w14:paraId="6F5229DE">
      <w:pPr>
        <w:pStyle w:val="52"/>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公路工程专用合同条款第（1）条细化为：</w:t>
      </w:r>
    </w:p>
    <w:p w14:paraId="15DA323B">
      <w:pPr>
        <w:spacing w:line="360" w:lineRule="auto"/>
        <w:ind w:firstLine="420" w:firstLineChars="200"/>
        <w:rPr>
          <w:rFonts w:hint="eastAsia" w:asciiTheme="majorEastAsia" w:hAnsiTheme="majorEastAsia" w:eastAsiaTheme="majorEastAsia" w:cstheme="majorEastAsia"/>
          <w:sz w:val="21"/>
          <w:szCs w:val="21"/>
          <w:lang w:val="en-US" w:eastAsia="zh-CN"/>
        </w:rPr>
        <w:sectPr>
          <w:headerReference r:id="rId9" w:type="default"/>
          <w:footnotePr>
            <w:numFmt w:val="decimalEnclosedCircleChinese"/>
            <w:numRestart w:val="eachPage"/>
          </w:footnotePr>
          <w:pgSz w:w="11906" w:h="16838"/>
          <w:pgMar w:top="1418" w:right="1361" w:bottom="1418" w:left="1361" w:header="851" w:footer="992" w:gutter="0"/>
          <w:cols w:space="720" w:num="1"/>
          <w:docGrid w:linePitch="312" w:charSpace="0"/>
        </w:sectPr>
      </w:pPr>
      <w:r>
        <w:rPr>
          <w:rFonts w:hint="eastAsia" w:asciiTheme="majorEastAsia" w:hAnsiTheme="majorEastAsia" w:eastAsiaTheme="majorEastAsia" w:cstheme="majorEastAsia"/>
          <w:sz w:val="21"/>
          <w:szCs w:val="21"/>
        </w:rPr>
        <w:t>(1)任何一方不履行仲裁机构的裁决的，另一方可以向发包人所在地的人民法院申请执行。</w:t>
      </w:r>
    </w:p>
    <w:p w14:paraId="3596698C">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27" w:name="_Toc24863"/>
      <w:bookmarkStart w:id="328" w:name="_Toc30175"/>
      <w:bookmarkStart w:id="329" w:name="_Toc5997"/>
      <w:r>
        <w:rPr>
          <w:rFonts w:hint="eastAsia" w:ascii="宋体" w:hAnsi="宋体" w:eastAsia="宋体" w:cs="宋体"/>
          <w:bCs w:val="0"/>
          <w:color w:val="auto"/>
          <w:sz w:val="28"/>
          <w:szCs w:val="28"/>
          <w:highlight w:val="none"/>
        </w:rPr>
        <w:t>第三节  合同附件格式</w:t>
      </w:r>
      <w:bookmarkEnd w:id="327"/>
      <w:bookmarkEnd w:id="328"/>
      <w:bookmarkEnd w:id="329"/>
    </w:p>
    <w:p w14:paraId="69213838">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30" w:name="_Toc4243"/>
      <w:r>
        <w:rPr>
          <w:rFonts w:hint="eastAsia" w:asciiTheme="majorEastAsia" w:hAnsiTheme="majorEastAsia" w:eastAsiaTheme="majorEastAsia" w:cstheme="majorEastAsia"/>
          <w:sz w:val="21"/>
          <w:szCs w:val="21"/>
        </w:rPr>
        <w:t>附件一  合同协议书</w:t>
      </w:r>
      <w:bookmarkEnd w:id="330"/>
    </w:p>
    <w:p w14:paraId="2660C507">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31" w:name="_Toc20298"/>
      <w:r>
        <w:rPr>
          <w:rFonts w:hint="eastAsia" w:ascii="宋体" w:hAnsi="宋体" w:eastAsia="宋体" w:cs="宋体"/>
          <w:bCs w:val="0"/>
          <w:color w:val="auto"/>
          <w:sz w:val="28"/>
          <w:szCs w:val="28"/>
          <w:highlight w:val="none"/>
        </w:rPr>
        <w:t>合同协议书</w:t>
      </w:r>
      <w:bookmarkEnd w:id="331"/>
    </w:p>
    <w:p w14:paraId="650437B8">
      <w:pPr>
        <w:tabs>
          <w:tab w:val="left" w:pos="2790"/>
        </w:tabs>
        <w:spacing w:line="360" w:lineRule="auto"/>
        <w:jc w:val="center"/>
        <w:rPr>
          <w:rFonts w:hint="eastAsia" w:asciiTheme="majorEastAsia" w:hAnsiTheme="majorEastAsia" w:eastAsiaTheme="majorEastAsia" w:cstheme="majorEastAsia"/>
          <w:sz w:val="21"/>
          <w:szCs w:val="21"/>
        </w:rPr>
      </w:pPr>
    </w:p>
    <w:p w14:paraId="187D1B94">
      <w:pPr>
        <w:tabs>
          <w:tab w:val="left" w:pos="2790"/>
        </w:tabs>
        <w:spacing w:line="360" w:lineRule="auto"/>
        <w:ind w:firstLine="420" w:firstLineChars="20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（发包人名称，以下简称“发包人”）为实施</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（项目名称），已接受</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（承包人名称，以下简称“承包人”）对该项目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标段施工的投标。发包人和承包人共同达成如下协议。</w:t>
      </w:r>
    </w:p>
    <w:p w14:paraId="63B09557">
      <w:pPr>
        <w:tabs>
          <w:tab w:val="left" w:pos="2790"/>
        </w:tabs>
        <w:spacing w:line="360" w:lineRule="auto"/>
        <w:ind w:firstLine="420" w:firstLineChars="200"/>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1. 本次招标范围为</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lang w:eastAsia="zh-CN"/>
        </w:rPr>
        <w:t>。</w:t>
      </w:r>
    </w:p>
    <w:p w14:paraId="7461B4C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2.下列文件应视为构成合同文件的组成部分：</w:t>
      </w:r>
    </w:p>
    <w:p w14:paraId="48E571E3">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（1）合同协议书及各种合同附件（含廉政合同、安全生产合同、工程质量责任合同、工程资金监管协议及评标期间和合同谈判过程中的澄清文件和补充资料）；</w:t>
      </w:r>
    </w:p>
    <w:p w14:paraId="189B9F53">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（2）中标通知书；</w:t>
      </w:r>
    </w:p>
    <w:p w14:paraId="77B6DEFF">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（3）投标函及投标函附录；</w:t>
      </w:r>
    </w:p>
    <w:p w14:paraId="6FA8DD55">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（4）项目专用合同条款（含招标文件补遗书中与此有关的部分）；</w:t>
      </w:r>
    </w:p>
    <w:p w14:paraId="7690B8B4">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（5）公路工程专用合同条款；</w:t>
      </w:r>
    </w:p>
    <w:p w14:paraId="59E8A9E7">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（6）通用合同条款；</w:t>
      </w:r>
    </w:p>
    <w:p w14:paraId="67AAFCEA">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（7）工程量清单计量规则（含招标文件补遗书中与此有关的部分）；</w:t>
      </w:r>
    </w:p>
    <w:p w14:paraId="77BE9839">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（8）项目专用技术规范（含招标文件补遗书中与此有关的部分）；</w:t>
      </w:r>
    </w:p>
    <w:p w14:paraId="6EEDDE0E">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（9）通用技术规范；</w:t>
      </w:r>
    </w:p>
    <w:p w14:paraId="49A58E09">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（10）图纸（含招标文件补遗书中与此有关的部分）；</w:t>
      </w:r>
    </w:p>
    <w:p w14:paraId="27329BB9">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（11）已标价工程量清单；</w:t>
      </w:r>
    </w:p>
    <w:p w14:paraId="2A667EB0">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（12）承包人有关人员、设备投入的承诺及投标文件中的施工组织设计；</w:t>
      </w:r>
    </w:p>
    <w:p w14:paraId="0D93F3DB">
      <w:pPr>
        <w:tabs>
          <w:tab w:val="left" w:pos="2790"/>
        </w:tabs>
        <w:snapToGrid w:val="0"/>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（13）其他合同文件。</w:t>
      </w:r>
    </w:p>
    <w:p w14:paraId="0CC13E4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上述合同文件互相补充和解释。如果合同文件之间存在矛盾或不一致之处，以上述排列顺序在先者为准。</w:t>
      </w:r>
    </w:p>
    <w:p w14:paraId="299E287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3.根据工程量清单所列的预计数量和单价或总额价计算的签约合同价：人民币（大写）</w:t>
      </w:r>
      <w:r>
        <w:rPr>
          <w:rFonts w:hint="eastAsia" w:asciiTheme="majorEastAsia" w:hAnsiTheme="majorEastAsia" w:eastAsiaTheme="majorEastAsia" w:cstheme="majorEastAsia"/>
          <w:sz w:val="21"/>
          <w:szCs w:val="21"/>
          <w:u w:val="single"/>
        </w:rPr>
        <w:t>______ __________________</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055AF8D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4.承包人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。承包人项目技术负责人：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。安全负责人：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31CC78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5.工程质量符合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标准。工程安全目标：</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2E49F92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6.承包人承诺按合同约定承担工程的实施、完成及缺陷责任期缺陷修复。</w:t>
      </w:r>
    </w:p>
    <w:p w14:paraId="0F37567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7.发包人承诺按合同约定的条件、时间和方式向承包人支付合同价款。</w:t>
      </w:r>
    </w:p>
    <w:p w14:paraId="69ACD05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8.承包人应按照监理人指示开工，工期为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日历天。</w:t>
      </w:r>
    </w:p>
    <w:p w14:paraId="75F8DFC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9.本协议书在承包人提供履约保证金后，由双方法定代表人或其委托代理人签署并加盖单位章后生效。全部工程完工后经交工验收合格、缺陷责任期满签发缺陷责任终止证书后失效。</w:t>
      </w:r>
    </w:p>
    <w:p w14:paraId="1FDBE2F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10.本协议书正本二份、副本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份，合同双方各执正本一份，副本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份，当正本与副本的内容不一致时，以正本为准。</w:t>
      </w:r>
    </w:p>
    <w:p w14:paraId="37F34A9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11.合同未尽事宜，双方另行签订补充协议。补充协议是合同的组成部分。</w:t>
      </w:r>
    </w:p>
    <w:p w14:paraId="48E0391E">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7D54683B">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391FE74B">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      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0933891C">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      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2CA4EBDF">
      <w:pPr>
        <w:tabs>
          <w:tab w:val="left" w:pos="2790"/>
        </w:tabs>
        <w:spacing w:line="360" w:lineRule="auto"/>
        <w:ind w:firstLine="1890" w:firstLineChars="9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日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3368906C">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32" w:name="_Toc4047"/>
      <w:r>
        <w:rPr>
          <w:rFonts w:hint="eastAsia" w:asciiTheme="majorEastAsia" w:hAnsiTheme="majorEastAsia" w:eastAsiaTheme="majorEastAsia" w:cstheme="majorEastAsia"/>
          <w:sz w:val="21"/>
          <w:szCs w:val="21"/>
          <w:lang w:val="en-US" w:eastAsia="zh-CN"/>
        </w:rPr>
        <w:t>附件二  廉政合同</w:t>
      </w:r>
      <w:bookmarkEnd w:id="332"/>
    </w:p>
    <w:p w14:paraId="50F67ABD">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33" w:name="_Toc23271"/>
      <w:bookmarkStart w:id="334" w:name="_Toc5480"/>
      <w:r>
        <w:rPr>
          <w:rFonts w:hint="eastAsia" w:ascii="宋体" w:hAnsi="宋体" w:eastAsia="宋体" w:cs="宋体"/>
          <w:bCs w:val="0"/>
          <w:color w:val="auto"/>
          <w:sz w:val="28"/>
          <w:szCs w:val="28"/>
          <w:highlight w:val="none"/>
        </w:rPr>
        <w:t>廉政合同</w:t>
      </w:r>
      <w:bookmarkEnd w:id="333"/>
      <w:bookmarkEnd w:id="334"/>
    </w:p>
    <w:p w14:paraId="10218EA5">
      <w:pPr>
        <w:tabs>
          <w:tab w:val="left" w:pos="2790"/>
        </w:tabs>
        <w:spacing w:line="360" w:lineRule="auto"/>
        <w:jc w:val="center"/>
        <w:rPr>
          <w:rFonts w:hint="eastAsia" w:asciiTheme="majorEastAsia" w:hAnsiTheme="majorEastAsia" w:eastAsiaTheme="majorEastAsia" w:cstheme="majorEastAsia"/>
          <w:sz w:val="21"/>
          <w:szCs w:val="21"/>
        </w:rPr>
      </w:pPr>
    </w:p>
    <w:p w14:paraId="61FD5BD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（项目名称）的项目法人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（项目法人名称，以下简称“发包人”）与该项目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标段的施工单位</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（施工单位名称，以下简称“承包人”），特订立如下合同。</w:t>
      </w:r>
    </w:p>
    <w:p w14:paraId="24FDEC7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1.发包人和承包人双方的权利和义务</w:t>
      </w:r>
    </w:p>
    <w:p w14:paraId="389AC1F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（1）严格遵守党的政策规定和国家有关法律法规及交通运输部、浙江省交通运输厅的有关规定。</w:t>
      </w:r>
    </w:p>
    <w:p w14:paraId="42B9208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（2）严格执行</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标段施工合同文件，自觉按合同办事。</w:t>
      </w:r>
    </w:p>
    <w:p w14:paraId="0001F21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（3）双方的业务活动坚持公开、公正、诚信、透明的原则（法律认定的商业秘密和合同文件另有规定除外），不得损害国家和集体利益，不得违反工程建设管理规章制度。</w:t>
      </w:r>
    </w:p>
    <w:p w14:paraId="7A90CE7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（4）建立健全廉政制度，开展廉政教育，设立廉政告示牌，公布举报电话，监督并认真查处违法违纪行为。</w:t>
      </w:r>
    </w:p>
    <w:p w14:paraId="192DD0B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（5）发现对方在业务活动中有违反廉政规定的行为，有及时提醒对方纠正的权利和义务。</w:t>
      </w:r>
    </w:p>
    <w:p w14:paraId="2D3AB3C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（6）发现对方严重违反本合同义务条款的行为，有向其上级有关部门举报、建议给予处理并要求告知处理结果的权利。</w:t>
      </w:r>
    </w:p>
    <w:p w14:paraId="20B8D55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（7）项目建立合同公示制。在合同实施阶段，及时在“阳光监管平台系统”对分包合同等信息进行公示。</w:t>
      </w:r>
    </w:p>
    <w:p w14:paraId="4C90C65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（8）项目建立廉政监督制。廉政分包监督要求，明确监督单位或部门及廉政监督电话。</w:t>
      </w:r>
    </w:p>
    <w:p w14:paraId="7E648AC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（9）项目建立信用管理制。廉政、合同履约及分包管理等行为纳入承包人信用评价制度。</w:t>
      </w:r>
    </w:p>
    <w:p w14:paraId="2957232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2.发包人的义务</w:t>
      </w:r>
    </w:p>
    <w:p w14:paraId="29678C7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（1）发包人及其工作人员不得索要或接受承包人的礼金、有价证券和其他物品，不得让承包人报销任何应由发包人或发包人工作人员个人支付的费用等。</w:t>
      </w:r>
    </w:p>
    <w:p w14:paraId="2CCB9B0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（2）发包人工作人员不得参加承包人安排的宴请和娱乐活动；不得接受承包人提供的通讯工具、交通工具和办公用品等。</w:t>
      </w:r>
    </w:p>
    <w:p w14:paraId="2394E30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（3）发包人及其工作人员不得要求或者接受承包人为其住房装修、婚丧嫁娶活动、配偶子女的工作安排以及出国出境、旅游等提供方便等。</w:t>
      </w:r>
    </w:p>
    <w:p w14:paraId="74BC54C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（4）发包人工作人员及其配偶、子女不得从事与发包人工程有关的材料设备供应、工程分包、劳务等经济活动等。</w:t>
      </w:r>
    </w:p>
    <w:p w14:paraId="3493939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（5）发包人及其工作人员不得以任何理由向承包人推荐分包单位或推销材料，不得要求承包人购买合同规定外的材料和设备。</w:t>
      </w:r>
    </w:p>
    <w:p w14:paraId="3D42717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（6）发包人工作人员要秉公办事，不准营私舞弊，不准利用职权从事各种个人有偿中介活动和安排个人施工队伍。</w:t>
      </w:r>
    </w:p>
    <w:p w14:paraId="6BA6120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3.承包人的义务</w:t>
      </w:r>
    </w:p>
    <w:p w14:paraId="6627A04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（1）承包人不得以任何理由向发包人及其工作人员行贿或馈赠礼金、有价证券、礼品。</w:t>
      </w:r>
    </w:p>
    <w:p w14:paraId="1037FA5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（2）承包人不得以任何名义为发包人及其工作人员报销应由发包人单位或个人支付的任何费用。</w:t>
      </w:r>
    </w:p>
    <w:p w14:paraId="7526E9A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（3）承包人不得以任何理由安排发包人工作人员参加宴请及娱乐活动。</w:t>
      </w:r>
    </w:p>
    <w:p w14:paraId="4DBD34F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（4）承包人不得为发包人单位和个人购置或提供通讯工具、交通工具和办公用品等。</w:t>
      </w:r>
    </w:p>
    <w:p w14:paraId="04B2DCD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4.违约责任</w:t>
      </w:r>
    </w:p>
    <w:p w14:paraId="6CBDB6F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（1）发包人及其工作人员违反本合同第1、2条，按管理权限，依据有关规定给予党纪、政纪或组织处理；涉嫌犯罪的，移交司法机关追究刑事责任；给承包人单位造成经济损失的，应予以赔偿。</w:t>
      </w:r>
    </w:p>
    <w:p w14:paraId="2C0A172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43E30F9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22A2F8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6.本合同有效期为发包人和承包人签署之日起至该工程项目竣工验收后止。</w:t>
      </w:r>
    </w:p>
    <w:p w14:paraId="6EBFE1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7.本合同作为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标段施工合同的附件，与工程施工合同具有同等的法律效力，经合同双方签署后立即生效。</w:t>
      </w:r>
    </w:p>
    <w:p w14:paraId="0B8255E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8.本合同一式四份，由发包人和承包人各执一份，送交发包人和承包人的监督单位各一份。</w:t>
      </w:r>
    </w:p>
    <w:p w14:paraId="4C7B8499">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18C831C5">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2B4F70A4">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7E4A7A4C">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     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1B387549">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     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2BE8022C">
      <w:pPr>
        <w:tabs>
          <w:tab w:val="left" w:pos="2790"/>
        </w:tabs>
        <w:spacing w:line="360" w:lineRule="auto"/>
        <w:ind w:firstLine="1890" w:firstLineChars="9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日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31960C8B">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发包人监督单位：</w:t>
      </w:r>
      <w:r>
        <w:rPr>
          <w:rFonts w:hint="eastAsia" w:asciiTheme="majorEastAsia" w:hAnsiTheme="majorEastAsia" w:eastAsiaTheme="majorEastAsia" w:cstheme="majorEastAsia"/>
          <w:sz w:val="21"/>
          <w:szCs w:val="21"/>
          <w:u w:val="single"/>
        </w:rPr>
        <w:t>（全称）    （盖单位章）</w:t>
      </w:r>
      <w:r>
        <w:rPr>
          <w:rFonts w:hint="eastAsia" w:asciiTheme="majorEastAsia" w:hAnsiTheme="majorEastAsia" w:eastAsiaTheme="majorEastAsia" w:cstheme="majorEastAsia"/>
          <w:sz w:val="21"/>
          <w:szCs w:val="21"/>
        </w:rPr>
        <w:t xml:space="preserve">      承包人监督单位：</w:t>
      </w:r>
      <w:r>
        <w:rPr>
          <w:rFonts w:hint="eastAsia" w:asciiTheme="majorEastAsia" w:hAnsiTheme="majorEastAsia" w:eastAsiaTheme="majorEastAsia" w:cstheme="majorEastAsia"/>
          <w:sz w:val="21"/>
          <w:szCs w:val="21"/>
          <w:u w:val="single"/>
        </w:rPr>
        <w:t>（全称）    （盖单位章）</w:t>
      </w:r>
    </w:p>
    <w:p w14:paraId="6ECC3F4A">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35" w:name="_Toc27136"/>
      <w:r>
        <w:rPr>
          <w:rFonts w:hint="eastAsia" w:asciiTheme="majorEastAsia" w:hAnsiTheme="majorEastAsia" w:eastAsiaTheme="majorEastAsia" w:cstheme="majorEastAsia"/>
          <w:sz w:val="21"/>
          <w:szCs w:val="21"/>
        </w:rPr>
        <w:t>附件三  安全生产合同</w:t>
      </w:r>
      <w:bookmarkEnd w:id="335"/>
    </w:p>
    <w:p w14:paraId="40BB0A5B">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36" w:name="_Toc19102"/>
      <w:bookmarkStart w:id="337" w:name="_Toc10807"/>
      <w:r>
        <w:rPr>
          <w:rFonts w:hint="eastAsia" w:ascii="宋体" w:hAnsi="宋体" w:eastAsia="宋体" w:cs="宋体"/>
          <w:bCs w:val="0"/>
          <w:color w:val="auto"/>
          <w:sz w:val="28"/>
          <w:szCs w:val="28"/>
          <w:highlight w:val="none"/>
        </w:rPr>
        <w:t>安全生产合同</w:t>
      </w:r>
      <w:bookmarkEnd w:id="336"/>
      <w:bookmarkEnd w:id="337"/>
    </w:p>
    <w:p w14:paraId="020E87E3">
      <w:pPr>
        <w:tabs>
          <w:tab w:val="left" w:pos="2790"/>
        </w:tabs>
        <w:spacing w:line="360" w:lineRule="auto"/>
        <w:jc w:val="center"/>
        <w:rPr>
          <w:rFonts w:hint="eastAsia" w:asciiTheme="majorEastAsia" w:hAnsiTheme="majorEastAsia" w:eastAsiaTheme="majorEastAsia" w:cstheme="majorEastAsia"/>
          <w:sz w:val="21"/>
          <w:szCs w:val="21"/>
        </w:rPr>
      </w:pPr>
    </w:p>
    <w:p w14:paraId="6878845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为在</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标段施工合同的实施过程中创造安全、高效的施工环境，切实搞好本项目的安全管理工作，本项目发包人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（发包人名称，以下简称“发包人”）与承包人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（承包人名称，以下简称“承包人”）特此签订安全生产合同：</w:t>
      </w:r>
    </w:p>
    <w:p w14:paraId="192453C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 发包人职责</w:t>
      </w:r>
    </w:p>
    <w:p w14:paraId="513E184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（1）严格遵守国家有关安全生产的法律法规，认真执行工程承包合同中的有关安全要求。</w:t>
      </w:r>
    </w:p>
    <w:p w14:paraId="1A36BDE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安全生产工作应当以人为本，坚持人民至上、生命至上，把保护人民生命安全摆在首位，树牢安全发展理念，坚持安全第一、预防为主、综合治理的方针，从源头上防范化解重大安全风险。做到生产与安全工作同时计划、布置、检查、总结和评比。</w:t>
      </w:r>
    </w:p>
    <w:p w14:paraId="6C4AE1B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（3）重要的安全设施必须坚持与主体工程“三同时”的原则，即：新建、改建、扩建工程项目的安全设施，必须与主体工程同时设计、同时施工、同时投入生产和使用。安全设施投资应当纳入项目概算。</w:t>
      </w:r>
    </w:p>
    <w:p w14:paraId="1D56715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（4）定期召开安全生产调度会，及时传达中央及地方有关安全生产的精神。</w:t>
      </w:r>
    </w:p>
    <w:p w14:paraId="63BFDD0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（5）发包人对安全生产承担全面管理责任，督促承包人加强安全生产管理,按照规定要求开展施工安全总体风险评估和安全生产条件检查以及日常检查,发现生产安全事故隐患的,及时组织整改。</w:t>
      </w:r>
    </w:p>
    <w:p w14:paraId="75C2326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若项目为PPP建设管理模式的，项目实施机构必须设置安全生产管理机构，配备专职安全生产管理人员，加强对项目公司安全生产管理监督考核。项目公司对项目安全生产负总责，加强安全生产管理，督促承包人做好安全生产工作。</w:t>
      </w:r>
    </w:p>
    <w:p w14:paraId="01BD2D2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（7）两个及以上承包人在同一作业区域内进行施工作业，可能危及对方生产安全的，发包人应当牵头协调承包人签订安全生产管理协议。</w:t>
      </w:r>
    </w:p>
    <w:p w14:paraId="310A554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2.承包人职责</w:t>
      </w:r>
    </w:p>
    <w:p w14:paraId="4CA7974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严格遵守《中华人民共和国安全生产法》、《建设工程安全生产管理条例》等国家有关安全生产的法律法规、《公路水运工程安全生产监督管理办法》、《公路工程施工安全技术规范》、《公路筑养路机械操作规程》和《浙江省交通建设工程质量和安全生产管理条例》等有关安全生产的规定。认真执行工程承包合同中的有关安全要求。</w:t>
      </w:r>
    </w:p>
    <w:p w14:paraId="73C6E47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599DEF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（3）建立健全安全生产责任制。从派往项目实施的</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到生产工人（包括临时雇请的民工）的安全生产管理系统必须做到纵向到底，一环不漏；各职能部门、人员的安全生产责任制做到横向到边，人人有责。</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是安全生产的第一责任人。现场设置的安全机构，应按《公路水运工程安全生产监督管理办法》、《浙江省交通建设工程质量和安全生产监督工作实施办法》、《浙江省交通运输厅关于进一步加强全省交通建设工程安全生产管理工作的若干规定》、《省交通运输厅安委办关于印发&lt;浙江省交通建设工程施工安全十条规定&gt;的通知》规定的最低数量和资质条件配备专职安全生产管理人员，专职负责所有员工的安全和治安保卫工作及预防事故的发生。安全机构人员有权按有关规定发布指令，并采取保护性措施防止事故发生。</w:t>
      </w:r>
    </w:p>
    <w:p w14:paraId="0219AFC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（4）承包人在任何时候都应采取各种合理的预防措施，防止其员工发生任何违法、违禁、暴力或妨碍治安的行为。</w:t>
      </w:r>
    </w:p>
    <w:p w14:paraId="2105F90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 承包人必须按国家有关规定取得安全生产许可证。施工作业人员必须按规定接受安全教育培训，未经安全生产教育和培训合格的施工作业人员，不得上岗作业。电工、焊工、架子工等特种作业人员，以及特种设备作业人员必须按照国家有关规定经专门的安全作业培训，取得相应资格，方可上岗作业。</w:t>
      </w:r>
    </w:p>
    <w:p w14:paraId="1F24E7C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AE2182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（7）操作人员上岗，必须按规定穿戴防护用品。施工负责人和安全检查员应随时检查劳动防护用品的穿戴情况，不按规定穿戴防护用品的人员不得上岗。</w:t>
      </w:r>
    </w:p>
    <w:p w14:paraId="19DC560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（8）所有施工机具设备和高空作业的设备均应定期检查，并有安全员的签字记录，保证其经常处于完好状态；不合格的机具、设备和劳动保护用品严禁使用。</w:t>
      </w:r>
    </w:p>
    <w:p w14:paraId="095AB69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（9）施工中采用新技术、新工艺、新设备、新材料时，必须制定相应的安全技术措施，施工现场必须具有相关的安全标志牌。</w:t>
      </w:r>
    </w:p>
    <w:p w14:paraId="579709C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承包人必须按照本工程项目特点，组织制定本工程实施中的生产安全事故应急救援预案；如果发生安全事故，应按照《生产安全事故报告和调查处理条例》、《浙江省生产安全事故报告和调查处理规定》以及其他有关规定，及时上报有关部门，并坚持“四不放过”的原则，严肃处理相关责任人。</w:t>
      </w:r>
    </w:p>
    <w:p w14:paraId="1990E3D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（11）安全生产费用按照《浙江省交通建设工程安全生产费用管理办法》的相关要求以及相关最新规定使用和管理。</w:t>
      </w:r>
    </w:p>
    <w:p w14:paraId="69BD43E3">
      <w:pPr>
        <w:tabs>
          <w:tab w:val="left" w:pos="2790"/>
        </w:tabs>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（12）承包人在施工期间应当服从发包人及交通等行业主管部门的监督、检查、指令，并积极做好相关配合工作。</w:t>
      </w:r>
    </w:p>
    <w:p w14:paraId="7C4755B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3.违约责任</w:t>
      </w:r>
    </w:p>
    <w:p w14:paraId="19BAAF3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如因发包人或承包人违约造成安全事故，将依法追究责任。</w:t>
      </w:r>
    </w:p>
    <w:p w14:paraId="52A7025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4.本合同由双方法定代表人或其授权的代理人签署并加盖单位章后生效，全部工程竣工验收后失效。</w:t>
      </w:r>
    </w:p>
    <w:p w14:paraId="26C5616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5.本合同正本二份、副本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份，合同双方各执正本一份，副本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份，当正本与副本的内容不一致时，以正本为准。</w:t>
      </w:r>
    </w:p>
    <w:p w14:paraId="1094BF6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2857FD83">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     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199719BC">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     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70876509">
      <w:pPr>
        <w:tabs>
          <w:tab w:val="left" w:pos="2790"/>
        </w:tabs>
        <w:spacing w:line="360" w:lineRule="auto"/>
        <w:ind w:firstLine="1890" w:firstLineChars="9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日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4DA23D4B">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35E5C416">
      <w:pPr>
        <w:tabs>
          <w:tab w:val="left" w:pos="2790"/>
        </w:tabs>
        <w:spacing w:line="360" w:lineRule="auto"/>
        <w:outlineLvl w:val="2"/>
        <w:rPr>
          <w:rFonts w:hint="eastAsia" w:asciiTheme="majorEastAsia" w:hAnsiTheme="majorEastAsia" w:eastAsiaTheme="majorEastAsia" w:cstheme="majorEastAsia"/>
          <w:sz w:val="21"/>
          <w:szCs w:val="21"/>
        </w:rPr>
      </w:pPr>
      <w:bookmarkStart w:id="338" w:name="_Toc16876"/>
      <w:bookmarkStart w:id="339" w:name="_Toc5027"/>
      <w:r>
        <w:rPr>
          <w:rFonts w:hint="eastAsia" w:asciiTheme="majorEastAsia" w:hAnsiTheme="majorEastAsia" w:eastAsiaTheme="majorEastAsia" w:cstheme="majorEastAsia"/>
          <w:sz w:val="21"/>
          <w:szCs w:val="21"/>
        </w:rPr>
        <w:t>附件</w:t>
      </w:r>
      <w:r>
        <w:rPr>
          <w:rFonts w:hint="eastAsia" w:asciiTheme="majorEastAsia" w:hAnsiTheme="majorEastAsia" w:eastAsiaTheme="majorEastAsia" w:cstheme="majorEastAsia"/>
          <w:sz w:val="21"/>
          <w:szCs w:val="21"/>
          <w:lang w:val="en-US" w:eastAsia="zh-CN"/>
        </w:rPr>
        <w:t>四</w:t>
      </w:r>
      <w:r>
        <w:rPr>
          <w:rFonts w:hint="eastAsia" w:asciiTheme="majorEastAsia" w:hAnsiTheme="majorEastAsia" w:eastAsiaTheme="majorEastAsia" w:cstheme="majorEastAsia"/>
          <w:sz w:val="21"/>
          <w:szCs w:val="21"/>
        </w:rPr>
        <w:t xml:space="preserve">  其他主要管理人员和技术人员</w:t>
      </w:r>
      <w:bookmarkEnd w:id="338"/>
      <w:bookmarkEnd w:id="339"/>
    </w:p>
    <w:tbl>
      <w:tblPr>
        <w:tblStyle w:val="36"/>
        <w:tblW w:w="91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930"/>
        <w:gridCol w:w="1300"/>
        <w:gridCol w:w="4960"/>
      </w:tblGrid>
      <w:tr w14:paraId="26013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833" w:hRule="atLeast"/>
        </w:trPr>
        <w:tc>
          <w:tcPr>
            <w:tcW w:w="2930" w:type="dxa"/>
            <w:noWrap w:val="0"/>
            <w:vAlign w:val="center"/>
          </w:tcPr>
          <w:p w14:paraId="05369015">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人员</w:t>
            </w:r>
          </w:p>
        </w:tc>
        <w:tc>
          <w:tcPr>
            <w:tcW w:w="1300" w:type="dxa"/>
            <w:noWrap w:val="0"/>
            <w:vAlign w:val="center"/>
          </w:tcPr>
          <w:p w14:paraId="4F1FA562">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4960" w:type="dxa"/>
            <w:noWrap w:val="0"/>
            <w:vAlign w:val="center"/>
          </w:tcPr>
          <w:p w14:paraId="40E12D24">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资格要求</w:t>
            </w:r>
          </w:p>
        </w:tc>
      </w:tr>
      <w:tr w14:paraId="1FCC6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73" w:hRule="atLeast"/>
        </w:trPr>
        <w:tc>
          <w:tcPr>
            <w:tcW w:w="2930" w:type="dxa"/>
            <w:noWrap w:val="0"/>
            <w:vAlign w:val="center"/>
          </w:tcPr>
          <w:p w14:paraId="72798369">
            <w:pPr>
              <w:spacing w:line="360" w:lineRule="auto"/>
              <w:jc w:val="center"/>
              <w:rPr>
                <w:rFonts w:hint="eastAsia" w:asciiTheme="majorEastAsia" w:hAnsiTheme="majorEastAsia" w:eastAsiaTheme="majorEastAsia" w:cstheme="majorEastAsia"/>
                <w:sz w:val="21"/>
                <w:szCs w:val="21"/>
              </w:rPr>
            </w:pPr>
          </w:p>
        </w:tc>
        <w:tc>
          <w:tcPr>
            <w:tcW w:w="1300" w:type="dxa"/>
            <w:noWrap w:val="0"/>
            <w:vAlign w:val="center"/>
          </w:tcPr>
          <w:p w14:paraId="4D0EA417">
            <w:pPr>
              <w:spacing w:line="360" w:lineRule="auto"/>
              <w:jc w:val="center"/>
              <w:rPr>
                <w:rFonts w:hint="eastAsia" w:asciiTheme="majorEastAsia" w:hAnsiTheme="majorEastAsia" w:eastAsiaTheme="majorEastAsia" w:cstheme="majorEastAsia"/>
                <w:sz w:val="21"/>
                <w:szCs w:val="21"/>
              </w:rPr>
            </w:pPr>
          </w:p>
        </w:tc>
        <w:tc>
          <w:tcPr>
            <w:tcW w:w="4960" w:type="dxa"/>
            <w:noWrap w:val="0"/>
            <w:vAlign w:val="center"/>
          </w:tcPr>
          <w:p w14:paraId="0DD411D4">
            <w:pPr>
              <w:spacing w:line="360" w:lineRule="auto"/>
              <w:ind w:firstLine="420" w:firstLineChars="200"/>
              <w:rPr>
                <w:rFonts w:hint="eastAsia" w:asciiTheme="majorEastAsia" w:hAnsiTheme="majorEastAsia" w:eastAsiaTheme="majorEastAsia" w:cstheme="majorEastAsia"/>
                <w:sz w:val="21"/>
                <w:szCs w:val="21"/>
              </w:rPr>
            </w:pPr>
          </w:p>
        </w:tc>
      </w:tr>
      <w:tr w14:paraId="66D01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1073" w:hRule="atLeast"/>
        </w:trPr>
        <w:tc>
          <w:tcPr>
            <w:tcW w:w="2930" w:type="dxa"/>
            <w:noWrap w:val="0"/>
            <w:vAlign w:val="center"/>
          </w:tcPr>
          <w:p w14:paraId="61993E91">
            <w:pPr>
              <w:wordWrap w:val="0"/>
              <w:spacing w:line="360" w:lineRule="auto"/>
              <w:jc w:val="center"/>
              <w:rPr>
                <w:rFonts w:hint="eastAsia" w:asciiTheme="majorEastAsia" w:hAnsiTheme="majorEastAsia" w:eastAsiaTheme="majorEastAsia" w:cstheme="majorEastAsia"/>
                <w:sz w:val="21"/>
                <w:szCs w:val="21"/>
              </w:rPr>
            </w:pPr>
          </w:p>
        </w:tc>
        <w:tc>
          <w:tcPr>
            <w:tcW w:w="1300" w:type="dxa"/>
            <w:noWrap w:val="0"/>
            <w:vAlign w:val="center"/>
          </w:tcPr>
          <w:p w14:paraId="0BC994B5">
            <w:pPr>
              <w:wordWrap w:val="0"/>
              <w:spacing w:line="360" w:lineRule="auto"/>
              <w:jc w:val="center"/>
              <w:rPr>
                <w:rFonts w:hint="eastAsia" w:asciiTheme="majorEastAsia" w:hAnsiTheme="majorEastAsia" w:eastAsiaTheme="majorEastAsia" w:cstheme="majorEastAsia"/>
                <w:sz w:val="21"/>
                <w:szCs w:val="21"/>
              </w:rPr>
            </w:pPr>
          </w:p>
        </w:tc>
        <w:tc>
          <w:tcPr>
            <w:tcW w:w="4960" w:type="dxa"/>
            <w:noWrap w:val="0"/>
            <w:vAlign w:val="center"/>
          </w:tcPr>
          <w:p w14:paraId="11C5FD76">
            <w:pPr>
              <w:wordWrap w:val="0"/>
              <w:spacing w:line="360" w:lineRule="auto"/>
              <w:rPr>
                <w:rFonts w:hint="eastAsia" w:asciiTheme="majorEastAsia" w:hAnsiTheme="majorEastAsia" w:eastAsiaTheme="majorEastAsia" w:cstheme="majorEastAsia"/>
                <w:sz w:val="21"/>
                <w:szCs w:val="21"/>
              </w:rPr>
            </w:pPr>
          </w:p>
        </w:tc>
      </w:tr>
      <w:tr w14:paraId="14C3D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90" w:hRule="atLeast"/>
        </w:trPr>
        <w:tc>
          <w:tcPr>
            <w:tcW w:w="2930" w:type="dxa"/>
            <w:noWrap w:val="0"/>
            <w:vAlign w:val="center"/>
          </w:tcPr>
          <w:p w14:paraId="7018717D">
            <w:pPr>
              <w:spacing w:line="360" w:lineRule="auto"/>
              <w:jc w:val="center"/>
              <w:rPr>
                <w:rFonts w:hint="eastAsia" w:asciiTheme="majorEastAsia" w:hAnsiTheme="majorEastAsia" w:eastAsiaTheme="majorEastAsia" w:cstheme="majorEastAsia"/>
                <w:sz w:val="21"/>
                <w:szCs w:val="21"/>
              </w:rPr>
            </w:pPr>
          </w:p>
        </w:tc>
        <w:tc>
          <w:tcPr>
            <w:tcW w:w="1300" w:type="dxa"/>
            <w:noWrap w:val="0"/>
            <w:vAlign w:val="center"/>
          </w:tcPr>
          <w:p w14:paraId="7BB14C80">
            <w:pPr>
              <w:spacing w:line="360" w:lineRule="auto"/>
              <w:jc w:val="center"/>
              <w:rPr>
                <w:rFonts w:hint="eastAsia" w:asciiTheme="majorEastAsia" w:hAnsiTheme="majorEastAsia" w:eastAsiaTheme="majorEastAsia" w:cstheme="majorEastAsia"/>
                <w:sz w:val="21"/>
                <w:szCs w:val="21"/>
              </w:rPr>
            </w:pPr>
          </w:p>
        </w:tc>
        <w:tc>
          <w:tcPr>
            <w:tcW w:w="4960" w:type="dxa"/>
            <w:noWrap w:val="0"/>
            <w:vAlign w:val="center"/>
          </w:tcPr>
          <w:p w14:paraId="6066AA5D">
            <w:pPr>
              <w:spacing w:line="360" w:lineRule="auto"/>
              <w:rPr>
                <w:rFonts w:hint="eastAsia" w:asciiTheme="majorEastAsia" w:hAnsiTheme="majorEastAsia" w:eastAsiaTheme="majorEastAsia" w:cstheme="majorEastAsia"/>
                <w:sz w:val="21"/>
                <w:szCs w:val="21"/>
              </w:rPr>
            </w:pPr>
          </w:p>
        </w:tc>
      </w:tr>
      <w:tr w14:paraId="3D9F6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90" w:hRule="atLeast"/>
        </w:trPr>
        <w:tc>
          <w:tcPr>
            <w:tcW w:w="2930" w:type="dxa"/>
            <w:noWrap w:val="0"/>
            <w:vAlign w:val="center"/>
          </w:tcPr>
          <w:p w14:paraId="29B6CAF6">
            <w:pPr>
              <w:spacing w:line="360" w:lineRule="auto"/>
              <w:jc w:val="center"/>
              <w:rPr>
                <w:rFonts w:hint="eastAsia" w:asciiTheme="majorEastAsia" w:hAnsiTheme="majorEastAsia" w:eastAsiaTheme="majorEastAsia" w:cstheme="majorEastAsia"/>
                <w:sz w:val="21"/>
                <w:szCs w:val="21"/>
              </w:rPr>
            </w:pPr>
          </w:p>
        </w:tc>
        <w:tc>
          <w:tcPr>
            <w:tcW w:w="1300" w:type="dxa"/>
            <w:noWrap w:val="0"/>
            <w:vAlign w:val="center"/>
          </w:tcPr>
          <w:p w14:paraId="42E2F24B">
            <w:pPr>
              <w:spacing w:line="360" w:lineRule="auto"/>
              <w:jc w:val="center"/>
              <w:rPr>
                <w:rFonts w:hint="eastAsia" w:asciiTheme="majorEastAsia" w:hAnsiTheme="majorEastAsia" w:eastAsiaTheme="majorEastAsia" w:cstheme="majorEastAsia"/>
                <w:sz w:val="21"/>
                <w:szCs w:val="21"/>
              </w:rPr>
            </w:pPr>
          </w:p>
        </w:tc>
        <w:tc>
          <w:tcPr>
            <w:tcW w:w="4960" w:type="dxa"/>
            <w:noWrap w:val="0"/>
            <w:vAlign w:val="center"/>
          </w:tcPr>
          <w:p w14:paraId="117C412E">
            <w:pPr>
              <w:spacing w:line="360" w:lineRule="auto"/>
              <w:rPr>
                <w:rFonts w:hint="eastAsia" w:asciiTheme="majorEastAsia" w:hAnsiTheme="majorEastAsia" w:eastAsiaTheme="majorEastAsia" w:cstheme="majorEastAsia"/>
                <w:sz w:val="21"/>
                <w:szCs w:val="21"/>
              </w:rPr>
            </w:pPr>
          </w:p>
        </w:tc>
      </w:tr>
      <w:tr w14:paraId="72A3A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990" w:hRule="atLeast"/>
        </w:trPr>
        <w:tc>
          <w:tcPr>
            <w:tcW w:w="2930" w:type="dxa"/>
            <w:noWrap w:val="0"/>
            <w:vAlign w:val="center"/>
          </w:tcPr>
          <w:p w14:paraId="325240FB">
            <w:pPr>
              <w:spacing w:line="360" w:lineRule="auto"/>
              <w:jc w:val="center"/>
              <w:rPr>
                <w:rFonts w:hint="eastAsia" w:asciiTheme="majorEastAsia" w:hAnsiTheme="majorEastAsia" w:eastAsiaTheme="majorEastAsia" w:cstheme="majorEastAsia"/>
                <w:sz w:val="21"/>
                <w:szCs w:val="21"/>
              </w:rPr>
            </w:pPr>
          </w:p>
        </w:tc>
        <w:tc>
          <w:tcPr>
            <w:tcW w:w="1300" w:type="dxa"/>
            <w:noWrap w:val="0"/>
            <w:vAlign w:val="center"/>
          </w:tcPr>
          <w:p w14:paraId="67AA3FB7">
            <w:pPr>
              <w:spacing w:line="360" w:lineRule="auto"/>
              <w:jc w:val="center"/>
              <w:rPr>
                <w:rFonts w:hint="eastAsia" w:asciiTheme="majorEastAsia" w:hAnsiTheme="majorEastAsia" w:eastAsiaTheme="majorEastAsia" w:cstheme="majorEastAsia"/>
                <w:sz w:val="21"/>
                <w:szCs w:val="21"/>
              </w:rPr>
            </w:pPr>
          </w:p>
        </w:tc>
        <w:tc>
          <w:tcPr>
            <w:tcW w:w="4960" w:type="dxa"/>
            <w:noWrap w:val="0"/>
            <w:vAlign w:val="center"/>
          </w:tcPr>
          <w:p w14:paraId="2EFC308A">
            <w:pPr>
              <w:spacing w:line="360" w:lineRule="auto"/>
              <w:rPr>
                <w:rFonts w:hint="eastAsia" w:asciiTheme="majorEastAsia" w:hAnsiTheme="majorEastAsia" w:eastAsiaTheme="majorEastAsia" w:cstheme="majorEastAsia"/>
                <w:sz w:val="21"/>
                <w:szCs w:val="21"/>
              </w:rPr>
            </w:pPr>
          </w:p>
        </w:tc>
      </w:tr>
    </w:tbl>
    <w:p w14:paraId="4D6EF0B4">
      <w:pPr>
        <w:pStyle w:val="17"/>
        <w:spacing w:line="360" w:lineRule="auto"/>
        <w:rPr>
          <w:rFonts w:hint="eastAsia" w:asciiTheme="majorEastAsia" w:hAnsiTheme="majorEastAsia" w:eastAsiaTheme="majorEastAsia" w:cstheme="majorEastAsia"/>
          <w:sz w:val="21"/>
          <w:szCs w:val="21"/>
        </w:rPr>
      </w:pPr>
    </w:p>
    <w:p w14:paraId="1838855D">
      <w:pPr>
        <w:tabs>
          <w:tab w:val="left" w:pos="2790"/>
        </w:tabs>
        <w:spacing w:line="360" w:lineRule="auto"/>
        <w:outlineLvl w:val="2"/>
        <w:rPr>
          <w:rFonts w:hint="eastAsia" w:asciiTheme="majorEastAsia" w:hAnsiTheme="majorEastAsia" w:eastAsiaTheme="majorEastAsia" w:cstheme="majorEastAsia"/>
          <w:sz w:val="21"/>
          <w:szCs w:val="21"/>
        </w:rPr>
      </w:pPr>
      <w:bookmarkStart w:id="340" w:name="_Toc31773"/>
      <w:r>
        <w:rPr>
          <w:rFonts w:hint="eastAsia" w:asciiTheme="majorEastAsia" w:hAnsiTheme="majorEastAsia" w:eastAsiaTheme="majorEastAsia" w:cstheme="majorEastAsia"/>
          <w:sz w:val="21"/>
          <w:szCs w:val="21"/>
        </w:rPr>
        <w:t>注：</w:t>
      </w:r>
      <w:bookmarkEnd w:id="340"/>
      <w:r>
        <w:rPr>
          <w:rFonts w:hint="eastAsia" w:asciiTheme="majorEastAsia" w:hAnsiTheme="majorEastAsia" w:eastAsiaTheme="majorEastAsia" w:cstheme="majorEastAsia"/>
          <w:sz w:val="21"/>
          <w:szCs w:val="21"/>
          <w:lang w:val="en-US" w:eastAsia="zh-CN"/>
        </w:rPr>
        <w:t>根据供应商响应文件中项目组人员配备情况表拟派人员进行填写，作为派驻本标段的项目管理机构主要人员不允许更换。</w:t>
      </w:r>
    </w:p>
    <w:p w14:paraId="68DE6953">
      <w:pPr>
        <w:tabs>
          <w:tab w:val="left" w:pos="2790"/>
        </w:tabs>
        <w:spacing w:line="360" w:lineRule="auto"/>
        <w:outlineLvl w:val="2"/>
        <w:rPr>
          <w:rFonts w:hint="eastAsia" w:asciiTheme="majorEastAsia" w:hAnsiTheme="majorEastAsia" w:eastAsiaTheme="majorEastAsia" w:cstheme="majorEastAsia"/>
          <w:sz w:val="21"/>
          <w:szCs w:val="21"/>
        </w:rPr>
      </w:pPr>
    </w:p>
    <w:p w14:paraId="25778E7F">
      <w:pPr>
        <w:tabs>
          <w:tab w:val="left" w:pos="2790"/>
        </w:tabs>
        <w:spacing w:line="360" w:lineRule="auto"/>
        <w:outlineLvl w:val="2"/>
        <w:rPr>
          <w:rFonts w:hint="eastAsia" w:asciiTheme="majorEastAsia" w:hAnsiTheme="majorEastAsia" w:eastAsiaTheme="majorEastAsia" w:cstheme="majorEastAsia"/>
          <w:sz w:val="21"/>
          <w:szCs w:val="21"/>
        </w:rPr>
      </w:pPr>
    </w:p>
    <w:p w14:paraId="78776140">
      <w:pPr>
        <w:tabs>
          <w:tab w:val="left" w:pos="2790"/>
        </w:tabs>
        <w:spacing w:line="360" w:lineRule="auto"/>
        <w:outlineLvl w:val="2"/>
        <w:rPr>
          <w:rFonts w:hint="eastAsia" w:asciiTheme="majorEastAsia" w:hAnsiTheme="majorEastAsia" w:eastAsiaTheme="majorEastAsia" w:cstheme="majorEastAsia"/>
          <w:sz w:val="21"/>
          <w:szCs w:val="21"/>
        </w:rPr>
      </w:pPr>
    </w:p>
    <w:p w14:paraId="7C199568">
      <w:pPr>
        <w:tabs>
          <w:tab w:val="left" w:pos="2790"/>
        </w:tabs>
        <w:spacing w:line="360" w:lineRule="auto"/>
        <w:outlineLvl w:val="2"/>
        <w:rPr>
          <w:rFonts w:hint="eastAsia" w:asciiTheme="majorEastAsia" w:hAnsiTheme="majorEastAsia" w:eastAsiaTheme="majorEastAsia" w:cstheme="majorEastAsia"/>
          <w:sz w:val="21"/>
          <w:szCs w:val="21"/>
        </w:rPr>
      </w:pPr>
    </w:p>
    <w:p w14:paraId="3920FE31">
      <w:pPr>
        <w:tabs>
          <w:tab w:val="left" w:pos="2790"/>
        </w:tabs>
        <w:spacing w:line="360" w:lineRule="auto"/>
        <w:outlineLvl w:val="2"/>
        <w:rPr>
          <w:rFonts w:hint="eastAsia" w:asciiTheme="majorEastAsia" w:hAnsiTheme="majorEastAsia" w:eastAsiaTheme="majorEastAsia" w:cstheme="majorEastAsia"/>
          <w:sz w:val="21"/>
          <w:szCs w:val="21"/>
        </w:rPr>
      </w:pPr>
    </w:p>
    <w:p w14:paraId="394B26B9">
      <w:pPr>
        <w:tabs>
          <w:tab w:val="left" w:pos="2790"/>
        </w:tabs>
        <w:spacing w:line="360" w:lineRule="auto"/>
        <w:outlineLvl w:val="2"/>
        <w:rPr>
          <w:rFonts w:hint="eastAsia" w:asciiTheme="majorEastAsia" w:hAnsiTheme="majorEastAsia" w:eastAsiaTheme="majorEastAsia" w:cstheme="majorEastAsia"/>
          <w:sz w:val="21"/>
          <w:szCs w:val="21"/>
        </w:rPr>
      </w:pPr>
    </w:p>
    <w:p w14:paraId="1DA4F9B0">
      <w:pPr>
        <w:tabs>
          <w:tab w:val="left" w:pos="2790"/>
        </w:tabs>
        <w:spacing w:line="360" w:lineRule="auto"/>
        <w:outlineLvl w:val="2"/>
        <w:rPr>
          <w:rFonts w:hint="eastAsia" w:asciiTheme="majorEastAsia" w:hAnsiTheme="majorEastAsia" w:eastAsiaTheme="majorEastAsia" w:cstheme="majorEastAsia"/>
          <w:sz w:val="21"/>
          <w:szCs w:val="21"/>
        </w:rPr>
      </w:pPr>
    </w:p>
    <w:p w14:paraId="78C1043A">
      <w:pPr>
        <w:tabs>
          <w:tab w:val="left" w:pos="2790"/>
        </w:tabs>
        <w:spacing w:line="360" w:lineRule="auto"/>
        <w:outlineLvl w:val="2"/>
        <w:rPr>
          <w:rFonts w:hint="eastAsia" w:asciiTheme="majorEastAsia" w:hAnsiTheme="majorEastAsia" w:eastAsiaTheme="majorEastAsia" w:cstheme="majorEastAsia"/>
          <w:sz w:val="21"/>
          <w:szCs w:val="21"/>
        </w:rPr>
      </w:pPr>
    </w:p>
    <w:p w14:paraId="46720C4E">
      <w:pPr>
        <w:tabs>
          <w:tab w:val="left" w:pos="2790"/>
        </w:tabs>
        <w:spacing w:line="360" w:lineRule="auto"/>
        <w:outlineLvl w:val="2"/>
        <w:rPr>
          <w:rFonts w:hint="eastAsia" w:asciiTheme="majorEastAsia" w:hAnsiTheme="majorEastAsia" w:eastAsiaTheme="majorEastAsia" w:cstheme="majorEastAsia"/>
          <w:sz w:val="21"/>
          <w:szCs w:val="21"/>
        </w:rPr>
      </w:pPr>
    </w:p>
    <w:p w14:paraId="6CA4F574">
      <w:pPr>
        <w:tabs>
          <w:tab w:val="left" w:pos="2790"/>
        </w:tabs>
        <w:spacing w:line="360" w:lineRule="auto"/>
        <w:outlineLvl w:val="2"/>
        <w:rPr>
          <w:rFonts w:hint="eastAsia" w:asciiTheme="majorEastAsia" w:hAnsiTheme="majorEastAsia" w:eastAsiaTheme="majorEastAsia" w:cstheme="majorEastAsia"/>
          <w:sz w:val="21"/>
          <w:szCs w:val="21"/>
        </w:rPr>
      </w:pPr>
    </w:p>
    <w:p w14:paraId="4A636C6C">
      <w:pPr>
        <w:tabs>
          <w:tab w:val="left" w:pos="2790"/>
        </w:tabs>
        <w:spacing w:line="360" w:lineRule="auto"/>
        <w:outlineLvl w:val="2"/>
        <w:rPr>
          <w:rFonts w:hint="eastAsia" w:asciiTheme="majorEastAsia" w:hAnsiTheme="majorEastAsia" w:eastAsiaTheme="majorEastAsia" w:cstheme="majorEastAsia"/>
          <w:sz w:val="21"/>
          <w:szCs w:val="21"/>
        </w:rPr>
      </w:pPr>
    </w:p>
    <w:p w14:paraId="2C955034">
      <w:pPr>
        <w:rPr>
          <w:rFonts w:hint="eastAsia" w:asciiTheme="majorEastAsia" w:hAnsiTheme="majorEastAsia" w:eastAsiaTheme="majorEastAsia" w:cstheme="majorEastAsia"/>
          <w:sz w:val="21"/>
          <w:szCs w:val="21"/>
        </w:rPr>
      </w:pPr>
      <w:bookmarkStart w:id="341" w:name="_Toc26461"/>
    </w:p>
    <w:p w14:paraId="7DD402BB">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附件五    </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委任书</w:t>
      </w:r>
      <w:bookmarkEnd w:id="341"/>
    </w:p>
    <w:p w14:paraId="21759145">
      <w:pPr>
        <w:tabs>
          <w:tab w:val="left" w:pos="2790"/>
        </w:tabs>
        <w:spacing w:line="360" w:lineRule="auto"/>
        <w:rPr>
          <w:rFonts w:hint="eastAsia" w:asciiTheme="majorEastAsia" w:hAnsiTheme="majorEastAsia" w:eastAsiaTheme="majorEastAsia" w:cstheme="majorEastAsia"/>
          <w:sz w:val="21"/>
          <w:szCs w:val="21"/>
        </w:rPr>
      </w:pPr>
    </w:p>
    <w:p w14:paraId="5E84B0F7">
      <w:pPr>
        <w:tabs>
          <w:tab w:val="left" w:pos="2790"/>
        </w:tabs>
        <w:spacing w:line="360" w:lineRule="auto"/>
        <w:jc w:val="center"/>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（承包人全称）</w:t>
      </w:r>
    </w:p>
    <w:p w14:paraId="2F1C7B58">
      <w:pPr>
        <w:tabs>
          <w:tab w:val="left" w:pos="2790"/>
        </w:tabs>
        <w:spacing w:line="36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（合同工程名称）</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委任书</w:t>
      </w:r>
    </w:p>
    <w:p w14:paraId="3C9F60F4">
      <w:pPr>
        <w:tabs>
          <w:tab w:val="left" w:pos="2790"/>
        </w:tabs>
        <w:spacing w:line="360" w:lineRule="auto"/>
        <w:rPr>
          <w:rFonts w:hint="eastAsia" w:asciiTheme="majorEastAsia" w:hAnsiTheme="majorEastAsia" w:eastAsiaTheme="majorEastAsia" w:cstheme="majorEastAsia"/>
          <w:sz w:val="21"/>
          <w:szCs w:val="21"/>
        </w:rPr>
      </w:pPr>
    </w:p>
    <w:p w14:paraId="3419907D">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致：</w:t>
      </w:r>
      <w:r>
        <w:rPr>
          <w:rFonts w:hint="eastAsia" w:asciiTheme="majorEastAsia" w:hAnsiTheme="majorEastAsia" w:eastAsiaTheme="majorEastAsia" w:cstheme="majorEastAsia"/>
          <w:sz w:val="21"/>
          <w:szCs w:val="21"/>
          <w:u w:val="single"/>
        </w:rPr>
        <w:t>（发包人全称）</w:t>
      </w:r>
    </w:p>
    <w:p w14:paraId="1483F59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（承包人全称）</w:t>
      </w:r>
      <w:r>
        <w:rPr>
          <w:rFonts w:hint="eastAsia" w:asciiTheme="majorEastAsia" w:hAnsiTheme="majorEastAsia" w:eastAsiaTheme="majorEastAsia" w:cstheme="majorEastAsia"/>
          <w:sz w:val="21"/>
          <w:szCs w:val="21"/>
        </w:rPr>
        <w:t>法定代表人</w:t>
      </w:r>
      <w:r>
        <w:rPr>
          <w:rFonts w:hint="eastAsia" w:asciiTheme="majorEastAsia" w:hAnsiTheme="majorEastAsia" w:eastAsiaTheme="majorEastAsia" w:cstheme="majorEastAsia"/>
          <w:sz w:val="21"/>
          <w:szCs w:val="21"/>
          <w:u w:val="single"/>
        </w:rPr>
        <w:t>（职务、姓名）</w:t>
      </w:r>
      <w:r>
        <w:rPr>
          <w:rFonts w:hint="eastAsia" w:asciiTheme="majorEastAsia" w:hAnsiTheme="majorEastAsia" w:eastAsiaTheme="majorEastAsia" w:cstheme="majorEastAsia"/>
          <w:sz w:val="21"/>
          <w:szCs w:val="21"/>
        </w:rPr>
        <w:t>代表本单位委任</w:t>
      </w:r>
      <w:r>
        <w:rPr>
          <w:rFonts w:hint="eastAsia" w:asciiTheme="majorEastAsia" w:hAnsiTheme="majorEastAsia" w:eastAsiaTheme="majorEastAsia" w:cstheme="majorEastAsia"/>
          <w:sz w:val="21"/>
          <w:szCs w:val="21"/>
          <w:u w:val="single"/>
        </w:rPr>
        <w:t>（职务、姓名）</w:t>
      </w:r>
      <w:r>
        <w:rPr>
          <w:rFonts w:hint="eastAsia" w:asciiTheme="majorEastAsia" w:hAnsiTheme="majorEastAsia" w:eastAsiaTheme="majorEastAsia" w:cstheme="majorEastAsia"/>
          <w:sz w:val="21"/>
          <w:szCs w:val="21"/>
        </w:rPr>
        <w:t>为</w:t>
      </w:r>
      <w:r>
        <w:rPr>
          <w:rFonts w:hint="eastAsia" w:asciiTheme="majorEastAsia" w:hAnsiTheme="majorEastAsia" w:eastAsiaTheme="majorEastAsia" w:cstheme="majorEastAsia"/>
          <w:sz w:val="21"/>
          <w:szCs w:val="21"/>
          <w:u w:val="single"/>
        </w:rPr>
        <w:t>（合同工程名称）</w:t>
      </w:r>
      <w:r>
        <w:rPr>
          <w:rFonts w:hint="eastAsia" w:asciiTheme="majorEastAsia" w:hAnsiTheme="majorEastAsia" w:eastAsiaTheme="majorEastAsia" w:cstheme="majorEastAsia"/>
          <w:sz w:val="21"/>
          <w:szCs w:val="21"/>
        </w:rPr>
        <w:t>的</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。凡本合同执行中的有关技术、工程进度、现场管理、质量检验、结算与支付等方面工作，由</w:t>
      </w:r>
      <w:r>
        <w:rPr>
          <w:rFonts w:hint="eastAsia" w:asciiTheme="majorEastAsia" w:hAnsiTheme="majorEastAsia" w:eastAsiaTheme="majorEastAsia" w:cstheme="majorEastAsia"/>
          <w:sz w:val="21"/>
          <w:szCs w:val="21"/>
          <w:u w:val="single"/>
        </w:rPr>
        <w:t>（姓名）</w:t>
      </w:r>
      <w:r>
        <w:rPr>
          <w:rFonts w:hint="eastAsia" w:asciiTheme="majorEastAsia" w:hAnsiTheme="majorEastAsia" w:eastAsiaTheme="majorEastAsia" w:cstheme="majorEastAsia"/>
          <w:sz w:val="21"/>
          <w:szCs w:val="21"/>
        </w:rPr>
        <w:t>代表本单位全面负责。</w:t>
      </w:r>
    </w:p>
    <w:p w14:paraId="33FA857E">
      <w:pPr>
        <w:tabs>
          <w:tab w:val="left" w:pos="2790"/>
        </w:tabs>
        <w:spacing w:line="360" w:lineRule="auto"/>
        <w:rPr>
          <w:rFonts w:hint="eastAsia" w:asciiTheme="majorEastAsia" w:hAnsiTheme="majorEastAsia" w:eastAsiaTheme="majorEastAsia" w:cstheme="majorEastAsia"/>
          <w:sz w:val="21"/>
          <w:szCs w:val="21"/>
        </w:rPr>
      </w:pPr>
    </w:p>
    <w:p w14:paraId="17046901">
      <w:pPr>
        <w:tabs>
          <w:tab w:val="left" w:pos="2790"/>
        </w:tabs>
        <w:spacing w:line="360" w:lineRule="auto"/>
        <w:rPr>
          <w:rFonts w:hint="eastAsia" w:asciiTheme="majorEastAsia" w:hAnsiTheme="majorEastAsia" w:eastAsiaTheme="majorEastAsia" w:cstheme="majorEastAsia"/>
          <w:sz w:val="21"/>
          <w:szCs w:val="21"/>
        </w:rPr>
      </w:pPr>
    </w:p>
    <w:p w14:paraId="7813ABE4">
      <w:pPr>
        <w:tabs>
          <w:tab w:val="left" w:pos="2790"/>
        </w:tabs>
        <w:spacing w:line="360" w:lineRule="auto"/>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  包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5BED7E7E">
      <w:pPr>
        <w:tabs>
          <w:tab w:val="left" w:pos="2790"/>
        </w:tabs>
        <w:spacing w:line="360" w:lineRule="auto"/>
        <w:ind w:firstLine="3570" w:firstLineChars="17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r>
        <w:rPr>
          <w:rFonts w:hint="eastAsia" w:asciiTheme="majorEastAsia" w:hAnsiTheme="majorEastAsia" w:eastAsiaTheme="majorEastAsia" w:cstheme="majorEastAsia"/>
          <w:sz w:val="21"/>
          <w:szCs w:val="21"/>
          <w:u w:val="single"/>
        </w:rPr>
        <w:t xml:space="preserve">      （职务）       </w:t>
      </w:r>
    </w:p>
    <w:p w14:paraId="6FCBB7AE">
      <w:pPr>
        <w:tabs>
          <w:tab w:val="left" w:pos="2790"/>
        </w:tabs>
        <w:spacing w:line="360" w:lineRule="auto"/>
        <w:ind w:firstLine="4830" w:firstLineChars="23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（姓名）       </w:t>
      </w:r>
    </w:p>
    <w:p w14:paraId="1FE193D9">
      <w:pPr>
        <w:tabs>
          <w:tab w:val="left" w:pos="2790"/>
        </w:tabs>
        <w:spacing w:line="360" w:lineRule="auto"/>
        <w:ind w:firstLine="4830" w:firstLineChars="23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（签字）       </w:t>
      </w:r>
    </w:p>
    <w:p w14:paraId="16E800EF">
      <w:pPr>
        <w:tabs>
          <w:tab w:val="left" w:pos="2790"/>
        </w:tabs>
        <w:spacing w:line="360" w:lineRule="auto"/>
        <w:ind w:firstLine="4867" w:firstLineChars="2318"/>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20C5E5F7">
      <w:pPr>
        <w:tabs>
          <w:tab w:val="left" w:pos="2790"/>
        </w:tabs>
        <w:spacing w:line="360" w:lineRule="auto"/>
        <w:rPr>
          <w:rFonts w:hint="eastAsia" w:asciiTheme="majorEastAsia" w:hAnsiTheme="majorEastAsia" w:eastAsiaTheme="majorEastAsia" w:cstheme="majorEastAsia"/>
          <w:sz w:val="21"/>
          <w:szCs w:val="21"/>
        </w:rPr>
      </w:pPr>
    </w:p>
    <w:p w14:paraId="2326221C">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抄送：</w:t>
      </w:r>
      <w:r>
        <w:rPr>
          <w:rFonts w:hint="eastAsia" w:asciiTheme="majorEastAsia" w:hAnsiTheme="majorEastAsia" w:eastAsiaTheme="majorEastAsia" w:cstheme="majorEastAsia"/>
          <w:sz w:val="21"/>
          <w:szCs w:val="21"/>
          <w:u w:val="single"/>
        </w:rPr>
        <w:t>（监理人）</w:t>
      </w:r>
    </w:p>
    <w:p w14:paraId="610307B8">
      <w:pPr>
        <w:tabs>
          <w:tab w:val="left" w:pos="2790"/>
        </w:tabs>
        <w:spacing w:line="360" w:lineRule="auto"/>
        <w:rPr>
          <w:rFonts w:hint="eastAsia" w:asciiTheme="majorEastAsia" w:hAnsiTheme="majorEastAsia" w:eastAsiaTheme="majorEastAsia" w:cstheme="majorEastAsia"/>
          <w:sz w:val="21"/>
          <w:szCs w:val="21"/>
        </w:rPr>
      </w:pPr>
    </w:p>
    <w:p w14:paraId="185B057F">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42" w:name="_Toc30994"/>
      <w:r>
        <w:rPr>
          <w:rFonts w:hint="eastAsia" w:asciiTheme="majorEastAsia" w:hAnsiTheme="majorEastAsia" w:eastAsiaTheme="majorEastAsia" w:cstheme="majorEastAsia"/>
          <w:sz w:val="21"/>
          <w:szCs w:val="21"/>
        </w:rPr>
        <w:t>附件</w:t>
      </w:r>
      <w:r>
        <w:rPr>
          <w:rFonts w:hint="eastAsia" w:asciiTheme="majorEastAsia" w:hAnsiTheme="majorEastAsia" w:eastAsiaTheme="majorEastAsia" w:cstheme="majorEastAsia"/>
          <w:sz w:val="21"/>
          <w:szCs w:val="21"/>
          <w:lang w:eastAsia="zh-CN"/>
        </w:rPr>
        <w:t>六</w:t>
      </w:r>
      <w:r>
        <w:rPr>
          <w:rFonts w:hint="eastAsia" w:asciiTheme="majorEastAsia" w:hAnsiTheme="majorEastAsia" w:eastAsiaTheme="majorEastAsia" w:cstheme="majorEastAsia"/>
          <w:sz w:val="21"/>
          <w:szCs w:val="21"/>
        </w:rPr>
        <w:t xml:space="preserve">  履约保证金格式</w:t>
      </w:r>
      <w:bookmarkEnd w:id="342"/>
    </w:p>
    <w:p w14:paraId="1E1AA010">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如采用银行保函，格式如下：</w:t>
      </w:r>
    </w:p>
    <w:p w14:paraId="422E0F42">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43" w:name="_Toc653"/>
      <w:bookmarkStart w:id="344" w:name="_Toc10233"/>
      <w:r>
        <w:rPr>
          <w:rFonts w:hint="eastAsia" w:ascii="宋体" w:hAnsi="宋体" w:eastAsia="宋体" w:cs="宋体"/>
          <w:bCs w:val="0"/>
          <w:color w:val="auto"/>
          <w:sz w:val="28"/>
          <w:szCs w:val="28"/>
          <w:highlight w:val="none"/>
        </w:rPr>
        <w:t>履约保证金</w:t>
      </w:r>
      <w:bookmarkEnd w:id="343"/>
      <w:bookmarkEnd w:id="344"/>
    </w:p>
    <w:p w14:paraId="5B3170B0">
      <w:pPr>
        <w:tabs>
          <w:tab w:val="left" w:pos="2790"/>
        </w:tabs>
        <w:spacing w:line="360" w:lineRule="auto"/>
        <w:rPr>
          <w:rFonts w:hint="eastAsia" w:asciiTheme="majorEastAsia" w:hAnsiTheme="majorEastAsia" w:eastAsiaTheme="majorEastAsia" w:cstheme="majorEastAsia"/>
          <w:sz w:val="21"/>
          <w:szCs w:val="21"/>
        </w:rPr>
      </w:pPr>
    </w:p>
    <w:p w14:paraId="121ADB18">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（发包人名称）：</w:t>
      </w:r>
    </w:p>
    <w:p w14:paraId="144136C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鉴于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（发包人名称，以下简称“发包人”）接受</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（承包人名称）（以下称“承包人”）于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日参加</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标段施工的投标。我方愿意无条件地、不可撤销地就承包人履行与你方订立的合同，向你方提供担保。</w:t>
      </w:r>
    </w:p>
    <w:p w14:paraId="256D5D6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1.担保金额人民币（大写）</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63EEF13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2.担保有效期自发包人与承包人签订的合同生效之日起至发包人签发交工验收证书且承包人按照合同约定缴纳质量保证金之日止。</w:t>
      </w:r>
    </w:p>
    <w:p w14:paraId="6806602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3.在本担保有效期内，因承包人违反合同约定的义务给你方造成经济损失时，我方在收到你方以书面形式提出的在担保金额内的赔偿要求后，在7天内无条件支付，无须你方出具证明或陈述理由。</w:t>
      </w:r>
    </w:p>
    <w:p w14:paraId="2832C88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4.发包人和承包人按合同条款第15条变更合同时，无论我方是否收到该变更，我方承担本担保规定的义务不变。</w:t>
      </w:r>
    </w:p>
    <w:p w14:paraId="75873759">
      <w:pPr>
        <w:tabs>
          <w:tab w:val="left" w:pos="2790"/>
        </w:tabs>
        <w:spacing w:line="360" w:lineRule="auto"/>
        <w:rPr>
          <w:rFonts w:hint="eastAsia" w:asciiTheme="majorEastAsia" w:hAnsiTheme="majorEastAsia" w:eastAsiaTheme="majorEastAsia" w:cstheme="majorEastAsia"/>
          <w:sz w:val="21"/>
          <w:szCs w:val="21"/>
        </w:rPr>
      </w:pPr>
    </w:p>
    <w:p w14:paraId="7AF079C2">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担 保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4AD78B74">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593EFBA4">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    址：</w:t>
      </w:r>
      <w:r>
        <w:rPr>
          <w:rFonts w:hint="eastAsia" w:asciiTheme="majorEastAsia" w:hAnsiTheme="majorEastAsia" w:eastAsiaTheme="majorEastAsia" w:cstheme="majorEastAsia"/>
          <w:sz w:val="21"/>
          <w:szCs w:val="21"/>
          <w:u w:val="single"/>
        </w:rPr>
        <w:t xml:space="preserve">                               </w:t>
      </w:r>
    </w:p>
    <w:p w14:paraId="32E2327F">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邮政编码：</w:t>
      </w:r>
      <w:r>
        <w:rPr>
          <w:rFonts w:hint="eastAsia" w:asciiTheme="majorEastAsia" w:hAnsiTheme="majorEastAsia" w:eastAsiaTheme="majorEastAsia" w:cstheme="majorEastAsia"/>
          <w:sz w:val="21"/>
          <w:szCs w:val="21"/>
          <w:u w:val="single"/>
        </w:rPr>
        <w:t xml:space="preserve">                               </w:t>
      </w:r>
    </w:p>
    <w:p w14:paraId="32BF44C2">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    话：</w:t>
      </w:r>
      <w:r>
        <w:rPr>
          <w:rFonts w:hint="eastAsia" w:asciiTheme="majorEastAsia" w:hAnsiTheme="majorEastAsia" w:eastAsiaTheme="majorEastAsia" w:cstheme="majorEastAsia"/>
          <w:sz w:val="21"/>
          <w:szCs w:val="21"/>
          <w:u w:val="single"/>
        </w:rPr>
        <w:t xml:space="preserve">                               </w:t>
      </w:r>
    </w:p>
    <w:p w14:paraId="70813140">
      <w:pPr>
        <w:tabs>
          <w:tab w:val="left" w:pos="2790"/>
        </w:tabs>
        <w:spacing w:line="360" w:lineRule="auto"/>
        <w:ind w:firstLine="3675" w:firstLineChars="17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    真：</w:t>
      </w:r>
      <w:r>
        <w:rPr>
          <w:rFonts w:hint="eastAsia" w:asciiTheme="majorEastAsia" w:hAnsiTheme="majorEastAsia" w:eastAsiaTheme="majorEastAsia" w:cstheme="majorEastAsia"/>
          <w:sz w:val="21"/>
          <w:szCs w:val="21"/>
          <w:u w:val="single"/>
        </w:rPr>
        <w:t xml:space="preserve">                               </w:t>
      </w:r>
    </w:p>
    <w:p w14:paraId="384C4510">
      <w:pPr>
        <w:tabs>
          <w:tab w:val="left" w:pos="2790"/>
        </w:tabs>
        <w:spacing w:line="360" w:lineRule="auto"/>
        <w:ind w:firstLine="5985" w:firstLineChars="28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159045E2">
      <w:pPr>
        <w:rPr>
          <w:rFonts w:hint="eastAsia" w:asciiTheme="majorEastAsia" w:hAnsiTheme="majorEastAsia" w:eastAsiaTheme="majorEastAsia" w:cstheme="majorEastAsia"/>
          <w:sz w:val="21"/>
          <w:szCs w:val="21"/>
        </w:rPr>
      </w:pPr>
      <w:bookmarkStart w:id="345" w:name="_Toc9924"/>
      <w:r>
        <w:rPr>
          <w:rFonts w:hint="eastAsia" w:asciiTheme="majorEastAsia" w:hAnsiTheme="majorEastAsia" w:eastAsiaTheme="majorEastAsia" w:cstheme="majorEastAsia"/>
          <w:sz w:val="21"/>
          <w:szCs w:val="21"/>
        </w:rPr>
        <w:br w:type="page"/>
      </w:r>
    </w:p>
    <w:p w14:paraId="71EC1B17">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附件</w:t>
      </w:r>
      <w:r>
        <w:rPr>
          <w:rFonts w:hint="eastAsia" w:asciiTheme="majorEastAsia" w:hAnsiTheme="majorEastAsia" w:eastAsiaTheme="majorEastAsia" w:cstheme="majorEastAsia"/>
          <w:sz w:val="21"/>
          <w:szCs w:val="21"/>
          <w:lang w:eastAsia="zh-CN"/>
        </w:rPr>
        <w:t>七</w:t>
      </w:r>
      <w:r>
        <w:rPr>
          <w:rFonts w:hint="eastAsia" w:asciiTheme="majorEastAsia" w:hAnsiTheme="majorEastAsia" w:eastAsiaTheme="majorEastAsia" w:cstheme="majorEastAsia"/>
          <w:sz w:val="21"/>
          <w:szCs w:val="21"/>
        </w:rPr>
        <w:t xml:space="preserve"> </w:t>
      </w:r>
      <w:bookmarkEnd w:id="345"/>
      <w:bookmarkStart w:id="346" w:name="_Toc7599"/>
      <w:r>
        <w:rPr>
          <w:rFonts w:hint="eastAsia" w:asciiTheme="majorEastAsia" w:hAnsiTheme="majorEastAsia" w:eastAsiaTheme="majorEastAsia" w:cstheme="majorEastAsia"/>
          <w:sz w:val="21"/>
          <w:szCs w:val="21"/>
        </w:rPr>
        <w:t xml:space="preserve"> 工程资金监管协议格式</w:t>
      </w:r>
      <w:bookmarkEnd w:id="346"/>
    </w:p>
    <w:p w14:paraId="5C4F62DB">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（发包人与承包人签订合同协议书时应与发包人指定的银行签署工程资金监管协议，工程资金监管协议内容在保证本项目资金有效监管的前提下由三方共同商定）</w:t>
      </w:r>
    </w:p>
    <w:p w14:paraId="68B39FD4">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47" w:name="_Toc1325"/>
      <w:bookmarkStart w:id="348" w:name="_Toc17256"/>
      <w:r>
        <w:rPr>
          <w:rFonts w:hint="eastAsia" w:ascii="宋体" w:hAnsi="宋体" w:eastAsia="宋体" w:cs="宋体"/>
          <w:bCs w:val="0"/>
          <w:color w:val="auto"/>
          <w:sz w:val="28"/>
          <w:szCs w:val="28"/>
          <w:highlight w:val="none"/>
        </w:rPr>
        <w:t>工程资金监管协议</w:t>
      </w:r>
      <w:bookmarkEnd w:id="347"/>
      <w:bookmarkEnd w:id="348"/>
    </w:p>
    <w:p w14:paraId="74293101">
      <w:pPr>
        <w:tabs>
          <w:tab w:val="left" w:pos="2790"/>
        </w:tabs>
        <w:spacing w:line="360" w:lineRule="auto"/>
        <w:rPr>
          <w:rFonts w:hint="eastAsia" w:asciiTheme="majorEastAsia" w:hAnsiTheme="majorEastAsia" w:eastAsiaTheme="majorEastAsia" w:cstheme="majorEastAsia"/>
          <w:sz w:val="21"/>
          <w:szCs w:val="21"/>
        </w:rPr>
      </w:pPr>
    </w:p>
    <w:p w14:paraId="52023D75">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 包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（以下简称“甲方”）</w:t>
      </w:r>
    </w:p>
    <w:p w14:paraId="3E949D8A">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 包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（以下简称“乙方”）</w:t>
      </w:r>
    </w:p>
    <w:p w14:paraId="6DF3C522">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经办银行：</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（以下简称“丙方”）</w:t>
      </w:r>
    </w:p>
    <w:p w14:paraId="107F67E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为了促进</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（项目名称）的顺利实施，管好用好建设资金，确保工程资金专款专用，同时为承包人提供便捷有效的银行业务服务，根据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（项目名称）合同条款有关规定，经甲、乙、丙三方协商，达成协议如下：</w:t>
      </w:r>
    </w:p>
    <w:p w14:paraId="21DA131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1.资金管理的内容</w:t>
      </w:r>
    </w:p>
    <w:p w14:paraId="07EBEE4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（1）乙方为完成</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（项目名称）工程成立的</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部在丙方开设基本结算户和农民工工资（劳务费）专用帐户；</w:t>
      </w:r>
    </w:p>
    <w:p w14:paraId="2107A56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（2）甲方应按合同规定将工程款（质量保证金除外）汇入乙方在丙方开设的账户；</w:t>
      </w:r>
    </w:p>
    <w:p w14:paraId="1E6A7A9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（3）乙方应将流动资金及甲方所拨付资金专项用于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w:t>
      </w:r>
    </w:p>
    <w:p w14:paraId="609DAEA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（4）丙方应为乙方提供便捷有效的银行业务服务，并接受甲方委托对乙方在丙方开设的基本结算户资金使用情况进行监督。</w:t>
      </w:r>
    </w:p>
    <w:p w14:paraId="45766D4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2.甲方的权责</w:t>
      </w:r>
    </w:p>
    <w:p w14:paraId="66A4671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（项目名称）合同有关条款规定的时间和方式，向乙方支付工程款；</w:t>
      </w:r>
    </w:p>
    <w:p w14:paraId="688F5B1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（2）在发现乙方将本项目资金挪用、转移时，甲方有权中止工程支付，直至乙方改正为止；</w:t>
      </w:r>
    </w:p>
    <w:p w14:paraId="4BBF2EA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（3）不定期审查丙方对乙方的资金使用监督情况，如丙方不能履行其责任，甲方有权随时终止本协议；</w:t>
      </w:r>
    </w:p>
    <w:p w14:paraId="755F07F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（4）在乙、丙双方发生争议时，甲方应负责协调、解决。</w:t>
      </w:r>
    </w:p>
    <w:p w14:paraId="2810883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3.乙方的权责</w:t>
      </w:r>
    </w:p>
    <w:p w14:paraId="7C4606C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部成立以后，乙方应尽快在丙方开设基本结算户；</w:t>
      </w:r>
    </w:p>
    <w:p w14:paraId="2469936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（2）确保本项目资金专款专用，不发生挪用、转移资金的现象；保证不通过权益转让、抵押、担保承担债务等任何其他方式使用基本结算户的资金；</w:t>
      </w:r>
    </w:p>
    <w:p w14:paraId="28BBF32E">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（3）办理材料、设备等采购业务金额在</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万元以上的，应出示购货合同、协议和发票；在办理总额超过</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万元以上的采购业务时，应将合同、协议和发票复印件送丙方备案；购买应急材料、设备时可先办理支付手续，但事后必须补备有关资料；</w:t>
      </w:r>
    </w:p>
    <w:p w14:paraId="31C694D7">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（4）用银行转账支票办理支付款项时，必须将转账支票送交丙方，由丙方负责办理支票转付手续；</w:t>
      </w:r>
    </w:p>
    <w:p w14:paraId="762FD062">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（5）向分包单位支付工程进度款时，应附甲方批准分包的文件；</w:t>
      </w:r>
    </w:p>
    <w:p w14:paraId="74C0D26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（6）向上级单位缴纳管理费、机械设备及周转材料租赁摊销费等款项时，应附上级单位出具的转账通知等有关资料，以确保资金专款专用。</w:t>
      </w:r>
    </w:p>
    <w:p w14:paraId="1AF5EAC6">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（7）开设农民工工资（劳务费）专用帐户，并委托丙方负责日常监管，确保专款专用。</w:t>
      </w:r>
    </w:p>
    <w:p w14:paraId="66B9442F">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4.丙方的权责</w:t>
      </w:r>
    </w:p>
    <w:p w14:paraId="26FD5288">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（1）成立</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（项目名称）工程资金管理服务小组，明确业务流程，提高工作效率，杜绝“压票”现象；</w:t>
      </w:r>
    </w:p>
    <w:p w14:paraId="6DAD7E44">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（2）根据乙方提供的购货合同、协议和发票，检查其所购材料、设备是否用于（项目名称）工程建设，对本标段以外的购货款项，有权拒绝办理，并及时报告甲方；</w:t>
      </w:r>
    </w:p>
    <w:p w14:paraId="7390A33C">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（3）根据乙方与分包单位签订的合同及支付文件，检查其支付款项是否符合有关条件，向分包单位以外单位的支付有权拒绝办理，并及时报告甲方；</w:t>
      </w:r>
    </w:p>
    <w:p w14:paraId="73E16D65">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（4）根据乙方提供的上级单位出具的转账通知等有关资料，办理管理费、机械设备及周转材料租赁摊销费等款项的支付；对超出转账通知等有关资料以外的支付，有权拒绝办理，并及时报告甲方；</w:t>
      </w:r>
    </w:p>
    <w:p w14:paraId="2DECA84A">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（5）定期将乙方前一个周期的支付情况，整理后书面报送甲方；乙方复印备案的材料一并送甲方；</w:t>
      </w:r>
    </w:p>
    <w:p w14:paraId="3A320C6D">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（6）监管乙方开设的农民工工资（劳务费）专用帐户，确保专款专用。</w:t>
      </w:r>
    </w:p>
    <w:p w14:paraId="07E11DE9">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5.甲、乙、丙三方都应履行保密责任，不得将其他两方的业务情况透露给三方以外的其他单位或个人。</w:t>
      </w:r>
    </w:p>
    <w:p w14:paraId="162BCED0">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6.本协议有效期自乙方在丙方开户起，至工程交工验收甲方向乙方颁发交工验收证书后结束。</w:t>
      </w:r>
    </w:p>
    <w:p w14:paraId="7DAA7731">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7.本协议未尽事宜，由甲方牵头，三方协商解决。</w:t>
      </w:r>
    </w:p>
    <w:p w14:paraId="56774693">
      <w:pPr>
        <w:tabs>
          <w:tab w:val="left" w:pos="2790"/>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8.本协议正本三份、副本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份。合同三方各执正本一份、副本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份，当正本与副本内容不一致时，以正本为准。</w:t>
      </w:r>
    </w:p>
    <w:p w14:paraId="0EFFDA59">
      <w:pPr>
        <w:tabs>
          <w:tab w:val="left" w:pos="2790"/>
        </w:tabs>
        <w:spacing w:before="120" w:beforeLines="50" w:line="360" w:lineRule="auto"/>
        <w:ind w:firstLine="420" w:firstLineChars="200"/>
        <w:rPr>
          <w:rFonts w:hint="eastAsia" w:asciiTheme="majorEastAsia" w:hAnsiTheme="majorEastAsia" w:eastAsiaTheme="majorEastAsia" w:cstheme="majorEastAsia"/>
          <w:sz w:val="21"/>
          <w:szCs w:val="21"/>
        </w:rPr>
      </w:pPr>
    </w:p>
    <w:p w14:paraId="34E6526D">
      <w:pPr>
        <w:tabs>
          <w:tab w:val="left" w:pos="2790"/>
        </w:tabs>
        <w:spacing w:before="120" w:beforeLines="50" w:line="360" w:lineRule="auto"/>
        <w:rPr>
          <w:rFonts w:hint="eastAsia" w:asciiTheme="majorEastAsia" w:hAnsiTheme="majorEastAsia" w:eastAsiaTheme="majorEastAsia" w:cstheme="majorEastAsia"/>
          <w:sz w:val="21"/>
          <w:szCs w:val="21"/>
        </w:rPr>
      </w:pPr>
    </w:p>
    <w:p w14:paraId="3BC49668">
      <w:pPr>
        <w:tabs>
          <w:tab w:val="left" w:pos="2790"/>
        </w:tabs>
        <w:spacing w:before="120" w:beforeLines="50"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14B5DAFE">
      <w:pPr>
        <w:tabs>
          <w:tab w:val="left" w:pos="2790"/>
        </w:tabs>
        <w:spacing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6E9B2F2F">
      <w:pPr>
        <w:tabs>
          <w:tab w:val="left" w:pos="2790"/>
        </w:tabs>
        <w:spacing w:line="360" w:lineRule="auto"/>
        <w:ind w:left="3543" w:leftChars="1687" w:firstLine="2310" w:firstLineChars="1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0EA612D1">
      <w:pPr>
        <w:tabs>
          <w:tab w:val="left" w:pos="2790"/>
        </w:tabs>
        <w:spacing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7A1A9B2A">
      <w:pPr>
        <w:tabs>
          <w:tab w:val="left" w:pos="2790"/>
        </w:tabs>
        <w:spacing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3F68887C">
      <w:pPr>
        <w:tabs>
          <w:tab w:val="left" w:pos="2790"/>
        </w:tabs>
        <w:spacing w:line="360" w:lineRule="auto"/>
        <w:ind w:left="3543" w:leftChars="1687" w:firstLine="2310" w:firstLineChars="1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265271F5">
      <w:pPr>
        <w:tabs>
          <w:tab w:val="left" w:pos="2790"/>
        </w:tabs>
        <w:spacing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经办银行：</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71FCD182">
      <w:pPr>
        <w:tabs>
          <w:tab w:val="left" w:pos="2790"/>
        </w:tabs>
        <w:spacing w:line="360" w:lineRule="auto"/>
        <w:ind w:left="3543" w:leftChars="1687"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0DBDF34B">
      <w:pPr>
        <w:tabs>
          <w:tab w:val="left" w:pos="2790"/>
        </w:tabs>
        <w:spacing w:line="360" w:lineRule="auto"/>
        <w:ind w:left="3543" w:leftChars="1687" w:firstLine="2310" w:firstLineChars="1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41845ED5">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49" w:name="_Toc32665"/>
      <w:r>
        <w:rPr>
          <w:rFonts w:hint="eastAsia" w:asciiTheme="majorEastAsia" w:hAnsiTheme="majorEastAsia" w:eastAsiaTheme="majorEastAsia" w:cstheme="majorEastAsia"/>
          <w:sz w:val="21"/>
          <w:szCs w:val="21"/>
        </w:rPr>
        <w:t>附件</w:t>
      </w:r>
      <w:r>
        <w:rPr>
          <w:rFonts w:hint="eastAsia" w:asciiTheme="majorEastAsia" w:hAnsiTheme="majorEastAsia" w:eastAsiaTheme="majorEastAsia" w:cstheme="majorEastAsia"/>
          <w:sz w:val="21"/>
          <w:szCs w:val="21"/>
          <w:lang w:val="en-US" w:eastAsia="zh-CN"/>
        </w:rPr>
        <w:t>八</w:t>
      </w:r>
      <w:r>
        <w:rPr>
          <w:rFonts w:hint="eastAsia" w:asciiTheme="majorEastAsia" w:hAnsiTheme="majorEastAsia" w:eastAsiaTheme="majorEastAsia" w:cstheme="majorEastAsia"/>
          <w:sz w:val="21"/>
          <w:szCs w:val="21"/>
        </w:rPr>
        <w:t xml:space="preserve">  工程质量责任合同</w:t>
      </w:r>
      <w:bookmarkEnd w:id="349"/>
    </w:p>
    <w:p w14:paraId="09D6FFC9">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50" w:name="_Toc32536"/>
      <w:bookmarkStart w:id="351" w:name="_Toc27013"/>
      <w:r>
        <w:rPr>
          <w:rFonts w:hint="eastAsia" w:ascii="宋体" w:hAnsi="宋体" w:eastAsia="宋体" w:cs="宋体"/>
          <w:bCs w:val="0"/>
          <w:color w:val="auto"/>
          <w:sz w:val="28"/>
          <w:szCs w:val="28"/>
          <w:highlight w:val="none"/>
        </w:rPr>
        <w:t>工程质量责任合同</w:t>
      </w:r>
      <w:bookmarkEnd w:id="350"/>
      <w:bookmarkEnd w:id="351"/>
    </w:p>
    <w:p w14:paraId="05DC9EE3">
      <w:pPr>
        <w:tabs>
          <w:tab w:val="left" w:pos="2790"/>
        </w:tabs>
        <w:spacing w:line="360" w:lineRule="auto"/>
        <w:jc w:val="center"/>
        <w:rPr>
          <w:rFonts w:hint="eastAsia" w:asciiTheme="majorEastAsia" w:hAnsiTheme="majorEastAsia" w:eastAsiaTheme="majorEastAsia" w:cstheme="majorEastAsia"/>
          <w:sz w:val="21"/>
          <w:szCs w:val="21"/>
        </w:rPr>
      </w:pPr>
    </w:p>
    <w:p w14:paraId="73B98B87">
      <w:pPr>
        <w:spacing w:line="360" w:lineRule="auto"/>
        <w:jc w:val="center"/>
        <w:rPr>
          <w:rFonts w:hint="eastAsia" w:asciiTheme="majorEastAsia" w:hAnsiTheme="majorEastAsia" w:eastAsiaTheme="majorEastAsia" w:cstheme="majorEastAsia"/>
          <w:sz w:val="21"/>
          <w:szCs w:val="21"/>
        </w:rPr>
      </w:pPr>
    </w:p>
    <w:p w14:paraId="33BD2781">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根据国务院《建设工程质量管理条例》，为保证在设计使用年限内建设工程质量， </w:t>
      </w:r>
      <w:r>
        <w:rPr>
          <w:rFonts w:hint="eastAsia" w:asciiTheme="majorEastAsia" w:hAnsiTheme="majorEastAsia" w:eastAsiaTheme="majorEastAsia" w:cstheme="majorEastAsia"/>
          <w:sz w:val="21"/>
          <w:szCs w:val="21"/>
          <w:u w:val="single"/>
        </w:rPr>
        <w:t xml:space="preserve"> （项目名称）  </w:t>
      </w:r>
      <w:r>
        <w:rPr>
          <w:rFonts w:hint="eastAsia" w:asciiTheme="majorEastAsia" w:hAnsiTheme="majorEastAsia" w:eastAsiaTheme="majorEastAsia" w:cstheme="majorEastAsia"/>
          <w:sz w:val="21"/>
          <w:szCs w:val="21"/>
        </w:rPr>
        <w:t>的发包人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（以下称甲方）与承包人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（以下称乙方），特订立如下质量责任合同。</w:t>
      </w:r>
    </w:p>
    <w:p w14:paraId="03316EAB">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第一条  本建设工程项目的质量目标为标段工程交工验收的质量评定：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；标段工程竣工验收的质量评定：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，承包人对本建设工程的施工质量在设计使用年限内依法终身负责。施工质量责任人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01FF3752">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第二条  甲乙双方的权利与义务</w:t>
      </w:r>
    </w:p>
    <w:p w14:paraId="2A26C363">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（一）严格遵守国家有关法律法规及交通运输部、浙江省交通运输厅的有关规定。</w:t>
      </w:r>
    </w:p>
    <w:p w14:paraId="4F820173">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（二）严格执行</w:t>
      </w:r>
      <w:r>
        <w:rPr>
          <w:rFonts w:hint="eastAsia" w:asciiTheme="majorEastAsia" w:hAnsiTheme="majorEastAsia" w:eastAsiaTheme="majorEastAsia" w:cstheme="majorEastAsia"/>
          <w:sz w:val="21"/>
          <w:szCs w:val="21"/>
          <w:u w:val="single"/>
        </w:rPr>
        <w:t xml:space="preserve">  （项目名称）  </w:t>
      </w:r>
      <w:r>
        <w:rPr>
          <w:rFonts w:hint="eastAsia" w:asciiTheme="majorEastAsia" w:hAnsiTheme="majorEastAsia" w:eastAsiaTheme="majorEastAsia" w:cstheme="majorEastAsia"/>
          <w:sz w:val="21"/>
          <w:szCs w:val="21"/>
        </w:rPr>
        <w:t>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标段施工合同文件，自觉按合同办事。</w:t>
      </w:r>
    </w:p>
    <w:p w14:paraId="2AC69676">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（三）双方的施工业务活动必须坚持科学、公正、诚信、平等的原则，不得损害国家、集体的利益，不得违反工程建设管理规章制度。</w:t>
      </w:r>
    </w:p>
    <w:p w14:paraId="641FE6BC">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（四）发现对方在施工业务活动中，有违反有关规定的行为，有及时提醒对方纠正的权利和义务。</w:t>
      </w:r>
    </w:p>
    <w:p w14:paraId="5044513E">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（五）发现对方严重违反施工合同文件的行为，有向其上级有关部门举报，建议给予处理并要求告知处理结果的权利。</w:t>
      </w:r>
    </w:p>
    <w:p w14:paraId="5ECFDD1E">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第三条  甲方的义务</w:t>
      </w:r>
    </w:p>
    <w:p w14:paraId="4ED0BF18">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（一）甲方向乙方及时提供有关资料（包括技术规范、工程量清单、施工图等。）</w:t>
      </w:r>
    </w:p>
    <w:p w14:paraId="768C628D">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（二）甲方向乙方及时提供建设用地，及时解决对工程占地范围以内尚未拆迁的建筑物及其他障碍物。</w:t>
      </w:r>
    </w:p>
    <w:p w14:paraId="2FB65D0A">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（三）甲方应向乙方提供主要原材料和产品质量的检验标准和检测频率，重点明确主要受力构件产品平行抽检和见证检验的要求。</w:t>
      </w:r>
    </w:p>
    <w:p w14:paraId="441813ED">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（四）甲方不得指使乙方不按法律、法规、工程建设强制性标准和施工规范进行工程的施工活动。</w:t>
      </w:r>
    </w:p>
    <w:p w14:paraId="0CCB4233">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（五）甲方须按施工合同的约定支付工程款，除施工合同的约定外，甲方不得以任何借口克扣工程款或拖延工程款的支付。</w:t>
      </w:r>
    </w:p>
    <w:p w14:paraId="6344C86F">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（六）甲方不得明示或暗示向乙方推荐单位或个人承包或分包本工程项目的施工任务。</w:t>
      </w:r>
    </w:p>
    <w:p w14:paraId="72FCC121">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（七）甲方不得以任何理由索取回扣或其它好处。</w:t>
      </w:r>
    </w:p>
    <w:p w14:paraId="6E034C11">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第四条  乙方的义务</w:t>
      </w:r>
    </w:p>
    <w:p w14:paraId="0A0769C8">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（一）乙方应具备与本工程项目相应等级的施工资质证书。</w:t>
      </w:r>
    </w:p>
    <w:p w14:paraId="0E22416D">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（二）乙方不得允许其它单位或个人以乙方的名义承揽本工程项目的施工任务，不得转包或违法分包所承揽的本工程的项目施工任务。</w:t>
      </w:r>
    </w:p>
    <w:p w14:paraId="0F873191">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（三）乙方必须严格履行施工合同，按投标承诺的施工技术人员及时到位。施工技术人员原则上不得擅自调换，如有特殊原因确需调换的，须经发包人书面同意方能换人。</w:t>
      </w:r>
    </w:p>
    <w:p w14:paraId="2B20F843">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（四）乙方应配备专职的质量管理人员。</w:t>
      </w:r>
    </w:p>
    <w:p w14:paraId="18767CBF">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（五）乙方必须建立工地临时试验室，按要求配合相应的试验检测人员和设备，并取得工地临时试验室资质证书。按有关规定做好各类试验，试验资料应真实、完整，统一归档。</w:t>
      </w:r>
    </w:p>
    <w:p w14:paraId="64648BAF">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（六）乙方必须按照工程设计图纸和施工技术规范施工，不得擅自修改工程设计，不得偷工减料。</w:t>
      </w:r>
    </w:p>
    <w:p w14:paraId="1738B56B">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（七）乙方在施工过程中发现设计文件和图纸有差错的，应当及时提出意见和建议。</w:t>
      </w:r>
    </w:p>
    <w:p w14:paraId="7E0B7D4B">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（八）乙方与甲方、承包人或指定分包人之间有关工程质量、进度和费用的一切往来函件、报表均应分类编号归档保存；施工技术资料应真实、完整。</w:t>
      </w:r>
    </w:p>
    <w:p w14:paraId="39235E2E">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乙方应加强对甲方按合同规定采购的材料和设备的检验，对涉及结构安全的锚夹具、支座、吊杆（索）等受力构件产品检测，应当在甲方或者监理单位见证下现场取样，对检验不合格的产品，乙方应拒绝使用。</w:t>
      </w:r>
    </w:p>
    <w:p w14:paraId="22240D17">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（十）乙方不得暗示材料、设备供应单位提供使用不合格或质量低劣的材料、设备。</w:t>
      </w:r>
    </w:p>
    <w:p w14:paraId="490BBA19">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第五条  违约责任</w:t>
      </w:r>
    </w:p>
    <w:p w14:paraId="5BAC3027">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（一）甲方及其工作人员违反本合同第二、三条，按管理权限，依据国务院《建设工程质量管理条例》有关规定给予相应的处罚；涉嫌犯罪的，依法追究刑事责任；给乙方单位造成经济损失的，应予以赔偿。</w:t>
      </w:r>
    </w:p>
    <w:p w14:paraId="13730789">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（二）乙方及其工作人员违反本合同第二、四条，按管理权限，依据国务院《建设工程质量管理条例》有关规定给予相应的处罚；涉嫌犯罪的，依法追究刑事责任；给甲方单位造成经济损失的，应予以赔偿。</w:t>
      </w:r>
    </w:p>
    <w:p w14:paraId="2FE5D829">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第六条  本合同有效期为甲乙双方自签署之日起至该工程项目设计使用年限之日止。</w:t>
      </w:r>
    </w:p>
    <w:p w14:paraId="42EC29BC">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第七条  本合同作为</w:t>
      </w:r>
      <w:r>
        <w:rPr>
          <w:rFonts w:hint="eastAsia" w:asciiTheme="majorEastAsia" w:hAnsiTheme="majorEastAsia" w:eastAsiaTheme="majorEastAsia" w:cstheme="majorEastAsia"/>
          <w:sz w:val="21"/>
          <w:szCs w:val="21"/>
          <w:u w:val="single"/>
        </w:rPr>
        <w:t xml:space="preserve">  （项目名称）  </w:t>
      </w:r>
      <w:r>
        <w:rPr>
          <w:rFonts w:hint="eastAsia" w:asciiTheme="majorEastAsia" w:hAnsiTheme="majorEastAsia" w:eastAsiaTheme="majorEastAsia" w:cstheme="majorEastAsia"/>
          <w:sz w:val="21"/>
          <w:szCs w:val="21"/>
        </w:rPr>
        <w:t>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标段施工合同附件，与工程施工合同具有同等的法律效力，经合同双方签署后立即生效。</w:t>
      </w:r>
    </w:p>
    <w:p w14:paraId="78DBA157">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第八条  本合同正本二份、副本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份，合同双方各执正本一份，副本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份，当正本与副本的内容不一致时，以正本为准。</w:t>
      </w:r>
    </w:p>
    <w:p w14:paraId="26056683">
      <w:pPr>
        <w:spacing w:line="360" w:lineRule="auto"/>
        <w:rPr>
          <w:rFonts w:hint="eastAsia" w:asciiTheme="majorEastAsia" w:hAnsiTheme="majorEastAsia" w:eastAsiaTheme="majorEastAsia" w:cstheme="majorEastAsia"/>
          <w:sz w:val="21"/>
          <w:szCs w:val="21"/>
        </w:rPr>
      </w:pPr>
    </w:p>
    <w:p w14:paraId="3B7E7CCD">
      <w:pPr>
        <w:tabs>
          <w:tab w:val="left" w:pos="2790"/>
        </w:tabs>
        <w:spacing w:line="360" w:lineRule="auto"/>
        <w:ind w:firstLine="420" w:firstLineChars="200"/>
        <w:rPr>
          <w:rFonts w:hint="eastAsia" w:asciiTheme="majorEastAsia" w:hAnsiTheme="majorEastAsia" w:eastAsiaTheme="majorEastAsia" w:cstheme="majorEastAsia"/>
          <w:sz w:val="21"/>
          <w:szCs w:val="21"/>
        </w:rPr>
      </w:pPr>
    </w:p>
    <w:p w14:paraId="38CB2841">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发包人：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     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79EC6FD1">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     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137B010F">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日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5783B131">
      <w:pPr>
        <w:tabs>
          <w:tab w:val="left" w:pos="2790"/>
        </w:tabs>
        <w:spacing w:line="360" w:lineRule="auto"/>
        <w:outlineLvl w:val="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bookmarkStart w:id="352" w:name="_Toc29133"/>
      <w:r>
        <w:rPr>
          <w:rFonts w:hint="eastAsia" w:asciiTheme="majorEastAsia" w:hAnsiTheme="majorEastAsia" w:eastAsiaTheme="majorEastAsia" w:cstheme="majorEastAsia"/>
          <w:sz w:val="21"/>
          <w:szCs w:val="21"/>
        </w:rPr>
        <w:t>附件</w:t>
      </w:r>
      <w:r>
        <w:rPr>
          <w:rFonts w:hint="eastAsia" w:asciiTheme="majorEastAsia" w:hAnsiTheme="majorEastAsia" w:eastAsiaTheme="majorEastAsia" w:cstheme="majorEastAsia"/>
          <w:sz w:val="21"/>
          <w:szCs w:val="21"/>
          <w:lang w:val="en-US" w:eastAsia="zh-CN"/>
        </w:rPr>
        <w:t>九</w:t>
      </w:r>
      <w:r>
        <w:rPr>
          <w:rFonts w:hint="eastAsia" w:asciiTheme="majorEastAsia" w:hAnsiTheme="majorEastAsia" w:eastAsiaTheme="majorEastAsia" w:cstheme="majorEastAsia"/>
          <w:sz w:val="21"/>
          <w:szCs w:val="21"/>
        </w:rPr>
        <w:t xml:space="preserve">  项目图纸资料保密承诺书格式</w:t>
      </w:r>
      <w:bookmarkEnd w:id="352"/>
    </w:p>
    <w:p w14:paraId="3A603300">
      <w:pPr>
        <w:spacing w:line="360" w:lineRule="auto"/>
        <w:jc w:val="center"/>
        <w:rPr>
          <w:rFonts w:hint="eastAsia" w:asciiTheme="majorEastAsia" w:hAnsiTheme="majorEastAsia" w:eastAsiaTheme="majorEastAsia" w:cstheme="majorEastAsia"/>
          <w:sz w:val="21"/>
          <w:szCs w:val="21"/>
        </w:rPr>
      </w:pPr>
    </w:p>
    <w:p w14:paraId="557DA5AA">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53" w:name="_Toc28114"/>
      <w:bookmarkStart w:id="354" w:name="_Toc24035"/>
      <w:r>
        <w:rPr>
          <w:rFonts w:hint="eastAsia" w:ascii="宋体" w:hAnsi="宋体" w:eastAsia="宋体" w:cs="宋体"/>
          <w:bCs w:val="0"/>
          <w:color w:val="auto"/>
          <w:sz w:val="28"/>
          <w:szCs w:val="28"/>
          <w:highlight w:val="none"/>
        </w:rPr>
        <w:t>项目图纸资料保密承诺书</w:t>
      </w:r>
      <w:bookmarkEnd w:id="353"/>
      <w:bookmarkEnd w:id="354"/>
    </w:p>
    <w:p w14:paraId="4351E006">
      <w:pPr>
        <w:spacing w:line="360" w:lineRule="auto"/>
        <w:jc w:val="center"/>
        <w:rPr>
          <w:rFonts w:hint="eastAsia" w:asciiTheme="majorEastAsia" w:hAnsiTheme="majorEastAsia" w:eastAsiaTheme="majorEastAsia" w:cstheme="majorEastAsia"/>
          <w:sz w:val="21"/>
          <w:szCs w:val="21"/>
        </w:rPr>
      </w:pPr>
    </w:p>
    <w:p w14:paraId="19A3898E">
      <w:pPr>
        <w:spacing w:line="360" w:lineRule="auto"/>
        <w:jc w:val="center"/>
        <w:rPr>
          <w:rFonts w:hint="eastAsia" w:asciiTheme="majorEastAsia" w:hAnsiTheme="majorEastAsia" w:eastAsiaTheme="majorEastAsia" w:cstheme="majorEastAsia"/>
          <w:sz w:val="21"/>
          <w:szCs w:val="21"/>
        </w:rPr>
      </w:pPr>
    </w:p>
    <w:p w14:paraId="03C507C1">
      <w:pPr>
        <w:spacing w:line="360" w:lineRule="auto"/>
        <w:ind w:firstLine="480"/>
        <w:rPr>
          <w:rFonts w:hint="eastAsia" w:asciiTheme="majorEastAsia" w:hAnsiTheme="majorEastAsia" w:eastAsiaTheme="majorEastAsia" w:cstheme="majorEastAsia"/>
          <w:sz w:val="21"/>
          <w:szCs w:val="21"/>
        </w:rPr>
      </w:pPr>
    </w:p>
    <w:p w14:paraId="35BEDDAF">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______________________（承包人名称）将完善________________________（项目名称）工程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w:t>
      </w:r>
    </w:p>
    <w:p w14:paraId="5A1B39D4">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特此承诺。</w:t>
      </w:r>
    </w:p>
    <w:p w14:paraId="67A9E8B0">
      <w:pPr>
        <w:spacing w:line="360" w:lineRule="auto"/>
        <w:ind w:firstLine="480"/>
        <w:rPr>
          <w:rFonts w:hint="eastAsia" w:asciiTheme="majorEastAsia" w:hAnsiTheme="majorEastAsia" w:eastAsiaTheme="majorEastAsia" w:cstheme="majorEastAsia"/>
          <w:sz w:val="21"/>
          <w:szCs w:val="21"/>
        </w:rPr>
      </w:pPr>
    </w:p>
    <w:p w14:paraId="6B857398">
      <w:pPr>
        <w:tabs>
          <w:tab w:val="left" w:pos="2790"/>
        </w:tabs>
        <w:spacing w:line="360" w:lineRule="auto"/>
        <w:ind w:left="4393" w:leftChars="209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承包人：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（盖单位章）</w:t>
      </w:r>
    </w:p>
    <w:p w14:paraId="4C509826">
      <w:pPr>
        <w:tabs>
          <w:tab w:val="left" w:pos="2790"/>
        </w:tabs>
        <w:spacing w:line="360" w:lineRule="auto"/>
        <w:ind w:left="4393" w:leftChars="209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4D18E28F">
      <w:pPr>
        <w:tabs>
          <w:tab w:val="left" w:pos="2790"/>
        </w:tabs>
        <w:spacing w:line="360" w:lineRule="auto"/>
        <w:ind w:left="4393" w:leftChars="209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5DE24DA9">
      <w:pPr>
        <w:tabs>
          <w:tab w:val="left" w:pos="2790"/>
        </w:tabs>
        <w:spacing w:line="360" w:lineRule="auto"/>
        <w:rPr>
          <w:rFonts w:hint="eastAsia" w:asciiTheme="majorEastAsia" w:hAnsiTheme="majorEastAsia" w:eastAsiaTheme="majorEastAsia" w:cstheme="majorEastAsia"/>
          <w:sz w:val="21"/>
          <w:szCs w:val="21"/>
        </w:rPr>
      </w:pPr>
    </w:p>
    <w:p w14:paraId="46339F95">
      <w:pPr>
        <w:widowControl/>
        <w:spacing w:line="36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2EAB5695">
      <w:pPr>
        <w:tabs>
          <w:tab w:val="left" w:pos="2790"/>
        </w:tabs>
        <w:spacing w:line="360" w:lineRule="auto"/>
        <w:outlineLvl w:val="2"/>
        <w:rPr>
          <w:rFonts w:hint="eastAsia" w:asciiTheme="majorEastAsia" w:hAnsiTheme="majorEastAsia" w:eastAsiaTheme="majorEastAsia" w:cstheme="majorEastAsia"/>
          <w:sz w:val="21"/>
          <w:szCs w:val="21"/>
        </w:rPr>
      </w:pPr>
      <w:bookmarkStart w:id="355" w:name="_Toc20365"/>
      <w:r>
        <w:rPr>
          <w:rFonts w:hint="eastAsia" w:asciiTheme="majorEastAsia" w:hAnsiTheme="majorEastAsia" w:eastAsiaTheme="majorEastAsia" w:cstheme="majorEastAsia"/>
          <w:sz w:val="21"/>
          <w:szCs w:val="21"/>
        </w:rPr>
        <w:t>附件十 相关人员在职承诺书格式</w:t>
      </w:r>
      <w:bookmarkEnd w:id="355"/>
    </w:p>
    <w:p w14:paraId="11E07510">
      <w:pPr>
        <w:spacing w:line="360" w:lineRule="auto"/>
        <w:jc w:val="center"/>
        <w:rPr>
          <w:rFonts w:hint="eastAsia" w:asciiTheme="majorEastAsia" w:hAnsiTheme="majorEastAsia" w:eastAsiaTheme="majorEastAsia" w:cstheme="majorEastAsia"/>
          <w:sz w:val="21"/>
          <w:szCs w:val="21"/>
        </w:rPr>
      </w:pPr>
    </w:p>
    <w:p w14:paraId="3E5382E3">
      <w:pPr>
        <w:pStyle w:val="4"/>
        <w:keepNext/>
        <w:keepLines/>
        <w:pageBreakBefore w:val="0"/>
        <w:widowControl w:val="0"/>
        <w:tabs>
          <w:tab w:val="left" w:pos="0"/>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Cs w:val="0"/>
          <w:color w:val="auto"/>
          <w:sz w:val="28"/>
          <w:szCs w:val="28"/>
          <w:highlight w:val="none"/>
        </w:rPr>
      </w:pPr>
      <w:bookmarkStart w:id="356" w:name="_Toc3311"/>
      <w:bookmarkStart w:id="357" w:name="_Toc9740"/>
      <w:r>
        <w:rPr>
          <w:rFonts w:hint="eastAsia" w:ascii="宋体" w:hAnsi="宋体" w:eastAsia="宋体" w:cs="宋体"/>
          <w:bCs w:val="0"/>
          <w:color w:val="auto"/>
          <w:sz w:val="28"/>
          <w:szCs w:val="28"/>
          <w:highlight w:val="none"/>
        </w:rPr>
        <w:t>承诺书</w:t>
      </w:r>
      <w:bookmarkEnd w:id="356"/>
      <w:bookmarkEnd w:id="357"/>
    </w:p>
    <w:p w14:paraId="1C3EBE50">
      <w:pPr>
        <w:spacing w:line="360" w:lineRule="auto"/>
        <w:jc w:val="center"/>
        <w:rPr>
          <w:rFonts w:hint="eastAsia" w:asciiTheme="majorEastAsia" w:hAnsiTheme="majorEastAsia" w:eastAsiaTheme="majorEastAsia" w:cstheme="majorEastAsia"/>
          <w:sz w:val="21"/>
          <w:szCs w:val="21"/>
        </w:rPr>
      </w:pPr>
    </w:p>
    <w:p w14:paraId="5F9078BD">
      <w:pPr>
        <w:spacing w:line="360" w:lineRule="auto"/>
        <w:jc w:val="center"/>
        <w:rPr>
          <w:rFonts w:hint="eastAsia" w:asciiTheme="majorEastAsia" w:hAnsiTheme="majorEastAsia" w:eastAsiaTheme="majorEastAsia" w:cstheme="majorEastAsia"/>
          <w:sz w:val="21"/>
          <w:szCs w:val="21"/>
        </w:rPr>
      </w:pPr>
    </w:p>
    <w:p w14:paraId="5C880ADB">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致：（发包人名称）：</w:t>
      </w:r>
    </w:p>
    <w:p w14:paraId="35356488">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本人作为</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/项目技术负责人/安全负责人，同意按招标文件规定到位，若有更换，同意按《浙江省公路水运建设工程从业主体信用评价管理细则》扣分或纳入负面清单管理。</w:t>
      </w:r>
    </w:p>
    <w:p w14:paraId="68A64F25">
      <w:pPr>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特此承诺。</w:t>
      </w:r>
    </w:p>
    <w:p w14:paraId="1FC83989">
      <w:pPr>
        <w:spacing w:line="360" w:lineRule="auto"/>
        <w:ind w:firstLine="480"/>
        <w:rPr>
          <w:rFonts w:hint="eastAsia" w:asciiTheme="majorEastAsia" w:hAnsiTheme="majorEastAsia" w:eastAsiaTheme="majorEastAsia" w:cstheme="majorEastAsia"/>
          <w:sz w:val="21"/>
          <w:szCs w:val="21"/>
        </w:rPr>
      </w:pPr>
    </w:p>
    <w:p w14:paraId="3B2BB9C4">
      <w:pPr>
        <w:tabs>
          <w:tab w:val="left" w:pos="2790"/>
        </w:tabs>
        <w:spacing w:line="360" w:lineRule="auto"/>
        <w:ind w:left="4393" w:leftChars="209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承诺人：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5186D607">
      <w:pPr>
        <w:tabs>
          <w:tab w:val="left" w:pos="2790"/>
        </w:tabs>
        <w:spacing w:line="360" w:lineRule="auto"/>
        <w:ind w:left="4393" w:leftChars="2092"/>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140EA554">
      <w:pPr>
        <w:tabs>
          <w:tab w:val="left" w:pos="2790"/>
        </w:tabs>
        <w:spacing w:line="360" w:lineRule="auto"/>
        <w:rPr>
          <w:rFonts w:hint="eastAsia" w:asciiTheme="majorEastAsia" w:hAnsiTheme="majorEastAsia" w:eastAsiaTheme="majorEastAsia" w:cstheme="majorEastAsia"/>
          <w:sz w:val="21"/>
          <w:szCs w:val="21"/>
        </w:rPr>
      </w:pPr>
    </w:p>
    <w:p w14:paraId="1533EBAD">
      <w:pPr>
        <w:tabs>
          <w:tab w:val="left" w:pos="2790"/>
        </w:tabs>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w:t>
      </w:r>
      <w:r>
        <w:rPr>
          <w:rFonts w:hint="eastAsia" w:asciiTheme="majorEastAsia" w:hAnsiTheme="majorEastAsia" w:eastAsiaTheme="majorEastAsia" w:cstheme="majorEastAsia"/>
          <w:sz w:val="21"/>
          <w:szCs w:val="21"/>
          <w:lang w:eastAsia="zh-CN"/>
        </w:rPr>
        <w:t>项目负责人</w:t>
      </w:r>
      <w:r>
        <w:rPr>
          <w:rFonts w:hint="eastAsia" w:asciiTheme="majorEastAsia" w:hAnsiTheme="majorEastAsia" w:eastAsiaTheme="majorEastAsia" w:cstheme="majorEastAsia"/>
          <w:sz w:val="21"/>
          <w:szCs w:val="21"/>
        </w:rPr>
        <w:t>、项目技术负责人、安全负责人应分别作出承诺。</w:t>
      </w:r>
    </w:p>
    <w:p w14:paraId="33153603">
      <w:pPr>
        <w:spacing w:line="360" w:lineRule="auto"/>
        <w:jc w:val="center"/>
        <w:rPr>
          <w:rFonts w:hint="eastAsia" w:ascii="宋体" w:hAnsi="宋体" w:cs="宋体"/>
          <w:b/>
          <w:bCs/>
          <w:sz w:val="32"/>
          <w:szCs w:val="32"/>
          <w:highlight w:val="none"/>
          <w:lang w:eastAsia="zh-CN"/>
        </w:rPr>
      </w:pPr>
    </w:p>
    <w:p w14:paraId="55F3C48B">
      <w:pPr>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p>
    <w:p w14:paraId="150C07F9">
      <w:pPr>
        <w:pStyle w:val="3"/>
        <w:spacing w:before="0" w:after="0" w:line="360" w:lineRule="auto"/>
        <w:jc w:val="center"/>
        <w:rPr>
          <w:rFonts w:hint="eastAsia" w:ascii="宋体" w:hAnsi="宋体" w:cs="宋体"/>
          <w:sz w:val="32"/>
          <w:szCs w:val="32"/>
          <w:highlight w:val="none"/>
        </w:rPr>
      </w:pPr>
      <w:bookmarkStart w:id="358" w:name="_Toc15286"/>
      <w:r>
        <w:rPr>
          <w:rFonts w:hint="eastAsia" w:ascii="宋体" w:hAnsi="宋体" w:cs="宋体"/>
          <w:sz w:val="32"/>
          <w:szCs w:val="32"/>
          <w:highlight w:val="none"/>
          <w:lang w:eastAsia="zh-CN"/>
        </w:rPr>
        <w:t>第六章</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lang w:eastAsia="zh-CN"/>
        </w:rPr>
        <w:t>投标文件格式</w:t>
      </w:r>
      <w:bookmarkEnd w:id="358"/>
    </w:p>
    <w:p w14:paraId="7962469A">
      <w:pPr>
        <w:pStyle w:val="22"/>
        <w:spacing w:before="120" w:after="120" w:line="360" w:lineRule="auto"/>
        <w:rPr>
          <w:rFonts w:hint="eastAsia"/>
          <w:highlight w:val="none"/>
        </w:rPr>
      </w:pPr>
    </w:p>
    <w:p w14:paraId="0439D58F">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响应文件封面样式</w:t>
      </w:r>
    </w:p>
    <w:p w14:paraId="1F1C18E3">
      <w:pPr>
        <w:pStyle w:val="23"/>
        <w:spacing w:line="360" w:lineRule="auto"/>
        <w:ind w:left="0" w:leftChars="0" w:right="280"/>
        <w:jc w:val="right"/>
        <w:rPr>
          <w:rFonts w:hint="eastAsia" w:ascii="宋体" w:hAnsi="宋体" w:eastAsia="宋体" w:cs="宋体"/>
          <w:b/>
          <w:sz w:val="28"/>
          <w:highlight w:val="none"/>
        </w:rPr>
      </w:pPr>
    </w:p>
    <w:p w14:paraId="747C1F1C">
      <w:pPr>
        <w:spacing w:line="360" w:lineRule="auto"/>
        <w:rPr>
          <w:rFonts w:hint="eastAsia" w:ascii="宋体" w:hAnsi="宋体" w:eastAsia="宋体" w:cs="宋体"/>
          <w:b/>
          <w:sz w:val="28"/>
          <w:highlight w:val="none"/>
        </w:rPr>
      </w:pPr>
    </w:p>
    <w:p w14:paraId="4B250EB5">
      <w:pPr>
        <w:spacing w:line="360" w:lineRule="auto"/>
        <w:jc w:val="center"/>
        <w:rPr>
          <w:rFonts w:hint="eastAsia" w:ascii="宋体" w:hAnsi="宋体" w:eastAsia="宋体" w:cs="宋体"/>
          <w:sz w:val="84"/>
          <w:highlight w:val="none"/>
        </w:rPr>
      </w:pPr>
      <w:r>
        <w:rPr>
          <w:rFonts w:hint="eastAsia" w:ascii="宋体" w:hAnsi="宋体" w:cs="宋体"/>
          <w:sz w:val="84"/>
          <w:highlight w:val="none"/>
          <w:lang w:eastAsia="zh-CN"/>
        </w:rPr>
        <w:t>投</w:t>
      </w:r>
      <w:r>
        <w:rPr>
          <w:rFonts w:hint="eastAsia" w:ascii="宋体" w:hAnsi="宋体" w:eastAsia="宋体" w:cs="宋体"/>
          <w:sz w:val="84"/>
          <w:highlight w:val="none"/>
        </w:rPr>
        <w:t xml:space="preserve"> </w:t>
      </w:r>
      <w:r>
        <w:rPr>
          <w:rFonts w:hint="eastAsia" w:ascii="宋体" w:hAnsi="宋体" w:cs="宋体"/>
          <w:sz w:val="84"/>
          <w:highlight w:val="none"/>
          <w:lang w:eastAsia="zh-CN"/>
        </w:rPr>
        <w:t>标</w:t>
      </w:r>
      <w:r>
        <w:rPr>
          <w:rFonts w:hint="eastAsia" w:ascii="宋体" w:hAnsi="宋体" w:eastAsia="宋体" w:cs="宋体"/>
          <w:sz w:val="84"/>
          <w:highlight w:val="none"/>
        </w:rPr>
        <w:t xml:space="preserve"> 文 件</w:t>
      </w:r>
    </w:p>
    <w:p w14:paraId="218E6706">
      <w:pPr>
        <w:pStyle w:val="23"/>
        <w:spacing w:line="360" w:lineRule="auto"/>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资格证明文件”或</w:t>
      </w:r>
      <w:r>
        <w:rPr>
          <w:rFonts w:hint="eastAsia" w:ascii="宋体" w:hAnsi="宋体" w:eastAsia="宋体" w:cs="宋体"/>
          <w:b/>
          <w:sz w:val="32"/>
          <w:szCs w:val="32"/>
          <w:highlight w:val="none"/>
          <w:lang w:val="zh-CN"/>
        </w:rPr>
        <w:t>“</w:t>
      </w:r>
      <w:r>
        <w:rPr>
          <w:rFonts w:hint="eastAsia" w:ascii="宋体" w:hAnsi="宋体" w:eastAsia="宋体" w:cs="宋体"/>
          <w:b/>
          <w:sz w:val="32"/>
          <w:szCs w:val="32"/>
          <w:highlight w:val="none"/>
        </w:rPr>
        <w:t>商务与技术文件”或“报价文件”</w:t>
      </w:r>
    </w:p>
    <w:p w14:paraId="79CFF4BC">
      <w:pPr>
        <w:pStyle w:val="23"/>
        <w:spacing w:line="360" w:lineRule="auto"/>
        <w:ind w:left="0" w:leftChars="0" w:right="28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（请选择）</w:t>
      </w:r>
    </w:p>
    <w:p w14:paraId="17E57912">
      <w:pPr>
        <w:spacing w:line="360" w:lineRule="auto"/>
        <w:rPr>
          <w:rFonts w:hint="eastAsia" w:ascii="宋体" w:hAnsi="宋体" w:eastAsia="宋体" w:cs="宋体"/>
          <w:highlight w:val="none"/>
        </w:rPr>
      </w:pPr>
    </w:p>
    <w:p w14:paraId="15978442">
      <w:pPr>
        <w:spacing w:line="360" w:lineRule="auto"/>
        <w:rPr>
          <w:rFonts w:hint="eastAsia" w:ascii="宋体" w:hAnsi="宋体" w:eastAsia="宋体" w:cs="宋体"/>
          <w:highlight w:val="none"/>
        </w:rPr>
      </w:pPr>
    </w:p>
    <w:p w14:paraId="5C7B5677">
      <w:pPr>
        <w:spacing w:line="360" w:lineRule="auto"/>
        <w:rPr>
          <w:rFonts w:hint="eastAsia" w:ascii="宋体" w:hAnsi="宋体" w:eastAsia="宋体" w:cs="宋体"/>
          <w:sz w:val="28"/>
          <w:szCs w:val="28"/>
          <w:highlight w:val="none"/>
        </w:rPr>
      </w:pPr>
    </w:p>
    <w:p w14:paraId="374DA2DA">
      <w:pPr>
        <w:pStyle w:val="16"/>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b/>
          <w:bCs/>
          <w:sz w:val="28"/>
          <w:szCs w:val="28"/>
          <w:highlight w:val="none"/>
        </w:rPr>
        <w:t xml:space="preserve">标项号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（如有）</w:t>
      </w:r>
    </w:p>
    <w:p w14:paraId="1F83049D">
      <w:pPr>
        <w:spacing w:line="360" w:lineRule="auto"/>
        <w:rPr>
          <w:rFonts w:hint="eastAsia" w:ascii="宋体" w:hAnsi="宋体" w:eastAsia="宋体" w:cs="宋体"/>
          <w:highlight w:val="none"/>
        </w:rPr>
      </w:pPr>
    </w:p>
    <w:p w14:paraId="644597E3">
      <w:pPr>
        <w:pStyle w:val="22"/>
        <w:spacing w:before="156" w:after="156" w:line="360" w:lineRule="auto"/>
        <w:jc w:val="center"/>
        <w:rPr>
          <w:rFonts w:hint="eastAsia" w:hAnsi="宋体" w:eastAsia="宋体" w:cs="宋体"/>
          <w:b/>
          <w:sz w:val="28"/>
          <w:highlight w:val="none"/>
        </w:rPr>
      </w:pPr>
    </w:p>
    <w:p w14:paraId="558BD7FB">
      <w:pPr>
        <w:pStyle w:val="22"/>
        <w:spacing w:before="156" w:after="156" w:line="360" w:lineRule="auto"/>
        <w:ind w:firstLine="980" w:firstLineChars="350"/>
        <w:rPr>
          <w:rFonts w:hint="eastAsia" w:hAnsi="宋体" w:eastAsia="宋体" w:cs="宋体"/>
          <w:b/>
          <w:bCs/>
          <w:sz w:val="28"/>
          <w:szCs w:val="28"/>
          <w:highlight w:val="none"/>
          <w:u w:val="single"/>
        </w:rPr>
      </w:pPr>
      <w:r>
        <w:rPr>
          <w:rFonts w:hint="eastAsia" w:hAnsi="宋体" w:eastAsia="宋体" w:cs="宋体"/>
          <w:bCs/>
          <w:sz w:val="28"/>
          <w:szCs w:val="28"/>
          <w:highlight w:val="none"/>
          <w:lang w:val="zh-CN"/>
        </w:rPr>
        <w:t>项目编号</w:t>
      </w:r>
      <w:r>
        <w:rPr>
          <w:rFonts w:hint="eastAsia" w:hAnsi="宋体" w:cs="宋体"/>
          <w:bCs/>
          <w:sz w:val="28"/>
          <w:szCs w:val="28"/>
          <w:highlight w:val="none"/>
          <w:lang w:val="zh-CN"/>
        </w:rPr>
        <w:t>：</w:t>
      </w:r>
    </w:p>
    <w:p w14:paraId="675D99FC">
      <w:pPr>
        <w:pStyle w:val="22"/>
        <w:spacing w:before="156" w:after="156" w:line="360" w:lineRule="auto"/>
        <w:ind w:firstLine="980" w:firstLineChars="350"/>
        <w:rPr>
          <w:rFonts w:hint="eastAsia" w:hAnsi="宋体" w:eastAsia="宋体" w:cs="宋体"/>
          <w:b/>
          <w:bCs/>
          <w:sz w:val="28"/>
          <w:szCs w:val="28"/>
          <w:highlight w:val="none"/>
          <w:u w:val="single"/>
        </w:rPr>
      </w:pPr>
      <w:r>
        <w:rPr>
          <w:rFonts w:hint="eastAsia" w:hAnsi="宋体" w:eastAsia="宋体" w:cs="宋体"/>
          <w:sz w:val="28"/>
          <w:szCs w:val="28"/>
          <w:highlight w:val="none"/>
        </w:rPr>
        <w:t>项目名</w:t>
      </w:r>
      <w:r>
        <w:rPr>
          <w:rFonts w:hint="eastAsia" w:hAnsi="宋体" w:eastAsia="宋体" w:cs="宋体"/>
          <w:bCs/>
          <w:sz w:val="28"/>
          <w:szCs w:val="28"/>
          <w:highlight w:val="none"/>
        </w:rPr>
        <w:t>称</w:t>
      </w:r>
      <w:r>
        <w:rPr>
          <w:rFonts w:hint="eastAsia" w:hAnsi="宋体" w:cs="宋体"/>
          <w:bCs/>
          <w:sz w:val="28"/>
          <w:szCs w:val="28"/>
          <w:highlight w:val="none"/>
          <w:lang w:val="zh-CN"/>
        </w:rPr>
        <w:t>：</w:t>
      </w:r>
    </w:p>
    <w:p w14:paraId="2F9A21A0">
      <w:pPr>
        <w:spacing w:line="360" w:lineRule="auto"/>
        <w:ind w:firstLine="2744" w:firstLineChars="980"/>
        <w:jc w:val="left"/>
        <w:rPr>
          <w:rFonts w:hint="eastAsia" w:ascii="宋体" w:hAnsi="宋体" w:eastAsia="宋体" w:cs="宋体"/>
          <w:sz w:val="28"/>
          <w:szCs w:val="44"/>
          <w:highlight w:val="none"/>
        </w:rPr>
      </w:pPr>
    </w:p>
    <w:p w14:paraId="06ADDF59">
      <w:pPr>
        <w:spacing w:line="360" w:lineRule="auto"/>
        <w:jc w:val="left"/>
        <w:rPr>
          <w:rFonts w:hint="eastAsia" w:ascii="宋体" w:hAnsi="宋体" w:eastAsia="宋体" w:cs="宋体"/>
          <w:sz w:val="28"/>
          <w:szCs w:val="44"/>
          <w:highlight w:val="none"/>
        </w:rPr>
      </w:pPr>
    </w:p>
    <w:p w14:paraId="248EE6E7">
      <w:pPr>
        <w:spacing w:line="360" w:lineRule="auto"/>
        <w:ind w:firstLine="980" w:firstLineChars="350"/>
        <w:jc w:val="left"/>
        <w:rPr>
          <w:rFonts w:hint="eastAsia" w:ascii="宋体" w:hAnsi="宋体" w:eastAsia="宋体" w:cs="宋体"/>
          <w:sz w:val="28"/>
          <w:szCs w:val="44"/>
          <w:highlight w:val="none"/>
          <w:u w:val="single"/>
        </w:rPr>
      </w:pPr>
      <w:r>
        <w:rPr>
          <w:rFonts w:hint="eastAsia" w:ascii="宋体" w:hAnsi="宋体" w:eastAsia="宋体" w:cs="宋体"/>
          <w:sz w:val="28"/>
          <w:szCs w:val="44"/>
          <w:highlight w:val="none"/>
        </w:rPr>
        <w:t>供应商名称：</w:t>
      </w:r>
      <w:r>
        <w:rPr>
          <w:rFonts w:hint="eastAsia" w:ascii="宋体" w:hAnsi="宋体" w:eastAsia="宋体" w:cs="宋体"/>
          <w:sz w:val="28"/>
          <w:szCs w:val="44"/>
          <w:highlight w:val="none"/>
          <w:u w:val="single"/>
        </w:rPr>
        <w:t xml:space="preserve">                         </w:t>
      </w:r>
      <w:r>
        <w:rPr>
          <w:rFonts w:hint="eastAsia" w:ascii="宋体" w:hAnsi="宋体" w:eastAsia="宋体" w:cs="宋体"/>
          <w:sz w:val="28"/>
          <w:szCs w:val="44"/>
          <w:highlight w:val="none"/>
        </w:rPr>
        <w:t>（盖单位章）</w:t>
      </w:r>
    </w:p>
    <w:p w14:paraId="6DF480CE">
      <w:pPr>
        <w:spacing w:before="156" w:beforeLines="50" w:line="360" w:lineRule="auto"/>
        <w:ind w:firstLine="3920" w:firstLineChars="1400"/>
        <w:jc w:val="left"/>
        <w:rPr>
          <w:rFonts w:hint="eastAsia" w:ascii="宋体" w:hAnsi="宋体" w:eastAsia="宋体" w:cs="宋体"/>
          <w:sz w:val="28"/>
          <w:highlight w:val="none"/>
        </w:rPr>
      </w:pPr>
      <w:r>
        <w:rPr>
          <w:rFonts w:hint="eastAsia" w:ascii="宋体" w:hAnsi="宋体" w:eastAsia="宋体" w:cs="宋体"/>
          <w:sz w:val="28"/>
          <w:highlight w:val="none"/>
        </w:rPr>
        <w:t>年   月   日</w:t>
      </w:r>
    </w:p>
    <w:p w14:paraId="0F20D7D4">
      <w:pPr>
        <w:spacing w:before="50" w:after="50" w:line="360" w:lineRule="auto"/>
        <w:rPr>
          <w:rFonts w:hint="eastAsia" w:ascii="宋体" w:hAnsi="宋体" w:eastAsia="宋体" w:cs="宋体"/>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20E5ED68">
      <w:pPr>
        <w:pStyle w:val="4"/>
        <w:spacing w:before="312" w:beforeLines="100" w:after="0" w:line="360" w:lineRule="auto"/>
        <w:jc w:val="center"/>
        <w:rPr>
          <w:rFonts w:hint="eastAsia" w:ascii="宋体" w:hAnsi="宋体" w:eastAsia="宋体" w:cs="宋体"/>
          <w:bCs w:val="0"/>
          <w:highlight w:val="none"/>
          <w:lang w:val="zh-CN"/>
        </w:rPr>
      </w:pPr>
      <w:bookmarkStart w:id="359" w:name="_Toc19007"/>
      <w:bookmarkStart w:id="360" w:name="_Toc357"/>
      <w:bookmarkStart w:id="361" w:name="_Toc528578413"/>
      <w:bookmarkStart w:id="362" w:name="_Toc27442"/>
      <w:bookmarkStart w:id="363" w:name="_Toc30989"/>
      <w:bookmarkStart w:id="364" w:name="_Toc528927455"/>
      <w:bookmarkStart w:id="365" w:name="_Toc6778"/>
      <w:bookmarkStart w:id="366" w:name="_Toc528927456"/>
      <w:bookmarkStart w:id="367" w:name="_Toc528578414"/>
      <w:r>
        <w:rPr>
          <w:rFonts w:hint="eastAsia" w:ascii="宋体" w:hAnsi="宋体" w:eastAsia="宋体" w:cs="宋体"/>
          <w:bCs w:val="0"/>
          <w:highlight w:val="none"/>
          <w:lang w:val="zh-CN"/>
        </w:rPr>
        <w:t>1、资格文件格式</w:t>
      </w:r>
      <w:bookmarkEnd w:id="359"/>
      <w:bookmarkEnd w:id="360"/>
      <w:bookmarkEnd w:id="361"/>
      <w:bookmarkEnd w:id="362"/>
      <w:bookmarkEnd w:id="363"/>
      <w:bookmarkEnd w:id="364"/>
      <w:bookmarkEnd w:id="365"/>
    </w:p>
    <w:p w14:paraId="574BA569">
      <w:pPr>
        <w:spacing w:before="100" w:beforeAutospacing="1"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14:paraId="681DED3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（按照“第三章 </w:t>
      </w:r>
      <w:r>
        <w:rPr>
          <w:rFonts w:hint="eastAsia" w:ascii="宋体" w:hAnsi="宋体" w:cs="宋体"/>
          <w:sz w:val="24"/>
          <w:highlight w:val="none"/>
          <w:lang w:eastAsia="zh-CN"/>
        </w:rPr>
        <w:t>投标</w:t>
      </w:r>
      <w:r>
        <w:rPr>
          <w:rFonts w:hint="eastAsia" w:ascii="宋体" w:hAnsi="宋体" w:eastAsia="宋体" w:cs="宋体"/>
          <w:sz w:val="24"/>
          <w:highlight w:val="none"/>
        </w:rPr>
        <w:t>须知”有关资格证明文件组成要求编排）</w:t>
      </w:r>
    </w:p>
    <w:p w14:paraId="79A5ABC2">
      <w:pPr>
        <w:spacing w:before="100" w:beforeAutospacing="1" w:line="360" w:lineRule="auto"/>
        <w:jc w:val="center"/>
        <w:rPr>
          <w:rFonts w:hint="eastAsia" w:ascii="宋体" w:hAnsi="宋体" w:eastAsia="宋体" w:cs="宋体"/>
          <w:b/>
          <w:bCs/>
          <w:color w:val="000000"/>
          <w:sz w:val="32"/>
          <w:szCs w:val="32"/>
          <w:highlight w:val="none"/>
        </w:rPr>
      </w:pPr>
    </w:p>
    <w:p w14:paraId="7F8E5D1E">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BD2292E">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附件1：</w:t>
      </w:r>
    </w:p>
    <w:p w14:paraId="546A5D0F">
      <w:pPr>
        <w:spacing w:line="360" w:lineRule="auto"/>
        <w:jc w:val="left"/>
        <w:rPr>
          <w:rFonts w:hint="eastAsia" w:ascii="宋体" w:hAnsi="宋体" w:eastAsia="宋体" w:cs="宋体"/>
          <w:color w:val="000000"/>
          <w:sz w:val="28"/>
          <w:szCs w:val="28"/>
          <w:highlight w:val="none"/>
          <w:lang w:val="zh-CN"/>
        </w:rPr>
      </w:pPr>
    </w:p>
    <w:p w14:paraId="1D73AA2A">
      <w:pPr>
        <w:spacing w:after="312" w:afterLines="100" w:line="360" w:lineRule="auto"/>
        <w:jc w:val="center"/>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kern w:val="0"/>
          <w:sz w:val="32"/>
          <w:szCs w:val="32"/>
          <w:highlight w:val="none"/>
          <w:lang w:val="zh-CN"/>
        </w:rPr>
        <w:t>具有履行合同所必须的设备和专业技术能力的承诺函</w:t>
      </w:r>
    </w:p>
    <w:p w14:paraId="5ECA1A05">
      <w:pPr>
        <w:spacing w:line="360" w:lineRule="auto"/>
        <w:jc w:val="left"/>
        <w:rPr>
          <w:rFonts w:hint="eastAsia" w:ascii="宋体" w:hAnsi="宋体" w:eastAsia="宋体" w:cs="宋体"/>
          <w:color w:val="0000FF"/>
          <w:sz w:val="28"/>
          <w:szCs w:val="28"/>
          <w:highlight w:val="none"/>
        </w:rPr>
      </w:pPr>
      <w:r>
        <w:rPr>
          <w:rFonts w:hint="eastAsia" w:ascii="宋体" w:hAnsi="宋体" w:cs="宋体"/>
          <w:color w:val="000000"/>
          <w:sz w:val="28"/>
          <w:szCs w:val="28"/>
          <w:highlight w:val="none"/>
          <w:lang w:eastAsia="zh-CN"/>
        </w:rPr>
        <w:t>致</w:t>
      </w:r>
      <w:r>
        <w:rPr>
          <w:rFonts w:hint="eastAsia" w:ascii="宋体" w:hAnsi="宋体" w:cs="宋体"/>
          <w:color w:val="000000"/>
          <w:sz w:val="28"/>
          <w:szCs w:val="28"/>
          <w:highlight w:val="none"/>
          <w:lang w:val="en-US" w:eastAsia="zh-CN"/>
        </w:rPr>
        <w:t xml:space="preserve"> </w:t>
      </w:r>
      <w:r>
        <w:rPr>
          <w:rFonts w:hint="eastAsia" w:ascii="宋体" w:hAnsi="宋体" w:cs="宋体"/>
          <w:color w:val="0000FF"/>
          <w:sz w:val="28"/>
          <w:szCs w:val="28"/>
          <w:highlight w:val="none"/>
          <w:lang w:eastAsia="zh-CN"/>
        </w:rPr>
        <w:t>浙江仙台旅游发展有限公司</w:t>
      </w:r>
      <w:r>
        <w:rPr>
          <w:rFonts w:hint="eastAsia" w:ascii="宋体" w:hAnsi="宋体" w:eastAsia="宋体" w:cs="宋体"/>
          <w:color w:val="0000FF"/>
          <w:sz w:val="28"/>
          <w:szCs w:val="28"/>
          <w:highlight w:val="none"/>
        </w:rPr>
        <w:t>：</w:t>
      </w:r>
    </w:p>
    <w:p w14:paraId="50BDDD2A">
      <w:pPr>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在贵方组织的</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仙居县台创基地未来乡村项目渔耕体验区配套道路</w:t>
      </w:r>
      <w:r>
        <w:rPr>
          <w:rFonts w:hint="eastAsia" w:ascii="宋体" w:hAnsi="宋体" w:eastAsia="宋体" w:cs="宋体"/>
          <w:color w:val="000000"/>
          <w:sz w:val="28"/>
          <w:szCs w:val="28"/>
          <w:highlight w:val="none"/>
          <w:u w:val="single"/>
        </w:rPr>
        <w:t>（项目编号：</w:t>
      </w:r>
      <w:r>
        <w:rPr>
          <w:rFonts w:hint="eastAsia" w:ascii="宋体" w:hAnsi="宋体" w:cs="宋体"/>
          <w:color w:val="0000FF"/>
          <w:sz w:val="28"/>
          <w:szCs w:val="28"/>
          <w:highlight w:val="none"/>
          <w:u w:val="single"/>
          <w:lang w:eastAsia="zh-CN"/>
        </w:rPr>
        <w:t>ZJJX-25CG-006</w:t>
      </w:r>
      <w:r>
        <w:rPr>
          <w:rFonts w:hint="eastAsia" w:ascii="宋体" w:hAnsi="宋体" w:eastAsia="宋体" w:cs="宋体"/>
          <w:color w:val="000000"/>
          <w:sz w:val="28"/>
          <w:szCs w:val="28"/>
          <w:highlight w:val="none"/>
          <w:u w:val="single"/>
        </w:rPr>
        <w:t>）</w:t>
      </w:r>
      <w:r>
        <w:rPr>
          <w:rFonts w:hint="eastAsia" w:ascii="宋体" w:hAnsi="宋体" w:cs="宋体"/>
          <w:color w:val="000000"/>
          <w:sz w:val="28"/>
          <w:szCs w:val="28"/>
          <w:highlight w:val="none"/>
          <w:lang w:eastAsia="zh-CN"/>
        </w:rPr>
        <w:t>投标</w:t>
      </w:r>
      <w:r>
        <w:rPr>
          <w:rFonts w:hint="eastAsia" w:ascii="宋体" w:hAnsi="宋体" w:eastAsia="宋体" w:cs="宋体"/>
          <w:color w:val="000000"/>
          <w:sz w:val="28"/>
          <w:szCs w:val="28"/>
          <w:highlight w:val="none"/>
        </w:rPr>
        <w:t>邀请，我公司在完全理解本项目采购的技术要求、商务条款及其他内容后，决定参与该项目的采购活动。并承诺，如中标，我公司将提供足够的设备和专业技术能力保证本合同履行。</w:t>
      </w:r>
    </w:p>
    <w:p w14:paraId="3784E2CA">
      <w:pPr>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本公司对上述承诺的真实性负责。如有虚假，我公司同意按我方合同违约处理，并依法承担相应法律责任。</w:t>
      </w:r>
    </w:p>
    <w:p w14:paraId="2656A8DE">
      <w:pPr>
        <w:spacing w:line="360" w:lineRule="auto"/>
        <w:ind w:right="480" w:firstLine="5040" w:firstLineChars="1800"/>
        <w:rPr>
          <w:rFonts w:hint="eastAsia" w:ascii="宋体" w:hAnsi="宋体" w:eastAsia="宋体" w:cs="宋体"/>
          <w:color w:val="000000"/>
          <w:sz w:val="28"/>
          <w:szCs w:val="28"/>
          <w:highlight w:val="none"/>
        </w:rPr>
      </w:pPr>
    </w:p>
    <w:p w14:paraId="7DAD8EDE">
      <w:pPr>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声明人 (盖单位章)：</w:t>
      </w:r>
    </w:p>
    <w:p w14:paraId="056787CA">
      <w:pPr>
        <w:pStyle w:val="22"/>
        <w:spacing w:before="156" w:after="156" w:line="360" w:lineRule="auto"/>
        <w:ind w:firstLine="4760" w:firstLineChars="1700"/>
        <w:rPr>
          <w:rFonts w:hint="eastAsia" w:hAnsi="宋体" w:eastAsia="宋体" w:cs="宋体"/>
          <w:bCs/>
          <w:color w:val="000000"/>
          <w:sz w:val="28"/>
          <w:szCs w:val="28"/>
          <w:highlight w:val="none"/>
          <w:lang w:val="zh-CN"/>
        </w:rPr>
      </w:pPr>
      <w:r>
        <w:rPr>
          <w:rFonts w:hint="eastAsia" w:hAnsi="宋体" w:eastAsia="宋体" w:cs="宋体"/>
          <w:bCs/>
          <w:color w:val="000000"/>
          <w:sz w:val="28"/>
          <w:szCs w:val="28"/>
          <w:highlight w:val="none"/>
        </w:rPr>
        <w:t>日　期：</w:t>
      </w:r>
    </w:p>
    <w:p w14:paraId="6A1B9BD1">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3F527124">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附件2：</w:t>
      </w:r>
    </w:p>
    <w:p w14:paraId="5C909069">
      <w:pPr>
        <w:spacing w:line="360" w:lineRule="auto"/>
        <w:jc w:val="left"/>
        <w:rPr>
          <w:rFonts w:hint="eastAsia" w:ascii="宋体" w:hAnsi="宋体" w:eastAsia="宋体" w:cs="宋体"/>
          <w:color w:val="000000"/>
          <w:sz w:val="28"/>
          <w:szCs w:val="28"/>
          <w:highlight w:val="none"/>
          <w:lang w:val="zh-CN"/>
        </w:rPr>
      </w:pPr>
    </w:p>
    <w:p w14:paraId="6C90E7CE">
      <w:pPr>
        <w:spacing w:after="312" w:afterLines="100"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lang w:val="zh-CN"/>
        </w:rPr>
        <w:t>无重大违法记录声明书</w:t>
      </w:r>
    </w:p>
    <w:p w14:paraId="3478711D">
      <w:pPr>
        <w:spacing w:line="360" w:lineRule="auto"/>
        <w:jc w:val="left"/>
        <w:rPr>
          <w:rFonts w:hint="eastAsia" w:ascii="宋体" w:hAnsi="宋体" w:eastAsia="宋体" w:cs="宋体"/>
          <w:color w:val="0000FF"/>
          <w:sz w:val="28"/>
          <w:szCs w:val="28"/>
          <w:highlight w:val="none"/>
        </w:rPr>
      </w:pPr>
      <w:r>
        <w:rPr>
          <w:rFonts w:hint="eastAsia" w:ascii="宋体" w:hAnsi="宋体"/>
          <w:color w:val="0000FF"/>
          <w:kern w:val="0"/>
          <w:sz w:val="28"/>
          <w:szCs w:val="28"/>
          <w:highlight w:val="none"/>
        </w:rPr>
        <w:t>致</w:t>
      </w:r>
      <w:r>
        <w:rPr>
          <w:rFonts w:hint="eastAsia" w:ascii="宋体" w:hAnsi="宋体"/>
          <w:color w:val="0000FF"/>
          <w:kern w:val="0"/>
          <w:sz w:val="28"/>
          <w:szCs w:val="28"/>
          <w:highlight w:val="none"/>
          <w:lang w:val="en-US" w:eastAsia="zh-CN"/>
        </w:rPr>
        <w:t xml:space="preserve"> </w:t>
      </w:r>
      <w:r>
        <w:rPr>
          <w:rFonts w:hint="eastAsia" w:ascii="宋体" w:hAnsi="宋体" w:cs="宋体"/>
          <w:color w:val="0000FF"/>
          <w:sz w:val="28"/>
          <w:szCs w:val="28"/>
          <w:highlight w:val="none"/>
          <w:lang w:eastAsia="zh-CN"/>
        </w:rPr>
        <w:t>浙江仙台旅游发展有限公司</w:t>
      </w:r>
      <w:r>
        <w:rPr>
          <w:rFonts w:hint="eastAsia" w:ascii="宋体" w:hAnsi="宋体" w:eastAsia="宋体" w:cs="宋体"/>
          <w:color w:val="0000FF"/>
          <w:sz w:val="28"/>
          <w:szCs w:val="28"/>
          <w:highlight w:val="none"/>
        </w:rPr>
        <w:t>：</w:t>
      </w:r>
    </w:p>
    <w:p w14:paraId="76E783DC">
      <w:pPr>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1F1F5DA3">
      <w:pPr>
        <w:spacing w:line="360" w:lineRule="auto"/>
        <w:ind w:firstLine="560" w:firstLineChars="200"/>
        <w:jc w:val="left"/>
        <w:rPr>
          <w:rFonts w:hint="eastAsia" w:ascii="宋体" w:hAnsi="宋体" w:eastAsia="宋体" w:cs="宋体"/>
          <w:spacing w:val="6"/>
          <w:sz w:val="28"/>
          <w:szCs w:val="28"/>
          <w:highlight w:val="none"/>
        </w:rPr>
      </w:pPr>
      <w:r>
        <w:rPr>
          <w:rFonts w:hint="eastAsia" w:ascii="宋体" w:hAnsi="宋体" w:eastAsia="宋体" w:cs="宋体"/>
          <w:color w:val="000000"/>
          <w:sz w:val="28"/>
          <w:szCs w:val="28"/>
          <w:highlight w:val="none"/>
        </w:rPr>
        <w:t>特此声明。</w:t>
      </w:r>
    </w:p>
    <w:p w14:paraId="2CFA0EC5">
      <w:pPr>
        <w:pStyle w:val="22"/>
        <w:spacing w:before="156" w:after="156" w:line="360" w:lineRule="auto"/>
        <w:jc w:val="center"/>
        <w:rPr>
          <w:rFonts w:hint="eastAsia" w:hAnsi="宋体" w:eastAsia="宋体" w:cs="宋体"/>
          <w:color w:val="000000"/>
          <w:sz w:val="28"/>
          <w:szCs w:val="28"/>
          <w:highlight w:val="none"/>
        </w:rPr>
      </w:pPr>
    </w:p>
    <w:p w14:paraId="7287539E">
      <w:pPr>
        <w:spacing w:line="360" w:lineRule="auto"/>
        <w:jc w:val="left"/>
        <w:rPr>
          <w:rFonts w:hint="eastAsia" w:ascii="宋体" w:hAnsi="宋体" w:eastAsia="宋体" w:cs="宋体"/>
          <w:color w:val="000000"/>
          <w:sz w:val="28"/>
          <w:szCs w:val="28"/>
          <w:highlight w:val="none"/>
        </w:rPr>
      </w:pPr>
      <w:bookmarkStart w:id="368" w:name="_Toc16632"/>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声明人 (盖单位章)：</w:t>
      </w:r>
    </w:p>
    <w:p w14:paraId="11A59A7A">
      <w:pPr>
        <w:pStyle w:val="16"/>
        <w:spacing w:line="360" w:lineRule="auto"/>
        <w:rPr>
          <w:rFonts w:hint="eastAsia"/>
          <w:highlight w:val="none"/>
        </w:rPr>
      </w:pPr>
    </w:p>
    <w:p w14:paraId="66C11C0B">
      <w:pPr>
        <w:pStyle w:val="22"/>
        <w:spacing w:before="156" w:after="156" w:line="360" w:lineRule="auto"/>
        <w:ind w:firstLine="4760" w:firstLineChars="1700"/>
        <w:rPr>
          <w:rFonts w:hint="eastAsia" w:hAnsi="宋体" w:eastAsia="宋体" w:cs="宋体"/>
          <w:bCs/>
          <w:color w:val="000000"/>
          <w:sz w:val="28"/>
          <w:szCs w:val="28"/>
          <w:highlight w:val="none"/>
          <w:lang w:val="zh-CN"/>
        </w:rPr>
      </w:pPr>
      <w:r>
        <w:rPr>
          <w:rFonts w:hint="eastAsia" w:hAnsi="宋体" w:eastAsia="宋体" w:cs="宋体"/>
          <w:bCs/>
          <w:color w:val="000000"/>
          <w:sz w:val="28"/>
          <w:szCs w:val="28"/>
          <w:highlight w:val="none"/>
        </w:rPr>
        <w:t>日　期：</w:t>
      </w:r>
    </w:p>
    <w:p w14:paraId="5350402A">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p>
    <w:p w14:paraId="2AD4A686">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3</w:t>
      </w:r>
      <w:r>
        <w:rPr>
          <w:rFonts w:hint="eastAsia" w:ascii="宋体" w:hAnsi="宋体" w:eastAsia="宋体" w:cs="宋体"/>
          <w:b/>
          <w:bCs/>
          <w:color w:val="000000"/>
          <w:sz w:val="24"/>
          <w:highlight w:val="none"/>
        </w:rPr>
        <w:t>：</w:t>
      </w:r>
    </w:p>
    <w:p w14:paraId="0E4B9A17">
      <w:pPr>
        <w:pStyle w:val="23"/>
        <w:spacing w:line="360" w:lineRule="auto"/>
        <w:rPr>
          <w:rFonts w:hint="eastAsia" w:ascii="宋体" w:hAnsi="宋体" w:eastAsia="宋体" w:cs="宋体"/>
          <w:b/>
          <w:color w:val="000000"/>
          <w:sz w:val="28"/>
          <w:szCs w:val="28"/>
          <w:highlight w:val="none"/>
        </w:rPr>
      </w:pPr>
    </w:p>
    <w:p w14:paraId="6B43128C">
      <w:pPr>
        <w:spacing w:after="312" w:afterLines="100" w:line="360" w:lineRule="auto"/>
        <w:jc w:val="center"/>
        <w:rPr>
          <w:rFonts w:hint="eastAsia" w:ascii="宋体" w:hAnsi="宋体" w:eastAsia="宋体" w:cs="宋体"/>
          <w:color w:val="000000"/>
          <w:sz w:val="28"/>
          <w:szCs w:val="28"/>
          <w:highlight w:val="none"/>
        </w:rPr>
      </w:pPr>
      <w:bookmarkStart w:id="369" w:name="_Toc51489575"/>
      <w:r>
        <w:rPr>
          <w:rFonts w:hint="eastAsia" w:ascii="宋体" w:hAnsi="宋体" w:eastAsia="宋体" w:cs="宋体"/>
          <w:b/>
          <w:bCs/>
          <w:color w:val="000000"/>
          <w:kern w:val="0"/>
          <w:sz w:val="32"/>
          <w:szCs w:val="32"/>
          <w:highlight w:val="none"/>
          <w:lang w:val="zh-CN"/>
        </w:rPr>
        <w:t>依法缴纳税收及社会保障资金的书面承诺</w:t>
      </w:r>
      <w:bookmarkEnd w:id="369"/>
    </w:p>
    <w:p w14:paraId="57C6BB16">
      <w:pPr>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kern w:val="0"/>
          <w:sz w:val="28"/>
          <w:szCs w:val="28"/>
          <w:highlight w:val="none"/>
        </w:rPr>
        <w:t>致</w:t>
      </w:r>
      <w:r>
        <w:rPr>
          <w:rFonts w:hint="eastAsia" w:ascii="宋体" w:hAnsi="宋体" w:eastAsia="宋体" w:cs="宋体"/>
          <w:kern w:val="0"/>
          <w:sz w:val="28"/>
          <w:szCs w:val="28"/>
          <w:highlight w:val="none"/>
          <w:lang w:val="en-US" w:eastAsia="zh-CN"/>
        </w:rPr>
        <w:t xml:space="preserve"> </w:t>
      </w:r>
      <w:r>
        <w:rPr>
          <w:rFonts w:hint="eastAsia" w:ascii="宋体" w:hAnsi="宋体" w:cs="宋体"/>
          <w:color w:val="000000"/>
          <w:sz w:val="28"/>
          <w:szCs w:val="28"/>
          <w:highlight w:val="none"/>
          <w:lang w:eastAsia="zh-CN"/>
        </w:rPr>
        <w:t>浙江仙台旅游发展有限公司</w:t>
      </w:r>
      <w:r>
        <w:rPr>
          <w:rFonts w:hint="eastAsia" w:ascii="宋体" w:hAnsi="宋体" w:eastAsia="宋体" w:cs="宋体"/>
          <w:color w:val="000000"/>
          <w:sz w:val="28"/>
          <w:szCs w:val="28"/>
          <w:highlight w:val="none"/>
        </w:rPr>
        <w:t>：</w:t>
      </w:r>
    </w:p>
    <w:p w14:paraId="4AD3C13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我公司作为本次采购项目的供应商，参加</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仙居县台创基地未来乡村项目渔耕体验区配套道路</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lang w:eastAsia="zh-CN"/>
        </w:rPr>
        <w:t>采购</w:t>
      </w:r>
      <w:r>
        <w:rPr>
          <w:rFonts w:hint="eastAsia" w:ascii="宋体" w:hAnsi="宋体" w:eastAsia="宋体" w:cs="宋体"/>
          <w:color w:val="000000"/>
          <w:sz w:val="28"/>
          <w:szCs w:val="28"/>
          <w:highlight w:val="none"/>
        </w:rPr>
        <w:t>活动，根据</w:t>
      </w:r>
      <w:r>
        <w:rPr>
          <w:rFonts w:hint="eastAsia" w:ascii="宋体" w:hAnsi="宋体" w:eastAsia="宋体" w:cs="宋体"/>
          <w:color w:val="000000"/>
          <w:sz w:val="28"/>
          <w:szCs w:val="28"/>
          <w:highlight w:val="none"/>
          <w:lang w:eastAsia="zh-CN"/>
        </w:rPr>
        <w:t>采购</w:t>
      </w:r>
      <w:r>
        <w:rPr>
          <w:rFonts w:hint="eastAsia" w:ascii="宋体" w:hAnsi="宋体" w:eastAsia="宋体" w:cs="宋体"/>
          <w:color w:val="000000"/>
          <w:sz w:val="28"/>
          <w:szCs w:val="28"/>
          <w:highlight w:val="none"/>
        </w:rPr>
        <w:t>文件要求，现郑重承诺：</w:t>
      </w:r>
    </w:p>
    <w:p w14:paraId="36B63F9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我公司已依法缴纳税收及社会保障资金</w:t>
      </w:r>
      <w:r>
        <w:rPr>
          <w:rFonts w:hint="eastAsia" w:ascii="宋体" w:hAnsi="宋体" w:eastAsia="宋体" w:cs="宋体"/>
          <w:color w:val="000000"/>
          <w:sz w:val="28"/>
          <w:szCs w:val="28"/>
          <w:highlight w:val="none"/>
          <w:lang w:eastAsia="zh-CN"/>
        </w:rPr>
        <w:t>，符合参与政府采购活动的资格条件，不存在税收缴纳、社会保障等方面的失信记录。</w:t>
      </w:r>
    </w:p>
    <w:p w14:paraId="7684D8A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如本公司对以上条款提供虚假承诺，愿承担一切法律责任。</w:t>
      </w:r>
    </w:p>
    <w:p w14:paraId="1332B7A3">
      <w:pPr>
        <w:spacing w:line="360" w:lineRule="auto"/>
        <w:jc w:val="left"/>
        <w:rPr>
          <w:rFonts w:hint="eastAsia" w:ascii="宋体" w:hAnsi="宋体" w:eastAsia="宋体" w:cs="宋体"/>
          <w:color w:val="000000"/>
          <w:sz w:val="28"/>
          <w:szCs w:val="28"/>
          <w:highlight w:val="none"/>
        </w:rPr>
      </w:pPr>
    </w:p>
    <w:p w14:paraId="1024CC6D">
      <w:pPr>
        <w:spacing w:line="360" w:lineRule="auto"/>
        <w:jc w:val="left"/>
        <w:rPr>
          <w:rFonts w:hint="eastAsia" w:ascii="宋体" w:hAnsi="宋体" w:eastAsia="宋体" w:cs="宋体"/>
          <w:color w:val="000000"/>
          <w:sz w:val="28"/>
          <w:szCs w:val="28"/>
          <w:highlight w:val="none"/>
        </w:rPr>
      </w:pPr>
    </w:p>
    <w:p w14:paraId="64CF684A">
      <w:pPr>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承诺人</w:t>
      </w:r>
      <w:r>
        <w:rPr>
          <w:rFonts w:hint="eastAsia" w:ascii="宋体" w:hAnsi="宋体" w:eastAsia="宋体" w:cs="宋体"/>
          <w:color w:val="000000"/>
          <w:sz w:val="28"/>
          <w:szCs w:val="28"/>
          <w:highlight w:val="none"/>
        </w:rPr>
        <w:t xml:space="preserve"> (盖单位章)： </w:t>
      </w:r>
    </w:p>
    <w:p w14:paraId="52821069">
      <w:pPr>
        <w:pStyle w:val="22"/>
        <w:spacing w:before="156" w:after="156" w:line="360" w:lineRule="auto"/>
        <w:ind w:firstLine="5460" w:firstLineChars="1950"/>
        <w:rPr>
          <w:rFonts w:hint="eastAsia" w:ascii="宋体" w:hAnsi="宋体" w:eastAsia="宋体" w:cs="宋体"/>
          <w:b w:val="0"/>
          <w:bCs/>
          <w:color w:val="000000"/>
          <w:sz w:val="28"/>
          <w:szCs w:val="28"/>
          <w:highlight w:val="none"/>
        </w:rPr>
      </w:pPr>
      <w:r>
        <w:rPr>
          <w:rFonts w:hint="eastAsia" w:ascii="宋体" w:hAnsi="宋体" w:eastAsia="宋体" w:cs="宋体"/>
          <w:b w:val="0"/>
          <w:bCs/>
          <w:sz w:val="28"/>
          <w:szCs w:val="28"/>
          <w:highlight w:val="none"/>
        </w:rPr>
        <w:t xml:space="preserve">  </w:t>
      </w:r>
      <w:r>
        <w:rPr>
          <w:rFonts w:hint="eastAsia" w:ascii="宋体" w:hAnsi="宋体" w:eastAsia="宋体" w:cs="宋体"/>
          <w:b w:val="0"/>
          <w:bCs/>
          <w:color w:val="000000"/>
          <w:sz w:val="28"/>
          <w:szCs w:val="28"/>
          <w:highlight w:val="none"/>
        </w:rPr>
        <w:t>日　期：</w:t>
      </w:r>
    </w:p>
    <w:p w14:paraId="4D957845">
      <w:pPr>
        <w:spacing w:line="360" w:lineRule="auto"/>
        <w:rPr>
          <w:rFonts w:hint="eastAsia" w:ascii="宋体" w:hAnsi="宋体" w:eastAsia="宋体" w:cs="宋体"/>
          <w:highlight w:val="none"/>
        </w:rPr>
      </w:pPr>
    </w:p>
    <w:p w14:paraId="08EE8560">
      <w:pPr>
        <w:spacing w:line="360" w:lineRule="auto"/>
        <w:rPr>
          <w:rFonts w:hint="eastAsia" w:ascii="宋体" w:hAnsi="宋体" w:eastAsia="宋体" w:cs="宋体"/>
          <w:b/>
          <w:bCs/>
          <w:color w:val="000000"/>
          <w:sz w:val="24"/>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0EDC03DA">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eastAsia="宋体" w:cs="宋体"/>
          <w:b/>
          <w:bCs/>
          <w:color w:val="000000"/>
          <w:sz w:val="24"/>
          <w:highlight w:val="none"/>
          <w:lang w:val="en-US" w:eastAsia="zh-CN"/>
        </w:rPr>
        <w:t>4</w:t>
      </w:r>
      <w:r>
        <w:rPr>
          <w:rFonts w:hint="eastAsia" w:ascii="宋体" w:hAnsi="宋体" w:eastAsia="宋体" w:cs="宋体"/>
          <w:b/>
          <w:bCs/>
          <w:color w:val="000000"/>
          <w:sz w:val="24"/>
          <w:highlight w:val="none"/>
        </w:rPr>
        <w:t>：</w:t>
      </w:r>
    </w:p>
    <w:p w14:paraId="7478DC6D">
      <w:pPr>
        <w:pStyle w:val="16"/>
        <w:spacing w:line="360" w:lineRule="auto"/>
        <w:rPr>
          <w:rFonts w:hint="eastAsia" w:ascii="宋体" w:hAnsi="宋体" w:eastAsia="宋体" w:cs="宋体"/>
          <w:b/>
          <w:bCs/>
          <w:highlight w:val="none"/>
        </w:rPr>
      </w:pPr>
    </w:p>
    <w:p w14:paraId="310AB0AC">
      <w:pPr>
        <w:spacing w:after="312" w:afterLines="100" w:line="360" w:lineRule="auto"/>
        <w:jc w:val="center"/>
        <w:rPr>
          <w:rFonts w:hint="eastAsia" w:ascii="宋体" w:hAnsi="宋体" w:eastAsia="宋体" w:cs="宋体"/>
          <w:highlight w:val="none"/>
        </w:rPr>
      </w:pPr>
      <w:r>
        <w:rPr>
          <w:rFonts w:hint="eastAsia" w:ascii="宋体" w:hAnsi="宋体" w:eastAsia="宋体" w:cs="宋体"/>
          <w:b/>
          <w:bCs/>
          <w:color w:val="000000"/>
          <w:kern w:val="0"/>
          <w:sz w:val="32"/>
          <w:szCs w:val="32"/>
          <w:highlight w:val="none"/>
          <w:lang w:val="zh-CN"/>
        </w:rPr>
        <w:t>健全的财务会计制度承诺函</w:t>
      </w:r>
    </w:p>
    <w:p w14:paraId="72063ED9">
      <w:pPr>
        <w:widowControl/>
        <w:spacing w:line="360" w:lineRule="auto"/>
        <w:rPr>
          <w:rFonts w:hint="eastAsia" w:ascii="宋体" w:hAnsi="宋体" w:eastAsia="宋体" w:cs="宋体"/>
          <w:color w:val="000000"/>
          <w:sz w:val="28"/>
          <w:szCs w:val="28"/>
          <w:highlight w:val="none"/>
        </w:rPr>
      </w:pPr>
      <w:r>
        <w:rPr>
          <w:rFonts w:hint="eastAsia" w:ascii="宋体" w:hAnsi="宋体" w:eastAsia="宋体" w:cs="宋体"/>
          <w:kern w:val="0"/>
          <w:sz w:val="28"/>
          <w:szCs w:val="28"/>
          <w:highlight w:val="none"/>
        </w:rPr>
        <w:t>致</w:t>
      </w:r>
      <w:r>
        <w:rPr>
          <w:rFonts w:hint="eastAsia" w:ascii="宋体" w:hAnsi="宋体" w:eastAsia="宋体" w:cs="宋体"/>
          <w:kern w:val="0"/>
          <w:sz w:val="28"/>
          <w:szCs w:val="28"/>
          <w:highlight w:val="none"/>
          <w:lang w:val="en-US" w:eastAsia="zh-CN"/>
        </w:rPr>
        <w:t xml:space="preserve"> </w:t>
      </w:r>
      <w:r>
        <w:rPr>
          <w:rFonts w:hint="eastAsia" w:ascii="宋体" w:hAnsi="宋体" w:cs="宋体"/>
          <w:color w:val="000000"/>
          <w:sz w:val="28"/>
          <w:szCs w:val="28"/>
          <w:highlight w:val="none"/>
          <w:lang w:eastAsia="zh-CN"/>
        </w:rPr>
        <w:t>浙江仙台旅游发展有限公司</w:t>
      </w:r>
      <w:r>
        <w:rPr>
          <w:rFonts w:hint="eastAsia" w:ascii="宋体" w:hAnsi="宋体" w:eastAsia="宋体" w:cs="宋体"/>
          <w:kern w:val="0"/>
          <w:sz w:val="28"/>
          <w:szCs w:val="28"/>
          <w:highlight w:val="none"/>
        </w:rPr>
        <w:t>：</w:t>
      </w:r>
      <w:r>
        <w:rPr>
          <w:rFonts w:hint="eastAsia" w:ascii="宋体" w:hAnsi="宋体" w:eastAsia="宋体" w:cs="宋体"/>
          <w:color w:val="000000"/>
          <w:sz w:val="28"/>
          <w:szCs w:val="28"/>
          <w:highlight w:val="none"/>
        </w:rPr>
        <w:t xml:space="preserve"> </w:t>
      </w:r>
    </w:p>
    <w:p w14:paraId="2C575755">
      <w:pPr>
        <w:pStyle w:val="16"/>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本公司参加</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eastAsia="zh-CN"/>
        </w:rPr>
        <w:t>仙居县台创基地未来乡村项目渔耕体验区配套道路</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的</w:t>
      </w:r>
      <w:r>
        <w:rPr>
          <w:rFonts w:hint="eastAsia" w:ascii="宋体" w:hAnsi="宋体" w:eastAsia="宋体" w:cs="宋体"/>
          <w:color w:val="000000"/>
          <w:sz w:val="28"/>
          <w:szCs w:val="28"/>
          <w:highlight w:val="none"/>
          <w:lang w:eastAsia="zh-CN"/>
        </w:rPr>
        <w:t>采购</w:t>
      </w:r>
      <w:r>
        <w:rPr>
          <w:rFonts w:hint="eastAsia" w:ascii="宋体" w:hAnsi="宋体" w:eastAsia="宋体" w:cs="宋体"/>
          <w:color w:val="000000"/>
          <w:sz w:val="28"/>
          <w:szCs w:val="28"/>
          <w:highlight w:val="none"/>
        </w:rPr>
        <w:t>活动，现承诺我公司在参加</w:t>
      </w:r>
      <w:r>
        <w:rPr>
          <w:rFonts w:hint="eastAsia" w:ascii="宋体" w:hAnsi="宋体" w:eastAsia="宋体" w:cs="宋体"/>
          <w:color w:val="000000"/>
          <w:sz w:val="28"/>
          <w:szCs w:val="28"/>
          <w:highlight w:val="none"/>
          <w:lang w:eastAsia="zh-CN"/>
        </w:rPr>
        <w:t>本项目</w:t>
      </w:r>
      <w:r>
        <w:rPr>
          <w:rFonts w:hint="eastAsia" w:ascii="宋体" w:hAnsi="宋体" w:eastAsia="宋体" w:cs="宋体"/>
          <w:color w:val="000000"/>
          <w:sz w:val="28"/>
          <w:szCs w:val="28"/>
          <w:highlight w:val="none"/>
        </w:rPr>
        <w:t>政府采购活动</w:t>
      </w:r>
      <w:r>
        <w:rPr>
          <w:rFonts w:hint="eastAsia" w:ascii="宋体" w:hAnsi="宋体" w:eastAsia="宋体" w:cs="宋体"/>
          <w:color w:val="000000"/>
          <w:sz w:val="28"/>
          <w:szCs w:val="28"/>
          <w:highlight w:val="none"/>
          <w:lang w:eastAsia="zh-CN"/>
        </w:rPr>
        <w:t>前</w:t>
      </w:r>
      <w:r>
        <w:rPr>
          <w:rFonts w:hint="eastAsia" w:ascii="宋体" w:hAnsi="宋体" w:eastAsia="宋体" w:cs="宋体"/>
          <w:color w:val="000000"/>
          <w:sz w:val="28"/>
          <w:szCs w:val="28"/>
          <w:highlight w:val="none"/>
        </w:rPr>
        <w:t>，</w:t>
      </w:r>
      <w:r>
        <w:rPr>
          <w:rFonts w:hint="eastAsia" w:ascii="宋体" w:hAnsi="宋体" w:eastAsia="宋体" w:cs="宋体"/>
          <w:kern w:val="0"/>
          <w:sz w:val="28"/>
          <w:szCs w:val="28"/>
          <w:highlight w:val="none"/>
        </w:rPr>
        <w:t>没有处于被责令停产、财产被接管、冻结或破产状态，具有足够的流动资金，有能力履行合同；我公司</w:t>
      </w:r>
      <w:r>
        <w:rPr>
          <w:rFonts w:hint="eastAsia" w:ascii="宋体" w:hAnsi="宋体" w:eastAsia="宋体" w:cs="宋体"/>
          <w:color w:val="000000"/>
          <w:sz w:val="28"/>
          <w:szCs w:val="28"/>
          <w:highlight w:val="none"/>
        </w:rPr>
        <w:t>具有良好的商业信誉和健全的财务会计制度。</w:t>
      </w:r>
    </w:p>
    <w:p w14:paraId="0F72E42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如本公司对以上条款提供虚假承诺，愿承担一切法律责任。</w:t>
      </w:r>
    </w:p>
    <w:p w14:paraId="6EB7A462">
      <w:pPr>
        <w:pStyle w:val="16"/>
        <w:spacing w:line="360" w:lineRule="auto"/>
        <w:rPr>
          <w:rFonts w:hint="eastAsia" w:ascii="宋体" w:hAnsi="宋体" w:eastAsia="宋体" w:cs="宋体"/>
          <w:sz w:val="28"/>
          <w:szCs w:val="28"/>
          <w:highlight w:val="none"/>
        </w:rPr>
      </w:pPr>
    </w:p>
    <w:p w14:paraId="6613FA94">
      <w:pPr>
        <w:pStyle w:val="16"/>
        <w:spacing w:line="360" w:lineRule="auto"/>
        <w:rPr>
          <w:rFonts w:hint="eastAsia" w:ascii="宋体" w:hAnsi="宋体" w:eastAsia="宋体" w:cs="宋体"/>
          <w:sz w:val="28"/>
          <w:szCs w:val="28"/>
          <w:highlight w:val="none"/>
        </w:rPr>
      </w:pPr>
    </w:p>
    <w:p w14:paraId="2166B41A">
      <w:pPr>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eastAsia="zh-CN"/>
        </w:rPr>
        <w:t>承诺人</w:t>
      </w:r>
      <w:r>
        <w:rPr>
          <w:rFonts w:hint="eastAsia" w:ascii="宋体" w:hAnsi="宋体" w:eastAsia="宋体" w:cs="宋体"/>
          <w:color w:val="000000"/>
          <w:sz w:val="28"/>
          <w:szCs w:val="28"/>
          <w:highlight w:val="none"/>
        </w:rPr>
        <w:t xml:space="preserve"> (盖单位章)： </w:t>
      </w:r>
    </w:p>
    <w:p w14:paraId="69BF703F">
      <w:pPr>
        <w:pStyle w:val="22"/>
        <w:spacing w:before="156" w:after="156" w:line="360" w:lineRule="auto"/>
        <w:ind w:firstLine="5460" w:firstLineChars="1950"/>
        <w:rPr>
          <w:rFonts w:hint="eastAsia" w:ascii="宋体" w:hAnsi="宋体" w:eastAsia="宋体" w:cs="宋体"/>
          <w:b w:val="0"/>
          <w:bCs/>
          <w:color w:val="000000"/>
          <w:sz w:val="28"/>
          <w:szCs w:val="28"/>
          <w:highlight w:val="none"/>
        </w:rPr>
      </w:pPr>
      <w:r>
        <w:rPr>
          <w:rFonts w:hint="eastAsia" w:ascii="宋体" w:hAnsi="宋体" w:eastAsia="宋体" w:cs="宋体"/>
          <w:b w:val="0"/>
          <w:bCs/>
          <w:sz w:val="28"/>
          <w:szCs w:val="28"/>
          <w:highlight w:val="none"/>
        </w:rPr>
        <w:t xml:space="preserve">  </w:t>
      </w:r>
      <w:r>
        <w:rPr>
          <w:rFonts w:hint="eastAsia" w:ascii="宋体" w:hAnsi="宋体" w:eastAsia="宋体" w:cs="宋体"/>
          <w:b w:val="0"/>
          <w:bCs/>
          <w:color w:val="000000"/>
          <w:sz w:val="28"/>
          <w:szCs w:val="28"/>
          <w:highlight w:val="none"/>
        </w:rPr>
        <w:t>日　期：</w:t>
      </w:r>
    </w:p>
    <w:p w14:paraId="34FBCC0E">
      <w:pPr>
        <w:pStyle w:val="4"/>
        <w:spacing w:before="312" w:beforeLines="100" w:after="0" w:line="360" w:lineRule="auto"/>
        <w:jc w:val="center"/>
        <w:rPr>
          <w:rFonts w:hint="eastAsia" w:ascii="宋体" w:hAnsi="宋体" w:eastAsia="宋体" w:cs="宋体"/>
          <w:bCs w:val="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6A48055A">
      <w:pPr>
        <w:pStyle w:val="4"/>
        <w:spacing w:before="312" w:beforeLines="100" w:after="0" w:line="360" w:lineRule="auto"/>
        <w:jc w:val="center"/>
        <w:rPr>
          <w:rFonts w:hint="eastAsia" w:ascii="宋体" w:hAnsi="宋体" w:eastAsia="宋体" w:cs="宋体"/>
          <w:bCs w:val="0"/>
          <w:highlight w:val="none"/>
          <w:lang w:val="zh-CN"/>
        </w:rPr>
      </w:pPr>
      <w:bookmarkStart w:id="370" w:name="_Toc20856"/>
      <w:bookmarkStart w:id="371" w:name="_Toc20115"/>
      <w:bookmarkStart w:id="372" w:name="_Toc28560"/>
      <w:bookmarkStart w:id="373" w:name="_Toc20257"/>
      <w:r>
        <w:rPr>
          <w:rFonts w:hint="eastAsia" w:ascii="宋体" w:hAnsi="宋体" w:eastAsia="宋体" w:cs="宋体"/>
          <w:bCs w:val="0"/>
          <w:highlight w:val="none"/>
          <w:lang w:val="zh-CN"/>
        </w:rPr>
        <w:t>2、商务与技术文件格式</w:t>
      </w:r>
      <w:bookmarkEnd w:id="366"/>
      <w:bookmarkEnd w:id="367"/>
      <w:bookmarkEnd w:id="368"/>
      <w:bookmarkEnd w:id="370"/>
      <w:bookmarkEnd w:id="371"/>
      <w:bookmarkEnd w:id="372"/>
      <w:bookmarkEnd w:id="373"/>
    </w:p>
    <w:p w14:paraId="48B73167">
      <w:pPr>
        <w:spacing w:before="100" w:beforeAutospacing="1" w:after="100" w:afterAutospacing="1"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6F7E7A4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w:t>
      </w:r>
      <w:r>
        <w:rPr>
          <w:rFonts w:hint="eastAsia" w:ascii="宋体" w:hAnsi="宋体" w:cs="宋体"/>
          <w:sz w:val="24"/>
          <w:highlight w:val="none"/>
          <w:lang w:eastAsia="zh-CN"/>
        </w:rPr>
        <w:t>商务与技术文件</w:t>
      </w:r>
      <w:r>
        <w:rPr>
          <w:rFonts w:hint="eastAsia" w:ascii="宋体" w:hAnsi="宋体" w:eastAsia="宋体" w:cs="宋体"/>
          <w:sz w:val="24"/>
          <w:highlight w:val="none"/>
        </w:rPr>
        <w:t>组成要求编排）</w:t>
      </w:r>
    </w:p>
    <w:p w14:paraId="44BFFEB6">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bookmarkStart w:id="374" w:name="_Toc434090250"/>
      <w:bookmarkStart w:id="375" w:name="_Toc481505164"/>
    </w:p>
    <w:bookmarkEnd w:id="374"/>
    <w:bookmarkEnd w:id="375"/>
    <w:p w14:paraId="3AD3E2F5">
      <w:pPr>
        <w:spacing w:line="360" w:lineRule="auto"/>
        <w:rPr>
          <w:rFonts w:hint="eastAsia" w:ascii="宋体" w:hAnsi="宋体" w:eastAsia="宋体" w:cs="宋体"/>
          <w:b/>
          <w:bCs/>
          <w:color w:val="000000"/>
          <w:sz w:val="24"/>
          <w:highlight w:val="none"/>
        </w:rPr>
      </w:pPr>
      <w:bookmarkStart w:id="376" w:name="_Toc481505160"/>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5</w:t>
      </w:r>
      <w:r>
        <w:rPr>
          <w:rFonts w:hint="eastAsia" w:ascii="宋体" w:hAnsi="宋体" w:eastAsia="宋体" w:cs="宋体"/>
          <w:b/>
          <w:bCs/>
          <w:color w:val="000000"/>
          <w:sz w:val="24"/>
          <w:highlight w:val="none"/>
        </w:rPr>
        <w:t>：</w:t>
      </w:r>
    </w:p>
    <w:p w14:paraId="64693EE7">
      <w:pPr>
        <w:spacing w:line="360" w:lineRule="auto"/>
        <w:jc w:val="center"/>
        <w:rPr>
          <w:snapToGrid w:val="0"/>
          <w:sz w:val="30"/>
          <w:szCs w:val="30"/>
          <w:highlight w:val="none"/>
        </w:rPr>
      </w:pPr>
    </w:p>
    <w:p w14:paraId="44926D0F">
      <w:pPr>
        <w:spacing w:line="360" w:lineRule="auto"/>
        <w:jc w:val="center"/>
        <w:rPr>
          <w:rFonts w:hint="default" w:eastAsia="宋体"/>
          <w:snapToGrid w:val="0"/>
          <w:sz w:val="30"/>
          <w:szCs w:val="30"/>
          <w:highlight w:val="none"/>
          <w:lang w:val="en-US" w:eastAsia="zh-CN"/>
        </w:rPr>
      </w:pPr>
      <w:r>
        <w:rPr>
          <w:rFonts w:hint="eastAsia"/>
          <w:snapToGrid w:val="0"/>
          <w:sz w:val="30"/>
          <w:szCs w:val="30"/>
          <w:highlight w:val="none"/>
          <w:lang w:val="en-US" w:eastAsia="zh-CN"/>
        </w:rPr>
        <w:t xml:space="preserve">       </w:t>
      </w:r>
      <w:r>
        <w:rPr>
          <w:rFonts w:hint="eastAsia"/>
          <w:snapToGrid w:val="0"/>
          <w:sz w:val="30"/>
          <w:szCs w:val="30"/>
          <w:highlight w:val="none"/>
          <w:lang w:eastAsia="zh-CN"/>
        </w:rPr>
        <w:t>（</w:t>
      </w:r>
      <w:r>
        <w:rPr>
          <w:rFonts w:hint="eastAsia"/>
          <w:snapToGrid w:val="0"/>
          <w:sz w:val="30"/>
          <w:szCs w:val="30"/>
          <w:highlight w:val="none"/>
          <w:lang w:val="en-US" w:eastAsia="zh-CN"/>
        </w:rPr>
        <w:t>1</w:t>
      </w:r>
      <w:r>
        <w:rPr>
          <w:rFonts w:hint="eastAsia"/>
          <w:snapToGrid w:val="0"/>
          <w:sz w:val="30"/>
          <w:szCs w:val="30"/>
          <w:highlight w:val="none"/>
          <w:lang w:eastAsia="zh-CN"/>
        </w:rPr>
        <w:t>）</w:t>
      </w:r>
      <w:r>
        <w:rPr>
          <w:snapToGrid w:val="0"/>
          <w:sz w:val="30"/>
          <w:szCs w:val="30"/>
          <w:highlight w:val="none"/>
        </w:rPr>
        <w:t>法定代表人身份证明</w:t>
      </w:r>
      <w:r>
        <w:rPr>
          <w:rFonts w:hint="eastAsia"/>
          <w:snapToGrid w:val="0"/>
          <w:sz w:val="30"/>
          <w:szCs w:val="30"/>
          <w:highlight w:val="none"/>
          <w:lang w:eastAsia="zh-CN"/>
        </w:rPr>
        <w:t>书</w:t>
      </w:r>
      <w:r>
        <w:rPr>
          <w:rFonts w:hint="eastAsia"/>
          <w:snapToGrid w:val="0"/>
          <w:sz w:val="30"/>
          <w:szCs w:val="30"/>
          <w:highlight w:val="none"/>
          <w:lang w:val="en-US" w:eastAsia="zh-CN"/>
        </w:rPr>
        <w:t xml:space="preserve">  </w:t>
      </w:r>
      <w:r>
        <w:rPr>
          <w:rFonts w:hint="eastAsia"/>
          <w:i/>
          <w:iCs/>
          <w:snapToGrid w:val="0"/>
          <w:color w:val="FF0000"/>
          <w:sz w:val="24"/>
          <w:szCs w:val="24"/>
          <w:highlight w:val="none"/>
          <w:u w:val="single"/>
          <w:lang w:val="en-US" w:eastAsia="zh-CN"/>
        </w:rPr>
        <w:t>（以下二选一）</w:t>
      </w:r>
    </w:p>
    <w:p w14:paraId="2C443C9E">
      <w:pPr>
        <w:spacing w:line="360" w:lineRule="auto"/>
        <w:rPr>
          <w:snapToGrid w:val="0"/>
          <w:szCs w:val="21"/>
          <w:highlight w:val="none"/>
        </w:rPr>
      </w:pPr>
    </w:p>
    <w:p w14:paraId="68672721">
      <w:pPr>
        <w:spacing w:line="360" w:lineRule="auto"/>
        <w:rPr>
          <w:snapToGrid w:val="0"/>
          <w:szCs w:val="21"/>
          <w:highlight w:val="none"/>
        </w:rPr>
      </w:pPr>
    </w:p>
    <w:p w14:paraId="2C2376E5">
      <w:pPr>
        <w:spacing w:line="360" w:lineRule="auto"/>
        <w:rPr>
          <w:snapToGrid w:val="0"/>
          <w:sz w:val="24"/>
          <w:szCs w:val="24"/>
          <w:highlight w:val="none"/>
        </w:rPr>
      </w:pPr>
      <w:r>
        <w:rPr>
          <w:snapToGrid w:val="0"/>
          <w:sz w:val="24"/>
          <w:szCs w:val="24"/>
          <w:highlight w:val="none"/>
        </w:rPr>
        <w:t>投标人名称：</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p>
    <w:p w14:paraId="7079B403">
      <w:pPr>
        <w:spacing w:line="360" w:lineRule="auto"/>
        <w:rPr>
          <w:snapToGrid w:val="0"/>
          <w:sz w:val="24"/>
          <w:szCs w:val="24"/>
          <w:highlight w:val="none"/>
        </w:rPr>
      </w:pPr>
      <w:r>
        <w:rPr>
          <w:snapToGrid w:val="0"/>
          <w:sz w:val="24"/>
          <w:szCs w:val="24"/>
          <w:highlight w:val="none"/>
        </w:rPr>
        <w:t>单位性质：</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07191CAE">
      <w:pPr>
        <w:spacing w:line="360" w:lineRule="auto"/>
        <w:rPr>
          <w:snapToGrid w:val="0"/>
          <w:sz w:val="24"/>
          <w:szCs w:val="24"/>
          <w:highlight w:val="none"/>
        </w:rPr>
      </w:pPr>
      <w:r>
        <w:rPr>
          <w:snapToGrid w:val="0"/>
          <w:sz w:val="24"/>
          <w:szCs w:val="24"/>
          <w:highlight w:val="none"/>
        </w:rPr>
        <w:t>地址：</w:t>
      </w:r>
      <w:r>
        <w:rPr>
          <w:snapToGrid w:val="0"/>
          <w:sz w:val="24"/>
          <w:szCs w:val="24"/>
          <w:highlight w:val="none"/>
          <w:u w:val="single"/>
        </w:rPr>
        <w:t xml:space="preserve">                         </w:t>
      </w:r>
      <w:r>
        <w:rPr>
          <w:rFonts w:hint="eastAsia"/>
          <w:snapToGrid w:val="0"/>
          <w:sz w:val="24"/>
          <w:szCs w:val="24"/>
          <w:highlight w:val="none"/>
          <w:u w:val="single"/>
        </w:rPr>
        <w:t xml:space="preserve">          </w:t>
      </w:r>
      <w:r>
        <w:rPr>
          <w:snapToGrid w:val="0"/>
          <w:sz w:val="24"/>
          <w:szCs w:val="24"/>
          <w:highlight w:val="none"/>
          <w:u w:val="single"/>
        </w:rPr>
        <w:t xml:space="preserve">            </w:t>
      </w:r>
      <w:r>
        <w:rPr>
          <w:snapToGrid w:val="0"/>
          <w:sz w:val="24"/>
          <w:szCs w:val="24"/>
          <w:highlight w:val="none"/>
        </w:rPr>
        <w:t xml:space="preserve"> </w:t>
      </w:r>
    </w:p>
    <w:p w14:paraId="2491898B">
      <w:pPr>
        <w:spacing w:line="360" w:lineRule="auto"/>
        <w:rPr>
          <w:snapToGrid w:val="0"/>
          <w:sz w:val="24"/>
          <w:szCs w:val="24"/>
          <w:highlight w:val="none"/>
        </w:rPr>
      </w:pPr>
      <w:r>
        <w:rPr>
          <w:snapToGrid w:val="0"/>
          <w:sz w:val="24"/>
          <w:szCs w:val="24"/>
          <w:highlight w:val="none"/>
        </w:rPr>
        <w:t>成立时间：</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65022964">
      <w:pPr>
        <w:spacing w:line="360" w:lineRule="auto"/>
        <w:rPr>
          <w:snapToGrid w:val="0"/>
          <w:sz w:val="24"/>
          <w:szCs w:val="24"/>
          <w:highlight w:val="none"/>
        </w:rPr>
      </w:pPr>
      <w:r>
        <w:rPr>
          <w:snapToGrid w:val="0"/>
          <w:sz w:val="24"/>
          <w:szCs w:val="24"/>
          <w:highlight w:val="none"/>
        </w:rPr>
        <w:t>经营期限：</w:t>
      </w:r>
      <w:r>
        <w:rPr>
          <w:snapToGrid w:val="0"/>
          <w:sz w:val="24"/>
          <w:szCs w:val="24"/>
          <w:highlight w:val="none"/>
          <w:u w:val="single"/>
        </w:rPr>
        <w:t xml:space="preserve">                                </w:t>
      </w:r>
      <w:r>
        <w:rPr>
          <w:snapToGrid w:val="0"/>
          <w:sz w:val="24"/>
          <w:szCs w:val="24"/>
          <w:highlight w:val="none"/>
        </w:rPr>
        <w:t xml:space="preserve"> </w:t>
      </w:r>
    </w:p>
    <w:p w14:paraId="7F7AFF26">
      <w:pPr>
        <w:spacing w:line="360" w:lineRule="auto"/>
        <w:rPr>
          <w:snapToGrid w:val="0"/>
          <w:sz w:val="24"/>
          <w:szCs w:val="24"/>
          <w:highlight w:val="none"/>
          <w:u w:val="single"/>
        </w:rPr>
      </w:pPr>
      <w:r>
        <w:rPr>
          <w:snapToGrid w:val="0"/>
          <w:sz w:val="24"/>
          <w:szCs w:val="24"/>
          <w:highlight w:val="none"/>
        </w:rPr>
        <w:t>姓名：</w:t>
      </w:r>
      <w:r>
        <w:rPr>
          <w:snapToGrid w:val="0"/>
          <w:sz w:val="24"/>
          <w:szCs w:val="24"/>
          <w:highlight w:val="none"/>
          <w:u w:val="single"/>
        </w:rPr>
        <w:t xml:space="preserve">       </w:t>
      </w:r>
      <w:r>
        <w:rPr>
          <w:snapToGrid w:val="0"/>
          <w:sz w:val="24"/>
          <w:szCs w:val="24"/>
          <w:highlight w:val="none"/>
        </w:rPr>
        <w:t>性别：</w:t>
      </w:r>
      <w:r>
        <w:rPr>
          <w:snapToGrid w:val="0"/>
          <w:sz w:val="24"/>
          <w:szCs w:val="24"/>
          <w:highlight w:val="none"/>
          <w:u w:val="single"/>
        </w:rPr>
        <w:t xml:space="preserve">    </w:t>
      </w:r>
      <w:r>
        <w:rPr>
          <w:snapToGrid w:val="0"/>
          <w:sz w:val="24"/>
          <w:szCs w:val="24"/>
          <w:highlight w:val="none"/>
        </w:rPr>
        <w:t>年龄：</w:t>
      </w:r>
      <w:r>
        <w:rPr>
          <w:snapToGrid w:val="0"/>
          <w:sz w:val="24"/>
          <w:szCs w:val="24"/>
          <w:highlight w:val="none"/>
          <w:u w:val="single"/>
        </w:rPr>
        <w:t xml:space="preserve">    </w:t>
      </w:r>
      <w:r>
        <w:rPr>
          <w:snapToGrid w:val="0"/>
          <w:sz w:val="24"/>
          <w:szCs w:val="24"/>
          <w:highlight w:val="none"/>
        </w:rPr>
        <w:t>身份证号码</w:t>
      </w:r>
      <w:r>
        <w:rPr>
          <w:snapToGrid w:val="0"/>
          <w:sz w:val="24"/>
          <w:szCs w:val="24"/>
          <w:highlight w:val="none"/>
          <w:u w:val="single"/>
        </w:rPr>
        <w:t xml:space="preserve">               </w:t>
      </w:r>
    </w:p>
    <w:p w14:paraId="6A814886">
      <w:pPr>
        <w:spacing w:line="360" w:lineRule="auto"/>
        <w:rPr>
          <w:snapToGrid w:val="0"/>
          <w:sz w:val="24"/>
          <w:szCs w:val="24"/>
          <w:highlight w:val="none"/>
        </w:rPr>
      </w:pPr>
      <w:r>
        <w:rPr>
          <w:snapToGrid w:val="0"/>
          <w:sz w:val="24"/>
          <w:szCs w:val="24"/>
          <w:highlight w:val="none"/>
        </w:rPr>
        <w:t>职务：</w:t>
      </w:r>
      <w:r>
        <w:rPr>
          <w:snapToGrid w:val="0"/>
          <w:sz w:val="24"/>
          <w:szCs w:val="24"/>
          <w:highlight w:val="none"/>
          <w:u w:val="single"/>
        </w:rPr>
        <w:t xml:space="preserve">          </w:t>
      </w:r>
      <w:r>
        <w:rPr>
          <w:snapToGrid w:val="0"/>
          <w:sz w:val="24"/>
          <w:szCs w:val="24"/>
          <w:highlight w:val="none"/>
        </w:rPr>
        <w:t>系</w:t>
      </w:r>
      <w:r>
        <w:rPr>
          <w:snapToGrid w:val="0"/>
          <w:sz w:val="24"/>
          <w:szCs w:val="24"/>
          <w:highlight w:val="none"/>
          <w:u w:val="single"/>
        </w:rPr>
        <w:t xml:space="preserve">                          </w:t>
      </w:r>
      <w:r>
        <w:rPr>
          <w:snapToGrid w:val="0"/>
          <w:sz w:val="24"/>
          <w:szCs w:val="24"/>
          <w:highlight w:val="none"/>
        </w:rPr>
        <w:t>（投标人名称）的法定代表人。</w:t>
      </w:r>
    </w:p>
    <w:p w14:paraId="3113B6DB">
      <w:pPr>
        <w:spacing w:line="360" w:lineRule="auto"/>
        <w:rPr>
          <w:snapToGrid w:val="0"/>
          <w:sz w:val="24"/>
          <w:szCs w:val="24"/>
          <w:highlight w:val="none"/>
        </w:rPr>
      </w:pPr>
      <w:r>
        <w:rPr>
          <w:snapToGrid w:val="0"/>
          <w:sz w:val="24"/>
          <w:szCs w:val="24"/>
          <w:highlight w:val="none"/>
        </w:rPr>
        <w:t>特此证明。</w:t>
      </w:r>
    </w:p>
    <w:p w14:paraId="59A3D4C5">
      <w:pPr>
        <w:spacing w:line="360" w:lineRule="auto"/>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rFonts w:hint="eastAsia"/>
          <w:snapToGrid w:val="0"/>
          <w:sz w:val="24"/>
          <w:szCs w:val="24"/>
          <w:highlight w:val="none"/>
          <w:lang w:eastAsia="zh-CN"/>
        </w:rPr>
        <w:t>供应商</w:t>
      </w:r>
      <w:r>
        <w:rPr>
          <w:snapToGrid w:val="0"/>
          <w:sz w:val="24"/>
          <w:szCs w:val="24"/>
          <w:highlight w:val="none"/>
        </w:rPr>
        <w:t>：</w:t>
      </w:r>
      <w:r>
        <w:rPr>
          <w:snapToGrid w:val="0"/>
          <w:sz w:val="24"/>
          <w:szCs w:val="24"/>
          <w:highlight w:val="none"/>
          <w:u w:val="single"/>
        </w:rPr>
        <w:t xml:space="preserve">                 </w:t>
      </w:r>
      <w:r>
        <w:rPr>
          <w:snapToGrid w:val="0"/>
          <w:sz w:val="24"/>
          <w:szCs w:val="24"/>
          <w:highlight w:val="none"/>
        </w:rPr>
        <w:t>（盖单位章）</w:t>
      </w:r>
    </w:p>
    <w:p w14:paraId="4D8E1677">
      <w:pPr>
        <w:spacing w:line="360" w:lineRule="auto"/>
        <w:rPr>
          <w:snapToGrid w:val="0"/>
          <w:sz w:val="24"/>
          <w:szCs w:val="24"/>
          <w:highlight w:val="none"/>
        </w:rPr>
      </w:pPr>
      <w:r>
        <w:rPr>
          <w:snapToGrid w:val="0"/>
          <w:sz w:val="24"/>
          <w:szCs w:val="24"/>
          <w:highlight w:val="none"/>
        </w:rPr>
        <w:t xml:space="preserve">                         </w:t>
      </w:r>
      <w:r>
        <w:rPr>
          <w:rFonts w:hint="eastAsia"/>
          <w:snapToGrid w:val="0"/>
          <w:sz w:val="24"/>
          <w:szCs w:val="24"/>
          <w:highlight w:val="none"/>
        </w:rPr>
        <w:t xml:space="preserve">    </w:t>
      </w:r>
      <w:r>
        <w:rPr>
          <w:snapToGrid w:val="0"/>
          <w:sz w:val="24"/>
          <w:szCs w:val="24"/>
          <w:highlight w:val="none"/>
        </w:rPr>
        <w:t xml:space="preserve">      </w:t>
      </w:r>
      <w:r>
        <w:rPr>
          <w:snapToGrid w:val="0"/>
          <w:sz w:val="24"/>
          <w:szCs w:val="24"/>
          <w:highlight w:val="none"/>
          <w:u w:val="single"/>
        </w:rPr>
        <w:t xml:space="preserve">        </w:t>
      </w:r>
      <w:r>
        <w:rPr>
          <w:snapToGrid w:val="0"/>
          <w:sz w:val="24"/>
          <w:szCs w:val="24"/>
          <w:highlight w:val="none"/>
        </w:rPr>
        <w:t>年</w:t>
      </w:r>
      <w:r>
        <w:rPr>
          <w:snapToGrid w:val="0"/>
          <w:sz w:val="24"/>
          <w:szCs w:val="24"/>
          <w:highlight w:val="none"/>
          <w:u w:val="single"/>
        </w:rPr>
        <w:t xml:space="preserve">    </w:t>
      </w:r>
      <w:r>
        <w:rPr>
          <w:snapToGrid w:val="0"/>
          <w:sz w:val="24"/>
          <w:szCs w:val="24"/>
          <w:highlight w:val="none"/>
        </w:rPr>
        <w:t>月</w:t>
      </w:r>
      <w:r>
        <w:rPr>
          <w:snapToGrid w:val="0"/>
          <w:sz w:val="24"/>
          <w:szCs w:val="24"/>
          <w:highlight w:val="none"/>
          <w:u w:val="single"/>
        </w:rPr>
        <w:t xml:space="preserve">     </w:t>
      </w:r>
      <w:r>
        <w:rPr>
          <w:snapToGrid w:val="0"/>
          <w:sz w:val="24"/>
          <w:szCs w:val="24"/>
          <w:highlight w:val="none"/>
        </w:rPr>
        <w:t>日</w:t>
      </w:r>
    </w:p>
    <w:p w14:paraId="61EF8EC6">
      <w:pPr>
        <w:spacing w:line="360" w:lineRule="auto"/>
        <w:rPr>
          <w:snapToGrid w:val="0"/>
          <w:sz w:val="28"/>
          <w:szCs w:val="28"/>
          <w:highlight w:val="none"/>
        </w:rPr>
      </w:pPr>
    </w:p>
    <w:p w14:paraId="22FDEA7D">
      <w:pPr>
        <w:spacing w:line="360" w:lineRule="auto"/>
        <w:rPr>
          <w:snapToGrid w:val="0"/>
          <w:color w:val="FF0000"/>
          <w:sz w:val="24"/>
          <w:szCs w:val="24"/>
          <w:highlight w:val="none"/>
        </w:rPr>
      </w:pPr>
      <w:r>
        <w:rPr>
          <w:snapToGrid w:val="0"/>
          <w:color w:val="FF0000"/>
          <w:sz w:val="24"/>
          <w:szCs w:val="24"/>
          <w:highlight w:val="none"/>
        </w:rPr>
        <w:t>注：此证明用于法定代表人</w:t>
      </w:r>
      <w:r>
        <w:rPr>
          <w:rFonts w:hint="eastAsia"/>
          <w:snapToGrid w:val="0"/>
          <w:color w:val="FF0000"/>
          <w:sz w:val="24"/>
          <w:szCs w:val="24"/>
          <w:highlight w:val="none"/>
        </w:rPr>
        <w:t>本人参加本项目的</w:t>
      </w:r>
      <w:r>
        <w:rPr>
          <w:rFonts w:hint="eastAsia"/>
          <w:snapToGrid w:val="0"/>
          <w:color w:val="FF0000"/>
          <w:sz w:val="24"/>
          <w:szCs w:val="24"/>
          <w:highlight w:val="none"/>
          <w:lang w:eastAsia="zh-CN"/>
        </w:rPr>
        <w:t>采购</w:t>
      </w:r>
      <w:r>
        <w:rPr>
          <w:rFonts w:hint="eastAsia"/>
          <w:snapToGrid w:val="0"/>
          <w:color w:val="FF0000"/>
          <w:sz w:val="24"/>
          <w:szCs w:val="24"/>
          <w:highlight w:val="none"/>
        </w:rPr>
        <w:t>活动</w:t>
      </w:r>
      <w:r>
        <w:rPr>
          <w:snapToGrid w:val="0"/>
          <w:color w:val="FF0000"/>
          <w:sz w:val="24"/>
          <w:szCs w:val="24"/>
          <w:highlight w:val="none"/>
        </w:rPr>
        <w:t>。</w:t>
      </w:r>
    </w:p>
    <w:p w14:paraId="060006A3">
      <w:pPr>
        <w:pStyle w:val="9"/>
        <w:spacing w:line="360" w:lineRule="auto"/>
        <w:ind w:firstLine="0"/>
        <w:rPr>
          <w:sz w:val="24"/>
          <w:highlight w:val="none"/>
        </w:rPr>
      </w:pPr>
      <w:r>
        <w:rPr>
          <w:rFonts w:hint="eastAsia"/>
          <w:sz w:val="24"/>
          <w:highlight w:val="none"/>
        </w:rPr>
        <w:t>------------------------------------------------------------------------------------------------------------</w:t>
      </w:r>
    </w:p>
    <w:p w14:paraId="7C6E6C4A">
      <w:pPr>
        <w:pStyle w:val="9"/>
        <w:spacing w:line="360" w:lineRule="auto"/>
        <w:ind w:firstLine="374" w:firstLineChars="156"/>
        <w:jc w:val="center"/>
        <w:rPr>
          <w:sz w:val="24"/>
          <w:highlight w:val="none"/>
        </w:rPr>
      </w:pPr>
    </w:p>
    <w:p w14:paraId="3E60EC3D">
      <w:pPr>
        <w:pStyle w:val="9"/>
        <w:spacing w:line="360" w:lineRule="auto"/>
        <w:ind w:firstLine="374" w:firstLineChars="156"/>
        <w:jc w:val="center"/>
        <w:rPr>
          <w:sz w:val="24"/>
          <w:highlight w:val="none"/>
        </w:rPr>
      </w:pPr>
    </w:p>
    <w:p w14:paraId="0025BA37">
      <w:pPr>
        <w:pStyle w:val="9"/>
        <w:spacing w:line="360" w:lineRule="auto"/>
        <w:ind w:firstLine="0"/>
        <w:jc w:val="center"/>
        <w:rPr>
          <w:sz w:val="24"/>
          <w:highlight w:val="none"/>
        </w:rPr>
      </w:pPr>
      <w:r>
        <w:rPr>
          <w:rFonts w:hint="eastAsia"/>
          <w:sz w:val="24"/>
          <w:highlight w:val="none"/>
        </w:rPr>
        <w:t>（有效身份证复印件）</w:t>
      </w:r>
    </w:p>
    <w:p w14:paraId="0E43222B">
      <w:pPr>
        <w:spacing w:line="360" w:lineRule="auto"/>
        <w:ind w:firstLine="361" w:firstLineChars="100"/>
        <w:jc w:val="center"/>
        <w:rPr>
          <w:b/>
          <w:sz w:val="36"/>
          <w:szCs w:val="36"/>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55AB0335">
      <w:pPr>
        <w:snapToGrid w:val="0"/>
        <w:spacing w:before="120" w:beforeLines="50" w:after="50"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法定代表人授权委托书</w:t>
      </w:r>
    </w:p>
    <w:p w14:paraId="0A0B1992">
      <w:pPr>
        <w:snapToGrid w:val="0"/>
        <w:spacing w:before="120" w:beforeLines="50" w:after="50" w:line="360" w:lineRule="auto"/>
        <w:rPr>
          <w:rFonts w:hint="eastAsia" w:ascii="宋体" w:hAnsi="宋体" w:eastAsia="宋体" w:cs="宋体"/>
          <w:bCs/>
          <w:color w:val="auto"/>
          <w:sz w:val="24"/>
          <w:szCs w:val="24"/>
          <w:highlight w:val="none"/>
        </w:rPr>
      </w:pPr>
    </w:p>
    <w:p w14:paraId="00461582">
      <w:pPr>
        <w:snapToGrid w:val="0"/>
        <w:spacing w:before="120" w:beforeLines="50" w:after="50"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（采购单位名称）</w:t>
      </w:r>
      <w:r>
        <w:rPr>
          <w:rFonts w:hint="eastAsia" w:ascii="宋体" w:hAnsi="宋体" w:eastAsia="宋体" w:cs="宋体"/>
          <w:color w:val="auto"/>
          <w:sz w:val="24"/>
          <w:szCs w:val="24"/>
          <w:highlight w:val="none"/>
        </w:rPr>
        <w:t>：</w:t>
      </w:r>
    </w:p>
    <w:p w14:paraId="238B30BB">
      <w:pPr>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供应商全称）法定代表人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仙居县台创基地未来乡村项目渔耕体验区配套道路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cs="宋体"/>
          <w:color w:val="0000FF"/>
          <w:sz w:val="24"/>
          <w:szCs w:val="24"/>
          <w:highlight w:val="none"/>
          <w:u w:val="single"/>
          <w:lang w:eastAsia="zh-CN"/>
        </w:rPr>
        <w:t>ZJJX-25CG-006</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活动，全权代表我方处理</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活动中的一切事务，我均予以承认。</w:t>
      </w:r>
    </w:p>
    <w:p w14:paraId="53E58CC5">
      <w:pPr>
        <w:spacing w:line="360" w:lineRule="auto"/>
        <w:ind w:firstLine="4094" w:firstLineChars="1706"/>
        <w:rPr>
          <w:rFonts w:hint="eastAsia" w:ascii="宋体" w:hAnsi="宋体" w:eastAsia="宋体" w:cs="宋体"/>
          <w:color w:val="auto"/>
          <w:sz w:val="24"/>
          <w:szCs w:val="24"/>
          <w:highlight w:val="none"/>
        </w:rPr>
      </w:pPr>
    </w:p>
    <w:p w14:paraId="3CFD889F">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highlight w:val="none"/>
        </w:rPr>
      </w:pPr>
    </w:p>
    <w:p w14:paraId="3D6B2549">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401C8AFA">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 （</w:t>
      </w:r>
      <w:r>
        <w:rPr>
          <w:rFonts w:hint="eastAsia" w:ascii="宋体" w:hAnsi="宋体" w:eastAsia="宋体" w:cs="宋体"/>
          <w:color w:val="auto"/>
          <w:sz w:val="24"/>
          <w:szCs w:val="24"/>
          <w:highlight w:val="none"/>
          <w:lang w:eastAsia="zh-CN"/>
        </w:rPr>
        <w:t>盖单位章</w:t>
      </w:r>
      <w:r>
        <w:rPr>
          <w:rFonts w:hint="eastAsia" w:ascii="宋体" w:hAnsi="宋体" w:eastAsia="宋体" w:cs="宋体"/>
          <w:color w:val="auto"/>
          <w:sz w:val="24"/>
          <w:szCs w:val="24"/>
          <w:highlight w:val="none"/>
        </w:rPr>
        <w:t>）：</w:t>
      </w:r>
    </w:p>
    <w:p w14:paraId="0618A2AE">
      <w:pPr>
        <w:pStyle w:val="22"/>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Ansi="宋体" w:eastAsia="宋体"/>
          <w:b w:val="0"/>
          <w:szCs w:val="24"/>
          <w:highlight w:val="none"/>
        </w:rPr>
      </w:pPr>
      <w:r>
        <w:rPr>
          <w:rFonts w:hAnsi="宋体" w:eastAsia="宋体"/>
          <w:b w:val="0"/>
          <w:szCs w:val="24"/>
          <w:highlight w:val="none"/>
        </w:rPr>
        <w:tab/>
      </w:r>
      <w:r>
        <w:rPr>
          <w:rFonts w:hAnsi="宋体" w:eastAsia="宋体"/>
          <w:b w:val="0"/>
          <w:szCs w:val="24"/>
          <w:highlight w:val="none"/>
        </w:rPr>
        <w:tab/>
      </w:r>
      <w:r>
        <w:rPr>
          <w:rFonts w:hAnsi="宋体" w:eastAsia="宋体"/>
          <w:b w:val="0"/>
          <w:szCs w:val="24"/>
          <w:highlight w:val="none"/>
        </w:rPr>
        <w:t xml:space="preserve">                                日</w:t>
      </w:r>
      <w:r>
        <w:rPr>
          <w:rFonts w:hint="eastAsia" w:hAnsi="宋体" w:eastAsia="宋体"/>
          <w:b w:val="0"/>
          <w:szCs w:val="24"/>
          <w:highlight w:val="none"/>
        </w:rPr>
        <w:t xml:space="preserve">   </w:t>
      </w:r>
      <w:r>
        <w:rPr>
          <w:rFonts w:hAnsi="宋体" w:eastAsia="宋体"/>
          <w:b w:val="0"/>
          <w:szCs w:val="24"/>
          <w:highlight w:val="none"/>
        </w:rPr>
        <w:t xml:space="preserve"> 期：</w:t>
      </w:r>
    </w:p>
    <w:p w14:paraId="382D9594">
      <w:pPr>
        <w:spacing w:line="360" w:lineRule="auto"/>
        <w:rPr>
          <w:rFonts w:hint="eastAsia" w:ascii="宋体" w:hAnsi="宋体" w:eastAsia="宋体" w:cs="宋体"/>
          <w:b/>
          <w:bCs/>
          <w:color w:val="000000"/>
          <w:sz w:val="24"/>
          <w:highlight w:val="none"/>
        </w:rPr>
      </w:pPr>
    </w:p>
    <w:p w14:paraId="4D654C93">
      <w:pPr>
        <w:spacing w:line="360" w:lineRule="auto"/>
        <w:rPr>
          <w:rFonts w:hint="eastAsia"/>
          <w:highlight w:val="none"/>
        </w:rPr>
      </w:pPr>
      <w:r>
        <w:rPr>
          <w:rFonts w:hint="eastAsia" w:ascii="宋体" w:hAnsi="宋体" w:eastAsia="宋体" w:cs="宋体"/>
          <w:b/>
          <w:bCs/>
          <w:color w:val="FF0000"/>
          <w:sz w:val="21"/>
          <w:szCs w:val="21"/>
          <w:highlight w:val="none"/>
          <w:lang w:eastAsia="zh-CN"/>
        </w:rPr>
        <w:t>注</w:t>
      </w:r>
      <w:r>
        <w:rPr>
          <w:rFonts w:hint="eastAsia" w:ascii="宋体" w:hAnsi="宋体" w:eastAsia="宋体" w:cs="宋体"/>
          <w:b/>
          <w:bCs/>
          <w:color w:val="FF0000"/>
          <w:sz w:val="21"/>
          <w:szCs w:val="21"/>
          <w:highlight w:val="none"/>
        </w:rPr>
        <w:t>：</w:t>
      </w:r>
      <w:r>
        <w:rPr>
          <w:rFonts w:hint="eastAsia" w:ascii="宋体" w:hAnsi="宋体" w:eastAsia="宋体" w:cs="宋体"/>
          <w:b/>
          <w:bCs/>
          <w:color w:val="FF0000"/>
          <w:sz w:val="21"/>
          <w:szCs w:val="21"/>
          <w:highlight w:val="none"/>
          <w:lang w:eastAsia="zh-CN"/>
        </w:rPr>
        <w:t>本表后附</w:t>
      </w:r>
      <w:r>
        <w:rPr>
          <w:rFonts w:hint="eastAsia" w:ascii="宋体" w:hAnsi="宋体" w:eastAsia="宋体" w:cs="宋体"/>
          <w:b/>
          <w:bCs/>
          <w:color w:val="FF0000"/>
          <w:sz w:val="21"/>
          <w:szCs w:val="21"/>
          <w:highlight w:val="none"/>
        </w:rPr>
        <w:t>法定代表人身份证复印件及委托代理人身份证复印件。</w:t>
      </w:r>
    </w:p>
    <w:p w14:paraId="7AE3CBDC">
      <w:pPr>
        <w:pStyle w:val="9"/>
        <w:spacing w:line="360" w:lineRule="auto"/>
        <w:ind w:firstLine="0"/>
        <w:rPr>
          <w:sz w:val="24"/>
          <w:highlight w:val="none"/>
        </w:rPr>
      </w:pPr>
      <w:r>
        <w:rPr>
          <w:rFonts w:hint="eastAsia"/>
          <w:sz w:val="24"/>
          <w:highlight w:val="none"/>
        </w:rPr>
        <w:t>------------------------------------------------------------------------------------------------------------</w:t>
      </w:r>
    </w:p>
    <w:p w14:paraId="1CD72353">
      <w:pPr>
        <w:spacing w:line="360" w:lineRule="auto"/>
        <w:rPr>
          <w:rFonts w:hint="eastAsia"/>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4A2522E2">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6</w:t>
      </w:r>
      <w:r>
        <w:rPr>
          <w:rFonts w:hint="eastAsia" w:ascii="宋体" w:hAnsi="宋体" w:eastAsia="宋体" w:cs="宋体"/>
          <w:b/>
          <w:bCs/>
          <w:color w:val="000000"/>
          <w:sz w:val="24"/>
          <w:highlight w:val="none"/>
        </w:rPr>
        <w:t>：</w:t>
      </w:r>
    </w:p>
    <w:p w14:paraId="6A5EE2ED">
      <w:pPr>
        <w:spacing w:line="360" w:lineRule="auto"/>
        <w:jc w:val="center"/>
        <w:rPr>
          <w:rFonts w:hint="eastAsia" w:ascii="宋体" w:hAnsi="宋体" w:eastAsia="宋体" w:cs="宋体"/>
          <w:b/>
          <w:bCs/>
          <w:color w:val="000000"/>
          <w:kern w:val="0"/>
          <w:sz w:val="32"/>
          <w:szCs w:val="32"/>
          <w:highlight w:val="none"/>
          <w:lang w:val="zh-CN"/>
        </w:rPr>
      </w:pPr>
      <w:r>
        <w:rPr>
          <w:rFonts w:hint="eastAsia" w:ascii="宋体" w:hAnsi="宋体" w:cs="宋体"/>
          <w:b/>
          <w:bCs/>
          <w:color w:val="000000"/>
          <w:kern w:val="0"/>
          <w:sz w:val="32"/>
          <w:szCs w:val="32"/>
          <w:highlight w:val="none"/>
          <w:lang w:val="zh-CN"/>
        </w:rPr>
        <w:t>磋商</w:t>
      </w:r>
      <w:r>
        <w:rPr>
          <w:rFonts w:hint="eastAsia" w:ascii="宋体" w:hAnsi="宋体" w:eastAsia="宋体" w:cs="宋体"/>
          <w:b/>
          <w:bCs/>
          <w:color w:val="000000"/>
          <w:kern w:val="0"/>
          <w:sz w:val="32"/>
          <w:szCs w:val="32"/>
          <w:highlight w:val="none"/>
          <w:lang w:val="zh-CN"/>
        </w:rPr>
        <w:t>声明书</w:t>
      </w:r>
    </w:p>
    <w:p w14:paraId="6ADCF4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u w:val="single"/>
        </w:rPr>
      </w:pPr>
      <w:r>
        <w:rPr>
          <w:rFonts w:hint="eastAsia" w:ascii="宋体" w:hAnsi="宋体" w:cs="宋体"/>
          <w:color w:val="000000"/>
          <w:sz w:val="21"/>
          <w:szCs w:val="21"/>
          <w:highlight w:val="none"/>
          <w:u w:val="single"/>
          <w:lang w:eastAsia="zh-CN"/>
        </w:rPr>
        <w:t>浙江仙台旅游发展有限公司</w:t>
      </w:r>
      <w:r>
        <w:rPr>
          <w:rFonts w:hint="eastAsia" w:ascii="宋体" w:hAnsi="宋体" w:eastAsia="宋体" w:cs="宋体"/>
          <w:color w:val="000000"/>
          <w:sz w:val="21"/>
          <w:szCs w:val="21"/>
          <w:highlight w:val="none"/>
          <w:u w:val="single"/>
        </w:rPr>
        <w:t>：</w:t>
      </w:r>
    </w:p>
    <w:p w14:paraId="730ED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______________________________(供应商全称)授权____________ (全权代表姓名)___________(职务、职称)为全权代表，参加贵方组织的</w:t>
      </w:r>
      <w:r>
        <w:rPr>
          <w:rFonts w:hint="eastAsia" w:ascii="宋体" w:hAnsi="宋体" w:eastAsia="宋体" w:cs="宋体"/>
          <w:color w:val="000000"/>
          <w:sz w:val="21"/>
          <w:szCs w:val="21"/>
          <w:highlight w:val="none"/>
          <w:u w:val="single"/>
        </w:rPr>
        <w:t xml:space="preserve"> </w:t>
      </w:r>
      <w:r>
        <w:rPr>
          <w:rFonts w:hint="eastAsia" w:ascii="宋体" w:hAnsi="宋体" w:cs="宋体"/>
          <w:b/>
          <w:color w:val="000000"/>
          <w:sz w:val="21"/>
          <w:szCs w:val="21"/>
          <w:highlight w:val="none"/>
          <w:u w:val="single"/>
          <w:lang w:eastAsia="zh-CN"/>
        </w:rPr>
        <w:t>仙居县台创基地未来乡村项目渔耕体验区配套道路</w:t>
      </w:r>
      <w:r>
        <w:rPr>
          <w:rFonts w:hint="eastAsia" w:ascii="宋体" w:hAnsi="宋体" w:eastAsia="宋体" w:cs="宋体"/>
          <w:b/>
          <w:color w:val="000000"/>
          <w:sz w:val="21"/>
          <w:szCs w:val="21"/>
          <w:highlight w:val="none"/>
          <w:u w:val="single"/>
        </w:rPr>
        <w:t>（项目编号：</w:t>
      </w:r>
      <w:r>
        <w:rPr>
          <w:rFonts w:hint="eastAsia" w:ascii="宋体" w:hAnsi="宋体" w:cs="宋体"/>
          <w:b/>
          <w:color w:val="0000FF"/>
          <w:sz w:val="21"/>
          <w:szCs w:val="21"/>
          <w:highlight w:val="none"/>
          <w:u w:val="single"/>
          <w:lang w:eastAsia="zh-CN"/>
        </w:rPr>
        <w:t>ZJJX-25CG-006</w:t>
      </w:r>
      <w:r>
        <w:rPr>
          <w:rFonts w:hint="eastAsia" w:ascii="宋体" w:hAnsi="宋体" w:eastAsia="宋体" w:cs="宋体"/>
          <w:b/>
          <w:color w:val="0000FF"/>
          <w:sz w:val="21"/>
          <w:szCs w:val="21"/>
          <w:highlight w:val="none"/>
          <w:u w:val="single"/>
        </w:rPr>
        <w:t xml:space="preserve">） </w:t>
      </w:r>
      <w:r>
        <w:rPr>
          <w:rFonts w:hint="eastAsia" w:ascii="宋体" w:hAnsi="宋体" w:eastAsia="宋体" w:cs="宋体"/>
          <w:color w:val="000000"/>
          <w:sz w:val="21"/>
          <w:szCs w:val="21"/>
          <w:highlight w:val="none"/>
        </w:rPr>
        <w:t>采购的有关活动，并对此项目进行投标。为此：</w:t>
      </w:r>
    </w:p>
    <w:p w14:paraId="429BC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1、我方同意在</w:t>
      </w:r>
      <w:r>
        <w:rPr>
          <w:rFonts w:hint="eastAsia" w:ascii="宋体" w:hAnsi="宋体" w:cs="宋体"/>
          <w:color w:val="000000"/>
          <w:sz w:val="21"/>
          <w:szCs w:val="21"/>
          <w:highlight w:val="none"/>
          <w:lang w:eastAsia="zh-CN"/>
        </w:rPr>
        <w:t>投标</w:t>
      </w:r>
      <w:r>
        <w:rPr>
          <w:rFonts w:hint="eastAsia" w:ascii="宋体" w:hAnsi="宋体" w:eastAsia="宋体" w:cs="宋体"/>
          <w:color w:val="000000"/>
          <w:sz w:val="21"/>
          <w:szCs w:val="21"/>
          <w:highlight w:val="none"/>
        </w:rPr>
        <w:t>须知规定的开标日期起遵守本投标书中的承诺且在投标有效期满之前均具有约束力。</w:t>
      </w:r>
    </w:p>
    <w:p w14:paraId="5C230E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2、我方承诺已经具备</w:t>
      </w:r>
      <w:r>
        <w:rPr>
          <w:rFonts w:hint="eastAsia" w:ascii="宋体" w:hAnsi="宋体" w:eastAsia="宋体" w:cs="宋体"/>
          <w:color w:val="000000"/>
          <w:sz w:val="21"/>
          <w:szCs w:val="21"/>
          <w:highlight w:val="none"/>
          <w:lang w:eastAsia="zh-CN"/>
        </w:rPr>
        <w:t>采购文件</w:t>
      </w:r>
      <w:r>
        <w:rPr>
          <w:rFonts w:hint="eastAsia" w:ascii="宋体" w:hAnsi="宋体" w:eastAsia="宋体" w:cs="宋体"/>
          <w:color w:val="000000"/>
          <w:sz w:val="21"/>
          <w:szCs w:val="21"/>
          <w:highlight w:val="none"/>
        </w:rPr>
        <w:t>中规定的参加采购活动的供应商应当具备的条件：</w:t>
      </w:r>
    </w:p>
    <w:p w14:paraId="6CC47F41">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（1）具有独立承担民事责任的能力；</w:t>
      </w:r>
    </w:p>
    <w:p w14:paraId="3BBD0517">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（2）遵守国家法律、行政法规，具有良好的信誉和商业道德；</w:t>
      </w:r>
    </w:p>
    <w:p w14:paraId="301C35F3">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（3）具有履行合同的能力和良好的履行合同记录；</w:t>
      </w:r>
    </w:p>
    <w:p w14:paraId="47C51472">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（4）良好的资金、财务状况；</w:t>
      </w:r>
    </w:p>
    <w:p w14:paraId="1EDFE693">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（5）产品及生产所需装备符合中国政府规定的相应技术标准和环保标准；</w:t>
      </w:r>
    </w:p>
    <w:p w14:paraId="6DC9E1FA">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（6）没有违反政府采购法规、政策的记录；</w:t>
      </w:r>
    </w:p>
    <w:p w14:paraId="493DE642">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（7）没有发生重大经济纠纷和走私犯罪记录；</w:t>
      </w:r>
    </w:p>
    <w:p w14:paraId="49D637A0">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3、提供</w:t>
      </w:r>
      <w:r>
        <w:rPr>
          <w:rFonts w:hint="eastAsia" w:ascii="宋体" w:hAnsi="宋体" w:cs="宋体"/>
          <w:color w:val="000000"/>
          <w:sz w:val="21"/>
          <w:szCs w:val="21"/>
          <w:highlight w:val="none"/>
          <w:lang w:eastAsia="zh-CN"/>
        </w:rPr>
        <w:t>投标</w:t>
      </w:r>
      <w:r>
        <w:rPr>
          <w:rFonts w:hint="eastAsia" w:ascii="宋体" w:hAnsi="宋体" w:eastAsia="宋体" w:cs="宋体"/>
          <w:color w:val="000000"/>
          <w:sz w:val="21"/>
          <w:szCs w:val="21"/>
          <w:highlight w:val="none"/>
        </w:rPr>
        <w:t>须知规定的全部响应文件，具体内容为：</w:t>
      </w:r>
    </w:p>
    <w:p w14:paraId="0D8051F2">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（1）报价文件；</w:t>
      </w:r>
    </w:p>
    <w:p w14:paraId="79AF11BF">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商务与技术文件</w:t>
      </w:r>
      <w:r>
        <w:rPr>
          <w:rFonts w:hint="eastAsia" w:ascii="宋体" w:hAnsi="宋体" w:eastAsia="宋体" w:cs="宋体"/>
          <w:color w:val="000000"/>
          <w:sz w:val="21"/>
          <w:szCs w:val="21"/>
          <w:highlight w:val="none"/>
        </w:rPr>
        <w:t>；</w:t>
      </w:r>
    </w:p>
    <w:p w14:paraId="3E3A9597">
      <w:pPr>
        <w:spacing w:line="360" w:lineRule="auto"/>
        <w:ind w:firstLine="315" w:firstLineChars="15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投标</w:t>
      </w:r>
      <w:r>
        <w:rPr>
          <w:rFonts w:hint="eastAsia" w:ascii="宋体" w:hAnsi="宋体" w:eastAsia="宋体" w:cs="宋体"/>
          <w:color w:val="000000"/>
          <w:sz w:val="21"/>
          <w:szCs w:val="21"/>
          <w:highlight w:val="none"/>
        </w:rPr>
        <w:t>须知要求供应商提交的全部文件；</w:t>
      </w:r>
    </w:p>
    <w:p w14:paraId="4BB71DE0">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4、按采购文件要求提供和交付的货物或服务的投标报价详见</w:t>
      </w:r>
      <w:r>
        <w:rPr>
          <w:rFonts w:hint="eastAsia" w:ascii="宋体" w:hAnsi="宋体" w:cs="宋体"/>
          <w:color w:val="000000"/>
          <w:sz w:val="21"/>
          <w:szCs w:val="21"/>
          <w:highlight w:val="none"/>
          <w:lang w:eastAsia="zh-CN"/>
        </w:rPr>
        <w:t>开标一览表</w:t>
      </w:r>
      <w:r>
        <w:rPr>
          <w:rFonts w:hint="eastAsia" w:ascii="宋体" w:hAnsi="宋体" w:eastAsia="宋体" w:cs="宋体"/>
          <w:color w:val="000000"/>
          <w:sz w:val="21"/>
          <w:szCs w:val="21"/>
          <w:highlight w:val="none"/>
        </w:rPr>
        <w:t>。</w:t>
      </w:r>
    </w:p>
    <w:p w14:paraId="3D2F30BB">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5、保证忠实地执行双方所签订的合同，并承担合同规定的责任和义务。</w:t>
      </w:r>
    </w:p>
    <w:p w14:paraId="01CCA0B4">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6、保证遵守采购文件中的其他有关规定。</w:t>
      </w:r>
    </w:p>
    <w:p w14:paraId="79B2A331">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7、如果在开标后规定的</w:t>
      </w:r>
      <w:r>
        <w:rPr>
          <w:rFonts w:hint="eastAsia" w:ascii="宋体" w:hAnsi="宋体" w:cs="宋体"/>
          <w:color w:val="000000"/>
          <w:sz w:val="21"/>
          <w:szCs w:val="21"/>
          <w:highlight w:val="none"/>
          <w:lang w:eastAsia="zh-CN"/>
        </w:rPr>
        <w:t>投标</w:t>
      </w:r>
      <w:r>
        <w:rPr>
          <w:rFonts w:hint="eastAsia" w:ascii="宋体" w:hAnsi="宋体" w:eastAsia="宋体" w:cs="宋体"/>
          <w:color w:val="000000"/>
          <w:sz w:val="21"/>
          <w:szCs w:val="21"/>
          <w:highlight w:val="none"/>
        </w:rPr>
        <w:t>有效期内撤回投标书，我方的</w:t>
      </w:r>
      <w:r>
        <w:rPr>
          <w:rFonts w:hint="eastAsia" w:ascii="宋体" w:hAnsi="宋体" w:cs="宋体"/>
          <w:color w:val="000000"/>
          <w:sz w:val="21"/>
          <w:szCs w:val="21"/>
          <w:highlight w:val="none"/>
          <w:lang w:eastAsia="zh-CN"/>
        </w:rPr>
        <w:t>投标</w:t>
      </w:r>
      <w:r>
        <w:rPr>
          <w:rFonts w:hint="eastAsia" w:ascii="宋体" w:hAnsi="宋体" w:eastAsia="宋体" w:cs="宋体"/>
          <w:color w:val="000000"/>
          <w:sz w:val="21"/>
          <w:szCs w:val="21"/>
          <w:highlight w:val="none"/>
          <w:lang w:eastAsia="zh-CN"/>
        </w:rPr>
        <w:t>保证金</w:t>
      </w:r>
      <w:r>
        <w:rPr>
          <w:rFonts w:hint="eastAsia" w:ascii="宋体" w:hAnsi="宋体" w:eastAsia="宋体" w:cs="宋体"/>
          <w:color w:val="000000"/>
          <w:sz w:val="21"/>
          <w:szCs w:val="21"/>
          <w:highlight w:val="none"/>
        </w:rPr>
        <w:t>可不予退回。</w:t>
      </w:r>
    </w:p>
    <w:p w14:paraId="210B72D0">
      <w:pPr>
        <w:spacing w:line="360" w:lineRule="auto"/>
        <w:ind w:firstLine="420" w:firstLineChars="200"/>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8、我方完全理解贵方不一定要接受最低价的投标。</w:t>
      </w:r>
    </w:p>
    <w:p w14:paraId="451873B9">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9、我方愿意向贵方提供任何与该项投标有关的数据、情况和技术资料。若贵方需要，我方愿意提供我方作出的一切承诺的证明材料。</w:t>
      </w:r>
    </w:p>
    <w:p w14:paraId="638ACA6B">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10、我方已详细审核全部采购文件，包括采购文件修改书（如有的话）、参考资料及有关附件，确认无误。</w:t>
      </w:r>
    </w:p>
    <w:p w14:paraId="599E4B86">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FE45A7">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a、提供虚假材料谋取中标、成交的；</w:t>
      </w:r>
    </w:p>
    <w:p w14:paraId="59327A19">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b、采取不正当手段诋毁、排挤其他供应商的；</w:t>
      </w:r>
    </w:p>
    <w:p w14:paraId="3FA24A63">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c、与采购人、其它供应商恶意串通的；</w:t>
      </w:r>
    </w:p>
    <w:p w14:paraId="3BAF5886">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d、向采购人行贿或者提供其他不正当利益的；</w:t>
      </w:r>
    </w:p>
    <w:p w14:paraId="1197DC1C">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e、拒绝有关部门监督检查或提供虚假情况的。</w:t>
      </w:r>
    </w:p>
    <w:p w14:paraId="7F473840">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12、我方的响应文件自响应文件递交截止之日起</w:t>
      </w:r>
      <w:r>
        <w:rPr>
          <w:rFonts w:hint="eastAsia" w:ascii="宋体" w:hAnsi="宋体" w:eastAsia="宋体" w:cs="宋体"/>
          <w:color w:val="000000"/>
          <w:sz w:val="21"/>
          <w:szCs w:val="21"/>
          <w:highlight w:val="none"/>
          <w:u w:val="single"/>
        </w:rPr>
        <w:t>90</w:t>
      </w:r>
      <w:r>
        <w:rPr>
          <w:rFonts w:hint="eastAsia" w:ascii="宋体" w:hAnsi="宋体" w:eastAsia="宋体" w:cs="宋体"/>
          <w:color w:val="000000"/>
          <w:sz w:val="21"/>
          <w:szCs w:val="21"/>
          <w:highlight w:val="none"/>
        </w:rPr>
        <w:t>天内有效。</w:t>
      </w:r>
    </w:p>
    <w:p w14:paraId="5EFC0AC9">
      <w:pPr>
        <w:spacing w:line="360" w:lineRule="auto"/>
        <w:ind w:firstLine="420" w:firstLineChars="200"/>
        <w:jc w:val="left"/>
        <w:rPr>
          <w:rFonts w:hint="eastAsia" w:ascii="宋体" w:hAnsi="宋体" w:eastAsia="宋体" w:cs="宋体"/>
          <w:color w:val="000000"/>
          <w:sz w:val="21"/>
          <w:szCs w:val="21"/>
          <w:highlight w:val="none"/>
        </w:rPr>
      </w:pPr>
    </w:p>
    <w:p w14:paraId="054A34D3">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14:paraId="48FFF981">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与本投标有关的一切往来通讯请寄：</w:t>
      </w:r>
    </w:p>
    <w:p w14:paraId="5AF4936F">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  址：____________________                   </w:t>
      </w:r>
    </w:p>
    <w:p w14:paraId="2D78CE4A">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  编：____________________　</w:t>
      </w:r>
    </w:p>
    <w:p w14:paraId="57364ACD">
      <w:pPr>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联系人：____________________</w:t>
      </w:r>
    </w:p>
    <w:p w14:paraId="7530412D">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话：____________________　</w:t>
      </w:r>
      <w:r>
        <w:rPr>
          <w:rFonts w:hint="eastAsia" w:ascii="宋体" w:hAnsi="宋体" w:eastAsia="宋体" w:cs="宋体"/>
          <w:i/>
          <w:iCs/>
          <w:color w:val="BEBEBE"/>
          <w:sz w:val="21"/>
          <w:szCs w:val="21"/>
          <w:highlight w:val="none"/>
        </w:rPr>
        <w:t xml:space="preserve">（填写固定、移动电话）  </w:t>
      </w:r>
      <w:r>
        <w:rPr>
          <w:rFonts w:hint="eastAsia" w:ascii="宋体" w:hAnsi="宋体" w:eastAsia="宋体" w:cs="宋体"/>
          <w:color w:val="000000"/>
          <w:sz w:val="21"/>
          <w:szCs w:val="21"/>
          <w:highlight w:val="none"/>
        </w:rPr>
        <w:t xml:space="preserve">               </w:t>
      </w:r>
    </w:p>
    <w:p w14:paraId="6B07D229">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  真：____________________</w:t>
      </w:r>
    </w:p>
    <w:p w14:paraId="02145A7D">
      <w:pPr>
        <w:spacing w:line="360" w:lineRule="auto"/>
        <w:ind w:firstLine="420" w:firstLineChars="200"/>
        <w:jc w:val="left"/>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E-mail：____________________</w:t>
      </w:r>
    </w:p>
    <w:p w14:paraId="357796AF">
      <w:p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w:t>
      </w:r>
    </w:p>
    <w:p w14:paraId="1EEC48E9">
      <w:pPr>
        <w:spacing w:line="360" w:lineRule="auto"/>
        <w:jc w:val="left"/>
        <w:rPr>
          <w:rFonts w:hint="eastAsia" w:ascii="宋体" w:hAnsi="宋体" w:eastAsia="宋体" w:cs="宋体"/>
          <w:color w:val="000000"/>
          <w:sz w:val="24"/>
          <w:highlight w:val="none"/>
        </w:rPr>
      </w:pPr>
    </w:p>
    <w:p w14:paraId="347124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4"/>
          <w:highlight w:val="none"/>
        </w:rPr>
        <w:t xml:space="preserve">                           </w:t>
      </w: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1"/>
          <w:szCs w:val="21"/>
          <w:highlight w:val="none"/>
        </w:rPr>
        <w:t xml:space="preserve">供应商 (盖单位章)：             </w:t>
      </w:r>
    </w:p>
    <w:p w14:paraId="31423AEB">
      <w:pPr>
        <w:keepNext w:val="0"/>
        <w:keepLines w:val="0"/>
        <w:pageBreakBefore w:val="0"/>
        <w:widowControl w:val="0"/>
        <w:kinsoku/>
        <w:wordWrap/>
        <w:overflowPunct/>
        <w:topLinePunct w:val="0"/>
        <w:autoSpaceDE/>
        <w:autoSpaceDN/>
        <w:bidi w:val="0"/>
        <w:adjustRightInd/>
        <w:snapToGrid/>
        <w:spacing w:line="360" w:lineRule="auto"/>
        <w:ind w:firstLine="1265" w:firstLineChars="6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法定代表人或其授权代表人（签字或盖章）：</w:t>
      </w:r>
    </w:p>
    <w:p w14:paraId="12049EBC">
      <w:pPr>
        <w:keepNext w:val="0"/>
        <w:keepLines w:val="0"/>
        <w:pageBreakBefore w:val="0"/>
        <w:widowControl w:val="0"/>
        <w:kinsoku/>
        <w:wordWrap/>
        <w:overflowPunct/>
        <w:topLinePunct w:val="0"/>
        <w:autoSpaceDE/>
        <w:autoSpaceDN/>
        <w:bidi w:val="0"/>
        <w:adjustRightInd/>
        <w:snapToGrid/>
        <w:spacing w:line="360" w:lineRule="auto"/>
        <w:ind w:firstLine="4638" w:firstLineChars="2200"/>
        <w:jc w:val="left"/>
        <w:textAlignment w:val="auto"/>
        <w:rPr>
          <w:rFonts w:hint="eastAsia" w:ascii="宋体" w:hAnsi="宋体" w:eastAsia="宋体" w:cs="宋体"/>
          <w:b/>
          <w:color w:val="000000"/>
          <w:sz w:val="21"/>
          <w:szCs w:val="21"/>
          <w:highlight w:val="none"/>
          <w:lang w:val="zh-CN"/>
        </w:rPr>
      </w:pPr>
      <w:r>
        <w:rPr>
          <w:rFonts w:hint="eastAsia" w:ascii="宋体" w:hAnsi="宋体" w:eastAsia="宋体" w:cs="宋体"/>
          <w:b/>
          <w:color w:val="000000"/>
          <w:sz w:val="21"/>
          <w:szCs w:val="21"/>
          <w:highlight w:val="none"/>
        </w:rPr>
        <w:t>日　期：</w:t>
      </w:r>
    </w:p>
    <w:p w14:paraId="3B1A052C">
      <w:pPr>
        <w:spacing w:line="360" w:lineRule="auto"/>
        <w:jc w:val="left"/>
        <w:rPr>
          <w:rFonts w:hint="eastAsia" w:ascii="宋体" w:hAnsi="宋体" w:eastAsia="宋体" w:cs="宋体"/>
          <w:b/>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23ECA2DB">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7</w:t>
      </w:r>
      <w:r>
        <w:rPr>
          <w:rFonts w:hint="eastAsia" w:ascii="宋体" w:hAnsi="宋体" w:eastAsia="宋体" w:cs="宋体"/>
          <w:b/>
          <w:bCs/>
          <w:color w:val="000000"/>
          <w:sz w:val="24"/>
          <w:highlight w:val="none"/>
        </w:rPr>
        <w:t xml:space="preserve">： </w:t>
      </w:r>
    </w:p>
    <w:p w14:paraId="485248E7">
      <w:pPr>
        <w:tabs>
          <w:tab w:val="left" w:pos="2790"/>
          <w:tab w:val="left" w:pos="4230"/>
        </w:tabs>
        <w:autoSpaceDE w:val="0"/>
        <w:autoSpaceDN w:val="0"/>
        <w:spacing w:line="360" w:lineRule="auto"/>
        <w:jc w:val="center"/>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商务响应表</w:t>
      </w:r>
    </w:p>
    <w:p w14:paraId="18C8D6FD">
      <w:pPr>
        <w:pStyle w:val="22"/>
        <w:spacing w:beforeLines="0" w:afterLines="0" w:line="360" w:lineRule="auto"/>
        <w:rPr>
          <w:rFonts w:hint="eastAsia" w:hAnsi="宋体" w:eastAsia="宋体" w:cs="宋体"/>
          <w:sz w:val="21"/>
          <w:szCs w:val="21"/>
          <w:highlight w:val="none"/>
        </w:rPr>
      </w:pPr>
      <w:r>
        <w:rPr>
          <w:rFonts w:hint="eastAsia" w:hAnsi="宋体" w:eastAsia="宋体" w:cs="宋体"/>
          <w:sz w:val="21"/>
          <w:szCs w:val="21"/>
          <w:highlight w:val="none"/>
        </w:rPr>
        <w:t>项目编号：</w:t>
      </w:r>
      <w:r>
        <w:rPr>
          <w:rFonts w:hint="eastAsia" w:hAnsi="宋体" w:cs="宋体"/>
          <w:color w:val="0000FF"/>
          <w:sz w:val="21"/>
          <w:szCs w:val="21"/>
          <w:highlight w:val="none"/>
          <w:lang w:val="zh-CN"/>
        </w:rPr>
        <w:t>ZJJX-25CG-006</w:t>
      </w:r>
    </w:p>
    <w:p w14:paraId="4693E12A">
      <w:pPr>
        <w:autoSpaceDE w:val="0"/>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rPr>
        <w:t>项目名称：</w:t>
      </w:r>
      <w:r>
        <w:rPr>
          <w:rFonts w:hint="eastAsia" w:ascii="宋体" w:hAnsi="宋体" w:cs="宋体"/>
          <w:color w:val="000000"/>
          <w:szCs w:val="21"/>
          <w:highlight w:val="none"/>
          <w:lang w:val="zh-CN"/>
        </w:rPr>
        <w:t>仙居县台创基地未来乡村项目渔耕体验区配套道路</w:t>
      </w:r>
    </w:p>
    <w:tbl>
      <w:tblPr>
        <w:tblStyle w:val="3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38"/>
        <w:gridCol w:w="6455"/>
        <w:gridCol w:w="853"/>
        <w:gridCol w:w="729"/>
      </w:tblGrid>
      <w:tr w14:paraId="28C5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3" w:type="dxa"/>
            <w:vAlign w:val="center"/>
          </w:tcPr>
          <w:p w14:paraId="5BA8DA5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38" w:type="dxa"/>
            <w:vAlign w:val="center"/>
          </w:tcPr>
          <w:p w14:paraId="457DADF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内  容</w:t>
            </w:r>
          </w:p>
        </w:tc>
        <w:tc>
          <w:tcPr>
            <w:tcW w:w="6455" w:type="dxa"/>
            <w:vAlign w:val="center"/>
          </w:tcPr>
          <w:p w14:paraId="182E7D7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采购文件要求</w:t>
            </w:r>
          </w:p>
        </w:tc>
        <w:tc>
          <w:tcPr>
            <w:tcW w:w="853" w:type="dxa"/>
            <w:vAlign w:val="center"/>
          </w:tcPr>
          <w:p w14:paraId="0418A6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供应商承诺</w:t>
            </w:r>
          </w:p>
        </w:tc>
        <w:tc>
          <w:tcPr>
            <w:tcW w:w="729" w:type="dxa"/>
            <w:vAlign w:val="center"/>
          </w:tcPr>
          <w:p w14:paraId="2BAA2756">
            <w:pPr>
              <w:spacing w:line="360" w:lineRule="auto"/>
              <w:jc w:val="center"/>
              <w:rPr>
                <w:rFonts w:hint="eastAsia" w:ascii="宋体" w:hAnsi="宋体" w:eastAsia="宋体" w:cs="宋体"/>
                <w:szCs w:val="21"/>
                <w:highlight w:val="none"/>
              </w:rPr>
            </w:pPr>
            <w:r>
              <w:rPr>
                <w:rFonts w:hint="eastAsia" w:ascii="宋体" w:hAnsi="宋体" w:eastAsia="宋体"/>
                <w:szCs w:val="21"/>
                <w:highlight w:val="none"/>
              </w:rPr>
              <w:t>是否响应</w:t>
            </w:r>
          </w:p>
        </w:tc>
      </w:tr>
      <w:tr w14:paraId="4163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63" w:type="dxa"/>
            <w:vAlign w:val="center"/>
          </w:tcPr>
          <w:p w14:paraId="5CF1DC40">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38" w:type="dxa"/>
            <w:vAlign w:val="center"/>
          </w:tcPr>
          <w:p w14:paraId="1E085C61">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合同履约期限</w:t>
            </w:r>
          </w:p>
        </w:tc>
        <w:tc>
          <w:tcPr>
            <w:tcW w:w="6455" w:type="dxa"/>
            <w:vAlign w:val="center"/>
          </w:tcPr>
          <w:p w14:paraId="3E4DF483">
            <w:pPr>
              <w:widowControl/>
              <w:spacing w:line="360" w:lineRule="auto"/>
              <w:rPr>
                <w:rFonts w:hint="eastAsia" w:ascii="宋体" w:hAnsi="宋体" w:eastAsia="宋体" w:cs="宋体"/>
                <w:color w:val="0000FF"/>
                <w:szCs w:val="21"/>
                <w:highlight w:val="none"/>
                <w:lang w:eastAsia="zh-CN"/>
              </w:rPr>
            </w:pPr>
            <w:r>
              <w:rPr>
                <w:rFonts w:hint="eastAsia" w:ascii="宋体" w:hAnsi="宋体" w:cs="宋体"/>
                <w:kern w:val="0"/>
                <w:szCs w:val="21"/>
                <w:highlight w:val="none"/>
                <w:lang w:val="en-US" w:eastAsia="zh-CN"/>
              </w:rPr>
              <w:t>项目工期不超过 65 日历天</w:t>
            </w:r>
          </w:p>
        </w:tc>
        <w:tc>
          <w:tcPr>
            <w:tcW w:w="853" w:type="dxa"/>
            <w:vAlign w:val="center"/>
          </w:tcPr>
          <w:p w14:paraId="2E131DFE">
            <w:pPr>
              <w:spacing w:before="50" w:after="50" w:line="360" w:lineRule="auto"/>
              <w:jc w:val="center"/>
              <w:rPr>
                <w:rFonts w:hint="eastAsia" w:ascii="宋体" w:hAnsi="宋体" w:eastAsia="宋体" w:cs="宋体"/>
                <w:szCs w:val="21"/>
                <w:highlight w:val="none"/>
              </w:rPr>
            </w:pPr>
          </w:p>
        </w:tc>
        <w:tc>
          <w:tcPr>
            <w:tcW w:w="729" w:type="dxa"/>
            <w:vAlign w:val="center"/>
          </w:tcPr>
          <w:p w14:paraId="28462B2F">
            <w:pPr>
              <w:spacing w:before="50" w:after="50" w:line="360" w:lineRule="auto"/>
              <w:jc w:val="center"/>
              <w:rPr>
                <w:rFonts w:hint="eastAsia" w:ascii="宋体" w:hAnsi="宋体" w:eastAsia="宋体" w:cs="宋体"/>
                <w:szCs w:val="21"/>
                <w:highlight w:val="none"/>
              </w:rPr>
            </w:pPr>
          </w:p>
        </w:tc>
      </w:tr>
      <w:tr w14:paraId="146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63" w:type="dxa"/>
            <w:vAlign w:val="center"/>
          </w:tcPr>
          <w:p w14:paraId="11A90147">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38" w:type="dxa"/>
            <w:vAlign w:val="center"/>
          </w:tcPr>
          <w:p w14:paraId="6DD2678D">
            <w:pPr>
              <w:widowControl/>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质量要求</w:t>
            </w:r>
          </w:p>
        </w:tc>
        <w:tc>
          <w:tcPr>
            <w:tcW w:w="6455" w:type="dxa"/>
            <w:vAlign w:val="center"/>
          </w:tcPr>
          <w:p w14:paraId="14420C50">
            <w:pPr>
              <w:pStyle w:val="35"/>
              <w:spacing w:line="360" w:lineRule="auto"/>
              <w:ind w:firstLine="0" w:firstLineChars="0"/>
              <w:rPr>
                <w:rFonts w:hint="eastAsia" w:ascii="宋体" w:hAnsi="宋体" w:eastAsia="宋体" w:cs="宋体"/>
                <w:color w:val="0000FF"/>
                <w:szCs w:val="21"/>
                <w:highlight w:val="none"/>
                <w:lang w:val="en-US" w:eastAsia="zh-CN"/>
              </w:rPr>
            </w:pPr>
            <w:r>
              <w:rPr>
                <w:rFonts w:hint="eastAsia" w:ascii="宋体" w:hAnsi="宋体" w:eastAsia="宋体" w:cs="宋体"/>
                <w:color w:val="auto"/>
                <w:kern w:val="2"/>
                <w:sz w:val="21"/>
                <w:szCs w:val="21"/>
                <w:highlight w:val="none"/>
                <w:lang w:val="en-US" w:eastAsia="zh-CN" w:bidi="ar-SA"/>
              </w:rPr>
              <w:t>合格</w:t>
            </w:r>
          </w:p>
        </w:tc>
        <w:tc>
          <w:tcPr>
            <w:tcW w:w="853" w:type="dxa"/>
            <w:vAlign w:val="center"/>
          </w:tcPr>
          <w:p w14:paraId="75E15F05">
            <w:pPr>
              <w:spacing w:before="50" w:after="50" w:line="360" w:lineRule="auto"/>
              <w:jc w:val="center"/>
              <w:rPr>
                <w:rFonts w:hint="eastAsia" w:ascii="宋体" w:hAnsi="宋体" w:eastAsia="宋体" w:cs="宋体"/>
                <w:szCs w:val="21"/>
                <w:highlight w:val="none"/>
              </w:rPr>
            </w:pPr>
          </w:p>
        </w:tc>
        <w:tc>
          <w:tcPr>
            <w:tcW w:w="729" w:type="dxa"/>
            <w:vAlign w:val="center"/>
          </w:tcPr>
          <w:p w14:paraId="4AC677AD">
            <w:pPr>
              <w:spacing w:before="50" w:after="50" w:line="360" w:lineRule="auto"/>
              <w:jc w:val="center"/>
              <w:rPr>
                <w:rFonts w:hint="eastAsia" w:ascii="宋体" w:hAnsi="宋体" w:eastAsia="宋体" w:cs="宋体"/>
                <w:szCs w:val="21"/>
                <w:highlight w:val="none"/>
              </w:rPr>
            </w:pPr>
          </w:p>
        </w:tc>
      </w:tr>
      <w:tr w14:paraId="7414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5A267276">
            <w:pPr>
              <w:spacing w:before="50" w:after="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38" w:type="dxa"/>
            <w:vAlign w:val="center"/>
          </w:tcPr>
          <w:p w14:paraId="1C8FA1AB">
            <w:pPr>
              <w:widowControl/>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保修要求</w:t>
            </w:r>
          </w:p>
        </w:tc>
        <w:tc>
          <w:tcPr>
            <w:tcW w:w="6455" w:type="dxa"/>
            <w:vAlign w:val="center"/>
          </w:tcPr>
          <w:p w14:paraId="1BB496C5">
            <w:pPr>
              <w:pStyle w:val="3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本工程缺陷责任期为</w:t>
            </w:r>
            <w:r>
              <w:rPr>
                <w:rFonts w:hint="eastAsia" w:asci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w:t>
            </w:r>
          </w:p>
          <w:p w14:paraId="271B174E">
            <w:pPr>
              <w:spacing w:line="360" w:lineRule="auto"/>
              <w:jc w:val="both"/>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lang w:val="en-US" w:eastAsia="zh-CN"/>
              </w:rPr>
              <w:t>成交供应商</w:t>
            </w:r>
            <w:r>
              <w:rPr>
                <w:rFonts w:hint="eastAsia" w:ascii="宋体" w:hAnsi="宋体" w:cs="宋体"/>
                <w:sz w:val="21"/>
                <w:szCs w:val="21"/>
              </w:rPr>
              <w:t>施工完毕，并在工程竣工验收合格办理移交手续之日，在签订的工程质量保修书期限内，为发包方提供免费服务。</w:t>
            </w:r>
          </w:p>
          <w:p w14:paraId="3DF083F6">
            <w:pPr>
              <w:spacing w:line="360" w:lineRule="auto"/>
              <w:jc w:val="both"/>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中标后承包人应与发包人签订工程质量保修书，承包人在质量保修期内，按照有关法律、法规、规章的管理规定和双方约定，承担本工程质量保修责任。</w:t>
            </w:r>
          </w:p>
          <w:p w14:paraId="07B4CB59">
            <w:pPr>
              <w:spacing w:line="360" w:lineRule="auto"/>
              <w:jc w:val="both"/>
              <w:rPr>
                <w:rFonts w:hint="eastAsia" w:ascii="宋体" w:hAnsi="宋体" w:eastAsia="宋体" w:cs="宋体"/>
                <w:color w:val="0000FF"/>
                <w:szCs w:val="21"/>
                <w:highlight w:val="none"/>
              </w:rPr>
            </w:pPr>
            <w:r>
              <w:rPr>
                <w:rFonts w:hint="eastAsia" w:ascii="宋体" w:hAnsi="宋体" w:cs="宋体"/>
                <w:sz w:val="21"/>
                <w:szCs w:val="21"/>
                <w:lang w:val="en-US" w:eastAsia="zh-CN"/>
              </w:rPr>
              <w:t>（3）</w:t>
            </w:r>
            <w:r>
              <w:rPr>
                <w:rFonts w:hint="eastAsia" w:ascii="宋体" w:hAnsi="宋体" w:cs="宋体"/>
                <w:sz w:val="21"/>
                <w:szCs w:val="21"/>
              </w:rPr>
              <w:t>承包人要对其所提供的施工、材料、设备及其内在工程质量负全部责任。</w:t>
            </w:r>
          </w:p>
        </w:tc>
        <w:tc>
          <w:tcPr>
            <w:tcW w:w="853" w:type="dxa"/>
            <w:vAlign w:val="center"/>
          </w:tcPr>
          <w:p w14:paraId="4D593D2C">
            <w:pPr>
              <w:spacing w:before="50" w:after="50" w:line="360" w:lineRule="auto"/>
              <w:jc w:val="center"/>
              <w:rPr>
                <w:rFonts w:hint="eastAsia" w:ascii="宋体" w:hAnsi="宋体" w:eastAsia="宋体" w:cs="宋体"/>
                <w:szCs w:val="21"/>
                <w:highlight w:val="none"/>
              </w:rPr>
            </w:pPr>
          </w:p>
        </w:tc>
        <w:tc>
          <w:tcPr>
            <w:tcW w:w="729" w:type="dxa"/>
            <w:vAlign w:val="center"/>
          </w:tcPr>
          <w:p w14:paraId="6CC61E8F">
            <w:pPr>
              <w:spacing w:before="50" w:after="50" w:line="360" w:lineRule="auto"/>
              <w:jc w:val="center"/>
              <w:rPr>
                <w:rFonts w:hint="eastAsia" w:ascii="宋体" w:hAnsi="宋体" w:eastAsia="宋体" w:cs="宋体"/>
                <w:szCs w:val="21"/>
                <w:highlight w:val="none"/>
              </w:rPr>
            </w:pPr>
          </w:p>
        </w:tc>
      </w:tr>
      <w:tr w14:paraId="7FFC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3" w:type="dxa"/>
            <w:vAlign w:val="center"/>
          </w:tcPr>
          <w:p w14:paraId="7406D31E">
            <w:pPr>
              <w:spacing w:before="50" w:after="50"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138" w:type="dxa"/>
            <w:vAlign w:val="center"/>
          </w:tcPr>
          <w:p w14:paraId="113DDE91">
            <w:pPr>
              <w:widowControl/>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付款方式</w:t>
            </w:r>
          </w:p>
        </w:tc>
        <w:tc>
          <w:tcPr>
            <w:tcW w:w="6455" w:type="dxa"/>
            <w:vAlign w:val="center"/>
          </w:tcPr>
          <w:p w14:paraId="2595E307">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rPr>
            </w:pPr>
            <w:r>
              <w:rPr>
                <w:rFonts w:hint="default" w:ascii="宋体" w:hAnsi="宋体" w:eastAsia="宋体" w:cs="宋体"/>
                <w:kern w:val="2"/>
                <w:sz w:val="21"/>
                <w:szCs w:val="21"/>
                <w:lang w:val="en-US" w:eastAsia="zh-CN" w:bidi="ar-SA"/>
              </w:rPr>
              <w:t>（1）</w:t>
            </w:r>
            <w:r>
              <w:rPr>
                <w:rFonts w:hint="eastAsia" w:asciiTheme="majorEastAsia" w:hAnsiTheme="majorEastAsia" w:eastAsiaTheme="majorEastAsia" w:cstheme="majorEastAsia"/>
                <w:color w:val="000000"/>
                <w:sz w:val="21"/>
                <w:szCs w:val="21"/>
                <w:highlight w:val="none"/>
              </w:rPr>
              <w:t>签约合同价的</w:t>
            </w:r>
            <w:r>
              <w:rPr>
                <w:rFonts w:hint="eastAsia" w:asciiTheme="majorEastAsia" w:hAnsiTheme="majorEastAsia" w:eastAsiaTheme="majorEastAsia" w:cstheme="majorEastAsia"/>
                <w:color w:val="000000"/>
                <w:sz w:val="21"/>
                <w:szCs w:val="21"/>
                <w:highlight w:val="none"/>
                <w:lang w:val="en-US" w:eastAsia="zh-CN"/>
              </w:rPr>
              <w:t>2</w:t>
            </w:r>
            <w:r>
              <w:rPr>
                <w:rFonts w:hint="eastAsia" w:asciiTheme="majorEastAsia" w:hAnsiTheme="majorEastAsia" w:eastAsiaTheme="majorEastAsia" w:cstheme="majorEastAsia"/>
                <w:color w:val="000000"/>
                <w:sz w:val="21"/>
                <w:szCs w:val="21"/>
                <w:highlight w:val="none"/>
              </w:rPr>
              <w:t>0%（包含1%工资性工程预付款，转入农民工工资专用账户），在合同生效，承包人人员设备进场后7天内支付。</w:t>
            </w:r>
            <w:r>
              <w:rPr>
                <w:rFonts w:hint="eastAsia" w:ascii="宋体" w:hAnsi="宋体" w:eastAsia="宋体" w:cs="宋体"/>
                <w:color w:val="auto"/>
                <w:sz w:val="21"/>
                <w:szCs w:val="21"/>
                <w:highlight w:val="none"/>
                <w:lang w:eastAsia="zh-CN"/>
              </w:rPr>
              <w:t>待工程完工竣工初验后，付至合同价的8</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eastAsia="zh-CN"/>
              </w:rPr>
              <w:t>（包括</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lang w:eastAsia="zh-CN"/>
              </w:rPr>
              <w:t>0%的开工预付款）</w:t>
            </w:r>
            <w:r>
              <w:rPr>
                <w:rFonts w:hint="eastAsia" w:ascii="宋体" w:hAnsi="宋体" w:eastAsia="宋体" w:cs="宋体"/>
                <w:color w:val="auto"/>
                <w:sz w:val="21"/>
                <w:szCs w:val="21"/>
                <w:highlight w:val="none"/>
                <w:lang w:eastAsia="zh-CN"/>
              </w:rPr>
              <w:t>，审计结算后，出具审计报告后支付至审计价款的98.5%，剩余1.5%（不计息）在缺陷责任期满后工程无质量问题、成交供应商无违约行为的情况下</w:t>
            </w:r>
            <w:r>
              <w:rPr>
                <w:rFonts w:hint="eastAsia" w:ascii="宋体" w:eastAsia="宋体" w:cs="宋体"/>
                <w:color w:val="auto"/>
                <w:sz w:val="21"/>
                <w:szCs w:val="21"/>
                <w:highlight w:val="none"/>
                <w:lang w:val="en-US" w:eastAsia="zh-CN"/>
              </w:rPr>
              <w:t>7个工作</w:t>
            </w:r>
            <w:r>
              <w:rPr>
                <w:rFonts w:hint="eastAsia" w:ascii="宋体" w:hAnsi="宋体" w:eastAsia="宋体" w:cs="宋体"/>
                <w:color w:val="auto"/>
                <w:sz w:val="21"/>
                <w:szCs w:val="21"/>
                <w:highlight w:val="none"/>
                <w:lang w:eastAsia="zh-CN"/>
              </w:rPr>
              <w:t>日内付清。承包人收取每期工程款时应开具正式发票。承包人应在每个付款周期末，向监理人提交进度付款申请单，并附相应的支持性证明文件。</w:t>
            </w:r>
            <w:r>
              <w:rPr>
                <w:rFonts w:hint="eastAsia" w:ascii="宋体" w:hAnsi="宋体" w:eastAsia="宋体" w:cs="宋体"/>
                <w:kern w:val="2"/>
                <w:sz w:val="21"/>
                <w:szCs w:val="21"/>
                <w:highlight w:val="none"/>
                <w:lang w:val="en-US" w:eastAsia="zh-CN" w:bidi="ar-SA"/>
              </w:rPr>
              <w:t>其余按合同通用条款。</w:t>
            </w:r>
          </w:p>
          <w:p w14:paraId="3C7F14E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1"/>
                <w:szCs w:val="21"/>
                <w:highlight w:val="none"/>
              </w:rPr>
            </w:pPr>
            <w:r>
              <w:rPr>
                <w:rFonts w:hint="default" w:ascii="宋体" w:hAnsi="宋体" w:eastAsia="宋体" w:cs="宋体"/>
                <w:kern w:val="2"/>
                <w:sz w:val="21"/>
                <w:szCs w:val="21"/>
                <w:lang w:val="en-US" w:eastAsia="zh-CN" w:bidi="ar-SA"/>
              </w:rPr>
              <w:t>（2）</w:t>
            </w:r>
            <w:r>
              <w:rPr>
                <w:rFonts w:hint="eastAsia" w:ascii="宋体" w:hAnsi="宋体" w:eastAsia="宋体" w:cs="宋体"/>
                <w:sz w:val="21"/>
                <w:szCs w:val="21"/>
                <w:highlight w:val="none"/>
              </w:rPr>
              <w:t>承包人须开具正规合法的建筑增值税发票提供给</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w:t>
            </w:r>
          </w:p>
          <w:p w14:paraId="2CAE110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highlight w:val="none"/>
              </w:rPr>
              <w:t>在项目实施中</w:t>
            </w:r>
            <w:r>
              <w:rPr>
                <w:rFonts w:hint="eastAsia" w:ascii="宋体" w:hAnsi="宋体" w:eastAsia="宋体" w:cs="宋体"/>
                <w:sz w:val="21"/>
                <w:szCs w:val="21"/>
                <w:highlight w:val="none"/>
                <w:lang w:eastAsia="zh-CN"/>
              </w:rPr>
              <w:t>发包人</w:t>
            </w:r>
            <w:r>
              <w:rPr>
                <w:rFonts w:hint="eastAsia" w:ascii="宋体" w:hAnsi="宋体" w:eastAsia="宋体" w:cs="宋体"/>
                <w:sz w:val="21"/>
                <w:szCs w:val="21"/>
                <w:highlight w:val="none"/>
              </w:rPr>
              <w:t>有工作量增减需要的，在竣工结算时以出具的有效联系单为准，列入竣工结算款项，无甲方书面明确要求的，乙方不得擅自调整或变更。</w:t>
            </w:r>
          </w:p>
        </w:tc>
        <w:tc>
          <w:tcPr>
            <w:tcW w:w="853" w:type="dxa"/>
            <w:vAlign w:val="center"/>
          </w:tcPr>
          <w:p w14:paraId="0356FD94">
            <w:pPr>
              <w:spacing w:before="50" w:after="50" w:line="360" w:lineRule="auto"/>
              <w:jc w:val="center"/>
              <w:rPr>
                <w:rFonts w:hint="eastAsia" w:ascii="宋体" w:hAnsi="宋体" w:eastAsia="宋体" w:cs="宋体"/>
                <w:szCs w:val="21"/>
                <w:highlight w:val="none"/>
              </w:rPr>
            </w:pPr>
          </w:p>
        </w:tc>
        <w:tc>
          <w:tcPr>
            <w:tcW w:w="729" w:type="dxa"/>
            <w:vAlign w:val="center"/>
          </w:tcPr>
          <w:p w14:paraId="2677ACF0">
            <w:pPr>
              <w:spacing w:before="50" w:after="50" w:line="360" w:lineRule="auto"/>
              <w:jc w:val="center"/>
              <w:rPr>
                <w:rFonts w:hint="eastAsia" w:ascii="宋体" w:hAnsi="宋体" w:eastAsia="宋体" w:cs="宋体"/>
                <w:szCs w:val="21"/>
                <w:highlight w:val="none"/>
              </w:rPr>
            </w:pPr>
          </w:p>
        </w:tc>
      </w:tr>
    </w:tbl>
    <w:p w14:paraId="1EB987DF">
      <w:pPr>
        <w:pStyle w:val="22"/>
        <w:spacing w:beforeLines="0" w:afterLines="0" w:line="360" w:lineRule="auto"/>
        <w:rPr>
          <w:rFonts w:hint="eastAsia" w:hAnsi="宋体" w:eastAsia="宋体" w:cs="宋体"/>
          <w:b/>
          <w:kern w:val="0"/>
          <w:sz w:val="21"/>
          <w:szCs w:val="21"/>
          <w:highlight w:val="none"/>
        </w:rPr>
      </w:pPr>
      <w:r>
        <w:rPr>
          <w:rFonts w:hint="eastAsia" w:hAnsi="宋体" w:eastAsia="宋体" w:cs="宋体"/>
          <w:b/>
          <w:kern w:val="0"/>
          <w:sz w:val="21"/>
          <w:szCs w:val="21"/>
          <w:highlight w:val="none"/>
        </w:rPr>
        <w:t>特别提醒：</w:t>
      </w:r>
    </w:p>
    <w:p w14:paraId="6E4FB094">
      <w:pPr>
        <w:pStyle w:val="22"/>
        <w:spacing w:beforeLines="0" w:afterLines="0" w:line="360" w:lineRule="auto"/>
        <w:ind w:firstLine="420" w:firstLineChars="200"/>
        <w:rPr>
          <w:rFonts w:hint="eastAsia" w:hAnsi="宋体" w:eastAsia="宋体" w:cs="宋体"/>
          <w:color w:val="0070C0"/>
          <w:kern w:val="0"/>
          <w:sz w:val="21"/>
          <w:szCs w:val="21"/>
          <w:highlight w:val="none"/>
          <w:u w:val="single"/>
        </w:rPr>
      </w:pPr>
      <w:r>
        <w:rPr>
          <w:rFonts w:hint="eastAsia" w:hAnsi="宋体" w:eastAsia="宋体" w:cs="宋体"/>
          <w:kern w:val="0"/>
          <w:sz w:val="21"/>
          <w:szCs w:val="21"/>
          <w:highlight w:val="none"/>
        </w:rPr>
        <w:t>1、供应商在填写其中的响应内容时，必须对照本采购文件“第二章 采购需求”中商务要求的各指标项逐条说明，写出各自响应服务的具体参数响应内容，响应情况作为重要评审指标。</w:t>
      </w:r>
    </w:p>
    <w:p w14:paraId="60A3CB97">
      <w:pPr>
        <w:pStyle w:val="22"/>
        <w:spacing w:beforeLines="0" w:afterLines="0" w:line="360" w:lineRule="auto"/>
        <w:ind w:firstLine="420" w:firstLineChars="200"/>
        <w:rPr>
          <w:rFonts w:hint="eastAsia" w:hAnsi="宋体" w:eastAsia="宋体" w:cs="宋体"/>
          <w:color w:val="FF0000"/>
          <w:kern w:val="0"/>
          <w:sz w:val="21"/>
          <w:szCs w:val="21"/>
          <w:highlight w:val="none"/>
          <w:u w:val="single"/>
        </w:rPr>
      </w:pPr>
      <w:r>
        <w:rPr>
          <w:rFonts w:hint="eastAsia" w:hAnsi="宋体" w:eastAsia="宋体" w:cs="宋体"/>
          <w:kern w:val="0"/>
          <w:sz w:val="21"/>
          <w:szCs w:val="21"/>
          <w:highlight w:val="none"/>
        </w:rPr>
        <w:t>2、</w:t>
      </w:r>
      <w:r>
        <w:rPr>
          <w:rFonts w:hint="eastAsia" w:hAnsi="宋体" w:eastAsia="宋体" w:cs="宋体"/>
          <w:color w:val="FF0000"/>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14:paraId="115F4EC9">
      <w:pPr>
        <w:pStyle w:val="23"/>
        <w:spacing w:line="360" w:lineRule="auto"/>
        <w:ind w:left="0" w:leftChars="0" w:firstLine="0" w:firstLineChars="0"/>
        <w:rPr>
          <w:rFonts w:hint="eastAsia" w:eastAsia="宋体"/>
          <w:u w:val="none"/>
          <w:lang w:val="en-US" w:eastAsia="zh-CN"/>
        </w:rPr>
      </w:pPr>
      <w:r>
        <w:rPr>
          <w:rFonts w:hint="eastAsia" w:hAnsi="宋体" w:cs="宋体"/>
          <w:color w:val="FF0000"/>
          <w:kern w:val="0"/>
          <w:sz w:val="21"/>
          <w:szCs w:val="21"/>
          <w:highlight w:val="none"/>
          <w:u w:val="none"/>
          <w:lang w:val="en-US" w:eastAsia="zh-CN"/>
        </w:rPr>
        <w:t>3、此表可延续，如不填写将视为对招标文件要求完全响应。</w:t>
      </w:r>
    </w:p>
    <w:p w14:paraId="12277ECF">
      <w:pPr>
        <w:pStyle w:val="23"/>
        <w:spacing w:line="360" w:lineRule="auto"/>
        <w:rPr>
          <w:rFonts w:hint="eastAsia"/>
          <w:highlight w:val="none"/>
        </w:rPr>
      </w:pPr>
    </w:p>
    <w:p w14:paraId="0D010A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4"/>
          <w:highlight w:val="none"/>
        </w:rPr>
        <w:t xml:space="preserve">                     </w:t>
      </w: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4"/>
          <w:highlight w:val="none"/>
        </w:rPr>
        <w:t xml:space="preserve">    </w:t>
      </w:r>
      <w:r>
        <w:rPr>
          <w:rFonts w:hint="eastAsia" w:ascii="宋体" w:hAnsi="宋体" w:cs="宋体"/>
          <w:b/>
          <w:color w:val="000000"/>
          <w:sz w:val="24"/>
          <w:highlight w:val="none"/>
          <w:lang w:val="en-US" w:eastAsia="zh-CN"/>
        </w:rPr>
        <w:t xml:space="preserve">                     </w:t>
      </w:r>
      <w:r>
        <w:rPr>
          <w:rFonts w:hint="eastAsia" w:ascii="宋体" w:hAnsi="宋体" w:eastAsia="宋体" w:cs="宋体"/>
          <w:b/>
          <w:color w:val="000000"/>
          <w:sz w:val="21"/>
          <w:szCs w:val="21"/>
          <w:highlight w:val="none"/>
        </w:rPr>
        <w:t xml:space="preserve"> 供应商 (盖单位章)：             </w:t>
      </w:r>
    </w:p>
    <w:p w14:paraId="20B51D2E">
      <w:pPr>
        <w:keepNext w:val="0"/>
        <w:keepLines w:val="0"/>
        <w:pageBreakBefore w:val="0"/>
        <w:widowControl w:val="0"/>
        <w:kinsoku/>
        <w:wordWrap/>
        <w:overflowPunct/>
        <w:topLinePunct w:val="0"/>
        <w:autoSpaceDE/>
        <w:autoSpaceDN/>
        <w:bidi w:val="0"/>
        <w:adjustRightInd/>
        <w:snapToGrid/>
        <w:spacing w:line="360" w:lineRule="auto"/>
        <w:ind w:firstLine="4638" w:firstLineChars="2200"/>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法定代表人或其授权代表人（签字或盖章）：</w:t>
      </w:r>
    </w:p>
    <w:p w14:paraId="197AE0C3">
      <w:pPr>
        <w:spacing w:line="360" w:lineRule="auto"/>
        <w:ind w:firstLine="4638" w:firstLineChars="2200"/>
        <w:jc w:val="left"/>
        <w:rPr>
          <w:rFonts w:hint="eastAsia" w:ascii="宋体" w:hAnsi="宋体" w:cs="宋体"/>
          <w:b/>
          <w:color w:val="000000"/>
          <w:sz w:val="24"/>
          <w:lang w:val="zh-CN"/>
        </w:rPr>
      </w:pPr>
      <w:r>
        <w:rPr>
          <w:rFonts w:hint="eastAsia" w:ascii="宋体" w:hAnsi="宋体" w:eastAsia="宋体" w:cs="宋体"/>
          <w:b/>
          <w:color w:val="000000"/>
          <w:sz w:val="21"/>
          <w:szCs w:val="21"/>
          <w:highlight w:val="none"/>
        </w:rPr>
        <w:t>日　期：</w:t>
      </w:r>
      <w:r>
        <w:rPr>
          <w:rFonts w:hint="eastAsia" w:ascii="宋体" w:hAnsi="宋体" w:cs="宋体"/>
          <w:b/>
          <w:bCs/>
          <w:color w:val="000000"/>
          <w:kern w:val="0"/>
          <w:sz w:val="28"/>
          <w:szCs w:val="28"/>
          <w:highlight w:val="none"/>
          <w:lang w:val="en-US" w:eastAsia="zh-CN"/>
        </w:rPr>
        <w:br w:type="page"/>
      </w:r>
    </w:p>
    <w:p w14:paraId="485D7272">
      <w:pPr>
        <w:spacing w:before="100" w:beforeAutospacing="1"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8-1</w:t>
      </w:r>
      <w:r>
        <w:rPr>
          <w:rFonts w:hint="eastAsia" w:ascii="宋体" w:hAnsi="宋体" w:cs="宋体"/>
          <w:b/>
          <w:bCs/>
          <w:color w:val="000000"/>
          <w:sz w:val="24"/>
        </w:rPr>
        <w:t xml:space="preserve">： </w:t>
      </w:r>
    </w:p>
    <w:p w14:paraId="1ED54203">
      <w:pPr>
        <w:pStyle w:val="22"/>
        <w:adjustRightInd w:val="0"/>
        <w:snapToGrid w:val="0"/>
        <w:spacing w:line="360" w:lineRule="auto"/>
        <w:jc w:val="center"/>
        <w:rPr>
          <w:rFonts w:hint="eastAsia"/>
        </w:rPr>
      </w:pPr>
      <w:r>
        <w:rPr>
          <w:rFonts w:hint="eastAsia" w:hAnsi="宋体" w:cs="宋体"/>
          <w:b/>
          <w:color w:val="auto"/>
          <w:sz w:val="32"/>
          <w:szCs w:val="32"/>
          <w:highlight w:val="none"/>
          <w:lang w:eastAsia="zh-CN"/>
        </w:rPr>
        <w:t>项目负责人</w:t>
      </w:r>
      <w:r>
        <w:rPr>
          <w:rFonts w:hint="eastAsia" w:ascii="宋体" w:hAnsi="宋体" w:eastAsia="宋体" w:cs="宋体"/>
          <w:b/>
          <w:color w:val="auto"/>
          <w:sz w:val="32"/>
          <w:szCs w:val="32"/>
          <w:highlight w:val="none"/>
        </w:rPr>
        <w:t>简历表</w:t>
      </w:r>
    </w:p>
    <w:tbl>
      <w:tblPr>
        <w:tblStyle w:val="36"/>
        <w:tblW w:w="9038"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002"/>
      </w:tblGrid>
      <w:tr w14:paraId="340C3044">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2CD7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1B5CBAE6">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108AC8B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4DCE519F">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61A01536">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34E76B02">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3874F86F">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专业</w:t>
            </w:r>
          </w:p>
        </w:tc>
        <w:tc>
          <w:tcPr>
            <w:tcW w:w="2002" w:type="dxa"/>
            <w:tcBorders>
              <w:top w:val="single" w:color="000000" w:sz="4" w:space="0"/>
              <w:left w:val="nil"/>
              <w:bottom w:val="single" w:color="000000" w:sz="4" w:space="0"/>
              <w:right w:val="single" w:color="000000" w:sz="4" w:space="0"/>
            </w:tcBorders>
            <w:shd w:val="clear" w:color="auto" w:fill="FFFFFF"/>
            <w:noWrap w:val="0"/>
            <w:vAlign w:val="center"/>
          </w:tcPr>
          <w:p w14:paraId="73EF9562">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r>
      <w:tr w14:paraId="13D0D4F5">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795C0">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8A468C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46A16D35">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9222E1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972" w:type="dxa"/>
            <w:tcBorders>
              <w:top w:val="nil"/>
              <w:left w:val="nil"/>
              <w:bottom w:val="single" w:color="000000" w:sz="4" w:space="0"/>
              <w:right w:val="single" w:color="000000" w:sz="4" w:space="0"/>
            </w:tcBorders>
            <w:shd w:val="clear" w:color="auto" w:fill="FFFFFF"/>
            <w:noWrap w:val="0"/>
            <w:vAlign w:val="center"/>
          </w:tcPr>
          <w:p w14:paraId="4BD29C03">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学历</w:t>
            </w:r>
          </w:p>
        </w:tc>
        <w:tc>
          <w:tcPr>
            <w:tcW w:w="2002" w:type="dxa"/>
            <w:tcBorders>
              <w:top w:val="nil"/>
              <w:left w:val="nil"/>
              <w:bottom w:val="single" w:color="000000" w:sz="4" w:space="0"/>
              <w:right w:val="single" w:color="000000" w:sz="4" w:space="0"/>
            </w:tcBorders>
            <w:shd w:val="clear" w:color="auto" w:fill="FFFFFF"/>
            <w:noWrap w:val="0"/>
            <w:vAlign w:val="center"/>
          </w:tcPr>
          <w:p w14:paraId="02294219">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r>
      <w:tr w14:paraId="53E3EEE9">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D196F">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BA9CE3E">
            <w:pPr>
              <w:widowControl/>
              <w:spacing w:line="360" w:lineRule="auto"/>
              <w:ind w:leftChars="-137" w:hanging="252" w:hangingChars="120"/>
              <w:jc w:val="left"/>
              <w:rPr>
                <w:rFonts w:cs="宋体"/>
                <w:color w:val="auto"/>
                <w:kern w:val="0"/>
                <w:sz w:val="21"/>
                <w:szCs w:val="21"/>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1BE9D29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从事</w:t>
            </w:r>
            <w:r>
              <w:rPr>
                <w:rFonts w:hint="eastAsia" w:cs="宋体"/>
                <w:color w:val="auto"/>
                <w:kern w:val="0"/>
                <w:sz w:val="21"/>
                <w:szCs w:val="21"/>
                <w:highlight w:val="none"/>
                <w:lang w:val="zh-CN"/>
              </w:rPr>
              <w:t>项目负责人</w:t>
            </w:r>
            <w:r>
              <w:rPr>
                <w:rFonts w:hint="eastAsia" w:cs="宋体"/>
                <w:color w:val="auto"/>
                <w:kern w:val="0"/>
                <w:sz w:val="21"/>
                <w:szCs w:val="21"/>
                <w:highlight w:val="none"/>
              </w:rPr>
              <w:t>年限</w:t>
            </w:r>
          </w:p>
        </w:tc>
        <w:tc>
          <w:tcPr>
            <w:tcW w:w="2002" w:type="dxa"/>
            <w:tcBorders>
              <w:top w:val="nil"/>
              <w:left w:val="nil"/>
              <w:bottom w:val="single" w:color="000000" w:sz="4" w:space="0"/>
              <w:right w:val="single" w:color="000000" w:sz="4" w:space="0"/>
            </w:tcBorders>
            <w:shd w:val="clear" w:color="auto" w:fill="FFFFFF"/>
            <w:noWrap w:val="0"/>
            <w:vAlign w:val="center"/>
          </w:tcPr>
          <w:p w14:paraId="72FADF6A">
            <w:pPr>
              <w:widowControl/>
              <w:spacing w:line="360" w:lineRule="auto"/>
              <w:jc w:val="left"/>
              <w:rPr>
                <w:rFonts w:cs="宋体"/>
                <w:color w:val="auto"/>
                <w:kern w:val="0"/>
                <w:sz w:val="21"/>
                <w:szCs w:val="21"/>
                <w:highlight w:val="none"/>
              </w:rPr>
            </w:pPr>
            <w:r>
              <w:rPr>
                <w:rFonts w:hint="eastAsia" w:cs="宋体"/>
                <w:color w:val="auto"/>
                <w:kern w:val="0"/>
                <w:sz w:val="21"/>
                <w:szCs w:val="21"/>
                <w:highlight w:val="none"/>
              </w:rPr>
              <w:t>　</w:t>
            </w:r>
          </w:p>
        </w:tc>
      </w:tr>
      <w:tr w14:paraId="791BC17A">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C3618">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25AE77A">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6EFA2EF4">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身份证</w:t>
            </w:r>
          </w:p>
        </w:tc>
        <w:tc>
          <w:tcPr>
            <w:tcW w:w="390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01892A4">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　</w:t>
            </w:r>
          </w:p>
        </w:tc>
      </w:tr>
      <w:tr w14:paraId="06369E6F">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DE0032C">
            <w:pPr>
              <w:widowControl/>
              <w:spacing w:line="360" w:lineRule="auto"/>
              <w:jc w:val="center"/>
              <w:rPr>
                <w:rFonts w:hint="eastAsia" w:cs="宋体"/>
                <w:color w:val="auto"/>
                <w:kern w:val="0"/>
                <w:sz w:val="21"/>
                <w:szCs w:val="21"/>
                <w:highlight w:val="none"/>
              </w:rPr>
            </w:pPr>
            <w:r>
              <w:rPr>
                <w:rFonts w:hint="eastAsia" w:cs="宋体"/>
                <w:color w:val="auto"/>
                <w:kern w:val="0"/>
                <w:sz w:val="21"/>
                <w:szCs w:val="21"/>
                <w:highlight w:val="none"/>
              </w:rPr>
              <w:t>简</w:t>
            </w:r>
          </w:p>
          <w:p w14:paraId="7F8C2C40">
            <w:pPr>
              <w:widowControl/>
              <w:spacing w:line="360" w:lineRule="auto"/>
              <w:jc w:val="center"/>
              <w:rPr>
                <w:rFonts w:hint="eastAsia" w:cs="宋体"/>
                <w:color w:val="auto"/>
                <w:kern w:val="0"/>
                <w:sz w:val="21"/>
                <w:szCs w:val="21"/>
                <w:highlight w:val="none"/>
              </w:rPr>
            </w:pPr>
          </w:p>
          <w:p w14:paraId="6F5434B0">
            <w:pPr>
              <w:widowControl/>
              <w:spacing w:line="360" w:lineRule="auto"/>
              <w:jc w:val="center"/>
              <w:rPr>
                <w:rFonts w:hint="eastAsia" w:cs="宋体"/>
                <w:color w:val="auto"/>
                <w:kern w:val="0"/>
                <w:sz w:val="21"/>
                <w:szCs w:val="21"/>
                <w:highlight w:val="none"/>
              </w:rPr>
            </w:pPr>
          </w:p>
          <w:p w14:paraId="21CE2627">
            <w:pPr>
              <w:widowControl/>
              <w:spacing w:line="360" w:lineRule="auto"/>
              <w:jc w:val="center"/>
              <w:rPr>
                <w:rFonts w:hint="eastAsia" w:cs="宋体"/>
                <w:color w:val="auto"/>
                <w:kern w:val="0"/>
                <w:sz w:val="21"/>
                <w:szCs w:val="21"/>
                <w:highlight w:val="none"/>
              </w:rPr>
            </w:pPr>
          </w:p>
          <w:p w14:paraId="5BC08B0C">
            <w:pPr>
              <w:widowControl/>
              <w:spacing w:line="360" w:lineRule="auto"/>
              <w:jc w:val="center"/>
              <w:rPr>
                <w:rFonts w:hint="eastAsia" w:cs="宋体"/>
                <w:color w:val="auto"/>
                <w:kern w:val="0"/>
                <w:sz w:val="21"/>
                <w:szCs w:val="21"/>
                <w:highlight w:val="none"/>
              </w:rPr>
            </w:pPr>
          </w:p>
          <w:p w14:paraId="7EB151C5">
            <w:pPr>
              <w:widowControl/>
              <w:spacing w:line="360" w:lineRule="auto"/>
              <w:jc w:val="center"/>
              <w:rPr>
                <w:rFonts w:hint="eastAsia" w:cs="宋体"/>
                <w:color w:val="auto"/>
                <w:kern w:val="0"/>
                <w:sz w:val="21"/>
                <w:szCs w:val="21"/>
                <w:highlight w:val="none"/>
              </w:rPr>
            </w:pPr>
          </w:p>
          <w:p w14:paraId="55B6E102">
            <w:pPr>
              <w:widowControl/>
              <w:spacing w:line="360" w:lineRule="auto"/>
              <w:jc w:val="center"/>
              <w:rPr>
                <w:rFonts w:cs="宋体"/>
                <w:color w:val="auto"/>
                <w:kern w:val="0"/>
                <w:sz w:val="21"/>
                <w:szCs w:val="21"/>
                <w:highlight w:val="none"/>
              </w:rPr>
            </w:pPr>
            <w:r>
              <w:rPr>
                <w:rFonts w:hint="eastAsia" w:cs="宋体"/>
                <w:color w:val="auto"/>
                <w:kern w:val="0"/>
                <w:sz w:val="21"/>
                <w:szCs w:val="21"/>
                <w:highlight w:val="none"/>
              </w:rPr>
              <w:t>历</w:t>
            </w:r>
          </w:p>
        </w:tc>
        <w:tc>
          <w:tcPr>
            <w:tcW w:w="794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F0C94B1">
            <w:pPr>
              <w:widowControl/>
              <w:spacing w:line="360" w:lineRule="auto"/>
              <w:jc w:val="left"/>
              <w:rPr>
                <w:rFonts w:cs="宋体"/>
                <w:color w:val="auto"/>
                <w:kern w:val="0"/>
                <w:sz w:val="21"/>
                <w:szCs w:val="21"/>
                <w:highlight w:val="none"/>
              </w:rPr>
            </w:pPr>
          </w:p>
        </w:tc>
      </w:tr>
      <w:tr w14:paraId="5503940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747D38FC">
            <w:pPr>
              <w:widowControl/>
              <w:spacing w:line="360" w:lineRule="auto"/>
              <w:jc w:val="left"/>
              <w:rPr>
                <w:rFonts w:cs="宋体"/>
                <w:color w:val="auto"/>
                <w:kern w:val="0"/>
                <w:sz w:val="21"/>
                <w:szCs w:val="21"/>
                <w:highlight w:val="none"/>
              </w:rPr>
            </w:pPr>
          </w:p>
        </w:tc>
        <w:tc>
          <w:tcPr>
            <w:tcW w:w="794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42D28363">
            <w:pPr>
              <w:widowControl/>
              <w:spacing w:line="360" w:lineRule="auto"/>
              <w:jc w:val="left"/>
              <w:rPr>
                <w:rFonts w:cs="宋体"/>
                <w:color w:val="auto"/>
                <w:kern w:val="0"/>
                <w:sz w:val="21"/>
                <w:szCs w:val="21"/>
                <w:highlight w:val="none"/>
              </w:rPr>
            </w:pPr>
          </w:p>
        </w:tc>
      </w:tr>
    </w:tbl>
    <w:p w14:paraId="5BB9263F">
      <w:pPr>
        <w:adjustRightInd w:val="0"/>
        <w:snapToGrid w:val="0"/>
        <w:spacing w:line="360" w:lineRule="auto"/>
        <w:rPr>
          <w:rFonts w:ascii="宋体" w:hAnsi="宋体"/>
          <w:color w:val="auto"/>
          <w:sz w:val="24"/>
          <w:highlight w:val="none"/>
        </w:rPr>
      </w:pPr>
    </w:p>
    <w:p w14:paraId="11911580">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3541A7F1">
      <w:pPr>
        <w:spacing w:line="36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3C15265B">
      <w:pPr>
        <w:rPr>
          <w:rFonts w:hint="eastAsia"/>
        </w:rPr>
      </w:pPr>
      <w:r>
        <w:rPr>
          <w:rFonts w:hint="eastAsia"/>
        </w:rPr>
        <w:br w:type="page"/>
      </w:r>
    </w:p>
    <w:p w14:paraId="49A45CFF">
      <w:pPr>
        <w:spacing w:before="100" w:beforeAutospacing="1"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8-2</w:t>
      </w:r>
      <w:r>
        <w:rPr>
          <w:rFonts w:hint="eastAsia" w:ascii="宋体" w:hAnsi="宋体" w:cs="宋体"/>
          <w:b/>
          <w:bCs/>
          <w:color w:val="000000"/>
          <w:sz w:val="24"/>
        </w:rPr>
        <w:t xml:space="preserve">： </w:t>
      </w:r>
    </w:p>
    <w:p w14:paraId="13D91101">
      <w:pPr>
        <w:pStyle w:val="22"/>
        <w:adjustRightInd w:val="0"/>
        <w:snapToGrid w:val="0"/>
        <w:spacing w:line="360" w:lineRule="auto"/>
        <w:jc w:val="center"/>
        <w:rPr>
          <w:rFonts w:hint="eastAsia" w:hAnsi="宋体"/>
          <w:b/>
          <w:sz w:val="32"/>
          <w:szCs w:val="32"/>
        </w:rPr>
      </w:pPr>
      <w:r>
        <w:rPr>
          <w:rFonts w:hint="eastAsia" w:hAnsi="宋体"/>
          <w:b/>
          <w:sz w:val="32"/>
          <w:szCs w:val="32"/>
        </w:rPr>
        <w:t>项目技术负责人简历表</w:t>
      </w:r>
    </w:p>
    <w:tbl>
      <w:tblPr>
        <w:tblStyle w:val="36"/>
        <w:tblpPr w:leftFromText="180" w:rightFromText="180" w:vertAnchor="text" w:horzAnchor="page" w:tblpX="1136" w:tblpY="3"/>
        <w:tblOverlap w:val="never"/>
        <w:tblW w:w="0" w:type="auto"/>
        <w:tblInd w:w="0"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2592"/>
      </w:tblGrid>
      <w:tr w14:paraId="58DF444A">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B450D">
            <w:pPr>
              <w:widowControl/>
              <w:spacing w:line="360" w:lineRule="auto"/>
              <w:jc w:val="center"/>
              <w:rPr>
                <w:rFonts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A3B6D18">
            <w:pPr>
              <w:widowControl/>
              <w:spacing w:line="360" w:lineRule="auto"/>
              <w:jc w:val="center"/>
              <w:rPr>
                <w:rFonts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37CB0A6D">
            <w:pPr>
              <w:widowControl/>
              <w:spacing w:line="360" w:lineRule="auto"/>
              <w:jc w:val="center"/>
              <w:rPr>
                <w:rFonts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1CD5EC71">
            <w:pPr>
              <w:widowControl/>
              <w:spacing w:line="360" w:lineRule="auto"/>
              <w:jc w:val="center"/>
              <w:rPr>
                <w:rFonts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5D72A366">
            <w:pPr>
              <w:widowControl/>
              <w:spacing w:line="360" w:lineRule="auto"/>
              <w:jc w:val="center"/>
              <w:rPr>
                <w:rFonts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59AE97BE">
            <w:pPr>
              <w:widowControl/>
              <w:spacing w:line="360" w:lineRule="auto"/>
              <w:jc w:val="center"/>
              <w:rPr>
                <w:rFonts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51CF5D36">
            <w:pPr>
              <w:widowControl/>
              <w:spacing w:line="360" w:lineRule="auto"/>
              <w:jc w:val="center"/>
              <w:rPr>
                <w:rFonts w:cs="宋体"/>
                <w:kern w:val="0"/>
                <w:sz w:val="24"/>
              </w:rPr>
            </w:pPr>
            <w:r>
              <w:rPr>
                <w:rFonts w:hint="eastAsia" w:cs="宋体"/>
                <w:kern w:val="0"/>
                <w:sz w:val="24"/>
              </w:rPr>
              <w:t>专业</w:t>
            </w:r>
          </w:p>
        </w:tc>
        <w:tc>
          <w:tcPr>
            <w:tcW w:w="2592" w:type="dxa"/>
            <w:tcBorders>
              <w:top w:val="single" w:color="000000" w:sz="4" w:space="0"/>
              <w:left w:val="nil"/>
              <w:bottom w:val="single" w:color="000000" w:sz="4" w:space="0"/>
              <w:right w:val="single" w:color="000000" w:sz="4" w:space="0"/>
            </w:tcBorders>
            <w:shd w:val="clear" w:color="auto" w:fill="FFFFFF"/>
            <w:noWrap w:val="0"/>
            <w:vAlign w:val="center"/>
          </w:tcPr>
          <w:p w14:paraId="115FC790">
            <w:pPr>
              <w:widowControl/>
              <w:spacing w:line="360" w:lineRule="auto"/>
              <w:jc w:val="center"/>
              <w:rPr>
                <w:rFonts w:cs="宋体"/>
                <w:kern w:val="0"/>
                <w:sz w:val="24"/>
              </w:rPr>
            </w:pPr>
            <w:r>
              <w:rPr>
                <w:rFonts w:hint="eastAsia" w:cs="宋体"/>
                <w:kern w:val="0"/>
                <w:sz w:val="24"/>
              </w:rPr>
              <w:t>　</w:t>
            </w:r>
          </w:p>
        </w:tc>
      </w:tr>
      <w:tr w14:paraId="67FBD05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A12C0">
            <w:pPr>
              <w:widowControl/>
              <w:spacing w:line="360" w:lineRule="auto"/>
              <w:jc w:val="center"/>
              <w:rPr>
                <w:rFonts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FBCD1F8">
            <w:pPr>
              <w:widowControl/>
              <w:spacing w:line="360" w:lineRule="auto"/>
              <w:jc w:val="center"/>
              <w:rPr>
                <w:rFonts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58175E30">
            <w:pPr>
              <w:widowControl/>
              <w:spacing w:line="360" w:lineRule="auto"/>
              <w:jc w:val="center"/>
              <w:rPr>
                <w:rFonts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D15F38A">
            <w:pPr>
              <w:widowControl/>
              <w:spacing w:line="360" w:lineRule="auto"/>
              <w:jc w:val="center"/>
              <w:rPr>
                <w:rFonts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14:paraId="09927BC8">
            <w:pPr>
              <w:widowControl/>
              <w:spacing w:line="360" w:lineRule="auto"/>
              <w:jc w:val="center"/>
              <w:rPr>
                <w:rFonts w:cs="宋体"/>
                <w:kern w:val="0"/>
                <w:sz w:val="24"/>
              </w:rPr>
            </w:pPr>
            <w:r>
              <w:rPr>
                <w:rFonts w:hint="eastAsia" w:cs="宋体"/>
                <w:kern w:val="0"/>
                <w:sz w:val="24"/>
              </w:rPr>
              <w:t>学历</w:t>
            </w:r>
          </w:p>
        </w:tc>
        <w:tc>
          <w:tcPr>
            <w:tcW w:w="2592" w:type="dxa"/>
            <w:tcBorders>
              <w:top w:val="nil"/>
              <w:left w:val="nil"/>
              <w:bottom w:val="single" w:color="000000" w:sz="4" w:space="0"/>
              <w:right w:val="single" w:color="000000" w:sz="4" w:space="0"/>
            </w:tcBorders>
            <w:shd w:val="clear" w:color="auto" w:fill="FFFFFF"/>
            <w:noWrap w:val="0"/>
            <w:vAlign w:val="center"/>
          </w:tcPr>
          <w:p w14:paraId="454D83CA">
            <w:pPr>
              <w:widowControl/>
              <w:spacing w:line="360" w:lineRule="auto"/>
              <w:jc w:val="center"/>
              <w:rPr>
                <w:rFonts w:cs="宋体"/>
                <w:kern w:val="0"/>
                <w:sz w:val="24"/>
              </w:rPr>
            </w:pPr>
            <w:r>
              <w:rPr>
                <w:rFonts w:hint="eastAsia" w:cs="宋体"/>
                <w:kern w:val="0"/>
                <w:sz w:val="24"/>
              </w:rPr>
              <w:t>　</w:t>
            </w:r>
          </w:p>
        </w:tc>
      </w:tr>
      <w:tr w14:paraId="4551A72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C6102">
            <w:pPr>
              <w:widowControl/>
              <w:spacing w:line="360" w:lineRule="auto"/>
              <w:jc w:val="center"/>
              <w:rPr>
                <w:rFonts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E1F5A3E">
            <w:pPr>
              <w:widowControl/>
              <w:spacing w:line="360" w:lineRule="auto"/>
              <w:ind w:leftChars="-137" w:hanging="288" w:hangingChars="120"/>
              <w:jc w:val="left"/>
              <w:rPr>
                <w:rFonts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83BB6DE">
            <w:pPr>
              <w:widowControl/>
              <w:spacing w:line="360" w:lineRule="auto"/>
              <w:jc w:val="center"/>
              <w:rPr>
                <w:rFonts w:cs="宋体"/>
                <w:kern w:val="0"/>
                <w:sz w:val="24"/>
              </w:rPr>
            </w:pPr>
            <w:r>
              <w:rPr>
                <w:rFonts w:hint="eastAsia" w:cs="宋体"/>
                <w:kern w:val="0"/>
                <w:sz w:val="24"/>
              </w:rPr>
              <w:t>从事项目技术负责人年限</w:t>
            </w:r>
          </w:p>
        </w:tc>
        <w:tc>
          <w:tcPr>
            <w:tcW w:w="2592" w:type="dxa"/>
            <w:tcBorders>
              <w:top w:val="nil"/>
              <w:left w:val="nil"/>
              <w:bottom w:val="single" w:color="000000" w:sz="4" w:space="0"/>
              <w:right w:val="single" w:color="000000" w:sz="4" w:space="0"/>
            </w:tcBorders>
            <w:shd w:val="clear" w:color="auto" w:fill="FFFFFF"/>
            <w:noWrap w:val="0"/>
            <w:vAlign w:val="center"/>
          </w:tcPr>
          <w:p w14:paraId="06EB9442">
            <w:pPr>
              <w:widowControl/>
              <w:spacing w:line="360" w:lineRule="auto"/>
              <w:jc w:val="left"/>
              <w:rPr>
                <w:rFonts w:cs="宋体"/>
                <w:kern w:val="0"/>
                <w:sz w:val="24"/>
              </w:rPr>
            </w:pPr>
            <w:r>
              <w:rPr>
                <w:rFonts w:hint="eastAsia" w:cs="宋体"/>
                <w:kern w:val="0"/>
                <w:sz w:val="24"/>
              </w:rPr>
              <w:t>　</w:t>
            </w:r>
          </w:p>
        </w:tc>
      </w:tr>
      <w:tr w14:paraId="2C9E658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2FFA4">
            <w:pPr>
              <w:widowControl/>
              <w:spacing w:line="360" w:lineRule="auto"/>
              <w:jc w:val="center"/>
              <w:rPr>
                <w:rFonts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49AE854">
            <w:pPr>
              <w:widowControl/>
              <w:spacing w:line="360" w:lineRule="auto"/>
              <w:jc w:val="center"/>
              <w:rPr>
                <w:rFonts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5A5F6C99">
            <w:pPr>
              <w:widowControl/>
              <w:spacing w:line="360" w:lineRule="auto"/>
              <w:jc w:val="center"/>
              <w:rPr>
                <w:rFonts w:cs="宋体"/>
                <w:kern w:val="0"/>
                <w:sz w:val="24"/>
              </w:rPr>
            </w:pPr>
            <w:r>
              <w:rPr>
                <w:rFonts w:hint="eastAsia" w:cs="宋体"/>
                <w:kern w:val="0"/>
                <w:sz w:val="24"/>
              </w:rPr>
              <w:t>身份证</w:t>
            </w:r>
          </w:p>
        </w:tc>
        <w:tc>
          <w:tcPr>
            <w:tcW w:w="449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3C3F5E40">
            <w:pPr>
              <w:widowControl/>
              <w:spacing w:line="360" w:lineRule="auto"/>
              <w:jc w:val="center"/>
              <w:rPr>
                <w:rFonts w:cs="宋体"/>
                <w:kern w:val="0"/>
                <w:sz w:val="24"/>
              </w:rPr>
            </w:pPr>
            <w:r>
              <w:rPr>
                <w:rFonts w:hint="eastAsia" w:cs="宋体"/>
                <w:kern w:val="0"/>
                <w:sz w:val="24"/>
              </w:rPr>
              <w:t>　</w:t>
            </w:r>
          </w:p>
        </w:tc>
      </w:tr>
      <w:tr w14:paraId="2265565E">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7053DFD">
            <w:pPr>
              <w:widowControl/>
              <w:spacing w:line="360" w:lineRule="auto"/>
              <w:jc w:val="center"/>
              <w:rPr>
                <w:rFonts w:hint="eastAsia" w:cs="宋体"/>
                <w:kern w:val="0"/>
                <w:sz w:val="24"/>
              </w:rPr>
            </w:pPr>
            <w:r>
              <w:rPr>
                <w:rFonts w:hint="eastAsia" w:cs="宋体"/>
                <w:kern w:val="0"/>
                <w:sz w:val="24"/>
              </w:rPr>
              <w:t>简</w:t>
            </w:r>
          </w:p>
          <w:p w14:paraId="62E80E39">
            <w:pPr>
              <w:widowControl/>
              <w:spacing w:line="360" w:lineRule="auto"/>
              <w:jc w:val="center"/>
              <w:rPr>
                <w:rFonts w:hint="eastAsia" w:cs="宋体"/>
                <w:kern w:val="0"/>
                <w:sz w:val="24"/>
              </w:rPr>
            </w:pPr>
          </w:p>
          <w:p w14:paraId="16674AFA">
            <w:pPr>
              <w:widowControl/>
              <w:spacing w:line="360" w:lineRule="auto"/>
              <w:jc w:val="center"/>
              <w:rPr>
                <w:rFonts w:hint="eastAsia" w:cs="宋体"/>
                <w:kern w:val="0"/>
                <w:sz w:val="24"/>
              </w:rPr>
            </w:pPr>
          </w:p>
          <w:p w14:paraId="4AA08476">
            <w:pPr>
              <w:widowControl/>
              <w:spacing w:line="360" w:lineRule="auto"/>
              <w:jc w:val="center"/>
              <w:rPr>
                <w:rFonts w:hint="eastAsia" w:cs="宋体"/>
                <w:kern w:val="0"/>
                <w:sz w:val="24"/>
              </w:rPr>
            </w:pPr>
          </w:p>
          <w:p w14:paraId="3E5B8699">
            <w:pPr>
              <w:widowControl/>
              <w:spacing w:line="360" w:lineRule="auto"/>
              <w:jc w:val="center"/>
              <w:rPr>
                <w:rFonts w:hint="eastAsia" w:cs="宋体"/>
                <w:kern w:val="0"/>
                <w:sz w:val="24"/>
              </w:rPr>
            </w:pPr>
          </w:p>
          <w:p w14:paraId="66F81CE1">
            <w:pPr>
              <w:widowControl/>
              <w:spacing w:line="360" w:lineRule="auto"/>
              <w:jc w:val="center"/>
              <w:rPr>
                <w:rFonts w:hint="eastAsia" w:cs="宋体"/>
                <w:kern w:val="0"/>
                <w:sz w:val="24"/>
              </w:rPr>
            </w:pPr>
          </w:p>
          <w:p w14:paraId="6CA7C6B4">
            <w:pPr>
              <w:widowControl/>
              <w:spacing w:line="360" w:lineRule="auto"/>
              <w:jc w:val="center"/>
              <w:rPr>
                <w:rFonts w:cs="宋体"/>
                <w:kern w:val="0"/>
                <w:sz w:val="24"/>
              </w:rPr>
            </w:pPr>
            <w:r>
              <w:rPr>
                <w:rFonts w:hint="eastAsia" w:cs="宋体"/>
                <w:kern w:val="0"/>
                <w:sz w:val="24"/>
              </w:rPr>
              <w:t>历</w:t>
            </w:r>
          </w:p>
        </w:tc>
        <w:tc>
          <w:tcPr>
            <w:tcW w:w="853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9D6C5F1">
            <w:pPr>
              <w:widowControl/>
              <w:spacing w:line="360" w:lineRule="auto"/>
              <w:jc w:val="left"/>
              <w:rPr>
                <w:rFonts w:cs="宋体"/>
                <w:kern w:val="0"/>
                <w:sz w:val="24"/>
              </w:rPr>
            </w:pPr>
          </w:p>
        </w:tc>
      </w:tr>
      <w:tr w14:paraId="0FAC8B06">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1E8C92BD">
            <w:pPr>
              <w:widowControl/>
              <w:spacing w:line="360" w:lineRule="auto"/>
              <w:jc w:val="left"/>
              <w:rPr>
                <w:rFonts w:cs="宋体"/>
                <w:kern w:val="0"/>
                <w:sz w:val="22"/>
                <w:szCs w:val="22"/>
              </w:rPr>
            </w:pPr>
          </w:p>
        </w:tc>
        <w:tc>
          <w:tcPr>
            <w:tcW w:w="853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8AA6D73">
            <w:pPr>
              <w:widowControl/>
              <w:spacing w:line="360" w:lineRule="auto"/>
              <w:jc w:val="left"/>
              <w:rPr>
                <w:rFonts w:cs="宋体"/>
                <w:kern w:val="0"/>
                <w:sz w:val="22"/>
                <w:szCs w:val="22"/>
              </w:rPr>
            </w:pPr>
          </w:p>
        </w:tc>
      </w:tr>
    </w:tbl>
    <w:p w14:paraId="1CC758EC">
      <w:pPr>
        <w:adjustRightInd w:val="0"/>
        <w:snapToGrid w:val="0"/>
        <w:spacing w:line="360" w:lineRule="auto"/>
        <w:rPr>
          <w:rFonts w:hint="eastAsia" w:ascii="宋体" w:hAnsi="宋体"/>
          <w:sz w:val="24"/>
        </w:rPr>
      </w:pPr>
    </w:p>
    <w:p w14:paraId="312B745C">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en-US" w:eastAsia="zh-CN"/>
        </w:rPr>
        <w:t xml:space="preserve">                            </w:t>
      </w:r>
      <w:r>
        <w:rPr>
          <w:rFonts w:hint="eastAsia" w:ascii="宋体" w:hAnsi="宋体" w:eastAsia="宋体" w:cs="宋体"/>
          <w:b/>
          <w:szCs w:val="21"/>
          <w:highlight w:val="none"/>
        </w:rPr>
        <w:t xml:space="preserve"> </w:t>
      </w:r>
      <w:r>
        <w:rPr>
          <w:rFonts w:hint="eastAsia" w:ascii="宋体" w:hAnsi="宋体" w:eastAsia="宋体" w:cs="宋体"/>
          <w:b/>
          <w:szCs w:val="21"/>
          <w:highlight w:val="none"/>
          <w:lang w:val="zh-CN"/>
        </w:rPr>
        <w:t xml:space="preserve">供应商（盖单位章）： </w:t>
      </w:r>
    </w:p>
    <w:p w14:paraId="68C809DF">
      <w:pPr>
        <w:spacing w:line="360" w:lineRule="auto"/>
        <w:ind w:right="420" w:firstLine="5692" w:firstLineChars="2700"/>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495C07FF">
      <w:pPr>
        <w:pStyle w:val="18"/>
        <w:ind w:left="0" w:leftChars="0" w:firstLine="0" w:firstLineChars="0"/>
        <w:rPr>
          <w:rFonts w:hint="eastAsia"/>
        </w:rPr>
      </w:pPr>
    </w:p>
    <w:p w14:paraId="4F5FD6D6">
      <w:pPr>
        <w:rPr>
          <w:rFonts w:hint="eastAsia" w:ascii="宋体" w:hAnsi="宋体" w:cs="宋体"/>
          <w:b/>
          <w:bCs/>
          <w:color w:val="000000"/>
          <w:sz w:val="24"/>
        </w:rPr>
      </w:pPr>
      <w:r>
        <w:rPr>
          <w:rFonts w:hint="eastAsia" w:ascii="宋体" w:hAnsi="宋体" w:cs="宋体"/>
          <w:b/>
          <w:bCs/>
          <w:color w:val="000000"/>
          <w:sz w:val="24"/>
        </w:rPr>
        <w:br w:type="page"/>
      </w:r>
    </w:p>
    <w:p w14:paraId="69AE2C64">
      <w:pPr>
        <w:spacing w:before="100" w:beforeAutospacing="1"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9</w:t>
      </w:r>
      <w:r>
        <w:rPr>
          <w:rFonts w:hint="eastAsia" w:ascii="宋体" w:hAnsi="宋体" w:cs="宋体"/>
          <w:b/>
          <w:bCs/>
          <w:color w:val="000000"/>
          <w:sz w:val="24"/>
        </w:rPr>
        <w:t xml:space="preserve">： </w:t>
      </w:r>
    </w:p>
    <w:p w14:paraId="39EB7B7F">
      <w:pPr>
        <w:pStyle w:val="22"/>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项目管理班子配备情况表</w:t>
      </w:r>
    </w:p>
    <w:tbl>
      <w:tblPr>
        <w:tblStyle w:val="36"/>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1"/>
        <w:gridCol w:w="574"/>
        <w:gridCol w:w="723"/>
        <w:gridCol w:w="1177"/>
        <w:gridCol w:w="970"/>
        <w:gridCol w:w="3010"/>
      </w:tblGrid>
      <w:tr w14:paraId="438F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jc w:val="center"/>
        </w:trPr>
        <w:tc>
          <w:tcPr>
            <w:tcW w:w="1627" w:type="dxa"/>
            <w:noWrap w:val="0"/>
            <w:vAlign w:val="center"/>
          </w:tcPr>
          <w:p w14:paraId="4E41758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职务</w:t>
            </w:r>
          </w:p>
        </w:tc>
        <w:tc>
          <w:tcPr>
            <w:tcW w:w="1351" w:type="dxa"/>
            <w:noWrap w:val="0"/>
            <w:vAlign w:val="center"/>
          </w:tcPr>
          <w:p w14:paraId="4B5A836D">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姓名</w:t>
            </w:r>
          </w:p>
        </w:tc>
        <w:tc>
          <w:tcPr>
            <w:tcW w:w="574" w:type="dxa"/>
            <w:noWrap w:val="0"/>
            <w:vAlign w:val="center"/>
          </w:tcPr>
          <w:p w14:paraId="150077A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性别</w:t>
            </w:r>
          </w:p>
        </w:tc>
        <w:tc>
          <w:tcPr>
            <w:tcW w:w="723" w:type="dxa"/>
            <w:noWrap w:val="0"/>
            <w:vAlign w:val="center"/>
          </w:tcPr>
          <w:p w14:paraId="4EF793D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年龄</w:t>
            </w:r>
          </w:p>
        </w:tc>
        <w:tc>
          <w:tcPr>
            <w:tcW w:w="1177" w:type="dxa"/>
            <w:noWrap w:val="0"/>
            <w:vAlign w:val="center"/>
          </w:tcPr>
          <w:p w14:paraId="7040E69D">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职称</w:t>
            </w:r>
          </w:p>
        </w:tc>
        <w:tc>
          <w:tcPr>
            <w:tcW w:w="970" w:type="dxa"/>
            <w:noWrap w:val="0"/>
            <w:vAlign w:val="center"/>
          </w:tcPr>
          <w:p w14:paraId="34A7415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本岗</w:t>
            </w:r>
          </w:p>
          <w:p w14:paraId="2588BE0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工龄</w:t>
            </w:r>
          </w:p>
        </w:tc>
        <w:tc>
          <w:tcPr>
            <w:tcW w:w="3010" w:type="dxa"/>
            <w:noWrap w:val="0"/>
            <w:vAlign w:val="center"/>
          </w:tcPr>
          <w:p w14:paraId="43BD2EF0">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1.身份证号码</w:t>
            </w:r>
          </w:p>
          <w:p w14:paraId="503E2B0F">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2.建造师注册编号</w:t>
            </w:r>
          </w:p>
          <w:p w14:paraId="789F143D">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3.三类人员证书编号</w:t>
            </w:r>
          </w:p>
        </w:tc>
      </w:tr>
      <w:tr w14:paraId="14E4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vMerge w:val="restart"/>
            <w:noWrap w:val="0"/>
            <w:vAlign w:val="center"/>
          </w:tcPr>
          <w:p w14:paraId="65871349">
            <w:pPr>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项目负责人</w:t>
            </w:r>
          </w:p>
        </w:tc>
        <w:tc>
          <w:tcPr>
            <w:tcW w:w="1351" w:type="dxa"/>
            <w:vMerge w:val="restart"/>
            <w:noWrap w:val="0"/>
            <w:vAlign w:val="center"/>
          </w:tcPr>
          <w:p w14:paraId="57174803">
            <w:pPr>
              <w:spacing w:line="360" w:lineRule="auto"/>
              <w:jc w:val="center"/>
              <w:rPr>
                <w:rFonts w:ascii="宋体" w:hAnsi="宋体"/>
                <w:color w:val="auto"/>
                <w:sz w:val="21"/>
                <w:szCs w:val="21"/>
                <w:highlight w:val="none"/>
              </w:rPr>
            </w:pPr>
          </w:p>
        </w:tc>
        <w:tc>
          <w:tcPr>
            <w:tcW w:w="574" w:type="dxa"/>
            <w:vMerge w:val="restart"/>
            <w:noWrap w:val="0"/>
            <w:vAlign w:val="center"/>
          </w:tcPr>
          <w:p w14:paraId="695BC646">
            <w:pPr>
              <w:spacing w:line="360" w:lineRule="auto"/>
              <w:jc w:val="center"/>
              <w:rPr>
                <w:rFonts w:ascii="宋体" w:hAnsi="宋体"/>
                <w:color w:val="auto"/>
                <w:sz w:val="21"/>
                <w:szCs w:val="21"/>
                <w:highlight w:val="none"/>
              </w:rPr>
            </w:pPr>
          </w:p>
        </w:tc>
        <w:tc>
          <w:tcPr>
            <w:tcW w:w="723" w:type="dxa"/>
            <w:vMerge w:val="restart"/>
            <w:noWrap w:val="0"/>
            <w:vAlign w:val="center"/>
          </w:tcPr>
          <w:p w14:paraId="6D3425E8">
            <w:pPr>
              <w:spacing w:line="360" w:lineRule="auto"/>
              <w:jc w:val="center"/>
              <w:rPr>
                <w:rFonts w:ascii="宋体" w:hAnsi="宋体"/>
                <w:color w:val="auto"/>
                <w:sz w:val="21"/>
                <w:szCs w:val="21"/>
                <w:highlight w:val="none"/>
              </w:rPr>
            </w:pPr>
          </w:p>
        </w:tc>
        <w:tc>
          <w:tcPr>
            <w:tcW w:w="1177" w:type="dxa"/>
            <w:vMerge w:val="restart"/>
            <w:noWrap w:val="0"/>
            <w:vAlign w:val="center"/>
          </w:tcPr>
          <w:p w14:paraId="6333CA1A">
            <w:pPr>
              <w:spacing w:line="360" w:lineRule="auto"/>
              <w:jc w:val="center"/>
              <w:rPr>
                <w:rFonts w:ascii="宋体" w:hAnsi="宋体"/>
                <w:color w:val="auto"/>
                <w:sz w:val="21"/>
                <w:szCs w:val="21"/>
                <w:highlight w:val="none"/>
              </w:rPr>
            </w:pPr>
          </w:p>
        </w:tc>
        <w:tc>
          <w:tcPr>
            <w:tcW w:w="970" w:type="dxa"/>
            <w:vMerge w:val="restart"/>
            <w:noWrap w:val="0"/>
            <w:vAlign w:val="center"/>
          </w:tcPr>
          <w:p w14:paraId="3CF97CDC">
            <w:pPr>
              <w:spacing w:line="360" w:lineRule="auto"/>
              <w:jc w:val="center"/>
              <w:rPr>
                <w:rFonts w:ascii="宋体" w:hAnsi="宋体"/>
                <w:color w:val="auto"/>
                <w:sz w:val="21"/>
                <w:szCs w:val="21"/>
                <w:highlight w:val="none"/>
              </w:rPr>
            </w:pPr>
          </w:p>
        </w:tc>
        <w:tc>
          <w:tcPr>
            <w:tcW w:w="3010" w:type="dxa"/>
            <w:noWrap w:val="0"/>
            <w:vAlign w:val="center"/>
          </w:tcPr>
          <w:p w14:paraId="40396D24">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w:t>
            </w:r>
          </w:p>
        </w:tc>
      </w:tr>
      <w:tr w14:paraId="589E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627" w:type="dxa"/>
            <w:vMerge w:val="continue"/>
            <w:noWrap w:val="0"/>
            <w:vAlign w:val="center"/>
          </w:tcPr>
          <w:p w14:paraId="468CCF40">
            <w:pPr>
              <w:spacing w:line="360" w:lineRule="auto"/>
              <w:jc w:val="center"/>
              <w:rPr>
                <w:rFonts w:hint="eastAsia" w:ascii="宋体" w:hAnsi="宋体"/>
                <w:color w:val="auto"/>
                <w:sz w:val="21"/>
                <w:szCs w:val="21"/>
                <w:highlight w:val="none"/>
              </w:rPr>
            </w:pPr>
          </w:p>
        </w:tc>
        <w:tc>
          <w:tcPr>
            <w:tcW w:w="1351" w:type="dxa"/>
            <w:vMerge w:val="continue"/>
            <w:noWrap w:val="0"/>
            <w:vAlign w:val="center"/>
          </w:tcPr>
          <w:p w14:paraId="7DEC2F10">
            <w:pPr>
              <w:spacing w:line="360" w:lineRule="auto"/>
              <w:jc w:val="center"/>
              <w:rPr>
                <w:rFonts w:ascii="宋体" w:hAnsi="宋体"/>
                <w:color w:val="auto"/>
                <w:sz w:val="21"/>
                <w:szCs w:val="21"/>
                <w:highlight w:val="none"/>
              </w:rPr>
            </w:pPr>
          </w:p>
        </w:tc>
        <w:tc>
          <w:tcPr>
            <w:tcW w:w="574" w:type="dxa"/>
            <w:vMerge w:val="continue"/>
            <w:noWrap w:val="0"/>
            <w:vAlign w:val="center"/>
          </w:tcPr>
          <w:p w14:paraId="624A0B53">
            <w:pPr>
              <w:spacing w:line="360" w:lineRule="auto"/>
              <w:jc w:val="center"/>
              <w:rPr>
                <w:rFonts w:ascii="宋体" w:hAnsi="宋体"/>
                <w:color w:val="auto"/>
                <w:sz w:val="21"/>
                <w:szCs w:val="21"/>
                <w:highlight w:val="none"/>
              </w:rPr>
            </w:pPr>
          </w:p>
        </w:tc>
        <w:tc>
          <w:tcPr>
            <w:tcW w:w="723" w:type="dxa"/>
            <w:vMerge w:val="continue"/>
            <w:noWrap w:val="0"/>
            <w:vAlign w:val="center"/>
          </w:tcPr>
          <w:p w14:paraId="6A36DA3B">
            <w:pPr>
              <w:spacing w:line="360" w:lineRule="auto"/>
              <w:jc w:val="center"/>
              <w:rPr>
                <w:rFonts w:ascii="宋体" w:hAnsi="宋体"/>
                <w:color w:val="auto"/>
                <w:sz w:val="21"/>
                <w:szCs w:val="21"/>
                <w:highlight w:val="none"/>
              </w:rPr>
            </w:pPr>
          </w:p>
        </w:tc>
        <w:tc>
          <w:tcPr>
            <w:tcW w:w="1177" w:type="dxa"/>
            <w:vMerge w:val="continue"/>
            <w:noWrap w:val="0"/>
            <w:vAlign w:val="center"/>
          </w:tcPr>
          <w:p w14:paraId="7665441C">
            <w:pPr>
              <w:spacing w:line="360" w:lineRule="auto"/>
              <w:jc w:val="center"/>
              <w:rPr>
                <w:rFonts w:ascii="宋体" w:hAnsi="宋体"/>
                <w:color w:val="auto"/>
                <w:sz w:val="21"/>
                <w:szCs w:val="21"/>
                <w:highlight w:val="none"/>
              </w:rPr>
            </w:pPr>
          </w:p>
        </w:tc>
        <w:tc>
          <w:tcPr>
            <w:tcW w:w="970" w:type="dxa"/>
            <w:vMerge w:val="continue"/>
            <w:noWrap w:val="0"/>
            <w:vAlign w:val="center"/>
          </w:tcPr>
          <w:p w14:paraId="0137576F">
            <w:pPr>
              <w:spacing w:line="360" w:lineRule="auto"/>
              <w:jc w:val="center"/>
              <w:rPr>
                <w:rFonts w:ascii="宋体" w:hAnsi="宋体"/>
                <w:color w:val="auto"/>
                <w:sz w:val="21"/>
                <w:szCs w:val="21"/>
                <w:highlight w:val="none"/>
              </w:rPr>
            </w:pPr>
          </w:p>
        </w:tc>
        <w:tc>
          <w:tcPr>
            <w:tcW w:w="3010" w:type="dxa"/>
            <w:noWrap w:val="0"/>
            <w:vAlign w:val="center"/>
          </w:tcPr>
          <w:p w14:paraId="55B00C13">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w:t>
            </w:r>
          </w:p>
        </w:tc>
      </w:tr>
      <w:tr w14:paraId="6E28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jc w:val="center"/>
        </w:trPr>
        <w:tc>
          <w:tcPr>
            <w:tcW w:w="1627" w:type="dxa"/>
            <w:vMerge w:val="continue"/>
            <w:noWrap w:val="0"/>
            <w:vAlign w:val="center"/>
          </w:tcPr>
          <w:p w14:paraId="3B5513AC">
            <w:pPr>
              <w:spacing w:line="360" w:lineRule="auto"/>
              <w:jc w:val="center"/>
              <w:rPr>
                <w:rFonts w:hint="eastAsia" w:ascii="宋体" w:hAnsi="宋体"/>
                <w:color w:val="auto"/>
                <w:sz w:val="21"/>
                <w:szCs w:val="21"/>
                <w:highlight w:val="none"/>
              </w:rPr>
            </w:pPr>
          </w:p>
        </w:tc>
        <w:tc>
          <w:tcPr>
            <w:tcW w:w="1351" w:type="dxa"/>
            <w:vMerge w:val="continue"/>
            <w:noWrap w:val="0"/>
            <w:vAlign w:val="center"/>
          </w:tcPr>
          <w:p w14:paraId="5A1178FD">
            <w:pPr>
              <w:spacing w:line="360" w:lineRule="auto"/>
              <w:jc w:val="center"/>
              <w:rPr>
                <w:rFonts w:ascii="宋体" w:hAnsi="宋体"/>
                <w:color w:val="auto"/>
                <w:sz w:val="21"/>
                <w:szCs w:val="21"/>
                <w:highlight w:val="none"/>
              </w:rPr>
            </w:pPr>
          </w:p>
        </w:tc>
        <w:tc>
          <w:tcPr>
            <w:tcW w:w="574" w:type="dxa"/>
            <w:vMerge w:val="continue"/>
            <w:noWrap w:val="0"/>
            <w:vAlign w:val="center"/>
          </w:tcPr>
          <w:p w14:paraId="07B72B4D">
            <w:pPr>
              <w:spacing w:line="360" w:lineRule="auto"/>
              <w:jc w:val="center"/>
              <w:rPr>
                <w:rFonts w:ascii="宋体" w:hAnsi="宋体"/>
                <w:color w:val="auto"/>
                <w:sz w:val="21"/>
                <w:szCs w:val="21"/>
                <w:highlight w:val="none"/>
              </w:rPr>
            </w:pPr>
          </w:p>
        </w:tc>
        <w:tc>
          <w:tcPr>
            <w:tcW w:w="723" w:type="dxa"/>
            <w:vMerge w:val="continue"/>
            <w:noWrap w:val="0"/>
            <w:vAlign w:val="center"/>
          </w:tcPr>
          <w:p w14:paraId="6DCC6CFA">
            <w:pPr>
              <w:spacing w:line="360" w:lineRule="auto"/>
              <w:jc w:val="center"/>
              <w:rPr>
                <w:rFonts w:ascii="宋体" w:hAnsi="宋体"/>
                <w:color w:val="auto"/>
                <w:sz w:val="21"/>
                <w:szCs w:val="21"/>
                <w:highlight w:val="none"/>
              </w:rPr>
            </w:pPr>
          </w:p>
        </w:tc>
        <w:tc>
          <w:tcPr>
            <w:tcW w:w="1177" w:type="dxa"/>
            <w:vMerge w:val="continue"/>
            <w:noWrap w:val="0"/>
            <w:vAlign w:val="center"/>
          </w:tcPr>
          <w:p w14:paraId="5321611D">
            <w:pPr>
              <w:spacing w:line="360" w:lineRule="auto"/>
              <w:jc w:val="center"/>
              <w:rPr>
                <w:rFonts w:ascii="宋体" w:hAnsi="宋体"/>
                <w:color w:val="auto"/>
                <w:sz w:val="21"/>
                <w:szCs w:val="21"/>
                <w:highlight w:val="none"/>
              </w:rPr>
            </w:pPr>
          </w:p>
        </w:tc>
        <w:tc>
          <w:tcPr>
            <w:tcW w:w="970" w:type="dxa"/>
            <w:vMerge w:val="continue"/>
            <w:noWrap w:val="0"/>
            <w:vAlign w:val="center"/>
          </w:tcPr>
          <w:p w14:paraId="5394D5B0">
            <w:pPr>
              <w:spacing w:line="360" w:lineRule="auto"/>
              <w:jc w:val="center"/>
              <w:rPr>
                <w:rFonts w:ascii="宋体" w:hAnsi="宋体"/>
                <w:color w:val="auto"/>
                <w:sz w:val="21"/>
                <w:szCs w:val="21"/>
                <w:highlight w:val="none"/>
              </w:rPr>
            </w:pPr>
          </w:p>
        </w:tc>
        <w:tc>
          <w:tcPr>
            <w:tcW w:w="3010" w:type="dxa"/>
            <w:noWrap w:val="0"/>
            <w:vAlign w:val="center"/>
          </w:tcPr>
          <w:p w14:paraId="60643F7A">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w:t>
            </w:r>
          </w:p>
        </w:tc>
      </w:tr>
      <w:tr w14:paraId="6D1A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vMerge w:val="restart"/>
            <w:noWrap w:val="0"/>
            <w:vAlign w:val="center"/>
          </w:tcPr>
          <w:p w14:paraId="48E4E408">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现场安全生产专职管理人员</w:t>
            </w:r>
          </w:p>
        </w:tc>
        <w:tc>
          <w:tcPr>
            <w:tcW w:w="1351" w:type="dxa"/>
            <w:vMerge w:val="restart"/>
            <w:noWrap w:val="0"/>
            <w:vAlign w:val="center"/>
          </w:tcPr>
          <w:p w14:paraId="6ED55B18">
            <w:pPr>
              <w:spacing w:line="360" w:lineRule="auto"/>
              <w:jc w:val="center"/>
              <w:rPr>
                <w:rFonts w:ascii="宋体" w:hAnsi="宋体"/>
                <w:color w:val="auto"/>
                <w:sz w:val="21"/>
                <w:szCs w:val="21"/>
                <w:highlight w:val="none"/>
              </w:rPr>
            </w:pPr>
          </w:p>
        </w:tc>
        <w:tc>
          <w:tcPr>
            <w:tcW w:w="574" w:type="dxa"/>
            <w:vMerge w:val="restart"/>
            <w:noWrap w:val="0"/>
            <w:vAlign w:val="center"/>
          </w:tcPr>
          <w:p w14:paraId="5CD34B06">
            <w:pPr>
              <w:spacing w:line="360" w:lineRule="auto"/>
              <w:jc w:val="center"/>
              <w:rPr>
                <w:rFonts w:ascii="宋体" w:hAnsi="宋体"/>
                <w:color w:val="auto"/>
                <w:sz w:val="21"/>
                <w:szCs w:val="21"/>
                <w:highlight w:val="none"/>
              </w:rPr>
            </w:pPr>
          </w:p>
        </w:tc>
        <w:tc>
          <w:tcPr>
            <w:tcW w:w="723" w:type="dxa"/>
            <w:vMerge w:val="restart"/>
            <w:noWrap w:val="0"/>
            <w:vAlign w:val="center"/>
          </w:tcPr>
          <w:p w14:paraId="49C686E8">
            <w:pPr>
              <w:spacing w:line="360" w:lineRule="auto"/>
              <w:jc w:val="center"/>
              <w:rPr>
                <w:rFonts w:ascii="宋体" w:hAnsi="宋体"/>
                <w:color w:val="auto"/>
                <w:sz w:val="21"/>
                <w:szCs w:val="21"/>
                <w:highlight w:val="none"/>
              </w:rPr>
            </w:pPr>
          </w:p>
        </w:tc>
        <w:tc>
          <w:tcPr>
            <w:tcW w:w="1177" w:type="dxa"/>
            <w:vMerge w:val="restart"/>
            <w:noWrap w:val="0"/>
            <w:vAlign w:val="center"/>
          </w:tcPr>
          <w:p w14:paraId="34885239">
            <w:pPr>
              <w:spacing w:line="360" w:lineRule="auto"/>
              <w:jc w:val="center"/>
              <w:rPr>
                <w:rFonts w:ascii="宋体" w:hAnsi="宋体"/>
                <w:color w:val="auto"/>
                <w:sz w:val="21"/>
                <w:szCs w:val="21"/>
                <w:highlight w:val="none"/>
              </w:rPr>
            </w:pPr>
          </w:p>
        </w:tc>
        <w:tc>
          <w:tcPr>
            <w:tcW w:w="970" w:type="dxa"/>
            <w:vMerge w:val="restart"/>
            <w:noWrap w:val="0"/>
            <w:vAlign w:val="center"/>
          </w:tcPr>
          <w:p w14:paraId="4C1E77F5">
            <w:pPr>
              <w:spacing w:line="360" w:lineRule="auto"/>
              <w:jc w:val="center"/>
              <w:rPr>
                <w:rFonts w:ascii="宋体" w:hAnsi="宋体"/>
                <w:color w:val="auto"/>
                <w:sz w:val="21"/>
                <w:szCs w:val="21"/>
                <w:highlight w:val="none"/>
              </w:rPr>
            </w:pPr>
          </w:p>
        </w:tc>
        <w:tc>
          <w:tcPr>
            <w:tcW w:w="3010" w:type="dxa"/>
            <w:noWrap w:val="0"/>
            <w:vAlign w:val="center"/>
          </w:tcPr>
          <w:p w14:paraId="1810EE75">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w:t>
            </w:r>
          </w:p>
        </w:tc>
      </w:tr>
      <w:tr w14:paraId="7D42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627" w:type="dxa"/>
            <w:vMerge w:val="continue"/>
            <w:noWrap w:val="0"/>
            <w:vAlign w:val="center"/>
          </w:tcPr>
          <w:p w14:paraId="7BCADBEE">
            <w:pPr>
              <w:spacing w:line="360" w:lineRule="auto"/>
              <w:rPr>
                <w:rFonts w:hint="eastAsia" w:ascii="宋体" w:hAnsi="宋体"/>
                <w:color w:val="auto"/>
                <w:sz w:val="21"/>
                <w:szCs w:val="21"/>
                <w:highlight w:val="none"/>
              </w:rPr>
            </w:pPr>
          </w:p>
        </w:tc>
        <w:tc>
          <w:tcPr>
            <w:tcW w:w="1351" w:type="dxa"/>
            <w:vMerge w:val="continue"/>
            <w:noWrap w:val="0"/>
            <w:vAlign w:val="center"/>
          </w:tcPr>
          <w:p w14:paraId="6166718E">
            <w:pPr>
              <w:spacing w:line="360" w:lineRule="auto"/>
              <w:jc w:val="center"/>
              <w:rPr>
                <w:rFonts w:ascii="宋体" w:hAnsi="宋体"/>
                <w:color w:val="auto"/>
                <w:sz w:val="21"/>
                <w:szCs w:val="21"/>
                <w:highlight w:val="none"/>
              </w:rPr>
            </w:pPr>
          </w:p>
        </w:tc>
        <w:tc>
          <w:tcPr>
            <w:tcW w:w="574" w:type="dxa"/>
            <w:vMerge w:val="continue"/>
            <w:noWrap w:val="0"/>
            <w:vAlign w:val="center"/>
          </w:tcPr>
          <w:p w14:paraId="215582ED">
            <w:pPr>
              <w:spacing w:line="360" w:lineRule="auto"/>
              <w:jc w:val="center"/>
              <w:rPr>
                <w:rFonts w:ascii="宋体" w:hAnsi="宋体"/>
                <w:color w:val="auto"/>
                <w:sz w:val="21"/>
                <w:szCs w:val="21"/>
                <w:highlight w:val="none"/>
              </w:rPr>
            </w:pPr>
          </w:p>
        </w:tc>
        <w:tc>
          <w:tcPr>
            <w:tcW w:w="723" w:type="dxa"/>
            <w:vMerge w:val="continue"/>
            <w:noWrap w:val="0"/>
            <w:vAlign w:val="center"/>
          </w:tcPr>
          <w:p w14:paraId="630B6B07">
            <w:pPr>
              <w:spacing w:line="360" w:lineRule="auto"/>
              <w:jc w:val="center"/>
              <w:rPr>
                <w:rFonts w:ascii="宋体" w:hAnsi="宋体"/>
                <w:color w:val="auto"/>
                <w:sz w:val="21"/>
                <w:szCs w:val="21"/>
                <w:highlight w:val="none"/>
              </w:rPr>
            </w:pPr>
          </w:p>
        </w:tc>
        <w:tc>
          <w:tcPr>
            <w:tcW w:w="1177" w:type="dxa"/>
            <w:vMerge w:val="continue"/>
            <w:noWrap w:val="0"/>
            <w:vAlign w:val="center"/>
          </w:tcPr>
          <w:p w14:paraId="10D8788C">
            <w:pPr>
              <w:spacing w:line="360" w:lineRule="auto"/>
              <w:jc w:val="center"/>
              <w:rPr>
                <w:rFonts w:ascii="宋体" w:hAnsi="宋体"/>
                <w:color w:val="auto"/>
                <w:sz w:val="21"/>
                <w:szCs w:val="21"/>
                <w:highlight w:val="none"/>
              </w:rPr>
            </w:pPr>
          </w:p>
        </w:tc>
        <w:tc>
          <w:tcPr>
            <w:tcW w:w="970" w:type="dxa"/>
            <w:vMerge w:val="continue"/>
            <w:noWrap w:val="0"/>
            <w:vAlign w:val="center"/>
          </w:tcPr>
          <w:p w14:paraId="1BB19054">
            <w:pPr>
              <w:spacing w:line="360" w:lineRule="auto"/>
              <w:jc w:val="center"/>
              <w:rPr>
                <w:rFonts w:ascii="宋体" w:hAnsi="宋体"/>
                <w:color w:val="auto"/>
                <w:sz w:val="21"/>
                <w:szCs w:val="21"/>
                <w:highlight w:val="none"/>
              </w:rPr>
            </w:pPr>
          </w:p>
        </w:tc>
        <w:tc>
          <w:tcPr>
            <w:tcW w:w="3010" w:type="dxa"/>
            <w:noWrap w:val="0"/>
            <w:vAlign w:val="center"/>
          </w:tcPr>
          <w:p w14:paraId="0339D56A">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w:t>
            </w:r>
          </w:p>
        </w:tc>
      </w:tr>
      <w:tr w14:paraId="2E22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552AE806">
            <w:pPr>
              <w:spacing w:line="360" w:lineRule="auto"/>
              <w:rPr>
                <w:rFonts w:hint="eastAsia" w:ascii="宋体" w:hAnsi="宋体"/>
                <w:color w:val="auto"/>
                <w:sz w:val="21"/>
                <w:szCs w:val="21"/>
                <w:highlight w:val="none"/>
              </w:rPr>
            </w:pPr>
          </w:p>
        </w:tc>
        <w:tc>
          <w:tcPr>
            <w:tcW w:w="1351" w:type="dxa"/>
            <w:noWrap w:val="0"/>
            <w:vAlign w:val="top"/>
          </w:tcPr>
          <w:p w14:paraId="458A60FA">
            <w:pPr>
              <w:spacing w:line="360" w:lineRule="auto"/>
              <w:rPr>
                <w:rFonts w:ascii="宋体" w:hAnsi="宋体"/>
                <w:color w:val="auto"/>
                <w:sz w:val="21"/>
                <w:szCs w:val="21"/>
                <w:highlight w:val="none"/>
              </w:rPr>
            </w:pPr>
          </w:p>
        </w:tc>
        <w:tc>
          <w:tcPr>
            <w:tcW w:w="574" w:type="dxa"/>
            <w:noWrap w:val="0"/>
            <w:vAlign w:val="top"/>
          </w:tcPr>
          <w:p w14:paraId="6C506FF0">
            <w:pPr>
              <w:spacing w:line="360" w:lineRule="auto"/>
              <w:rPr>
                <w:rFonts w:ascii="宋体" w:hAnsi="宋体"/>
                <w:color w:val="auto"/>
                <w:sz w:val="21"/>
                <w:szCs w:val="21"/>
                <w:highlight w:val="none"/>
              </w:rPr>
            </w:pPr>
          </w:p>
        </w:tc>
        <w:tc>
          <w:tcPr>
            <w:tcW w:w="723" w:type="dxa"/>
            <w:noWrap w:val="0"/>
            <w:vAlign w:val="top"/>
          </w:tcPr>
          <w:p w14:paraId="637B18D3">
            <w:pPr>
              <w:spacing w:line="360" w:lineRule="auto"/>
              <w:rPr>
                <w:rFonts w:ascii="宋体" w:hAnsi="宋体"/>
                <w:color w:val="auto"/>
                <w:sz w:val="21"/>
                <w:szCs w:val="21"/>
                <w:highlight w:val="none"/>
              </w:rPr>
            </w:pPr>
          </w:p>
        </w:tc>
        <w:tc>
          <w:tcPr>
            <w:tcW w:w="1177" w:type="dxa"/>
            <w:noWrap w:val="0"/>
            <w:vAlign w:val="top"/>
          </w:tcPr>
          <w:p w14:paraId="7E3501BB">
            <w:pPr>
              <w:spacing w:line="360" w:lineRule="auto"/>
              <w:rPr>
                <w:rFonts w:ascii="宋体" w:hAnsi="宋体"/>
                <w:color w:val="auto"/>
                <w:sz w:val="21"/>
                <w:szCs w:val="21"/>
                <w:highlight w:val="none"/>
              </w:rPr>
            </w:pPr>
          </w:p>
        </w:tc>
        <w:tc>
          <w:tcPr>
            <w:tcW w:w="970" w:type="dxa"/>
            <w:noWrap w:val="0"/>
            <w:vAlign w:val="top"/>
          </w:tcPr>
          <w:p w14:paraId="51DA334D">
            <w:pPr>
              <w:spacing w:line="360" w:lineRule="auto"/>
              <w:rPr>
                <w:rFonts w:ascii="宋体" w:hAnsi="宋体"/>
                <w:color w:val="auto"/>
                <w:sz w:val="21"/>
                <w:szCs w:val="21"/>
                <w:highlight w:val="none"/>
              </w:rPr>
            </w:pPr>
          </w:p>
        </w:tc>
        <w:tc>
          <w:tcPr>
            <w:tcW w:w="3010" w:type="dxa"/>
            <w:noWrap w:val="0"/>
            <w:vAlign w:val="center"/>
          </w:tcPr>
          <w:p w14:paraId="685FAAEF">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r w14:paraId="496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27957F00">
            <w:pPr>
              <w:spacing w:line="360" w:lineRule="auto"/>
              <w:rPr>
                <w:rFonts w:hint="eastAsia" w:ascii="宋体" w:hAnsi="宋体"/>
                <w:color w:val="auto"/>
                <w:sz w:val="21"/>
                <w:szCs w:val="21"/>
                <w:highlight w:val="none"/>
              </w:rPr>
            </w:pPr>
          </w:p>
        </w:tc>
        <w:tc>
          <w:tcPr>
            <w:tcW w:w="1351" w:type="dxa"/>
            <w:noWrap w:val="0"/>
            <w:vAlign w:val="top"/>
          </w:tcPr>
          <w:p w14:paraId="1D02F7EB">
            <w:pPr>
              <w:spacing w:line="360" w:lineRule="auto"/>
              <w:rPr>
                <w:rFonts w:ascii="宋体" w:hAnsi="宋体"/>
                <w:color w:val="auto"/>
                <w:sz w:val="21"/>
                <w:szCs w:val="21"/>
                <w:highlight w:val="none"/>
              </w:rPr>
            </w:pPr>
          </w:p>
        </w:tc>
        <w:tc>
          <w:tcPr>
            <w:tcW w:w="574" w:type="dxa"/>
            <w:noWrap w:val="0"/>
            <w:vAlign w:val="top"/>
          </w:tcPr>
          <w:p w14:paraId="2EFFEC39">
            <w:pPr>
              <w:spacing w:line="360" w:lineRule="auto"/>
              <w:rPr>
                <w:rFonts w:ascii="宋体" w:hAnsi="宋体"/>
                <w:color w:val="auto"/>
                <w:sz w:val="21"/>
                <w:szCs w:val="21"/>
                <w:highlight w:val="none"/>
              </w:rPr>
            </w:pPr>
          </w:p>
        </w:tc>
        <w:tc>
          <w:tcPr>
            <w:tcW w:w="723" w:type="dxa"/>
            <w:noWrap w:val="0"/>
            <w:vAlign w:val="top"/>
          </w:tcPr>
          <w:p w14:paraId="0F59FEFB">
            <w:pPr>
              <w:spacing w:line="360" w:lineRule="auto"/>
              <w:rPr>
                <w:rFonts w:ascii="宋体" w:hAnsi="宋体"/>
                <w:color w:val="auto"/>
                <w:sz w:val="21"/>
                <w:szCs w:val="21"/>
                <w:highlight w:val="none"/>
              </w:rPr>
            </w:pPr>
          </w:p>
        </w:tc>
        <w:tc>
          <w:tcPr>
            <w:tcW w:w="1177" w:type="dxa"/>
            <w:noWrap w:val="0"/>
            <w:vAlign w:val="top"/>
          </w:tcPr>
          <w:p w14:paraId="2BAEF2EC">
            <w:pPr>
              <w:spacing w:line="360" w:lineRule="auto"/>
              <w:rPr>
                <w:rFonts w:ascii="宋体" w:hAnsi="宋体"/>
                <w:color w:val="auto"/>
                <w:sz w:val="21"/>
                <w:szCs w:val="21"/>
                <w:highlight w:val="none"/>
              </w:rPr>
            </w:pPr>
          </w:p>
        </w:tc>
        <w:tc>
          <w:tcPr>
            <w:tcW w:w="970" w:type="dxa"/>
            <w:noWrap w:val="0"/>
            <w:vAlign w:val="top"/>
          </w:tcPr>
          <w:p w14:paraId="5E7EE47E">
            <w:pPr>
              <w:pStyle w:val="116"/>
              <w:spacing w:line="360" w:lineRule="auto"/>
              <w:rPr>
                <w:rFonts w:ascii="宋体" w:hAnsi="宋体" w:eastAsia="宋体"/>
                <w:color w:val="auto"/>
                <w:sz w:val="21"/>
                <w:szCs w:val="21"/>
                <w:highlight w:val="none"/>
              </w:rPr>
            </w:pPr>
          </w:p>
        </w:tc>
        <w:tc>
          <w:tcPr>
            <w:tcW w:w="3010" w:type="dxa"/>
            <w:noWrap w:val="0"/>
            <w:vAlign w:val="center"/>
          </w:tcPr>
          <w:p w14:paraId="7323EB9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r w14:paraId="17B5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202E2C01">
            <w:pPr>
              <w:spacing w:line="360" w:lineRule="auto"/>
              <w:rPr>
                <w:rFonts w:hint="eastAsia" w:ascii="宋体" w:hAnsi="宋体"/>
                <w:color w:val="auto"/>
                <w:sz w:val="21"/>
                <w:szCs w:val="21"/>
                <w:highlight w:val="none"/>
              </w:rPr>
            </w:pPr>
          </w:p>
        </w:tc>
        <w:tc>
          <w:tcPr>
            <w:tcW w:w="1351" w:type="dxa"/>
            <w:noWrap w:val="0"/>
            <w:vAlign w:val="top"/>
          </w:tcPr>
          <w:p w14:paraId="146DB9BD">
            <w:pPr>
              <w:spacing w:line="360" w:lineRule="auto"/>
              <w:rPr>
                <w:rFonts w:ascii="宋体" w:hAnsi="宋体"/>
                <w:color w:val="auto"/>
                <w:sz w:val="21"/>
                <w:szCs w:val="21"/>
                <w:highlight w:val="none"/>
              </w:rPr>
            </w:pPr>
          </w:p>
        </w:tc>
        <w:tc>
          <w:tcPr>
            <w:tcW w:w="574" w:type="dxa"/>
            <w:noWrap w:val="0"/>
            <w:vAlign w:val="top"/>
          </w:tcPr>
          <w:p w14:paraId="10121772">
            <w:pPr>
              <w:spacing w:line="360" w:lineRule="auto"/>
              <w:rPr>
                <w:rFonts w:ascii="宋体" w:hAnsi="宋体"/>
                <w:color w:val="auto"/>
                <w:sz w:val="21"/>
                <w:szCs w:val="21"/>
                <w:highlight w:val="none"/>
              </w:rPr>
            </w:pPr>
          </w:p>
        </w:tc>
        <w:tc>
          <w:tcPr>
            <w:tcW w:w="723" w:type="dxa"/>
            <w:noWrap w:val="0"/>
            <w:vAlign w:val="top"/>
          </w:tcPr>
          <w:p w14:paraId="21BC2F46">
            <w:pPr>
              <w:spacing w:line="360" w:lineRule="auto"/>
              <w:rPr>
                <w:rFonts w:ascii="宋体" w:hAnsi="宋体"/>
                <w:color w:val="auto"/>
                <w:sz w:val="21"/>
                <w:szCs w:val="21"/>
                <w:highlight w:val="none"/>
              </w:rPr>
            </w:pPr>
          </w:p>
        </w:tc>
        <w:tc>
          <w:tcPr>
            <w:tcW w:w="1177" w:type="dxa"/>
            <w:noWrap w:val="0"/>
            <w:vAlign w:val="top"/>
          </w:tcPr>
          <w:p w14:paraId="5C39C29C">
            <w:pPr>
              <w:spacing w:line="360" w:lineRule="auto"/>
              <w:rPr>
                <w:rFonts w:ascii="宋体" w:hAnsi="宋体"/>
                <w:color w:val="auto"/>
                <w:sz w:val="21"/>
                <w:szCs w:val="21"/>
                <w:highlight w:val="none"/>
              </w:rPr>
            </w:pPr>
          </w:p>
        </w:tc>
        <w:tc>
          <w:tcPr>
            <w:tcW w:w="970" w:type="dxa"/>
            <w:noWrap w:val="0"/>
            <w:vAlign w:val="top"/>
          </w:tcPr>
          <w:p w14:paraId="6E9ED201">
            <w:pPr>
              <w:pStyle w:val="116"/>
              <w:spacing w:line="360" w:lineRule="auto"/>
              <w:rPr>
                <w:rFonts w:ascii="宋体" w:hAnsi="宋体" w:eastAsia="宋体"/>
                <w:color w:val="auto"/>
                <w:sz w:val="21"/>
                <w:szCs w:val="21"/>
                <w:highlight w:val="none"/>
              </w:rPr>
            </w:pPr>
          </w:p>
        </w:tc>
        <w:tc>
          <w:tcPr>
            <w:tcW w:w="3010" w:type="dxa"/>
            <w:noWrap w:val="0"/>
            <w:vAlign w:val="center"/>
          </w:tcPr>
          <w:p w14:paraId="11971AF4">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r w14:paraId="1EB0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0C0419F4">
            <w:pPr>
              <w:spacing w:line="360" w:lineRule="auto"/>
              <w:rPr>
                <w:rFonts w:hint="eastAsia" w:ascii="宋体" w:hAnsi="宋体"/>
                <w:color w:val="auto"/>
                <w:sz w:val="21"/>
                <w:szCs w:val="21"/>
                <w:highlight w:val="none"/>
              </w:rPr>
            </w:pPr>
          </w:p>
        </w:tc>
        <w:tc>
          <w:tcPr>
            <w:tcW w:w="1351" w:type="dxa"/>
            <w:noWrap w:val="0"/>
            <w:vAlign w:val="top"/>
          </w:tcPr>
          <w:p w14:paraId="78CC407F">
            <w:pPr>
              <w:spacing w:line="360" w:lineRule="auto"/>
              <w:rPr>
                <w:rFonts w:ascii="宋体" w:hAnsi="宋体"/>
                <w:color w:val="auto"/>
                <w:sz w:val="21"/>
                <w:szCs w:val="21"/>
                <w:highlight w:val="none"/>
              </w:rPr>
            </w:pPr>
          </w:p>
        </w:tc>
        <w:tc>
          <w:tcPr>
            <w:tcW w:w="574" w:type="dxa"/>
            <w:noWrap w:val="0"/>
            <w:vAlign w:val="top"/>
          </w:tcPr>
          <w:p w14:paraId="24B1B038">
            <w:pPr>
              <w:spacing w:line="360" w:lineRule="auto"/>
              <w:rPr>
                <w:rFonts w:ascii="宋体" w:hAnsi="宋体"/>
                <w:color w:val="auto"/>
                <w:sz w:val="21"/>
                <w:szCs w:val="21"/>
                <w:highlight w:val="none"/>
              </w:rPr>
            </w:pPr>
          </w:p>
        </w:tc>
        <w:tc>
          <w:tcPr>
            <w:tcW w:w="723" w:type="dxa"/>
            <w:noWrap w:val="0"/>
            <w:vAlign w:val="top"/>
          </w:tcPr>
          <w:p w14:paraId="0FEED195">
            <w:pPr>
              <w:spacing w:line="360" w:lineRule="auto"/>
              <w:rPr>
                <w:rFonts w:ascii="宋体" w:hAnsi="宋体"/>
                <w:color w:val="auto"/>
                <w:sz w:val="21"/>
                <w:szCs w:val="21"/>
                <w:highlight w:val="none"/>
              </w:rPr>
            </w:pPr>
          </w:p>
        </w:tc>
        <w:tc>
          <w:tcPr>
            <w:tcW w:w="1177" w:type="dxa"/>
            <w:noWrap w:val="0"/>
            <w:vAlign w:val="top"/>
          </w:tcPr>
          <w:p w14:paraId="130E3A14">
            <w:pPr>
              <w:spacing w:line="360" w:lineRule="auto"/>
              <w:rPr>
                <w:rFonts w:ascii="宋体" w:hAnsi="宋体"/>
                <w:color w:val="auto"/>
                <w:sz w:val="21"/>
                <w:szCs w:val="21"/>
                <w:highlight w:val="none"/>
              </w:rPr>
            </w:pPr>
          </w:p>
        </w:tc>
        <w:tc>
          <w:tcPr>
            <w:tcW w:w="970" w:type="dxa"/>
            <w:noWrap w:val="0"/>
            <w:vAlign w:val="top"/>
          </w:tcPr>
          <w:p w14:paraId="51CB1391">
            <w:pPr>
              <w:pStyle w:val="116"/>
              <w:spacing w:line="360" w:lineRule="auto"/>
              <w:rPr>
                <w:rFonts w:ascii="宋体" w:hAnsi="宋体" w:eastAsia="宋体"/>
                <w:color w:val="auto"/>
                <w:sz w:val="21"/>
                <w:szCs w:val="21"/>
                <w:highlight w:val="none"/>
              </w:rPr>
            </w:pPr>
          </w:p>
        </w:tc>
        <w:tc>
          <w:tcPr>
            <w:tcW w:w="3010" w:type="dxa"/>
            <w:noWrap w:val="0"/>
            <w:vAlign w:val="center"/>
          </w:tcPr>
          <w:p w14:paraId="0556CA53">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r w14:paraId="61EC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2E26EA57">
            <w:pPr>
              <w:spacing w:line="360" w:lineRule="auto"/>
              <w:rPr>
                <w:rFonts w:hint="eastAsia" w:ascii="宋体" w:hAnsi="宋体"/>
                <w:color w:val="auto"/>
                <w:sz w:val="21"/>
                <w:szCs w:val="21"/>
                <w:highlight w:val="none"/>
              </w:rPr>
            </w:pPr>
          </w:p>
        </w:tc>
        <w:tc>
          <w:tcPr>
            <w:tcW w:w="1351" w:type="dxa"/>
            <w:noWrap w:val="0"/>
            <w:vAlign w:val="top"/>
          </w:tcPr>
          <w:p w14:paraId="00F30689">
            <w:pPr>
              <w:spacing w:line="360" w:lineRule="auto"/>
              <w:rPr>
                <w:rFonts w:ascii="宋体" w:hAnsi="宋体"/>
                <w:color w:val="auto"/>
                <w:sz w:val="21"/>
                <w:szCs w:val="21"/>
                <w:highlight w:val="none"/>
              </w:rPr>
            </w:pPr>
          </w:p>
        </w:tc>
        <w:tc>
          <w:tcPr>
            <w:tcW w:w="574" w:type="dxa"/>
            <w:noWrap w:val="0"/>
            <w:vAlign w:val="top"/>
          </w:tcPr>
          <w:p w14:paraId="03B022F1">
            <w:pPr>
              <w:spacing w:line="360" w:lineRule="auto"/>
              <w:rPr>
                <w:rFonts w:ascii="宋体" w:hAnsi="宋体"/>
                <w:color w:val="auto"/>
                <w:sz w:val="21"/>
                <w:szCs w:val="21"/>
                <w:highlight w:val="none"/>
              </w:rPr>
            </w:pPr>
          </w:p>
        </w:tc>
        <w:tc>
          <w:tcPr>
            <w:tcW w:w="723" w:type="dxa"/>
            <w:noWrap w:val="0"/>
            <w:vAlign w:val="top"/>
          </w:tcPr>
          <w:p w14:paraId="69133DB8">
            <w:pPr>
              <w:spacing w:line="360" w:lineRule="auto"/>
              <w:rPr>
                <w:rFonts w:ascii="宋体" w:hAnsi="宋体"/>
                <w:color w:val="auto"/>
                <w:sz w:val="21"/>
                <w:szCs w:val="21"/>
                <w:highlight w:val="none"/>
              </w:rPr>
            </w:pPr>
          </w:p>
        </w:tc>
        <w:tc>
          <w:tcPr>
            <w:tcW w:w="1177" w:type="dxa"/>
            <w:noWrap w:val="0"/>
            <w:vAlign w:val="top"/>
          </w:tcPr>
          <w:p w14:paraId="792C2C16">
            <w:pPr>
              <w:spacing w:line="360" w:lineRule="auto"/>
              <w:rPr>
                <w:rFonts w:ascii="宋体" w:hAnsi="宋体"/>
                <w:color w:val="auto"/>
                <w:sz w:val="21"/>
                <w:szCs w:val="21"/>
                <w:highlight w:val="none"/>
              </w:rPr>
            </w:pPr>
          </w:p>
        </w:tc>
        <w:tc>
          <w:tcPr>
            <w:tcW w:w="970" w:type="dxa"/>
            <w:noWrap w:val="0"/>
            <w:vAlign w:val="top"/>
          </w:tcPr>
          <w:p w14:paraId="0E290AC3">
            <w:pPr>
              <w:pStyle w:val="116"/>
              <w:spacing w:line="360" w:lineRule="auto"/>
              <w:rPr>
                <w:rFonts w:ascii="宋体" w:hAnsi="宋体" w:eastAsia="宋体"/>
                <w:color w:val="auto"/>
                <w:sz w:val="21"/>
                <w:szCs w:val="21"/>
                <w:highlight w:val="none"/>
              </w:rPr>
            </w:pPr>
          </w:p>
        </w:tc>
        <w:tc>
          <w:tcPr>
            <w:tcW w:w="3010" w:type="dxa"/>
            <w:noWrap w:val="0"/>
            <w:vAlign w:val="center"/>
          </w:tcPr>
          <w:p w14:paraId="0F365CA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r w14:paraId="12EA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7" w:type="dxa"/>
            <w:noWrap w:val="0"/>
            <w:vAlign w:val="center"/>
          </w:tcPr>
          <w:p w14:paraId="29F1CA9D">
            <w:pPr>
              <w:spacing w:line="360" w:lineRule="auto"/>
              <w:rPr>
                <w:rFonts w:hint="eastAsia" w:ascii="宋体" w:hAnsi="宋体"/>
                <w:color w:val="auto"/>
                <w:sz w:val="21"/>
                <w:szCs w:val="21"/>
                <w:highlight w:val="none"/>
              </w:rPr>
            </w:pPr>
          </w:p>
        </w:tc>
        <w:tc>
          <w:tcPr>
            <w:tcW w:w="1351" w:type="dxa"/>
            <w:noWrap w:val="0"/>
            <w:vAlign w:val="top"/>
          </w:tcPr>
          <w:p w14:paraId="488F6B63">
            <w:pPr>
              <w:spacing w:line="360" w:lineRule="auto"/>
              <w:rPr>
                <w:rFonts w:ascii="宋体" w:hAnsi="宋体"/>
                <w:color w:val="auto"/>
                <w:sz w:val="21"/>
                <w:szCs w:val="21"/>
                <w:highlight w:val="none"/>
              </w:rPr>
            </w:pPr>
          </w:p>
        </w:tc>
        <w:tc>
          <w:tcPr>
            <w:tcW w:w="574" w:type="dxa"/>
            <w:noWrap w:val="0"/>
            <w:vAlign w:val="top"/>
          </w:tcPr>
          <w:p w14:paraId="27E432A0">
            <w:pPr>
              <w:spacing w:line="360" w:lineRule="auto"/>
              <w:rPr>
                <w:rFonts w:ascii="宋体" w:hAnsi="宋体"/>
                <w:color w:val="auto"/>
                <w:sz w:val="21"/>
                <w:szCs w:val="21"/>
                <w:highlight w:val="none"/>
              </w:rPr>
            </w:pPr>
          </w:p>
        </w:tc>
        <w:tc>
          <w:tcPr>
            <w:tcW w:w="723" w:type="dxa"/>
            <w:noWrap w:val="0"/>
            <w:vAlign w:val="top"/>
          </w:tcPr>
          <w:p w14:paraId="15B7A923">
            <w:pPr>
              <w:spacing w:line="360" w:lineRule="auto"/>
              <w:rPr>
                <w:rFonts w:ascii="宋体" w:hAnsi="宋体"/>
                <w:color w:val="auto"/>
                <w:sz w:val="21"/>
                <w:szCs w:val="21"/>
                <w:highlight w:val="none"/>
              </w:rPr>
            </w:pPr>
          </w:p>
        </w:tc>
        <w:tc>
          <w:tcPr>
            <w:tcW w:w="1177" w:type="dxa"/>
            <w:noWrap w:val="0"/>
            <w:vAlign w:val="top"/>
          </w:tcPr>
          <w:p w14:paraId="5014A34D">
            <w:pPr>
              <w:spacing w:line="360" w:lineRule="auto"/>
              <w:rPr>
                <w:rFonts w:ascii="宋体" w:hAnsi="宋体"/>
                <w:color w:val="auto"/>
                <w:sz w:val="21"/>
                <w:szCs w:val="21"/>
                <w:highlight w:val="none"/>
              </w:rPr>
            </w:pPr>
          </w:p>
        </w:tc>
        <w:tc>
          <w:tcPr>
            <w:tcW w:w="970" w:type="dxa"/>
            <w:noWrap w:val="0"/>
            <w:vAlign w:val="top"/>
          </w:tcPr>
          <w:p w14:paraId="6CECDB1C">
            <w:pPr>
              <w:pStyle w:val="116"/>
              <w:spacing w:line="360" w:lineRule="auto"/>
              <w:rPr>
                <w:rFonts w:ascii="宋体" w:hAnsi="宋体" w:eastAsia="宋体"/>
                <w:color w:val="auto"/>
                <w:sz w:val="21"/>
                <w:szCs w:val="21"/>
                <w:highlight w:val="none"/>
              </w:rPr>
            </w:pPr>
          </w:p>
        </w:tc>
        <w:tc>
          <w:tcPr>
            <w:tcW w:w="3010" w:type="dxa"/>
            <w:noWrap w:val="0"/>
            <w:vAlign w:val="center"/>
          </w:tcPr>
          <w:p w14:paraId="4A93E7F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w:t>
            </w:r>
          </w:p>
        </w:tc>
      </w:tr>
    </w:tbl>
    <w:p w14:paraId="099B185F">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17D9A0C0">
      <w:pPr>
        <w:numPr>
          <w:ilvl w:val="0"/>
          <w:numId w:val="10"/>
        </w:numPr>
        <w:spacing w:line="360" w:lineRule="auto"/>
        <w:rPr>
          <w:rFonts w:hint="eastAsia" w:ascii="宋体" w:hAnsi="宋体"/>
          <w:b/>
          <w:bCs/>
          <w:color w:val="auto"/>
          <w:szCs w:val="21"/>
          <w:highlight w:val="none"/>
          <w:lang w:eastAsia="zh-CN"/>
        </w:rPr>
      </w:pPr>
      <w:r>
        <w:rPr>
          <w:rFonts w:hint="eastAsia" w:ascii="宋体" w:hAnsi="宋体"/>
          <w:b/>
          <w:bCs/>
          <w:color w:val="auto"/>
          <w:szCs w:val="21"/>
          <w:highlight w:val="none"/>
        </w:rPr>
        <w:t>表中招标人所列的人员必须填写</w:t>
      </w:r>
      <w:r>
        <w:rPr>
          <w:rFonts w:hint="eastAsia" w:ascii="宋体" w:hAnsi="宋体"/>
          <w:b/>
          <w:bCs/>
          <w:color w:val="auto"/>
          <w:szCs w:val="21"/>
          <w:highlight w:val="none"/>
          <w:lang w:eastAsia="zh-CN"/>
        </w:rPr>
        <w:t>，</w:t>
      </w:r>
      <w:r>
        <w:rPr>
          <w:b/>
          <w:color w:val="auto"/>
          <w:highlight w:val="none"/>
          <w:shd w:val="clear" w:color="auto" w:fill="auto"/>
        </w:rPr>
        <w:t>其余人员的配备由投标人根据</w:t>
      </w:r>
      <w:r>
        <w:rPr>
          <w:rFonts w:hint="eastAsia"/>
          <w:b/>
          <w:color w:val="auto"/>
          <w:highlight w:val="none"/>
          <w:shd w:val="clear" w:color="auto" w:fill="auto"/>
        </w:rPr>
        <w:t>工程实际情况自行配备</w:t>
      </w:r>
      <w:r>
        <w:rPr>
          <w:rFonts w:hint="eastAsia"/>
          <w:b/>
          <w:color w:val="auto"/>
          <w:highlight w:val="none"/>
          <w:shd w:val="clear" w:color="auto" w:fill="auto"/>
          <w:lang w:eastAsia="zh-CN"/>
        </w:rPr>
        <w:t>；</w:t>
      </w:r>
    </w:p>
    <w:p w14:paraId="52BD7911">
      <w:pPr>
        <w:numPr>
          <w:ilvl w:val="0"/>
          <w:numId w:val="10"/>
        </w:numPr>
        <w:spacing w:line="360" w:lineRule="auto"/>
        <w:rPr>
          <w:rFonts w:ascii="宋体" w:hAnsi="宋体"/>
          <w:b/>
          <w:bCs/>
          <w:color w:val="auto"/>
          <w:szCs w:val="21"/>
          <w:highlight w:val="none"/>
        </w:rPr>
      </w:pPr>
      <w:r>
        <w:rPr>
          <w:rFonts w:hint="eastAsia" w:ascii="宋体" w:hAnsi="宋体"/>
          <w:b/>
          <w:bCs/>
          <w:color w:val="auto"/>
          <w:szCs w:val="21"/>
          <w:highlight w:val="none"/>
        </w:rPr>
        <w:t>表后须附相关人员证书、证件以及其他相关证明材料的复印件</w:t>
      </w:r>
      <w:r>
        <w:rPr>
          <w:rFonts w:hint="eastAsia" w:ascii="宋体" w:hAnsi="宋体"/>
          <w:b/>
          <w:bCs/>
          <w:color w:val="auto"/>
          <w:szCs w:val="21"/>
          <w:highlight w:val="none"/>
          <w:lang w:eastAsia="zh-CN"/>
        </w:rPr>
        <w:t>或扫描件</w:t>
      </w:r>
      <w:r>
        <w:rPr>
          <w:rFonts w:hint="eastAsia" w:ascii="宋体" w:hAnsi="宋体"/>
          <w:b/>
          <w:bCs/>
          <w:color w:val="auto"/>
          <w:szCs w:val="21"/>
          <w:highlight w:val="none"/>
          <w:lang w:val="en-US" w:eastAsia="zh-CN"/>
        </w:rPr>
        <w:t>(按第二部分采购需求提供）</w:t>
      </w:r>
      <w:r>
        <w:rPr>
          <w:rFonts w:hint="eastAsia" w:ascii="宋体" w:hAnsi="宋体"/>
          <w:b/>
          <w:bCs/>
          <w:color w:val="auto"/>
          <w:szCs w:val="21"/>
          <w:highlight w:val="none"/>
        </w:rPr>
        <w:t>。</w:t>
      </w:r>
    </w:p>
    <w:p w14:paraId="51570033">
      <w:pPr>
        <w:adjustRightInd w:val="0"/>
        <w:snapToGrid w:val="0"/>
        <w:spacing w:line="360" w:lineRule="auto"/>
        <w:ind w:firstLine="480" w:firstLineChars="200"/>
        <w:rPr>
          <w:rFonts w:hint="eastAsia" w:ascii="宋体" w:hAnsi="宋体"/>
          <w:color w:val="auto"/>
          <w:sz w:val="24"/>
          <w:highlight w:val="none"/>
        </w:rPr>
      </w:pPr>
    </w:p>
    <w:p w14:paraId="22B3AB1B">
      <w:pPr>
        <w:spacing w:line="360" w:lineRule="auto"/>
        <w:ind w:right="840"/>
        <w:jc w:val="center"/>
        <w:rPr>
          <w:rFonts w:ascii="宋体" w:hAnsi="宋体"/>
          <w:b/>
          <w:szCs w:val="21"/>
          <w:lang w:val="zh-CN"/>
        </w:rPr>
      </w:pPr>
      <w:r>
        <w:rPr>
          <w:rFonts w:hint="eastAsia" w:ascii="宋体" w:hAnsi="宋体"/>
          <w:b/>
          <w:szCs w:val="21"/>
        </w:rPr>
        <w:t xml:space="preserve">                            </w:t>
      </w:r>
      <w:r>
        <w:rPr>
          <w:rFonts w:ascii="宋体" w:hAnsi="宋体"/>
          <w:b/>
          <w:szCs w:val="21"/>
          <w:lang w:val="zh-CN"/>
        </w:rPr>
        <w:t xml:space="preserve">供应商（盖单位章）： </w:t>
      </w:r>
    </w:p>
    <w:p w14:paraId="17E67707">
      <w:pPr>
        <w:tabs>
          <w:tab w:val="left" w:pos="2790"/>
          <w:tab w:val="left" w:pos="4230"/>
        </w:tabs>
        <w:autoSpaceDE w:val="0"/>
        <w:autoSpaceDN w:val="0"/>
        <w:spacing w:line="360" w:lineRule="auto"/>
        <w:jc w:val="center"/>
        <w:rPr>
          <w:rFonts w:ascii="宋体" w:hAnsi="宋体"/>
          <w:b/>
          <w:szCs w:val="21"/>
          <w:lang w:val="zh-CN"/>
        </w:rPr>
      </w:pPr>
      <w:r>
        <w:rPr>
          <w:rFonts w:hint="eastAsia" w:ascii="宋体" w:hAnsi="宋体"/>
          <w:b/>
          <w:szCs w:val="21"/>
          <w:lang w:val="en-US" w:eastAsia="zh-CN"/>
        </w:rPr>
        <w:t xml:space="preserve">                                </w:t>
      </w:r>
      <w:r>
        <w:rPr>
          <w:rFonts w:ascii="宋体" w:hAnsi="宋体"/>
          <w:b/>
          <w:szCs w:val="21"/>
          <w:lang w:val="zh-CN"/>
        </w:rPr>
        <w:t xml:space="preserve">日 </w:t>
      </w:r>
      <w:r>
        <w:rPr>
          <w:rFonts w:hint="eastAsia" w:ascii="宋体" w:hAnsi="宋体"/>
          <w:b/>
          <w:szCs w:val="21"/>
          <w:lang w:val="zh-CN"/>
        </w:rPr>
        <w:t xml:space="preserve"> </w:t>
      </w:r>
      <w:r>
        <w:rPr>
          <w:rFonts w:ascii="宋体" w:hAnsi="宋体"/>
          <w:b/>
          <w:szCs w:val="21"/>
          <w:lang w:val="zh-CN"/>
        </w:rPr>
        <w:t>期：</w:t>
      </w:r>
    </w:p>
    <w:p w14:paraId="73B8292D">
      <w:pPr>
        <w:pStyle w:val="17"/>
        <w:spacing w:line="360" w:lineRule="auto"/>
        <w:rPr>
          <w:rFonts w:ascii="宋体" w:hAnsi="宋体"/>
          <w:b/>
          <w:szCs w:val="21"/>
          <w:lang w:val="zh-CN"/>
        </w:rPr>
      </w:pPr>
    </w:p>
    <w:p w14:paraId="50A1423D">
      <w:pPr>
        <w:pStyle w:val="18"/>
        <w:spacing w:line="360" w:lineRule="auto"/>
        <w:rPr>
          <w:rFonts w:hint="eastAsia"/>
          <w:lang w:eastAsia="zh-CN"/>
        </w:rPr>
      </w:pPr>
    </w:p>
    <w:p w14:paraId="505CDF49">
      <w:pPr>
        <w:rPr>
          <w:rFonts w:hint="eastAsia" w:ascii="宋体" w:hAnsi="宋体" w:cs="宋体"/>
          <w:b/>
          <w:bCs/>
          <w:color w:val="000000"/>
          <w:sz w:val="24"/>
        </w:rPr>
      </w:pPr>
      <w:r>
        <w:rPr>
          <w:rFonts w:hint="eastAsia" w:ascii="宋体" w:hAnsi="宋体" w:cs="宋体"/>
          <w:b/>
          <w:bCs/>
          <w:color w:val="000000"/>
          <w:sz w:val="24"/>
        </w:rPr>
        <w:br w:type="page"/>
      </w:r>
    </w:p>
    <w:p w14:paraId="7C8DEF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10</w:t>
      </w:r>
      <w:r>
        <w:rPr>
          <w:rFonts w:hint="eastAsia" w:ascii="宋体" w:hAnsi="宋体" w:cs="宋体"/>
          <w:b/>
          <w:bCs/>
          <w:color w:val="000000"/>
          <w:sz w:val="24"/>
        </w:rPr>
        <w:t xml:space="preserve">： </w:t>
      </w:r>
    </w:p>
    <w:p w14:paraId="4BB8352C">
      <w:pPr>
        <w:tabs>
          <w:tab w:val="left" w:pos="2790"/>
          <w:tab w:val="left" w:pos="4230"/>
        </w:tabs>
        <w:autoSpaceDE w:val="0"/>
        <w:autoSpaceDN w:val="0"/>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类似项目业绩一览表</w:t>
      </w:r>
    </w:p>
    <w:p w14:paraId="46E4FB57">
      <w:pPr>
        <w:pStyle w:val="22"/>
        <w:spacing w:beforeLines="0" w:afterLines="0" w:line="360" w:lineRule="auto"/>
        <w:rPr>
          <w:rFonts w:hint="eastAsia" w:hAnsi="宋体" w:eastAsia="宋体" w:cs="宋体"/>
          <w:sz w:val="21"/>
          <w:szCs w:val="21"/>
          <w:highlight w:val="none"/>
        </w:rPr>
      </w:pPr>
      <w:r>
        <w:rPr>
          <w:rFonts w:hint="eastAsia" w:ascii="宋体" w:hAnsi="宋体" w:cs="宋体"/>
          <w:color w:val="000000"/>
          <w:szCs w:val="21"/>
          <w:lang w:val="zh-CN"/>
        </w:rPr>
        <w:t>项目</w:t>
      </w:r>
      <w:r>
        <w:rPr>
          <w:rFonts w:hint="eastAsia" w:hAnsi="宋体" w:eastAsia="宋体" w:cs="宋体"/>
          <w:sz w:val="21"/>
          <w:szCs w:val="21"/>
          <w:highlight w:val="none"/>
        </w:rPr>
        <w:t>项目编号：</w:t>
      </w:r>
      <w:r>
        <w:rPr>
          <w:rFonts w:hint="eastAsia" w:hAnsi="宋体" w:cs="宋体"/>
          <w:color w:val="000000"/>
          <w:sz w:val="21"/>
          <w:szCs w:val="21"/>
          <w:highlight w:val="none"/>
          <w:lang w:val="zh-CN"/>
        </w:rPr>
        <w:t>ZJJX-25CG-006</w:t>
      </w:r>
    </w:p>
    <w:p w14:paraId="2EE26B81">
      <w:pPr>
        <w:autoSpaceDE w:val="0"/>
        <w:autoSpaceDN w:val="0"/>
        <w:spacing w:line="360" w:lineRule="auto"/>
        <w:rPr>
          <w:rFonts w:hint="eastAsia" w:ascii="宋体" w:hAnsi="宋体" w:cs="宋体"/>
          <w:color w:val="000000"/>
          <w:szCs w:val="21"/>
          <w:lang w:val="zh-CN"/>
        </w:rPr>
      </w:pPr>
      <w:r>
        <w:rPr>
          <w:rFonts w:hint="eastAsia" w:ascii="宋体" w:hAnsi="宋体" w:eastAsia="宋体" w:cs="宋体"/>
          <w:szCs w:val="21"/>
          <w:highlight w:val="none"/>
        </w:rPr>
        <w:t>项目名称：</w:t>
      </w:r>
      <w:r>
        <w:rPr>
          <w:rFonts w:hint="eastAsia" w:ascii="宋体" w:hAnsi="宋体" w:cs="宋体"/>
          <w:color w:val="000000"/>
          <w:szCs w:val="21"/>
          <w:highlight w:val="none"/>
          <w:lang w:val="zh-CN"/>
        </w:rPr>
        <w:t>仙居县台创基地未来乡村项目渔耕体验区配套道路</w:t>
      </w:r>
    </w:p>
    <w:tbl>
      <w:tblPr>
        <w:tblStyle w:val="3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3F91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noWrap w:val="0"/>
            <w:vAlign w:val="center"/>
          </w:tcPr>
          <w:p w14:paraId="7432475C">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序号</w:t>
            </w:r>
          </w:p>
        </w:tc>
        <w:tc>
          <w:tcPr>
            <w:tcW w:w="1649" w:type="dxa"/>
            <w:noWrap w:val="0"/>
            <w:vAlign w:val="center"/>
          </w:tcPr>
          <w:p w14:paraId="18626CB4">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项目名称</w:t>
            </w:r>
          </w:p>
        </w:tc>
        <w:tc>
          <w:tcPr>
            <w:tcW w:w="1744" w:type="dxa"/>
            <w:noWrap w:val="0"/>
            <w:vAlign w:val="center"/>
          </w:tcPr>
          <w:p w14:paraId="12A450AC">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业主单位</w:t>
            </w:r>
          </w:p>
        </w:tc>
        <w:tc>
          <w:tcPr>
            <w:tcW w:w="1260" w:type="dxa"/>
            <w:noWrap w:val="0"/>
            <w:vAlign w:val="center"/>
          </w:tcPr>
          <w:p w14:paraId="0237D006">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合同金额</w:t>
            </w:r>
          </w:p>
        </w:tc>
        <w:tc>
          <w:tcPr>
            <w:tcW w:w="1800" w:type="dxa"/>
            <w:noWrap w:val="0"/>
            <w:vAlign w:val="center"/>
          </w:tcPr>
          <w:p w14:paraId="1AF4F098">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合同签订时间</w:t>
            </w:r>
          </w:p>
        </w:tc>
        <w:tc>
          <w:tcPr>
            <w:tcW w:w="2194" w:type="dxa"/>
            <w:noWrap w:val="0"/>
            <w:vAlign w:val="center"/>
          </w:tcPr>
          <w:p w14:paraId="4F20614A">
            <w:pPr>
              <w:pStyle w:val="22"/>
              <w:spacing w:before="153" w:after="153" w:line="360" w:lineRule="auto"/>
              <w:jc w:val="center"/>
              <w:rPr>
                <w:rFonts w:hint="eastAsia" w:hAnsi="宋体" w:cs="宋体"/>
                <w:b/>
                <w:bCs/>
                <w:kern w:val="0"/>
                <w:sz w:val="21"/>
                <w:szCs w:val="21"/>
              </w:rPr>
            </w:pPr>
            <w:r>
              <w:rPr>
                <w:rFonts w:hint="eastAsia" w:hAnsi="宋体" w:cs="宋体"/>
                <w:bCs/>
                <w:kern w:val="0"/>
                <w:sz w:val="21"/>
                <w:szCs w:val="21"/>
              </w:rPr>
              <w:t>联系人/电话</w:t>
            </w:r>
          </w:p>
        </w:tc>
      </w:tr>
      <w:tr w14:paraId="3A0C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0082880A">
            <w:pPr>
              <w:pStyle w:val="22"/>
              <w:spacing w:before="153" w:after="153" w:line="360" w:lineRule="auto"/>
              <w:rPr>
                <w:rFonts w:hint="eastAsia" w:hAnsi="宋体" w:cs="宋体"/>
                <w:b/>
                <w:kern w:val="0"/>
                <w:sz w:val="21"/>
                <w:szCs w:val="21"/>
              </w:rPr>
            </w:pPr>
          </w:p>
        </w:tc>
        <w:tc>
          <w:tcPr>
            <w:tcW w:w="1649" w:type="dxa"/>
            <w:noWrap w:val="0"/>
            <w:vAlign w:val="center"/>
          </w:tcPr>
          <w:p w14:paraId="21A0CD4C">
            <w:pPr>
              <w:pStyle w:val="22"/>
              <w:spacing w:before="153" w:after="153" w:line="360" w:lineRule="auto"/>
              <w:rPr>
                <w:rFonts w:hint="eastAsia" w:hAnsi="宋体" w:cs="宋体"/>
                <w:b/>
                <w:kern w:val="0"/>
                <w:sz w:val="21"/>
                <w:szCs w:val="21"/>
              </w:rPr>
            </w:pPr>
          </w:p>
        </w:tc>
        <w:tc>
          <w:tcPr>
            <w:tcW w:w="1744" w:type="dxa"/>
            <w:noWrap w:val="0"/>
            <w:vAlign w:val="center"/>
          </w:tcPr>
          <w:p w14:paraId="0C8C1112">
            <w:pPr>
              <w:pStyle w:val="22"/>
              <w:spacing w:before="153" w:after="153" w:line="360" w:lineRule="auto"/>
              <w:rPr>
                <w:rFonts w:hint="eastAsia" w:hAnsi="宋体" w:cs="宋体"/>
                <w:b/>
                <w:kern w:val="0"/>
                <w:sz w:val="21"/>
                <w:szCs w:val="21"/>
              </w:rPr>
            </w:pPr>
          </w:p>
        </w:tc>
        <w:tc>
          <w:tcPr>
            <w:tcW w:w="1260" w:type="dxa"/>
            <w:noWrap w:val="0"/>
            <w:vAlign w:val="center"/>
          </w:tcPr>
          <w:p w14:paraId="14D29023">
            <w:pPr>
              <w:pStyle w:val="22"/>
              <w:spacing w:before="153" w:after="153" w:line="360" w:lineRule="auto"/>
              <w:rPr>
                <w:rFonts w:hint="eastAsia" w:hAnsi="宋体" w:cs="宋体"/>
                <w:b/>
                <w:kern w:val="0"/>
                <w:sz w:val="21"/>
                <w:szCs w:val="21"/>
              </w:rPr>
            </w:pPr>
          </w:p>
        </w:tc>
        <w:tc>
          <w:tcPr>
            <w:tcW w:w="1800" w:type="dxa"/>
            <w:noWrap w:val="0"/>
            <w:vAlign w:val="center"/>
          </w:tcPr>
          <w:p w14:paraId="612392D5">
            <w:pPr>
              <w:pStyle w:val="22"/>
              <w:spacing w:before="153" w:after="153" w:line="360" w:lineRule="auto"/>
              <w:rPr>
                <w:rFonts w:hint="eastAsia" w:hAnsi="宋体" w:cs="宋体"/>
                <w:b/>
                <w:kern w:val="0"/>
                <w:sz w:val="21"/>
                <w:szCs w:val="21"/>
              </w:rPr>
            </w:pPr>
          </w:p>
        </w:tc>
        <w:tc>
          <w:tcPr>
            <w:tcW w:w="2194" w:type="dxa"/>
            <w:noWrap w:val="0"/>
            <w:vAlign w:val="center"/>
          </w:tcPr>
          <w:p w14:paraId="6EFE427F">
            <w:pPr>
              <w:pStyle w:val="22"/>
              <w:spacing w:before="153" w:after="153" w:line="360" w:lineRule="auto"/>
              <w:rPr>
                <w:rFonts w:hint="eastAsia" w:hAnsi="宋体" w:cs="宋体"/>
                <w:b/>
                <w:kern w:val="0"/>
                <w:sz w:val="21"/>
                <w:szCs w:val="21"/>
              </w:rPr>
            </w:pPr>
          </w:p>
        </w:tc>
      </w:tr>
      <w:tr w14:paraId="21F7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06BD1CFD">
            <w:pPr>
              <w:pStyle w:val="22"/>
              <w:spacing w:before="153" w:after="153" w:line="360" w:lineRule="auto"/>
              <w:rPr>
                <w:rFonts w:hint="eastAsia" w:hAnsi="宋体" w:cs="宋体"/>
                <w:b/>
                <w:kern w:val="0"/>
                <w:sz w:val="21"/>
                <w:szCs w:val="21"/>
              </w:rPr>
            </w:pPr>
          </w:p>
        </w:tc>
        <w:tc>
          <w:tcPr>
            <w:tcW w:w="1649" w:type="dxa"/>
            <w:noWrap w:val="0"/>
            <w:vAlign w:val="center"/>
          </w:tcPr>
          <w:p w14:paraId="29E02EF5">
            <w:pPr>
              <w:pStyle w:val="22"/>
              <w:spacing w:before="153" w:after="153" w:line="360" w:lineRule="auto"/>
              <w:rPr>
                <w:rFonts w:hint="eastAsia" w:hAnsi="宋体" w:cs="宋体"/>
                <w:b/>
                <w:kern w:val="0"/>
                <w:sz w:val="21"/>
                <w:szCs w:val="21"/>
              </w:rPr>
            </w:pPr>
          </w:p>
        </w:tc>
        <w:tc>
          <w:tcPr>
            <w:tcW w:w="1744" w:type="dxa"/>
            <w:noWrap w:val="0"/>
            <w:vAlign w:val="center"/>
          </w:tcPr>
          <w:p w14:paraId="6AA9E1B3">
            <w:pPr>
              <w:pStyle w:val="22"/>
              <w:spacing w:before="153" w:after="153" w:line="360" w:lineRule="auto"/>
              <w:rPr>
                <w:rFonts w:hint="eastAsia" w:hAnsi="宋体" w:cs="宋体"/>
                <w:b/>
                <w:kern w:val="0"/>
                <w:sz w:val="21"/>
                <w:szCs w:val="21"/>
              </w:rPr>
            </w:pPr>
          </w:p>
        </w:tc>
        <w:tc>
          <w:tcPr>
            <w:tcW w:w="1260" w:type="dxa"/>
            <w:noWrap w:val="0"/>
            <w:vAlign w:val="center"/>
          </w:tcPr>
          <w:p w14:paraId="67C6EA0C">
            <w:pPr>
              <w:pStyle w:val="22"/>
              <w:spacing w:before="153" w:after="153" w:line="360" w:lineRule="auto"/>
              <w:rPr>
                <w:rFonts w:hint="eastAsia" w:hAnsi="宋体" w:cs="宋体"/>
                <w:b/>
                <w:kern w:val="0"/>
                <w:sz w:val="21"/>
                <w:szCs w:val="21"/>
              </w:rPr>
            </w:pPr>
          </w:p>
        </w:tc>
        <w:tc>
          <w:tcPr>
            <w:tcW w:w="1800" w:type="dxa"/>
            <w:noWrap w:val="0"/>
            <w:vAlign w:val="center"/>
          </w:tcPr>
          <w:p w14:paraId="6DAF7719">
            <w:pPr>
              <w:pStyle w:val="22"/>
              <w:spacing w:before="153" w:after="153" w:line="360" w:lineRule="auto"/>
              <w:rPr>
                <w:rFonts w:hint="eastAsia" w:hAnsi="宋体" w:cs="宋体"/>
                <w:b/>
                <w:kern w:val="0"/>
                <w:sz w:val="21"/>
                <w:szCs w:val="21"/>
              </w:rPr>
            </w:pPr>
          </w:p>
        </w:tc>
        <w:tc>
          <w:tcPr>
            <w:tcW w:w="2194" w:type="dxa"/>
            <w:noWrap w:val="0"/>
            <w:vAlign w:val="center"/>
          </w:tcPr>
          <w:p w14:paraId="362507C1">
            <w:pPr>
              <w:pStyle w:val="22"/>
              <w:spacing w:before="153" w:after="153" w:line="360" w:lineRule="auto"/>
              <w:rPr>
                <w:rFonts w:hint="eastAsia" w:hAnsi="宋体" w:cs="宋体"/>
                <w:b/>
                <w:kern w:val="0"/>
                <w:sz w:val="21"/>
                <w:szCs w:val="21"/>
              </w:rPr>
            </w:pPr>
          </w:p>
        </w:tc>
      </w:tr>
      <w:tr w14:paraId="3030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7A04B5F8">
            <w:pPr>
              <w:pStyle w:val="22"/>
              <w:spacing w:before="153" w:after="153" w:line="360" w:lineRule="auto"/>
              <w:rPr>
                <w:rFonts w:hint="eastAsia" w:hAnsi="宋体" w:cs="宋体"/>
                <w:b/>
                <w:kern w:val="0"/>
                <w:sz w:val="21"/>
                <w:szCs w:val="21"/>
              </w:rPr>
            </w:pPr>
          </w:p>
        </w:tc>
        <w:tc>
          <w:tcPr>
            <w:tcW w:w="1649" w:type="dxa"/>
            <w:noWrap w:val="0"/>
            <w:vAlign w:val="center"/>
          </w:tcPr>
          <w:p w14:paraId="204EB872">
            <w:pPr>
              <w:pStyle w:val="22"/>
              <w:spacing w:before="153" w:after="153" w:line="360" w:lineRule="auto"/>
              <w:rPr>
                <w:rFonts w:hint="eastAsia" w:hAnsi="宋体" w:cs="宋体"/>
                <w:b/>
                <w:kern w:val="0"/>
                <w:sz w:val="21"/>
                <w:szCs w:val="21"/>
              </w:rPr>
            </w:pPr>
          </w:p>
        </w:tc>
        <w:tc>
          <w:tcPr>
            <w:tcW w:w="1744" w:type="dxa"/>
            <w:noWrap w:val="0"/>
            <w:vAlign w:val="center"/>
          </w:tcPr>
          <w:p w14:paraId="09484772">
            <w:pPr>
              <w:pStyle w:val="22"/>
              <w:spacing w:before="153" w:after="153" w:line="360" w:lineRule="auto"/>
              <w:rPr>
                <w:rFonts w:hint="eastAsia" w:hAnsi="宋体" w:cs="宋体"/>
                <w:b/>
                <w:kern w:val="0"/>
                <w:sz w:val="21"/>
                <w:szCs w:val="21"/>
              </w:rPr>
            </w:pPr>
          </w:p>
        </w:tc>
        <w:tc>
          <w:tcPr>
            <w:tcW w:w="1260" w:type="dxa"/>
            <w:noWrap w:val="0"/>
            <w:vAlign w:val="center"/>
          </w:tcPr>
          <w:p w14:paraId="071F7E10">
            <w:pPr>
              <w:pStyle w:val="22"/>
              <w:spacing w:before="153" w:after="153" w:line="360" w:lineRule="auto"/>
              <w:rPr>
                <w:rFonts w:hint="eastAsia" w:hAnsi="宋体" w:cs="宋体"/>
                <w:b/>
                <w:kern w:val="0"/>
                <w:sz w:val="21"/>
                <w:szCs w:val="21"/>
              </w:rPr>
            </w:pPr>
          </w:p>
        </w:tc>
        <w:tc>
          <w:tcPr>
            <w:tcW w:w="1800" w:type="dxa"/>
            <w:noWrap w:val="0"/>
            <w:vAlign w:val="center"/>
          </w:tcPr>
          <w:p w14:paraId="2EEED6B4">
            <w:pPr>
              <w:pStyle w:val="22"/>
              <w:spacing w:before="153" w:after="153" w:line="360" w:lineRule="auto"/>
              <w:rPr>
                <w:rFonts w:hint="eastAsia" w:hAnsi="宋体" w:cs="宋体"/>
                <w:b/>
                <w:kern w:val="0"/>
                <w:sz w:val="21"/>
                <w:szCs w:val="21"/>
              </w:rPr>
            </w:pPr>
          </w:p>
        </w:tc>
        <w:tc>
          <w:tcPr>
            <w:tcW w:w="2194" w:type="dxa"/>
            <w:noWrap w:val="0"/>
            <w:vAlign w:val="center"/>
          </w:tcPr>
          <w:p w14:paraId="2C59569B">
            <w:pPr>
              <w:pStyle w:val="22"/>
              <w:spacing w:before="153" w:after="153" w:line="360" w:lineRule="auto"/>
              <w:rPr>
                <w:rFonts w:hint="eastAsia" w:hAnsi="宋体" w:cs="宋体"/>
                <w:b/>
                <w:kern w:val="0"/>
                <w:sz w:val="21"/>
                <w:szCs w:val="21"/>
              </w:rPr>
            </w:pPr>
          </w:p>
        </w:tc>
      </w:tr>
      <w:tr w14:paraId="6870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67299059">
            <w:pPr>
              <w:pStyle w:val="22"/>
              <w:spacing w:before="153" w:after="153" w:line="360" w:lineRule="auto"/>
              <w:rPr>
                <w:rFonts w:hint="eastAsia" w:hAnsi="宋体" w:cs="宋体"/>
                <w:b/>
                <w:kern w:val="0"/>
                <w:sz w:val="21"/>
                <w:szCs w:val="21"/>
              </w:rPr>
            </w:pPr>
          </w:p>
        </w:tc>
        <w:tc>
          <w:tcPr>
            <w:tcW w:w="1649" w:type="dxa"/>
            <w:noWrap w:val="0"/>
            <w:vAlign w:val="center"/>
          </w:tcPr>
          <w:p w14:paraId="2A7C6906">
            <w:pPr>
              <w:pStyle w:val="22"/>
              <w:spacing w:before="153" w:after="153" w:line="360" w:lineRule="auto"/>
              <w:rPr>
                <w:rFonts w:hint="eastAsia" w:hAnsi="宋体" w:cs="宋体"/>
                <w:b/>
                <w:kern w:val="0"/>
                <w:sz w:val="21"/>
                <w:szCs w:val="21"/>
              </w:rPr>
            </w:pPr>
          </w:p>
        </w:tc>
        <w:tc>
          <w:tcPr>
            <w:tcW w:w="1744" w:type="dxa"/>
            <w:noWrap w:val="0"/>
            <w:vAlign w:val="center"/>
          </w:tcPr>
          <w:p w14:paraId="467497D6">
            <w:pPr>
              <w:pStyle w:val="22"/>
              <w:spacing w:before="153" w:after="153" w:line="360" w:lineRule="auto"/>
              <w:rPr>
                <w:rFonts w:hint="eastAsia" w:hAnsi="宋体" w:cs="宋体"/>
                <w:b/>
                <w:kern w:val="0"/>
                <w:sz w:val="21"/>
                <w:szCs w:val="21"/>
              </w:rPr>
            </w:pPr>
          </w:p>
        </w:tc>
        <w:tc>
          <w:tcPr>
            <w:tcW w:w="1260" w:type="dxa"/>
            <w:noWrap w:val="0"/>
            <w:vAlign w:val="center"/>
          </w:tcPr>
          <w:p w14:paraId="2239D80A">
            <w:pPr>
              <w:pStyle w:val="22"/>
              <w:spacing w:before="153" w:after="153" w:line="360" w:lineRule="auto"/>
              <w:rPr>
                <w:rFonts w:hint="eastAsia" w:hAnsi="宋体" w:cs="宋体"/>
                <w:b/>
                <w:kern w:val="0"/>
                <w:sz w:val="21"/>
                <w:szCs w:val="21"/>
              </w:rPr>
            </w:pPr>
          </w:p>
        </w:tc>
        <w:tc>
          <w:tcPr>
            <w:tcW w:w="1800" w:type="dxa"/>
            <w:noWrap w:val="0"/>
            <w:vAlign w:val="center"/>
          </w:tcPr>
          <w:p w14:paraId="2B0C1B9B">
            <w:pPr>
              <w:pStyle w:val="22"/>
              <w:spacing w:before="153" w:after="153" w:line="360" w:lineRule="auto"/>
              <w:rPr>
                <w:rFonts w:hint="eastAsia" w:hAnsi="宋体" w:cs="宋体"/>
                <w:b/>
                <w:kern w:val="0"/>
                <w:sz w:val="21"/>
                <w:szCs w:val="21"/>
              </w:rPr>
            </w:pPr>
          </w:p>
        </w:tc>
        <w:tc>
          <w:tcPr>
            <w:tcW w:w="2194" w:type="dxa"/>
            <w:noWrap w:val="0"/>
            <w:vAlign w:val="center"/>
          </w:tcPr>
          <w:p w14:paraId="635746E6">
            <w:pPr>
              <w:pStyle w:val="22"/>
              <w:spacing w:before="153" w:after="153" w:line="360" w:lineRule="auto"/>
              <w:rPr>
                <w:rFonts w:hint="eastAsia" w:hAnsi="宋体" w:cs="宋体"/>
                <w:b/>
                <w:kern w:val="0"/>
                <w:sz w:val="21"/>
                <w:szCs w:val="21"/>
              </w:rPr>
            </w:pPr>
          </w:p>
        </w:tc>
      </w:tr>
      <w:tr w14:paraId="2E1C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4D5CBD95">
            <w:pPr>
              <w:pStyle w:val="22"/>
              <w:spacing w:before="153" w:after="153" w:line="360" w:lineRule="auto"/>
              <w:rPr>
                <w:rFonts w:hint="eastAsia" w:hAnsi="宋体" w:cs="宋体"/>
                <w:b/>
                <w:kern w:val="0"/>
                <w:sz w:val="21"/>
                <w:szCs w:val="21"/>
              </w:rPr>
            </w:pPr>
          </w:p>
        </w:tc>
        <w:tc>
          <w:tcPr>
            <w:tcW w:w="1649" w:type="dxa"/>
            <w:noWrap w:val="0"/>
            <w:vAlign w:val="center"/>
          </w:tcPr>
          <w:p w14:paraId="2A48F868">
            <w:pPr>
              <w:pStyle w:val="22"/>
              <w:spacing w:before="153" w:after="153" w:line="360" w:lineRule="auto"/>
              <w:rPr>
                <w:rFonts w:hint="eastAsia" w:hAnsi="宋体" w:cs="宋体"/>
                <w:b/>
                <w:kern w:val="0"/>
                <w:sz w:val="21"/>
                <w:szCs w:val="21"/>
              </w:rPr>
            </w:pPr>
          </w:p>
        </w:tc>
        <w:tc>
          <w:tcPr>
            <w:tcW w:w="1744" w:type="dxa"/>
            <w:noWrap w:val="0"/>
            <w:vAlign w:val="center"/>
          </w:tcPr>
          <w:p w14:paraId="61F6CBA7">
            <w:pPr>
              <w:pStyle w:val="22"/>
              <w:spacing w:before="153" w:after="153" w:line="360" w:lineRule="auto"/>
              <w:rPr>
                <w:rFonts w:hint="eastAsia" w:hAnsi="宋体" w:cs="宋体"/>
                <w:b/>
                <w:kern w:val="0"/>
                <w:sz w:val="21"/>
                <w:szCs w:val="21"/>
              </w:rPr>
            </w:pPr>
          </w:p>
        </w:tc>
        <w:tc>
          <w:tcPr>
            <w:tcW w:w="1260" w:type="dxa"/>
            <w:noWrap w:val="0"/>
            <w:vAlign w:val="center"/>
          </w:tcPr>
          <w:p w14:paraId="58E2AD80">
            <w:pPr>
              <w:pStyle w:val="22"/>
              <w:spacing w:before="153" w:after="153" w:line="360" w:lineRule="auto"/>
              <w:rPr>
                <w:rFonts w:hint="eastAsia" w:hAnsi="宋体" w:cs="宋体"/>
                <w:b/>
                <w:kern w:val="0"/>
                <w:sz w:val="21"/>
                <w:szCs w:val="21"/>
              </w:rPr>
            </w:pPr>
          </w:p>
        </w:tc>
        <w:tc>
          <w:tcPr>
            <w:tcW w:w="1800" w:type="dxa"/>
            <w:noWrap w:val="0"/>
            <w:vAlign w:val="center"/>
          </w:tcPr>
          <w:p w14:paraId="3598A439">
            <w:pPr>
              <w:pStyle w:val="22"/>
              <w:spacing w:before="153" w:after="153" w:line="360" w:lineRule="auto"/>
              <w:rPr>
                <w:rFonts w:hint="eastAsia" w:hAnsi="宋体" w:cs="宋体"/>
                <w:b/>
                <w:kern w:val="0"/>
                <w:sz w:val="21"/>
                <w:szCs w:val="21"/>
              </w:rPr>
            </w:pPr>
          </w:p>
        </w:tc>
        <w:tc>
          <w:tcPr>
            <w:tcW w:w="2194" w:type="dxa"/>
            <w:noWrap w:val="0"/>
            <w:vAlign w:val="center"/>
          </w:tcPr>
          <w:p w14:paraId="4D047600">
            <w:pPr>
              <w:pStyle w:val="22"/>
              <w:spacing w:before="153" w:after="153" w:line="360" w:lineRule="auto"/>
              <w:rPr>
                <w:rFonts w:hint="eastAsia" w:hAnsi="宋体" w:cs="宋体"/>
                <w:b/>
                <w:kern w:val="0"/>
                <w:sz w:val="21"/>
                <w:szCs w:val="21"/>
              </w:rPr>
            </w:pPr>
          </w:p>
        </w:tc>
      </w:tr>
      <w:tr w14:paraId="73B1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392CA440">
            <w:pPr>
              <w:pStyle w:val="22"/>
              <w:spacing w:before="153" w:after="153" w:line="360" w:lineRule="auto"/>
              <w:rPr>
                <w:rFonts w:hint="eastAsia" w:hAnsi="宋体" w:cs="宋体"/>
                <w:b/>
                <w:kern w:val="0"/>
                <w:sz w:val="21"/>
                <w:szCs w:val="21"/>
              </w:rPr>
            </w:pPr>
          </w:p>
        </w:tc>
        <w:tc>
          <w:tcPr>
            <w:tcW w:w="1649" w:type="dxa"/>
            <w:noWrap w:val="0"/>
            <w:vAlign w:val="center"/>
          </w:tcPr>
          <w:p w14:paraId="4667FC7F">
            <w:pPr>
              <w:pStyle w:val="22"/>
              <w:spacing w:before="153" w:after="153" w:line="360" w:lineRule="auto"/>
              <w:rPr>
                <w:rFonts w:hint="eastAsia" w:hAnsi="宋体" w:cs="宋体"/>
                <w:b/>
                <w:kern w:val="0"/>
                <w:sz w:val="21"/>
                <w:szCs w:val="21"/>
              </w:rPr>
            </w:pPr>
          </w:p>
        </w:tc>
        <w:tc>
          <w:tcPr>
            <w:tcW w:w="1744" w:type="dxa"/>
            <w:noWrap w:val="0"/>
            <w:vAlign w:val="center"/>
          </w:tcPr>
          <w:p w14:paraId="4807A240">
            <w:pPr>
              <w:pStyle w:val="22"/>
              <w:spacing w:before="153" w:after="153" w:line="360" w:lineRule="auto"/>
              <w:rPr>
                <w:rFonts w:hint="eastAsia" w:hAnsi="宋体" w:cs="宋体"/>
                <w:b/>
                <w:kern w:val="0"/>
                <w:sz w:val="21"/>
                <w:szCs w:val="21"/>
              </w:rPr>
            </w:pPr>
          </w:p>
        </w:tc>
        <w:tc>
          <w:tcPr>
            <w:tcW w:w="1260" w:type="dxa"/>
            <w:noWrap w:val="0"/>
            <w:vAlign w:val="center"/>
          </w:tcPr>
          <w:p w14:paraId="34359114">
            <w:pPr>
              <w:pStyle w:val="22"/>
              <w:spacing w:before="153" w:after="153" w:line="360" w:lineRule="auto"/>
              <w:rPr>
                <w:rFonts w:hint="eastAsia" w:hAnsi="宋体" w:cs="宋体"/>
                <w:b/>
                <w:kern w:val="0"/>
                <w:sz w:val="21"/>
                <w:szCs w:val="21"/>
              </w:rPr>
            </w:pPr>
          </w:p>
        </w:tc>
        <w:tc>
          <w:tcPr>
            <w:tcW w:w="1800" w:type="dxa"/>
            <w:noWrap w:val="0"/>
            <w:vAlign w:val="center"/>
          </w:tcPr>
          <w:p w14:paraId="20663A9E">
            <w:pPr>
              <w:pStyle w:val="22"/>
              <w:spacing w:before="153" w:after="153" w:line="360" w:lineRule="auto"/>
              <w:rPr>
                <w:rFonts w:hint="eastAsia" w:hAnsi="宋体" w:cs="宋体"/>
                <w:b/>
                <w:kern w:val="0"/>
                <w:sz w:val="21"/>
                <w:szCs w:val="21"/>
              </w:rPr>
            </w:pPr>
          </w:p>
        </w:tc>
        <w:tc>
          <w:tcPr>
            <w:tcW w:w="2194" w:type="dxa"/>
            <w:noWrap w:val="0"/>
            <w:vAlign w:val="center"/>
          </w:tcPr>
          <w:p w14:paraId="45D2B809">
            <w:pPr>
              <w:pStyle w:val="22"/>
              <w:spacing w:before="153" w:after="153" w:line="360" w:lineRule="auto"/>
              <w:rPr>
                <w:rFonts w:hint="eastAsia" w:hAnsi="宋体" w:cs="宋体"/>
                <w:b/>
                <w:kern w:val="0"/>
                <w:sz w:val="21"/>
                <w:szCs w:val="21"/>
              </w:rPr>
            </w:pPr>
          </w:p>
        </w:tc>
      </w:tr>
      <w:tr w14:paraId="3192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noWrap w:val="0"/>
            <w:vAlign w:val="center"/>
          </w:tcPr>
          <w:p w14:paraId="5AFAC5BE">
            <w:pPr>
              <w:pStyle w:val="22"/>
              <w:spacing w:before="153" w:after="153" w:line="360" w:lineRule="auto"/>
              <w:rPr>
                <w:rFonts w:hint="eastAsia" w:hAnsi="宋体" w:cs="宋体"/>
                <w:b/>
                <w:kern w:val="0"/>
                <w:sz w:val="21"/>
                <w:szCs w:val="21"/>
              </w:rPr>
            </w:pPr>
          </w:p>
        </w:tc>
        <w:tc>
          <w:tcPr>
            <w:tcW w:w="1649" w:type="dxa"/>
            <w:noWrap w:val="0"/>
            <w:vAlign w:val="center"/>
          </w:tcPr>
          <w:p w14:paraId="06AAB4EF">
            <w:pPr>
              <w:pStyle w:val="22"/>
              <w:spacing w:before="153" w:after="153" w:line="360" w:lineRule="auto"/>
              <w:rPr>
                <w:rFonts w:hint="eastAsia" w:hAnsi="宋体" w:cs="宋体"/>
                <w:b/>
                <w:kern w:val="0"/>
                <w:sz w:val="21"/>
                <w:szCs w:val="21"/>
              </w:rPr>
            </w:pPr>
          </w:p>
        </w:tc>
        <w:tc>
          <w:tcPr>
            <w:tcW w:w="1744" w:type="dxa"/>
            <w:noWrap w:val="0"/>
            <w:vAlign w:val="center"/>
          </w:tcPr>
          <w:p w14:paraId="6DAD4F58">
            <w:pPr>
              <w:pStyle w:val="22"/>
              <w:spacing w:before="153" w:after="153" w:line="360" w:lineRule="auto"/>
              <w:rPr>
                <w:rFonts w:hint="eastAsia" w:hAnsi="宋体" w:cs="宋体"/>
                <w:b/>
                <w:kern w:val="0"/>
                <w:sz w:val="21"/>
                <w:szCs w:val="21"/>
              </w:rPr>
            </w:pPr>
          </w:p>
        </w:tc>
        <w:tc>
          <w:tcPr>
            <w:tcW w:w="1260" w:type="dxa"/>
            <w:noWrap w:val="0"/>
            <w:vAlign w:val="center"/>
          </w:tcPr>
          <w:p w14:paraId="0992EBC6">
            <w:pPr>
              <w:pStyle w:val="22"/>
              <w:spacing w:before="153" w:after="153" w:line="360" w:lineRule="auto"/>
              <w:rPr>
                <w:rFonts w:hint="eastAsia" w:hAnsi="宋体" w:cs="宋体"/>
                <w:b/>
                <w:kern w:val="0"/>
                <w:sz w:val="21"/>
                <w:szCs w:val="21"/>
              </w:rPr>
            </w:pPr>
          </w:p>
        </w:tc>
        <w:tc>
          <w:tcPr>
            <w:tcW w:w="1800" w:type="dxa"/>
            <w:noWrap w:val="0"/>
            <w:vAlign w:val="center"/>
          </w:tcPr>
          <w:p w14:paraId="43612431">
            <w:pPr>
              <w:pStyle w:val="22"/>
              <w:spacing w:before="153" w:after="153" w:line="360" w:lineRule="auto"/>
              <w:rPr>
                <w:rFonts w:hint="eastAsia" w:hAnsi="宋体" w:cs="宋体"/>
                <w:b/>
                <w:kern w:val="0"/>
                <w:sz w:val="21"/>
                <w:szCs w:val="21"/>
              </w:rPr>
            </w:pPr>
          </w:p>
        </w:tc>
        <w:tc>
          <w:tcPr>
            <w:tcW w:w="2194" w:type="dxa"/>
            <w:noWrap w:val="0"/>
            <w:vAlign w:val="center"/>
          </w:tcPr>
          <w:p w14:paraId="3C843E55">
            <w:pPr>
              <w:pStyle w:val="22"/>
              <w:spacing w:before="153" w:after="153" w:line="360" w:lineRule="auto"/>
              <w:rPr>
                <w:rFonts w:hint="eastAsia" w:hAnsi="宋体" w:cs="宋体"/>
                <w:b/>
                <w:kern w:val="0"/>
                <w:sz w:val="21"/>
                <w:szCs w:val="21"/>
              </w:rPr>
            </w:pPr>
          </w:p>
        </w:tc>
      </w:tr>
      <w:tr w14:paraId="237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noWrap w:val="0"/>
            <w:vAlign w:val="center"/>
          </w:tcPr>
          <w:p w14:paraId="56B3AD6C">
            <w:pPr>
              <w:pStyle w:val="22"/>
              <w:spacing w:before="153" w:after="153" w:line="360" w:lineRule="auto"/>
              <w:rPr>
                <w:rFonts w:hint="eastAsia" w:hAnsi="宋体" w:cs="宋体"/>
                <w:b/>
                <w:kern w:val="0"/>
                <w:sz w:val="21"/>
                <w:szCs w:val="21"/>
              </w:rPr>
            </w:pPr>
          </w:p>
        </w:tc>
        <w:tc>
          <w:tcPr>
            <w:tcW w:w="1649" w:type="dxa"/>
            <w:noWrap w:val="0"/>
            <w:vAlign w:val="center"/>
          </w:tcPr>
          <w:p w14:paraId="47CFB2DF">
            <w:pPr>
              <w:pStyle w:val="22"/>
              <w:spacing w:before="153" w:after="153" w:line="360" w:lineRule="auto"/>
              <w:rPr>
                <w:rFonts w:hint="eastAsia" w:hAnsi="宋体" w:cs="宋体"/>
                <w:b/>
                <w:kern w:val="0"/>
                <w:sz w:val="21"/>
                <w:szCs w:val="21"/>
              </w:rPr>
            </w:pPr>
          </w:p>
        </w:tc>
        <w:tc>
          <w:tcPr>
            <w:tcW w:w="1744" w:type="dxa"/>
            <w:noWrap w:val="0"/>
            <w:vAlign w:val="center"/>
          </w:tcPr>
          <w:p w14:paraId="70FF34C6">
            <w:pPr>
              <w:pStyle w:val="22"/>
              <w:spacing w:before="153" w:after="153" w:line="360" w:lineRule="auto"/>
              <w:rPr>
                <w:rFonts w:hint="eastAsia" w:hAnsi="宋体" w:cs="宋体"/>
                <w:b/>
                <w:kern w:val="0"/>
                <w:sz w:val="21"/>
                <w:szCs w:val="21"/>
              </w:rPr>
            </w:pPr>
          </w:p>
        </w:tc>
        <w:tc>
          <w:tcPr>
            <w:tcW w:w="1260" w:type="dxa"/>
            <w:noWrap w:val="0"/>
            <w:vAlign w:val="center"/>
          </w:tcPr>
          <w:p w14:paraId="381945F5">
            <w:pPr>
              <w:pStyle w:val="22"/>
              <w:spacing w:before="153" w:after="153" w:line="360" w:lineRule="auto"/>
              <w:rPr>
                <w:rFonts w:hint="eastAsia" w:hAnsi="宋体" w:cs="宋体"/>
                <w:b/>
                <w:kern w:val="0"/>
                <w:sz w:val="21"/>
                <w:szCs w:val="21"/>
              </w:rPr>
            </w:pPr>
          </w:p>
        </w:tc>
        <w:tc>
          <w:tcPr>
            <w:tcW w:w="1800" w:type="dxa"/>
            <w:noWrap w:val="0"/>
            <w:vAlign w:val="center"/>
          </w:tcPr>
          <w:p w14:paraId="1073469D">
            <w:pPr>
              <w:pStyle w:val="22"/>
              <w:spacing w:before="153" w:after="153" w:line="360" w:lineRule="auto"/>
              <w:rPr>
                <w:rFonts w:hint="eastAsia" w:hAnsi="宋体" w:cs="宋体"/>
                <w:b/>
                <w:kern w:val="0"/>
                <w:sz w:val="21"/>
                <w:szCs w:val="21"/>
              </w:rPr>
            </w:pPr>
          </w:p>
        </w:tc>
        <w:tc>
          <w:tcPr>
            <w:tcW w:w="2194" w:type="dxa"/>
            <w:noWrap w:val="0"/>
            <w:vAlign w:val="center"/>
          </w:tcPr>
          <w:p w14:paraId="38D6FCB7">
            <w:pPr>
              <w:pStyle w:val="22"/>
              <w:spacing w:before="153" w:after="153" w:line="360" w:lineRule="auto"/>
              <w:rPr>
                <w:rFonts w:hint="eastAsia" w:hAnsi="宋体" w:cs="宋体"/>
                <w:b/>
                <w:kern w:val="0"/>
                <w:sz w:val="21"/>
                <w:szCs w:val="21"/>
              </w:rPr>
            </w:pPr>
          </w:p>
        </w:tc>
      </w:tr>
    </w:tbl>
    <w:p w14:paraId="4D385A60">
      <w:pPr>
        <w:pStyle w:val="22"/>
        <w:spacing w:beforeLines="0" w:afterLines="0" w:line="360" w:lineRule="auto"/>
        <w:rPr>
          <w:rFonts w:hint="eastAsia" w:hAnsi="宋体" w:cs="宋体"/>
          <w:b/>
          <w:bCs/>
          <w:kern w:val="0"/>
          <w:sz w:val="21"/>
          <w:szCs w:val="21"/>
        </w:rPr>
      </w:pPr>
      <w:r>
        <w:rPr>
          <w:rFonts w:hint="eastAsia" w:hAnsi="宋体" w:cs="宋体"/>
          <w:bCs/>
          <w:kern w:val="0"/>
          <w:sz w:val="21"/>
          <w:szCs w:val="21"/>
        </w:rPr>
        <w:t>注：1.表中业绩参照“第四章 磋商评审办法”中要求提供，并附上每个业绩相关材料。</w:t>
      </w:r>
    </w:p>
    <w:p w14:paraId="0A9193FD">
      <w:pPr>
        <w:pStyle w:val="22"/>
        <w:spacing w:beforeLines="0" w:afterLines="0" w:line="360" w:lineRule="auto"/>
        <w:ind w:firstLine="420" w:firstLineChars="200"/>
        <w:rPr>
          <w:rFonts w:hint="eastAsia" w:hAnsi="宋体" w:cs="宋体"/>
          <w:b/>
          <w:bCs/>
          <w:kern w:val="0"/>
          <w:sz w:val="21"/>
          <w:szCs w:val="21"/>
        </w:rPr>
      </w:pPr>
      <w:r>
        <w:rPr>
          <w:rFonts w:hint="eastAsia" w:hAnsi="宋体" w:cs="宋体"/>
          <w:bCs/>
          <w:kern w:val="0"/>
          <w:sz w:val="21"/>
          <w:szCs w:val="21"/>
        </w:rPr>
        <w:t>2.供应商承诺提供的上述业绩相关材料真实不假，否则作为响应文件提供虚假材料，按照采购文件相关条款处理，承担一切责任。</w:t>
      </w:r>
    </w:p>
    <w:p w14:paraId="47BBE2B2">
      <w:pPr>
        <w:spacing w:line="360" w:lineRule="auto"/>
        <w:jc w:val="left"/>
        <w:rPr>
          <w:rFonts w:hint="eastAsia" w:ascii="宋体" w:hAnsi="宋体" w:cs="宋体"/>
          <w:b/>
          <w:color w:val="000000"/>
          <w:sz w:val="24"/>
        </w:rPr>
      </w:pPr>
      <w:r>
        <w:rPr>
          <w:rFonts w:hint="eastAsia" w:ascii="宋体" w:hAnsi="宋体" w:cs="宋体"/>
          <w:b/>
          <w:color w:val="000000"/>
          <w:sz w:val="24"/>
        </w:rPr>
        <w:t xml:space="preserve">                                 供应商 (盖单位章)：             </w:t>
      </w:r>
    </w:p>
    <w:p w14:paraId="5D0383C2">
      <w:pPr>
        <w:spacing w:line="360" w:lineRule="auto"/>
        <w:ind w:firstLine="1446" w:firstLineChars="600"/>
        <w:jc w:val="left"/>
        <w:rPr>
          <w:rFonts w:hint="eastAsia" w:ascii="宋体" w:hAnsi="宋体" w:cs="宋体"/>
          <w:b/>
          <w:color w:val="000000"/>
          <w:sz w:val="24"/>
        </w:rPr>
      </w:pPr>
      <w:r>
        <w:rPr>
          <w:rFonts w:hint="eastAsia" w:ascii="宋体" w:hAnsi="宋体" w:cs="宋体"/>
          <w:b/>
          <w:color w:val="000000"/>
          <w:sz w:val="24"/>
        </w:rPr>
        <w:t>法定代表人或其授权代表人（签字或盖章）：</w:t>
      </w:r>
    </w:p>
    <w:p w14:paraId="4E75245B">
      <w:pPr>
        <w:spacing w:line="360" w:lineRule="auto"/>
        <w:ind w:firstLine="5301" w:firstLineChars="2200"/>
        <w:jc w:val="left"/>
        <w:rPr>
          <w:rFonts w:hint="eastAsia" w:ascii="宋体" w:hAnsi="宋体" w:cs="宋体"/>
          <w:b/>
          <w:color w:val="000000"/>
          <w:sz w:val="24"/>
          <w:lang w:val="zh-CN"/>
        </w:rPr>
      </w:pPr>
      <w:r>
        <w:rPr>
          <w:rFonts w:hint="eastAsia" w:ascii="宋体" w:hAnsi="宋体" w:cs="宋体"/>
          <w:b/>
          <w:color w:val="000000"/>
          <w:sz w:val="24"/>
        </w:rPr>
        <w:t>日　期：</w:t>
      </w:r>
    </w:p>
    <w:p w14:paraId="6B491931">
      <w:pPr>
        <w:tabs>
          <w:tab w:val="left" w:pos="2790"/>
          <w:tab w:val="left" w:pos="4230"/>
        </w:tabs>
        <w:autoSpaceDE w:val="0"/>
        <w:autoSpaceDN w:val="0"/>
        <w:spacing w:line="360" w:lineRule="auto"/>
        <w:jc w:val="left"/>
        <w:rPr>
          <w:rFonts w:hint="eastAsia" w:ascii="宋体" w:hAnsi="宋体" w:cs="宋体"/>
          <w:b/>
          <w:bCs/>
          <w:color w:val="000000"/>
          <w:sz w:val="24"/>
        </w:rPr>
      </w:pPr>
    </w:p>
    <w:p w14:paraId="7F325B96">
      <w:pPr>
        <w:pStyle w:val="17"/>
        <w:spacing w:line="360" w:lineRule="auto"/>
        <w:rPr>
          <w:rFonts w:hint="eastAsia" w:ascii="宋体" w:hAnsi="宋体" w:cs="宋体"/>
          <w:b/>
          <w:bCs/>
          <w:color w:val="000000"/>
          <w:sz w:val="24"/>
        </w:rPr>
      </w:pPr>
    </w:p>
    <w:p w14:paraId="4F8E2F90">
      <w:pPr>
        <w:adjustRightInd w:val="0"/>
        <w:snapToGrid w:val="0"/>
        <w:spacing w:line="360" w:lineRule="auto"/>
        <w:jc w:val="left"/>
        <w:outlineLvl w:val="2"/>
        <w:rPr>
          <w:rFonts w:hint="eastAsia" w:ascii="宋体" w:hAnsi="宋体" w:cs="宋体"/>
          <w:b/>
          <w:bCs/>
          <w:color w:val="000000"/>
          <w:sz w:val="24"/>
        </w:rPr>
      </w:pPr>
      <w:bookmarkStart w:id="377" w:name="_Toc22577"/>
      <w:bookmarkStart w:id="378" w:name="_Toc24174"/>
      <w:bookmarkStart w:id="379" w:name="_Toc528578415"/>
      <w:bookmarkStart w:id="380" w:name="_Toc528927457"/>
      <w:bookmarkStart w:id="381" w:name="_Toc3572"/>
      <w:r>
        <w:rPr>
          <w:rFonts w:hint="eastAsia" w:ascii="宋体" w:hAnsi="宋体" w:cs="宋体"/>
          <w:b/>
          <w:bCs/>
          <w:color w:val="000000"/>
          <w:sz w:val="24"/>
        </w:rPr>
        <w:t>附件</w:t>
      </w:r>
      <w:r>
        <w:rPr>
          <w:rFonts w:hint="eastAsia" w:ascii="宋体" w:hAnsi="宋体" w:cs="宋体"/>
          <w:b/>
          <w:bCs/>
          <w:color w:val="000000"/>
          <w:sz w:val="24"/>
          <w:lang w:val="en-US" w:eastAsia="zh-CN"/>
        </w:rPr>
        <w:t>11</w:t>
      </w:r>
      <w:r>
        <w:rPr>
          <w:rFonts w:hint="eastAsia" w:ascii="宋体" w:hAnsi="宋体" w:cs="宋体"/>
          <w:b/>
          <w:bCs/>
          <w:color w:val="000000"/>
          <w:sz w:val="24"/>
        </w:rPr>
        <w:t>：</w:t>
      </w:r>
      <w:bookmarkStart w:id="382" w:name="_Toc15857_WPSOffice_Level2"/>
      <w:bookmarkStart w:id="383" w:name="_Toc7668_WPSOffice_Level2"/>
      <w:bookmarkStart w:id="384" w:name="_Toc28385"/>
    </w:p>
    <w:p w14:paraId="71E6E1F5">
      <w:pPr>
        <w:adjustRightInd w:val="0"/>
        <w:snapToGrid w:val="0"/>
        <w:spacing w:line="360" w:lineRule="auto"/>
        <w:jc w:val="center"/>
        <w:outlineLvl w:val="2"/>
        <w:rPr>
          <w:rFonts w:hint="eastAsia" w:ascii="宋体" w:hAnsi="宋体"/>
          <w:b/>
          <w:color w:val="auto"/>
          <w:sz w:val="32"/>
          <w:szCs w:val="32"/>
          <w:highlight w:val="none"/>
        </w:rPr>
      </w:pPr>
      <w:r>
        <w:rPr>
          <w:rFonts w:hint="eastAsia" w:ascii="宋体" w:hAnsi="宋体"/>
          <w:b/>
          <w:color w:val="auto"/>
          <w:sz w:val="32"/>
          <w:szCs w:val="32"/>
          <w:highlight w:val="none"/>
        </w:rPr>
        <w:t>停工证明</w:t>
      </w:r>
      <w:bookmarkEnd w:id="382"/>
      <w:bookmarkEnd w:id="383"/>
      <w:bookmarkEnd w:id="38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14:paraId="2871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jc w:val="center"/>
        </w:trPr>
        <w:tc>
          <w:tcPr>
            <w:tcW w:w="9324" w:type="dxa"/>
            <w:noWrap w:val="0"/>
            <w:vAlign w:val="top"/>
          </w:tcPr>
          <w:p w14:paraId="7FA9D0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19FB88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r>
              <w:rPr>
                <w:rFonts w:hint="eastAsia"/>
                <w:color w:val="auto"/>
                <w:sz w:val="24"/>
                <w:szCs w:val="24"/>
                <w:highlight w:val="none"/>
              </w:rPr>
              <w:t>____________(原建设单位）：</w:t>
            </w:r>
          </w:p>
          <w:p w14:paraId="5A6910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21373D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特此报告。</w:t>
            </w:r>
          </w:p>
          <w:p w14:paraId="5880D0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承包人（盖章）</w:t>
            </w:r>
          </w:p>
          <w:p w14:paraId="65854B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7248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9324" w:type="dxa"/>
            <w:noWrap w:val="0"/>
            <w:vAlign w:val="top"/>
          </w:tcPr>
          <w:p w14:paraId="5AC968D1">
            <w:pPr>
              <w:spacing w:line="360" w:lineRule="auto"/>
              <w:jc w:val="left"/>
              <w:rPr>
                <w:rFonts w:hint="eastAsia"/>
                <w:color w:val="auto"/>
                <w:sz w:val="24"/>
                <w:szCs w:val="24"/>
                <w:highlight w:val="none"/>
              </w:rPr>
            </w:pPr>
            <w:r>
              <w:rPr>
                <w:rFonts w:hint="eastAsia"/>
                <w:color w:val="auto"/>
                <w:sz w:val="24"/>
                <w:szCs w:val="24"/>
                <w:highlight w:val="none"/>
              </w:rPr>
              <w:t>原建设单位意见：</w:t>
            </w:r>
          </w:p>
          <w:p w14:paraId="3DB76A8C">
            <w:pPr>
              <w:spacing w:line="360" w:lineRule="auto"/>
              <w:jc w:val="left"/>
              <w:rPr>
                <w:rFonts w:hint="eastAsia"/>
                <w:color w:val="auto"/>
                <w:sz w:val="24"/>
                <w:szCs w:val="24"/>
                <w:highlight w:val="none"/>
              </w:rPr>
            </w:pPr>
          </w:p>
          <w:p w14:paraId="27039785">
            <w:pPr>
              <w:pStyle w:val="117"/>
              <w:spacing w:line="360" w:lineRule="auto"/>
              <w:ind w:left="0" w:leftChars="0" w:firstLine="0" w:firstLineChars="0"/>
              <w:rPr>
                <w:rFonts w:hint="eastAsia"/>
              </w:rPr>
            </w:pPr>
          </w:p>
          <w:p w14:paraId="7AD135C3">
            <w:pPr>
              <w:spacing w:line="360" w:lineRule="auto"/>
              <w:jc w:val="right"/>
              <w:rPr>
                <w:rFonts w:hint="eastAsia"/>
                <w:color w:val="auto"/>
                <w:sz w:val="24"/>
                <w:szCs w:val="24"/>
                <w:highlight w:val="none"/>
              </w:rPr>
            </w:pPr>
            <w:r>
              <w:rPr>
                <w:rFonts w:hint="eastAsia"/>
                <w:color w:val="auto"/>
                <w:sz w:val="24"/>
                <w:szCs w:val="24"/>
                <w:highlight w:val="none"/>
              </w:rPr>
              <w:t>原建设单位（盖章）：</w:t>
            </w:r>
          </w:p>
          <w:p w14:paraId="20DF0FC2">
            <w:pPr>
              <w:spacing w:line="360" w:lineRule="auto"/>
              <w:jc w:val="right"/>
              <w:rPr>
                <w:rFonts w:hint="eastAsia"/>
                <w:color w:val="auto"/>
                <w:sz w:val="24"/>
                <w:szCs w:val="24"/>
                <w:highlight w:val="none"/>
              </w:rPr>
            </w:pPr>
            <w:r>
              <w:rPr>
                <w:rFonts w:hint="eastAsia"/>
                <w:color w:val="auto"/>
                <w:sz w:val="24"/>
                <w:szCs w:val="24"/>
                <w:highlight w:val="none"/>
              </w:rPr>
              <w:t>___年___月___日</w:t>
            </w:r>
          </w:p>
        </w:tc>
      </w:tr>
      <w:tr w14:paraId="4E08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9324" w:type="dxa"/>
            <w:noWrap w:val="0"/>
            <w:vAlign w:val="top"/>
          </w:tcPr>
          <w:p w14:paraId="6472CD32">
            <w:pPr>
              <w:spacing w:line="360" w:lineRule="auto"/>
              <w:jc w:val="left"/>
              <w:rPr>
                <w:rFonts w:hint="eastAsia"/>
                <w:color w:val="auto"/>
                <w:sz w:val="24"/>
                <w:szCs w:val="24"/>
                <w:highlight w:val="none"/>
              </w:rPr>
            </w:pPr>
            <w:r>
              <w:rPr>
                <w:rFonts w:hint="eastAsia"/>
                <w:color w:val="auto"/>
                <w:sz w:val="24"/>
                <w:szCs w:val="24"/>
                <w:highlight w:val="none"/>
              </w:rPr>
              <w:t>行政主管部门证明：</w:t>
            </w:r>
          </w:p>
          <w:p w14:paraId="682CB4FC">
            <w:pPr>
              <w:spacing w:line="360" w:lineRule="auto"/>
              <w:jc w:val="right"/>
              <w:rPr>
                <w:rFonts w:hint="eastAsia"/>
                <w:color w:val="auto"/>
                <w:sz w:val="24"/>
                <w:szCs w:val="24"/>
                <w:highlight w:val="none"/>
              </w:rPr>
            </w:pPr>
            <w:r>
              <w:rPr>
                <w:rFonts w:hint="eastAsia"/>
                <w:color w:val="auto"/>
                <w:sz w:val="24"/>
                <w:szCs w:val="24"/>
                <w:highlight w:val="none"/>
              </w:rPr>
              <w:t>自___年___月___日开始停工，至今已超过120天。情况属实。</w:t>
            </w:r>
          </w:p>
          <w:p w14:paraId="0A7091EB">
            <w:pPr>
              <w:pStyle w:val="118"/>
              <w:spacing w:line="360" w:lineRule="auto"/>
              <w:rPr>
                <w:rFonts w:hint="eastAsia"/>
                <w:color w:val="auto"/>
                <w:sz w:val="24"/>
                <w:szCs w:val="24"/>
                <w:highlight w:val="none"/>
              </w:rPr>
            </w:pPr>
          </w:p>
          <w:p w14:paraId="68D13871">
            <w:pPr>
              <w:pStyle w:val="117"/>
              <w:spacing w:line="360" w:lineRule="auto"/>
              <w:rPr>
                <w:rFonts w:hint="eastAsia"/>
              </w:rPr>
            </w:pPr>
          </w:p>
          <w:p w14:paraId="173D04AD">
            <w:pPr>
              <w:spacing w:line="360" w:lineRule="auto"/>
              <w:jc w:val="right"/>
              <w:rPr>
                <w:rFonts w:hint="eastAsia"/>
                <w:color w:val="auto"/>
                <w:sz w:val="24"/>
                <w:szCs w:val="24"/>
                <w:highlight w:val="none"/>
              </w:rPr>
            </w:pPr>
            <w:r>
              <w:rPr>
                <w:rFonts w:hint="eastAsia"/>
                <w:color w:val="auto"/>
                <w:sz w:val="24"/>
                <w:szCs w:val="24"/>
                <w:highlight w:val="none"/>
              </w:rPr>
              <w:t>行政主管部门（盖章）：</w:t>
            </w:r>
          </w:p>
          <w:p w14:paraId="395A779D">
            <w:pPr>
              <w:spacing w:line="360" w:lineRule="auto"/>
              <w:jc w:val="right"/>
              <w:rPr>
                <w:rFonts w:hint="eastAsia"/>
                <w:color w:val="auto"/>
                <w:sz w:val="24"/>
                <w:szCs w:val="24"/>
                <w:highlight w:val="none"/>
              </w:rPr>
            </w:pPr>
            <w:r>
              <w:rPr>
                <w:rFonts w:hint="eastAsia"/>
                <w:color w:val="auto"/>
                <w:sz w:val="24"/>
                <w:szCs w:val="24"/>
                <w:highlight w:val="none"/>
              </w:rPr>
              <w:t>___年___月___日</w:t>
            </w:r>
          </w:p>
        </w:tc>
      </w:tr>
    </w:tbl>
    <w:p w14:paraId="4C1B984D">
      <w:pPr>
        <w:spacing w:line="360" w:lineRule="auto"/>
        <w:jc w:val="left"/>
        <w:rPr>
          <w:rFonts w:hint="eastAsia" w:ascii="宋体" w:hAnsi="宋体" w:cs="Arial"/>
          <w:b/>
          <w:color w:val="auto"/>
          <w:kern w:val="0"/>
          <w:sz w:val="24"/>
          <w:highlight w:val="none"/>
        </w:rPr>
      </w:pPr>
      <w:r>
        <w:rPr>
          <w:rFonts w:hint="eastAsia"/>
          <w:color w:val="auto"/>
          <w:szCs w:val="21"/>
          <w:highlight w:val="none"/>
        </w:rPr>
        <w:t>注：在承接新项目时原承接的项目仍处于连续停工状态。若原承接项目已复工的本《证明》不得使用。</w:t>
      </w:r>
    </w:p>
    <w:p w14:paraId="03155CDA">
      <w:pPr>
        <w:adjustRightInd w:val="0"/>
        <w:snapToGrid w:val="0"/>
        <w:spacing w:line="360" w:lineRule="auto"/>
        <w:jc w:val="left"/>
        <w:outlineLvl w:val="2"/>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12</w:t>
      </w:r>
      <w:r>
        <w:rPr>
          <w:rFonts w:hint="eastAsia" w:ascii="宋体" w:hAnsi="宋体" w:cs="宋体"/>
          <w:b/>
          <w:bCs/>
          <w:color w:val="000000"/>
          <w:sz w:val="24"/>
        </w:rPr>
        <w:t>：</w:t>
      </w:r>
    </w:p>
    <w:p w14:paraId="41C8D04F">
      <w:pPr>
        <w:keepNext/>
        <w:keepLines/>
        <w:spacing w:line="360" w:lineRule="auto"/>
        <w:ind w:firstLine="3534" w:firstLineChars="1100"/>
        <w:outlineLvl w:val="2"/>
        <w:rPr>
          <w:rFonts w:hint="eastAsia"/>
          <w:b/>
          <w:bCs/>
          <w:color w:val="auto"/>
          <w:sz w:val="32"/>
          <w:szCs w:val="32"/>
          <w:highlight w:val="none"/>
        </w:rPr>
      </w:pPr>
      <w:bookmarkStart w:id="385" w:name="_Toc19422_WPSOffice_Level2"/>
      <w:bookmarkStart w:id="386" w:name="_Toc11543"/>
      <w:bookmarkStart w:id="387" w:name="_Toc31745_WPSOffice_Level2"/>
      <w:r>
        <w:rPr>
          <w:rFonts w:hint="eastAsia"/>
          <w:b/>
          <w:bCs/>
          <w:color w:val="auto"/>
          <w:sz w:val="32"/>
          <w:szCs w:val="32"/>
          <w:highlight w:val="none"/>
        </w:rPr>
        <w:t>未验收证明</w:t>
      </w:r>
      <w:bookmarkEnd w:id="385"/>
      <w:bookmarkEnd w:id="386"/>
      <w:bookmarkEnd w:id="387"/>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7"/>
      </w:tblGrid>
      <w:tr w14:paraId="4AFF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387" w:type="dxa"/>
            <w:noWrap w:val="0"/>
            <w:vAlign w:val="top"/>
          </w:tcPr>
          <w:p w14:paraId="7977EF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p>
          <w:p w14:paraId="4BF10A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____________(原建设单位）：</w:t>
            </w:r>
          </w:p>
          <w:p w14:paraId="73D30A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我公司承接的____________(原工程项目名称）于___年___月___日竣工（交工），并于___年___月___日向贵单位提交竣工（交工）报告。但非我承包人原因至今已超过120天未进行该项目的竣工（交工）验收。特申请同意我公司项目负责人__________（项目负责人名字）承接其他项目。</w:t>
            </w:r>
          </w:p>
          <w:p w14:paraId="357966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特此报告。</w:t>
            </w:r>
          </w:p>
          <w:p w14:paraId="379D4A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4D2B1E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承包人（盖章）</w:t>
            </w:r>
          </w:p>
          <w:p w14:paraId="48CEFF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2D3C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387" w:type="dxa"/>
            <w:noWrap w:val="0"/>
            <w:vAlign w:val="top"/>
          </w:tcPr>
          <w:p w14:paraId="122BC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原建设单位意见：</w:t>
            </w:r>
          </w:p>
          <w:p w14:paraId="64A422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rPr>
            </w:pPr>
          </w:p>
          <w:p w14:paraId="505106D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p>
          <w:p w14:paraId="5634205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原建设单位（盖章）：</w:t>
            </w:r>
          </w:p>
          <w:p w14:paraId="0DE7D47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___年___月___日</w:t>
            </w:r>
          </w:p>
        </w:tc>
      </w:tr>
      <w:tr w14:paraId="7B8B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387" w:type="dxa"/>
            <w:noWrap w:val="0"/>
            <w:vAlign w:val="top"/>
          </w:tcPr>
          <w:p w14:paraId="0DF28E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r>
              <w:rPr>
                <w:rFonts w:hint="eastAsia"/>
                <w:color w:val="auto"/>
                <w:sz w:val="24"/>
                <w:szCs w:val="24"/>
                <w:highlight w:val="none"/>
              </w:rPr>
              <w:t>行政主管部门证明：</w:t>
            </w:r>
          </w:p>
          <w:p w14:paraId="097A28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rPr>
              <w:t>承包人向原建设单位提交了竣工（交工）报告至今已超过120天。情况属实。</w:t>
            </w:r>
          </w:p>
          <w:p w14:paraId="20D0C9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rPr>
            </w:pPr>
          </w:p>
          <w:p w14:paraId="783D9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rPr>
            </w:pPr>
          </w:p>
          <w:p w14:paraId="35E00F8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行政主管部门（盖章）：</w:t>
            </w:r>
          </w:p>
          <w:p w14:paraId="624CAC9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sz w:val="24"/>
                <w:szCs w:val="24"/>
                <w:highlight w:val="none"/>
              </w:rPr>
            </w:pPr>
            <w:r>
              <w:rPr>
                <w:rFonts w:hint="eastAsia"/>
                <w:color w:val="auto"/>
                <w:sz w:val="24"/>
                <w:szCs w:val="24"/>
                <w:highlight w:val="none"/>
              </w:rPr>
              <w:t>___年___月___日</w:t>
            </w:r>
          </w:p>
        </w:tc>
      </w:tr>
    </w:tbl>
    <w:p w14:paraId="2F4BD38F">
      <w:pPr>
        <w:spacing w:line="360" w:lineRule="auto"/>
        <w:rPr>
          <w:rFonts w:hint="eastAsia" w:eastAsia="宋体"/>
          <w:color w:val="auto"/>
          <w:sz w:val="21"/>
          <w:szCs w:val="21"/>
          <w:highlight w:val="none"/>
          <w:lang w:eastAsia="zh-CN"/>
        </w:rPr>
        <w:sectPr>
          <w:pgSz w:w="11905" w:h="16838"/>
          <w:pgMar w:top="1361" w:right="1587" w:bottom="1361" w:left="1587" w:header="850" w:footer="811" w:gutter="0"/>
          <w:pgNumType w:fmt="decimal"/>
          <w:cols w:space="0" w:num="1"/>
          <w:rtlGutter w:val="0"/>
          <w:docGrid w:type="lines" w:linePitch="307" w:charSpace="0"/>
        </w:sectPr>
      </w:pPr>
      <w:r>
        <w:rPr>
          <w:rFonts w:hint="eastAsia"/>
          <w:color w:val="auto"/>
          <w:sz w:val="21"/>
          <w:szCs w:val="21"/>
          <w:highlight w:val="none"/>
        </w:rPr>
        <w:t>注：在承接新项目时原承接的项目已经竣工验收的，本《证明》不得使用</w:t>
      </w:r>
      <w:r>
        <w:rPr>
          <w:rFonts w:hint="eastAsia"/>
          <w:color w:val="auto"/>
          <w:sz w:val="21"/>
          <w:szCs w:val="21"/>
          <w:highlight w:val="none"/>
          <w:lang w:eastAsia="zh-CN"/>
        </w:rPr>
        <w:t>。</w:t>
      </w:r>
    </w:p>
    <w:p w14:paraId="69859C7D">
      <w:pPr>
        <w:pStyle w:val="4"/>
        <w:spacing w:before="312" w:beforeLines="100" w:after="0" w:line="360" w:lineRule="auto"/>
        <w:jc w:val="center"/>
        <w:rPr>
          <w:rFonts w:hint="eastAsia" w:ascii="宋体" w:hAnsi="宋体" w:eastAsia="宋体" w:cs="宋体"/>
          <w:bCs w:val="0"/>
          <w:highlight w:val="none"/>
          <w:lang w:val="zh-CN"/>
        </w:rPr>
      </w:pPr>
      <w:bookmarkStart w:id="388" w:name="_Toc19464"/>
      <w:bookmarkStart w:id="389" w:name="_Toc4444"/>
      <w:r>
        <w:rPr>
          <w:rFonts w:hint="eastAsia" w:ascii="宋体" w:hAnsi="宋体" w:eastAsia="宋体" w:cs="宋体"/>
          <w:bCs w:val="0"/>
          <w:highlight w:val="none"/>
          <w:lang w:val="zh-CN"/>
        </w:rPr>
        <w:t>3、报价文件格式</w:t>
      </w:r>
      <w:bookmarkEnd w:id="377"/>
      <w:bookmarkEnd w:id="378"/>
      <w:bookmarkEnd w:id="379"/>
      <w:bookmarkEnd w:id="380"/>
      <w:bookmarkEnd w:id="381"/>
      <w:bookmarkEnd w:id="388"/>
      <w:bookmarkEnd w:id="389"/>
    </w:p>
    <w:p w14:paraId="75E92994">
      <w:pPr>
        <w:spacing w:before="100" w:beforeAutospacing="1" w:line="360" w:lineRule="auto"/>
        <w:jc w:val="cente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目   录</w:t>
      </w:r>
    </w:p>
    <w:p w14:paraId="4B6E103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（供应商可参考采购文件“第三章 </w:t>
      </w:r>
      <w:r>
        <w:rPr>
          <w:rFonts w:hint="eastAsia" w:ascii="宋体" w:hAnsi="宋体" w:cs="宋体"/>
          <w:sz w:val="24"/>
          <w:highlight w:val="none"/>
          <w:lang w:eastAsia="zh-CN"/>
        </w:rPr>
        <w:t>投标</w:t>
      </w:r>
      <w:r>
        <w:rPr>
          <w:rFonts w:hint="eastAsia" w:ascii="宋体" w:hAnsi="宋体" w:eastAsia="宋体" w:cs="宋体"/>
          <w:sz w:val="24"/>
          <w:highlight w:val="none"/>
        </w:rPr>
        <w:t>须知”报价文件组成要求编排）</w:t>
      </w:r>
    </w:p>
    <w:p w14:paraId="64DFB0D8">
      <w:pPr>
        <w:spacing w:before="100" w:beforeAutospacing="1" w:line="360" w:lineRule="auto"/>
        <w:rPr>
          <w:rFonts w:hint="eastAsia" w:ascii="宋体" w:hAnsi="宋体" w:eastAsia="宋体" w:cs="宋体"/>
          <w:b/>
          <w:bCs/>
          <w:color w:val="000000"/>
          <w:sz w:val="24"/>
          <w:highlight w:val="none"/>
        </w:rPr>
        <w:sectPr>
          <w:pgSz w:w="11905" w:h="16838"/>
          <w:pgMar w:top="1417" w:right="1587" w:bottom="1417" w:left="1587" w:header="907" w:footer="924" w:gutter="0"/>
          <w:pgBorders>
            <w:top w:val="none" w:sz="0" w:space="0"/>
            <w:left w:val="none" w:sz="0" w:space="0"/>
            <w:bottom w:val="none" w:sz="0" w:space="0"/>
            <w:right w:val="none" w:sz="0" w:space="0"/>
          </w:pgBorders>
          <w:cols w:space="0" w:num="1"/>
          <w:rtlGutter w:val="0"/>
          <w:docGrid w:type="lines" w:linePitch="304" w:charSpace="0"/>
        </w:sectPr>
      </w:pPr>
    </w:p>
    <w:p w14:paraId="6211D16D">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13</w:t>
      </w:r>
      <w:r>
        <w:rPr>
          <w:rFonts w:hint="eastAsia" w:ascii="宋体" w:hAnsi="宋体" w:eastAsia="宋体" w:cs="宋体"/>
          <w:b/>
          <w:bCs/>
          <w:color w:val="000000"/>
          <w:sz w:val="24"/>
          <w:highlight w:val="none"/>
        </w:rPr>
        <w:t>：</w:t>
      </w:r>
      <w:bookmarkEnd w:id="376"/>
      <w:r>
        <w:rPr>
          <w:rFonts w:hint="eastAsia" w:ascii="宋体" w:hAnsi="宋体" w:eastAsia="宋体" w:cs="宋体"/>
          <w:b/>
          <w:bCs/>
          <w:color w:val="000000"/>
          <w:sz w:val="24"/>
          <w:highlight w:val="none"/>
        </w:rPr>
        <w:t xml:space="preserve"> </w:t>
      </w:r>
    </w:p>
    <w:p w14:paraId="303D1C0D">
      <w:pPr>
        <w:spacing w:line="360" w:lineRule="auto"/>
        <w:jc w:val="center"/>
        <w:rPr>
          <w:rFonts w:hint="eastAsia" w:hAnsi="宋体" w:eastAsia="宋体" w:cs="宋体"/>
          <w:sz w:val="21"/>
          <w:szCs w:val="21"/>
          <w:highlight w:val="none"/>
        </w:rPr>
      </w:pPr>
      <w:bookmarkStart w:id="390" w:name="_Toc481505161"/>
      <w:r>
        <w:rPr>
          <w:rFonts w:hint="eastAsia" w:ascii="宋体" w:hAnsi="宋体" w:cs="宋体"/>
          <w:b/>
          <w:sz w:val="28"/>
          <w:szCs w:val="28"/>
        </w:rPr>
        <w:t>（1）报价一览表</w:t>
      </w:r>
      <w:r>
        <w:rPr>
          <w:rFonts w:hint="eastAsia" w:ascii="宋体" w:hAnsi="宋体" w:cs="宋体"/>
          <w:b/>
          <w:sz w:val="28"/>
          <w:szCs w:val="28"/>
          <w:lang w:eastAsia="zh-CN"/>
        </w:rPr>
        <w:t>（</w:t>
      </w:r>
      <w:r>
        <w:rPr>
          <w:rFonts w:hint="eastAsia" w:ascii="宋体" w:hAnsi="宋体" w:eastAsia="宋体" w:cs="宋体"/>
          <w:b/>
          <w:sz w:val="28"/>
          <w:szCs w:val="28"/>
          <w:highlight w:val="none"/>
          <w:lang w:eastAsia="zh-CN"/>
        </w:rPr>
        <w:t>首次报价</w:t>
      </w:r>
      <w:r>
        <w:rPr>
          <w:rFonts w:hint="eastAsia" w:ascii="宋体" w:hAnsi="宋体" w:cs="宋体"/>
          <w:b/>
          <w:sz w:val="28"/>
          <w:szCs w:val="28"/>
          <w:lang w:eastAsia="zh-CN"/>
        </w:rPr>
        <w:t>）</w:t>
      </w:r>
    </w:p>
    <w:p w14:paraId="7370D04B">
      <w:pPr>
        <w:pStyle w:val="22"/>
        <w:spacing w:beforeLines="0" w:afterLines="0" w:line="360" w:lineRule="auto"/>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ZJJX-25CG-006</w:t>
      </w:r>
    </w:p>
    <w:p w14:paraId="1333E1EA">
      <w:pPr>
        <w:pStyle w:val="22"/>
        <w:spacing w:beforeLines="0" w:afterLines="0" w:line="360" w:lineRule="auto"/>
        <w:rPr>
          <w:rFonts w:hint="eastAsia" w:hAnsi="宋体" w:eastAsia="宋体" w:cs="宋体"/>
          <w:sz w:val="21"/>
          <w:szCs w:val="21"/>
          <w:highlight w:val="none"/>
        </w:rPr>
      </w:pPr>
      <w:r>
        <w:rPr>
          <w:rFonts w:hint="eastAsia" w:hAnsi="宋体" w:eastAsia="宋体" w:cs="宋体"/>
          <w:sz w:val="21"/>
          <w:szCs w:val="21"/>
          <w:highlight w:val="none"/>
        </w:rPr>
        <w:t>项目名称：</w:t>
      </w:r>
      <w:r>
        <w:rPr>
          <w:rFonts w:hint="eastAsia" w:hAnsi="宋体" w:cs="宋体"/>
          <w:sz w:val="21"/>
          <w:szCs w:val="21"/>
          <w:highlight w:val="none"/>
          <w:lang w:eastAsia="zh-CN"/>
        </w:rPr>
        <w:t>仙居县台创基地未来乡村项目渔耕体验区配套道路</w:t>
      </w:r>
      <w:r>
        <w:rPr>
          <w:rFonts w:hint="eastAsia" w:hAnsi="宋体" w:eastAsia="宋体" w:cs="宋体"/>
          <w:sz w:val="21"/>
          <w:szCs w:val="21"/>
          <w:highlight w:val="none"/>
        </w:rPr>
        <w:t xml:space="preserve">  </w:t>
      </w:r>
    </w:p>
    <w:tbl>
      <w:tblPr>
        <w:tblStyle w:val="3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2315"/>
        <w:gridCol w:w="4170"/>
      </w:tblGrid>
      <w:tr w14:paraId="61E68CC4">
        <w:tblPrEx>
          <w:tblCellMar>
            <w:top w:w="0" w:type="dxa"/>
            <w:left w:w="0" w:type="dxa"/>
            <w:bottom w:w="0" w:type="dxa"/>
            <w:right w:w="0" w:type="dxa"/>
          </w:tblCellMar>
        </w:tblPrEx>
        <w:trPr>
          <w:cantSplit/>
          <w:trHeight w:val="873" w:hRule="atLeast"/>
          <w:jc w:val="center"/>
        </w:trPr>
        <w:tc>
          <w:tcPr>
            <w:tcW w:w="2694" w:type="dxa"/>
            <w:vMerge w:val="restart"/>
            <w:noWrap w:val="0"/>
            <w:vAlign w:val="center"/>
          </w:tcPr>
          <w:p w14:paraId="34471388">
            <w:pPr>
              <w:snapToGrid w:val="0"/>
              <w:spacing w:before="50" w:after="50" w:line="360" w:lineRule="auto"/>
              <w:ind w:right="-617" w:rightChars="-294" w:firstLine="211" w:firstLineChars="100"/>
              <w:jc w:val="left"/>
              <w:rPr>
                <w:rFonts w:hint="eastAsia" w:ascii="宋体" w:hAnsi="宋体" w:eastAsia="宋体" w:cs="宋体"/>
                <w:color w:val="auto"/>
                <w:sz w:val="24"/>
                <w:highlight w:val="none"/>
              </w:rPr>
            </w:pPr>
            <w:r>
              <w:rPr>
                <w:rFonts w:hint="eastAsia" w:ascii="宋体" w:hAnsi="宋体"/>
                <w:b/>
                <w:szCs w:val="21"/>
                <w:highlight w:val="none"/>
              </w:rPr>
              <w:t>投标报价（</w:t>
            </w:r>
            <w:r>
              <w:rPr>
                <w:rFonts w:hint="eastAsia" w:ascii="宋体" w:hAnsi="宋体"/>
                <w:b/>
                <w:szCs w:val="21"/>
                <w:highlight w:val="none"/>
                <w:lang w:val="en-US" w:eastAsia="zh-CN"/>
              </w:rPr>
              <w:t>总价，元</w:t>
            </w:r>
            <w:r>
              <w:rPr>
                <w:rFonts w:hint="eastAsia" w:ascii="宋体" w:hAnsi="宋体"/>
                <w:b/>
                <w:szCs w:val="21"/>
                <w:highlight w:val="none"/>
              </w:rPr>
              <w:t>）</w:t>
            </w:r>
          </w:p>
        </w:tc>
        <w:tc>
          <w:tcPr>
            <w:tcW w:w="2315" w:type="dxa"/>
            <w:noWrap w:val="0"/>
            <w:vAlign w:val="center"/>
          </w:tcPr>
          <w:p w14:paraId="76E7B246">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大写：</w:t>
            </w:r>
          </w:p>
        </w:tc>
        <w:tc>
          <w:tcPr>
            <w:tcW w:w="4170" w:type="dxa"/>
            <w:noWrap w:val="0"/>
            <w:vAlign w:val="center"/>
          </w:tcPr>
          <w:p w14:paraId="47F592AE">
            <w:pPr>
              <w:snapToGrid w:val="0"/>
              <w:spacing w:before="50" w:after="50" w:line="360" w:lineRule="auto"/>
              <w:ind w:right="-617" w:rightChars="-294"/>
              <w:jc w:val="left"/>
              <w:rPr>
                <w:rFonts w:hint="eastAsia" w:ascii="宋体" w:hAnsi="宋体" w:eastAsia="宋体" w:cs="宋体"/>
                <w:b/>
                <w:bCs/>
                <w:color w:val="auto"/>
                <w:sz w:val="24"/>
                <w:highlight w:val="none"/>
              </w:rPr>
            </w:pPr>
          </w:p>
          <w:p w14:paraId="52DC171B">
            <w:pPr>
              <w:snapToGrid w:val="0"/>
              <w:spacing w:before="50" w:after="50" w:line="360" w:lineRule="auto"/>
              <w:ind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人民币：</w:t>
            </w:r>
            <w:r>
              <w:rPr>
                <w:rFonts w:hint="eastAsia" w:ascii="宋体" w:hAnsi="宋体" w:eastAsia="宋体" w:cs="宋体"/>
                <w:b/>
                <w:bCs/>
                <w:color w:val="auto"/>
                <w:sz w:val="24"/>
                <w:highlight w:val="none"/>
                <w:u w:val="single"/>
              </w:rPr>
              <w:t xml:space="preserve">                         </w:t>
            </w:r>
          </w:p>
        </w:tc>
      </w:tr>
      <w:tr w14:paraId="5B62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2694" w:type="dxa"/>
            <w:vMerge w:val="continue"/>
            <w:noWrap w:val="0"/>
            <w:vAlign w:val="center"/>
          </w:tcPr>
          <w:p w14:paraId="4CB652CE">
            <w:pPr>
              <w:snapToGrid w:val="0"/>
              <w:spacing w:before="50" w:after="50" w:line="360" w:lineRule="auto"/>
              <w:ind w:right="-617" w:rightChars="-294"/>
              <w:jc w:val="center"/>
              <w:rPr>
                <w:rFonts w:hint="eastAsia" w:ascii="宋体" w:hAnsi="宋体" w:eastAsia="宋体" w:cs="宋体"/>
                <w:color w:val="auto"/>
                <w:sz w:val="24"/>
                <w:highlight w:val="none"/>
              </w:rPr>
            </w:pPr>
          </w:p>
        </w:tc>
        <w:tc>
          <w:tcPr>
            <w:tcW w:w="2315" w:type="dxa"/>
            <w:noWrap w:val="0"/>
            <w:vAlign w:val="center"/>
          </w:tcPr>
          <w:p w14:paraId="0E7665E2">
            <w:pPr>
              <w:snapToGrid w:val="0"/>
              <w:spacing w:before="50" w:after="50" w:line="360" w:lineRule="auto"/>
              <w:ind w:right="-617" w:rightChars="-294"/>
              <w:jc w:val="left"/>
              <w:rPr>
                <w:rFonts w:hint="eastAsia" w:ascii="宋体" w:hAnsi="宋体" w:eastAsia="宋体" w:cs="宋体"/>
                <w:color w:val="auto"/>
                <w:sz w:val="24"/>
                <w:highlight w:val="none"/>
                <w:u w:val="single"/>
                <w:lang w:eastAsia="zh-CN"/>
              </w:rPr>
            </w:pPr>
            <w:r>
              <w:rPr>
                <w:rFonts w:hint="eastAsia" w:ascii="宋体" w:hAnsi="宋体" w:eastAsia="宋体" w:cs="宋体"/>
                <w:b/>
                <w:bCs/>
                <w:color w:val="auto"/>
                <w:sz w:val="24"/>
                <w:highlight w:val="none"/>
              </w:rPr>
              <w:t>小写</w:t>
            </w:r>
            <w:r>
              <w:rPr>
                <w:rFonts w:hint="eastAsia" w:ascii="宋体" w:hAnsi="宋体" w:eastAsia="宋体" w:cs="宋体"/>
                <w:b/>
                <w:bCs/>
                <w:color w:val="auto"/>
                <w:sz w:val="24"/>
                <w:highlight w:val="none"/>
                <w:lang w:eastAsia="zh-CN"/>
              </w:rPr>
              <w:t>：</w:t>
            </w:r>
          </w:p>
        </w:tc>
        <w:tc>
          <w:tcPr>
            <w:tcW w:w="4170" w:type="dxa"/>
            <w:noWrap w:val="0"/>
            <w:vAlign w:val="center"/>
          </w:tcPr>
          <w:p w14:paraId="716B9E80">
            <w:pPr>
              <w:snapToGrid w:val="0"/>
              <w:spacing w:before="50" w:after="50" w:line="360" w:lineRule="auto"/>
              <w:ind w:right="-617" w:rightChars="-294"/>
              <w:jc w:val="left"/>
              <w:rPr>
                <w:rFonts w:hint="eastAsia" w:ascii="宋体" w:hAnsi="宋体" w:eastAsia="宋体" w:cs="宋体"/>
                <w:b/>
                <w:bCs/>
                <w:color w:val="auto"/>
                <w:sz w:val="24"/>
                <w:highlight w:val="none"/>
              </w:rPr>
            </w:pPr>
          </w:p>
          <w:p w14:paraId="38A2E68B">
            <w:pPr>
              <w:snapToGrid w:val="0"/>
              <w:spacing w:before="50" w:after="50" w:line="360" w:lineRule="auto"/>
              <w:ind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eastAsia="宋体" w:cs="宋体"/>
                <w:b/>
                <w:bCs/>
                <w:color w:val="auto"/>
                <w:sz w:val="24"/>
                <w:highlight w:val="none"/>
                <w:u w:val="single"/>
              </w:rPr>
              <w:t xml:space="preserve">      </w:t>
            </w:r>
          </w:p>
        </w:tc>
      </w:tr>
    </w:tbl>
    <w:p w14:paraId="6E958A69">
      <w:pPr>
        <w:spacing w:line="360" w:lineRule="auto"/>
        <w:jc w:val="left"/>
        <w:rPr>
          <w:rFonts w:hint="eastAsia" w:ascii="宋体" w:hAnsi="宋体" w:eastAsia="宋体" w:cs="宋体"/>
          <w:b/>
          <w:szCs w:val="21"/>
          <w:highlight w:val="none"/>
          <w:lang w:eastAsia="zh-CN"/>
        </w:rPr>
      </w:pPr>
      <w:r>
        <w:rPr>
          <w:rFonts w:hint="eastAsia" w:ascii="宋体" w:hAnsi="宋体" w:eastAsia="宋体" w:cs="宋体"/>
          <w:b/>
          <w:szCs w:val="21"/>
          <w:highlight w:val="none"/>
        </w:rPr>
        <w:t>注</w:t>
      </w:r>
      <w:r>
        <w:rPr>
          <w:rFonts w:hint="eastAsia" w:ascii="宋体" w:hAnsi="宋体" w:cs="宋体"/>
          <w:b/>
          <w:szCs w:val="21"/>
          <w:highlight w:val="none"/>
          <w:lang w:eastAsia="zh-CN"/>
        </w:rPr>
        <w:t>：</w:t>
      </w:r>
    </w:p>
    <w:p w14:paraId="7505F98D">
      <w:pPr>
        <w:spacing w:line="360" w:lineRule="auto"/>
        <w:jc w:val="left"/>
        <w:rPr>
          <w:rFonts w:hint="eastAsia" w:ascii="宋体" w:hAnsi="宋体" w:cs="宋体"/>
          <w:szCs w:val="21"/>
        </w:rPr>
      </w:pPr>
      <w:r>
        <w:rPr>
          <w:rFonts w:hint="eastAsia" w:ascii="宋体" w:hAnsi="宋体" w:cs="宋体"/>
          <w:szCs w:val="21"/>
        </w:rPr>
        <w:t>1、</w:t>
      </w:r>
      <w:r>
        <w:rPr>
          <w:rFonts w:hint="eastAsia" w:ascii="宋体" w:hAnsi="宋体" w:eastAsia="宋体" w:cs="宋体"/>
          <w:b w:val="0"/>
          <w:bCs w:val="0"/>
          <w:color w:val="auto"/>
          <w:kern w:val="21"/>
          <w:szCs w:val="21"/>
          <w:highlight w:val="none"/>
        </w:rPr>
        <w:t>投标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总承包服务费、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00A6DADE">
      <w:pPr>
        <w:spacing w:line="360" w:lineRule="auto"/>
        <w:jc w:val="left"/>
        <w:rPr>
          <w:rFonts w:hint="eastAsia" w:ascii="宋体" w:hAnsi="宋体" w:eastAsia="宋体" w:cs="宋体"/>
          <w:b/>
          <w:bCs/>
          <w:sz w:val="21"/>
          <w:szCs w:val="21"/>
          <w:highlight w:val="none"/>
        </w:rPr>
      </w:pPr>
      <w:r>
        <w:rPr>
          <w:rFonts w:hint="eastAsia" w:ascii="宋体" w:hAnsi="宋体" w:cs="宋体"/>
          <w:szCs w:val="21"/>
        </w:rPr>
        <w:t>2、报价一经涂改，应在涂改处加盖单位公章或者由法定代表人或授权委托人签字或盖章，否则其投标作无效标处理。</w:t>
      </w:r>
    </w:p>
    <w:p w14:paraId="5DEADC58">
      <w:pPr>
        <w:pStyle w:val="19"/>
        <w:spacing w:line="360" w:lineRule="auto"/>
        <w:ind w:firstLine="2741" w:firstLineChars="13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供应商（盖章）：</w:t>
      </w:r>
    </w:p>
    <w:p w14:paraId="69550E53">
      <w:pPr>
        <w:pStyle w:val="19"/>
        <w:spacing w:line="360" w:lineRule="auto"/>
        <w:ind w:firstLine="211" w:firstLineChars="1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法定代表人或其授权代表人（签字或盖章）：</w:t>
      </w:r>
    </w:p>
    <w:p w14:paraId="2BA433DC">
      <w:pPr>
        <w:pStyle w:val="19"/>
        <w:spacing w:line="360" w:lineRule="auto"/>
        <w:ind w:firstLine="3795" w:firstLineChars="18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日期：    </w:t>
      </w:r>
      <w:r>
        <w:rPr>
          <w:rFonts w:hint="eastAsia" w:asci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年   月   日</w:t>
      </w:r>
    </w:p>
    <w:p w14:paraId="7DB1FC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FF0000"/>
          <w:spacing w:val="6"/>
          <w:szCs w:val="21"/>
          <w:u w:val="single"/>
        </w:rPr>
      </w:pPr>
    </w:p>
    <w:p w14:paraId="2814F99B">
      <w:pPr>
        <w:pStyle w:val="17"/>
        <w:rPr>
          <w:rFonts w:hint="eastAsia" w:ascii="宋体" w:hAnsi="宋体" w:cs="宋体"/>
          <w:color w:val="FF0000"/>
          <w:spacing w:val="6"/>
          <w:szCs w:val="21"/>
          <w:u w:val="single"/>
        </w:rPr>
      </w:pPr>
    </w:p>
    <w:p w14:paraId="54A3621C">
      <w:pPr>
        <w:pStyle w:val="18"/>
        <w:rPr>
          <w:rFonts w:hint="eastAsia" w:ascii="宋体" w:hAnsi="宋体" w:cs="宋体"/>
          <w:color w:val="FF0000"/>
          <w:spacing w:val="6"/>
          <w:szCs w:val="21"/>
          <w:u w:val="single"/>
        </w:rPr>
      </w:pPr>
    </w:p>
    <w:p w14:paraId="61982B8C">
      <w:pPr>
        <w:rPr>
          <w:rFonts w:hint="eastAsia" w:ascii="宋体" w:hAnsi="宋体" w:cs="宋体"/>
          <w:color w:val="FF0000"/>
          <w:spacing w:val="6"/>
          <w:szCs w:val="21"/>
          <w:u w:val="single"/>
        </w:rPr>
      </w:pPr>
    </w:p>
    <w:p w14:paraId="42684015">
      <w:pPr>
        <w:pStyle w:val="17"/>
        <w:rPr>
          <w:rFonts w:hint="eastAsia" w:ascii="宋体" w:hAnsi="宋体" w:cs="宋体"/>
          <w:color w:val="FF0000"/>
          <w:spacing w:val="6"/>
          <w:szCs w:val="21"/>
          <w:u w:val="single"/>
        </w:rPr>
      </w:pPr>
    </w:p>
    <w:p w14:paraId="6E562C8B">
      <w:pPr>
        <w:pStyle w:val="18"/>
        <w:rPr>
          <w:rFonts w:hint="eastAsia" w:ascii="宋体" w:hAnsi="宋体" w:cs="宋体"/>
          <w:color w:val="FF0000"/>
          <w:spacing w:val="6"/>
          <w:szCs w:val="21"/>
          <w:u w:val="single"/>
        </w:rPr>
      </w:pPr>
    </w:p>
    <w:p w14:paraId="410C3D24">
      <w:pPr>
        <w:rPr>
          <w:rFonts w:hint="eastAsia" w:ascii="宋体" w:hAnsi="宋体" w:cs="宋体"/>
          <w:color w:val="FF0000"/>
          <w:spacing w:val="6"/>
          <w:szCs w:val="21"/>
          <w:u w:val="single"/>
        </w:rPr>
      </w:pPr>
    </w:p>
    <w:p w14:paraId="606C42F0">
      <w:pPr>
        <w:pStyle w:val="17"/>
        <w:rPr>
          <w:rFonts w:hint="eastAsia"/>
        </w:rPr>
      </w:pPr>
    </w:p>
    <w:p w14:paraId="5C0033DC">
      <w:pPr>
        <w:spacing w:line="360" w:lineRule="auto"/>
        <w:rPr>
          <w:rFonts w:hint="eastAsia" w:ascii="宋体" w:hAnsi="宋体" w:eastAsia="宋体" w:cs="Times New Roman"/>
          <w:b/>
          <w:bCs/>
          <w:sz w:val="24"/>
          <w:szCs w:val="24"/>
          <w:highlight w:val="none"/>
        </w:rPr>
      </w:pPr>
    </w:p>
    <w:p w14:paraId="0EFF585A">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Times New Roman"/>
          <w:b/>
          <w:bCs/>
          <w:sz w:val="24"/>
          <w:szCs w:val="24"/>
          <w:highlight w:val="none"/>
        </w:rPr>
        <w:t>附件1</w:t>
      </w:r>
      <w:r>
        <w:rPr>
          <w:rFonts w:hint="eastAsia" w:ascii="宋体" w:hAnsi="宋体" w:cs="Times New Roman"/>
          <w:b/>
          <w:bCs/>
          <w:sz w:val="24"/>
          <w:szCs w:val="24"/>
          <w:highlight w:val="none"/>
          <w:lang w:val="en-US" w:eastAsia="zh-CN"/>
        </w:rPr>
        <w:t>4</w:t>
      </w:r>
      <w:r>
        <w:rPr>
          <w:rFonts w:hint="eastAsia" w:ascii="宋体" w:hAnsi="宋体" w:eastAsia="宋体" w:cs="Times New Roman"/>
          <w:b/>
          <w:bCs/>
          <w:sz w:val="24"/>
          <w:szCs w:val="24"/>
          <w:highlight w:val="none"/>
          <w:lang w:val="en-US" w:eastAsia="zh-CN"/>
        </w:rPr>
        <w:t>：</w:t>
      </w:r>
      <w:r>
        <w:rPr>
          <w:rFonts w:hint="eastAsia" w:ascii="宋体" w:hAnsi="宋体" w:eastAsia="宋体" w:cs="宋体"/>
          <w:b/>
          <w:color w:val="auto"/>
          <w:sz w:val="24"/>
          <w:szCs w:val="24"/>
          <w:highlight w:val="none"/>
          <w:lang w:val="en-US" w:eastAsia="zh-CN"/>
        </w:rPr>
        <w:t>初次投标报价汇总表、</w:t>
      </w:r>
      <w:r>
        <w:rPr>
          <w:rFonts w:hint="eastAsia" w:ascii="宋体" w:hAnsi="宋体" w:eastAsia="宋体" w:cs="宋体"/>
          <w:b/>
          <w:color w:val="auto"/>
          <w:sz w:val="24"/>
          <w:szCs w:val="24"/>
          <w:highlight w:val="none"/>
        </w:rPr>
        <w:t>初次报价明细表</w:t>
      </w:r>
      <w:r>
        <w:rPr>
          <w:rFonts w:hint="eastAsia" w:ascii="宋体" w:hAnsi="宋体" w:eastAsia="宋体" w:cs="宋体"/>
          <w:b/>
          <w:color w:val="auto"/>
          <w:sz w:val="24"/>
          <w:szCs w:val="24"/>
          <w:highlight w:val="none"/>
          <w:lang w:eastAsia="zh-CN"/>
        </w:rPr>
        <w:t>及附录</w:t>
      </w:r>
      <w:r>
        <w:rPr>
          <w:rFonts w:hint="eastAsia" w:ascii="宋体" w:hAnsi="宋体" w:cs="宋体"/>
          <w:b/>
          <w:color w:val="auto"/>
          <w:sz w:val="24"/>
          <w:szCs w:val="24"/>
          <w:highlight w:val="none"/>
          <w:lang w:eastAsia="zh-CN"/>
        </w:rPr>
        <w:t>：</w:t>
      </w:r>
    </w:p>
    <w:p w14:paraId="3CDF3FC2">
      <w:pPr>
        <w:spacing w:line="360" w:lineRule="auto"/>
        <w:ind w:left="480"/>
        <w:jc w:val="center"/>
        <w:rPr>
          <w:rFonts w:hint="eastAsia"/>
        </w:rPr>
      </w:pPr>
      <w:r>
        <w:rPr>
          <w:rFonts w:hint="eastAsia" w:ascii="宋体" w:hAnsi="宋体" w:eastAsia="宋体" w:cs="宋体"/>
          <w:b/>
          <w:color w:val="auto"/>
          <w:sz w:val="24"/>
          <w:szCs w:val="24"/>
          <w:highlight w:val="none"/>
          <w:lang w:val="en-US" w:eastAsia="zh-CN"/>
        </w:rPr>
        <w:t>初次投标报价汇总表（</w:t>
      </w:r>
      <w:r>
        <w:rPr>
          <w:rFonts w:hint="eastAsia" w:ascii="宋体" w:hAnsi="宋体" w:eastAsia="宋体" w:cs="宋体"/>
          <w:b/>
          <w:bCs/>
          <w:color w:val="auto"/>
          <w:szCs w:val="21"/>
          <w:highlight w:val="none"/>
        </w:rPr>
        <w:t>工程项目投标报价汇总表</w:t>
      </w:r>
      <w:r>
        <w:rPr>
          <w:rFonts w:hint="eastAsia" w:ascii="宋体" w:hAnsi="宋体" w:eastAsia="宋体" w:cs="宋体"/>
          <w:b/>
          <w:bCs/>
          <w:color w:val="auto"/>
          <w:szCs w:val="21"/>
          <w:highlight w:val="none"/>
          <w:lang w:eastAsia="zh-CN"/>
        </w:rPr>
        <w:t>）</w:t>
      </w:r>
    </w:p>
    <w:tbl>
      <w:tblPr>
        <w:tblStyle w:val="36"/>
        <w:tblW w:w="0" w:type="auto"/>
        <w:tblInd w:w="93" w:type="dxa"/>
        <w:tblLayout w:type="fixed"/>
        <w:tblCellMar>
          <w:top w:w="0" w:type="dxa"/>
          <w:left w:w="108" w:type="dxa"/>
          <w:bottom w:w="0" w:type="dxa"/>
          <w:right w:w="108" w:type="dxa"/>
        </w:tblCellMar>
      </w:tblPr>
      <w:tblGrid>
        <w:gridCol w:w="585"/>
        <w:gridCol w:w="3330"/>
        <w:gridCol w:w="1410"/>
        <w:gridCol w:w="840"/>
        <w:gridCol w:w="1320"/>
        <w:gridCol w:w="1065"/>
        <w:gridCol w:w="1155"/>
      </w:tblGrid>
      <w:tr w14:paraId="6E09DC37">
        <w:tblPrEx>
          <w:tblCellMar>
            <w:top w:w="0" w:type="dxa"/>
            <w:left w:w="108" w:type="dxa"/>
            <w:bottom w:w="0" w:type="dxa"/>
            <w:right w:w="108" w:type="dxa"/>
          </w:tblCellMar>
        </w:tblPrEx>
        <w:trPr>
          <w:trHeight w:val="570" w:hRule="atLeast"/>
        </w:trPr>
        <w:tc>
          <w:tcPr>
            <w:tcW w:w="7485" w:type="dxa"/>
            <w:gridSpan w:val="5"/>
            <w:tcBorders>
              <w:top w:val="nil"/>
              <w:left w:val="nil"/>
              <w:bottom w:val="nil"/>
              <w:right w:val="nil"/>
            </w:tcBorders>
            <w:shd w:val="clear" w:color="auto" w:fill="FFFFFF"/>
            <w:noWrap w:val="0"/>
            <w:vAlign w:val="bottom"/>
          </w:tcPr>
          <w:p w14:paraId="2C1C365B">
            <w:pPr>
              <w:pStyle w:val="22"/>
              <w:spacing w:beforeLines="0" w:afterLines="0" w:line="360" w:lineRule="auto"/>
              <w:rPr>
                <w:rFonts w:hint="eastAsia" w:hAnsi="宋体" w:eastAsia="宋体" w:cs="宋体"/>
                <w:sz w:val="21"/>
                <w:szCs w:val="21"/>
                <w:highlight w:val="none"/>
                <w:lang w:eastAsia="zh-CN"/>
              </w:rPr>
            </w:pPr>
            <w:r>
              <w:rPr>
                <w:rFonts w:hint="eastAsia" w:hAnsi="宋体" w:eastAsia="宋体" w:cs="宋体"/>
                <w:b/>
                <w:bCs/>
                <w:sz w:val="21"/>
                <w:szCs w:val="21"/>
                <w:highlight w:val="none"/>
              </w:rPr>
              <w:t>项目编号：</w:t>
            </w:r>
            <w:r>
              <w:rPr>
                <w:rFonts w:hint="eastAsia" w:hAnsi="宋体" w:cs="宋体"/>
                <w:sz w:val="21"/>
                <w:szCs w:val="21"/>
                <w:highlight w:val="none"/>
                <w:lang w:eastAsia="zh-CN"/>
              </w:rPr>
              <w:t>ZJJX-25CG-006</w:t>
            </w:r>
          </w:p>
          <w:p w14:paraId="56917539">
            <w:pPr>
              <w:spacing w:line="360" w:lineRule="auto"/>
              <w:jc w:val="left"/>
              <w:rPr>
                <w:rFonts w:hint="eastAsia" w:ascii="宋体" w:hAnsi="宋体" w:eastAsia="宋体" w:cs="宋体"/>
                <w:i w:val="0"/>
                <w:iCs w:val="0"/>
                <w:color w:val="auto"/>
                <w:sz w:val="18"/>
                <w:szCs w:val="18"/>
                <w:highlight w:val="none"/>
                <w:u w:val="none"/>
              </w:rPr>
            </w:pPr>
            <w:r>
              <w:rPr>
                <w:rFonts w:hint="eastAsia" w:hAnsi="宋体" w:eastAsia="宋体" w:cs="宋体"/>
                <w:b/>
                <w:bCs/>
                <w:sz w:val="21"/>
                <w:szCs w:val="21"/>
                <w:highlight w:val="none"/>
              </w:rPr>
              <w:t>项目名称：</w:t>
            </w:r>
            <w:r>
              <w:rPr>
                <w:rFonts w:hint="eastAsia" w:hAnsi="宋体" w:cs="宋体"/>
                <w:sz w:val="21"/>
                <w:szCs w:val="21"/>
                <w:highlight w:val="none"/>
                <w:lang w:eastAsia="zh-CN"/>
              </w:rPr>
              <w:t>仙居县台创基地未来乡村项目渔耕体验区配套道路</w:t>
            </w:r>
            <w:r>
              <w:rPr>
                <w:rFonts w:hint="eastAsia" w:hAnsi="宋体" w:eastAsia="宋体" w:cs="宋体"/>
                <w:sz w:val="21"/>
                <w:szCs w:val="21"/>
                <w:highlight w:val="none"/>
              </w:rPr>
              <w:t xml:space="preserve"> </w:t>
            </w:r>
          </w:p>
        </w:tc>
        <w:tc>
          <w:tcPr>
            <w:tcW w:w="2220" w:type="dxa"/>
            <w:gridSpan w:val="2"/>
            <w:tcBorders>
              <w:top w:val="nil"/>
              <w:left w:val="nil"/>
              <w:bottom w:val="nil"/>
              <w:right w:val="nil"/>
            </w:tcBorders>
            <w:shd w:val="clear" w:color="auto" w:fill="FFFFFF"/>
            <w:noWrap w:val="0"/>
            <w:vAlign w:val="bottom"/>
          </w:tcPr>
          <w:p w14:paraId="7C1BAADA">
            <w:pPr>
              <w:keepNext w:val="0"/>
              <w:keepLines w:val="0"/>
              <w:widowControl/>
              <w:suppressLineNumbers w:val="0"/>
              <w:spacing w:line="360" w:lineRule="auto"/>
              <w:jc w:val="right"/>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第1页 共1页</w:t>
            </w:r>
          </w:p>
        </w:tc>
      </w:tr>
      <w:tr w14:paraId="796A70E9">
        <w:tblPrEx>
          <w:tblCellMar>
            <w:top w:w="0" w:type="dxa"/>
            <w:left w:w="108" w:type="dxa"/>
            <w:bottom w:w="0" w:type="dxa"/>
            <w:right w:w="108" w:type="dxa"/>
          </w:tblCellMar>
        </w:tblPrEx>
        <w:trPr>
          <w:trHeight w:val="435" w:hRule="atLeast"/>
        </w:trPr>
        <w:tc>
          <w:tcPr>
            <w:tcW w:w="585" w:type="dxa"/>
            <w:vMerge w:val="restart"/>
            <w:tcBorders>
              <w:top w:val="single" w:color="000000" w:sz="4" w:space="0"/>
              <w:left w:val="single" w:color="000000" w:sz="4" w:space="0"/>
              <w:bottom w:val="nil"/>
              <w:right w:val="nil"/>
            </w:tcBorders>
            <w:shd w:val="clear" w:color="auto" w:fill="FFFFFF"/>
            <w:noWrap w:val="0"/>
            <w:vAlign w:val="center"/>
          </w:tcPr>
          <w:p w14:paraId="0FF20409">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3330" w:type="dxa"/>
            <w:vMerge w:val="restart"/>
            <w:tcBorders>
              <w:top w:val="single" w:color="000000" w:sz="4" w:space="0"/>
              <w:left w:val="single" w:color="000000" w:sz="4" w:space="0"/>
              <w:bottom w:val="nil"/>
              <w:right w:val="nil"/>
            </w:tcBorders>
            <w:shd w:val="clear" w:color="auto" w:fill="FFFFFF"/>
            <w:noWrap w:val="0"/>
            <w:vAlign w:val="center"/>
          </w:tcPr>
          <w:p w14:paraId="445EE627">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工程名称</w:t>
            </w:r>
          </w:p>
        </w:tc>
        <w:tc>
          <w:tcPr>
            <w:tcW w:w="1410" w:type="dxa"/>
            <w:vMerge w:val="restart"/>
            <w:tcBorders>
              <w:top w:val="single" w:color="000000" w:sz="4" w:space="0"/>
              <w:left w:val="single" w:color="000000" w:sz="4" w:space="0"/>
              <w:bottom w:val="nil"/>
              <w:right w:val="nil"/>
            </w:tcBorders>
            <w:shd w:val="clear" w:color="auto" w:fill="FFFFFF"/>
            <w:noWrap w:val="0"/>
            <w:vAlign w:val="center"/>
          </w:tcPr>
          <w:p w14:paraId="62221CB9">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金额(元)</w:t>
            </w:r>
          </w:p>
        </w:tc>
        <w:tc>
          <w:tcPr>
            <w:tcW w:w="4380" w:type="dxa"/>
            <w:gridSpan w:val="4"/>
            <w:tcBorders>
              <w:top w:val="single" w:color="000000" w:sz="4" w:space="0"/>
              <w:left w:val="single" w:color="000000" w:sz="4" w:space="0"/>
              <w:bottom w:val="nil"/>
              <w:right w:val="single" w:color="000000" w:sz="4" w:space="0"/>
            </w:tcBorders>
            <w:shd w:val="clear" w:color="auto" w:fill="FFFFFF"/>
            <w:noWrap w:val="0"/>
            <w:vAlign w:val="center"/>
          </w:tcPr>
          <w:p w14:paraId="5FD22CF7">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其中：单位（元）</w:t>
            </w:r>
          </w:p>
        </w:tc>
      </w:tr>
      <w:tr w14:paraId="28B43D6A">
        <w:tblPrEx>
          <w:tblCellMar>
            <w:top w:w="0" w:type="dxa"/>
            <w:left w:w="108" w:type="dxa"/>
            <w:bottom w:w="0" w:type="dxa"/>
            <w:right w:w="108" w:type="dxa"/>
          </w:tblCellMar>
        </w:tblPrEx>
        <w:trPr>
          <w:trHeight w:val="480" w:hRule="atLeast"/>
        </w:trPr>
        <w:tc>
          <w:tcPr>
            <w:tcW w:w="585" w:type="dxa"/>
            <w:vMerge w:val="continue"/>
            <w:tcBorders>
              <w:top w:val="single" w:color="000000" w:sz="4" w:space="0"/>
              <w:left w:val="single" w:color="000000" w:sz="4" w:space="0"/>
              <w:bottom w:val="nil"/>
              <w:right w:val="nil"/>
            </w:tcBorders>
            <w:shd w:val="clear" w:color="auto" w:fill="FFFFFF"/>
            <w:noWrap w:val="0"/>
            <w:vAlign w:val="center"/>
          </w:tcPr>
          <w:p w14:paraId="7A57A0E8">
            <w:pPr>
              <w:spacing w:line="360" w:lineRule="auto"/>
              <w:jc w:val="center"/>
              <w:rPr>
                <w:rFonts w:hint="eastAsia" w:ascii="宋体" w:hAnsi="宋体" w:eastAsia="宋体" w:cs="宋体"/>
                <w:i w:val="0"/>
                <w:iCs w:val="0"/>
                <w:color w:val="auto"/>
                <w:sz w:val="18"/>
                <w:szCs w:val="18"/>
                <w:highlight w:val="none"/>
                <w:u w:val="none"/>
              </w:rPr>
            </w:pPr>
          </w:p>
        </w:tc>
        <w:tc>
          <w:tcPr>
            <w:tcW w:w="3330" w:type="dxa"/>
            <w:vMerge w:val="continue"/>
            <w:tcBorders>
              <w:top w:val="single" w:color="000000" w:sz="4" w:space="0"/>
              <w:left w:val="single" w:color="000000" w:sz="4" w:space="0"/>
              <w:bottom w:val="nil"/>
              <w:right w:val="nil"/>
            </w:tcBorders>
            <w:shd w:val="clear" w:color="auto" w:fill="FFFFFF"/>
            <w:noWrap w:val="0"/>
            <w:vAlign w:val="center"/>
          </w:tcPr>
          <w:p w14:paraId="207ACF81">
            <w:pPr>
              <w:spacing w:line="360" w:lineRule="auto"/>
              <w:jc w:val="center"/>
              <w:rPr>
                <w:rFonts w:hint="eastAsia" w:ascii="宋体" w:hAnsi="宋体" w:eastAsia="宋体" w:cs="宋体"/>
                <w:i w:val="0"/>
                <w:iCs w:val="0"/>
                <w:color w:val="auto"/>
                <w:sz w:val="18"/>
                <w:szCs w:val="18"/>
                <w:highlight w:val="none"/>
                <w:u w:val="none"/>
              </w:rPr>
            </w:pPr>
          </w:p>
        </w:tc>
        <w:tc>
          <w:tcPr>
            <w:tcW w:w="1410" w:type="dxa"/>
            <w:vMerge w:val="continue"/>
            <w:tcBorders>
              <w:top w:val="single" w:color="000000" w:sz="4" w:space="0"/>
              <w:left w:val="single" w:color="000000" w:sz="4" w:space="0"/>
              <w:bottom w:val="nil"/>
              <w:right w:val="nil"/>
            </w:tcBorders>
            <w:shd w:val="clear" w:color="auto" w:fill="FFFFFF"/>
            <w:noWrap w:val="0"/>
            <w:vAlign w:val="center"/>
          </w:tcPr>
          <w:p w14:paraId="3D5894A9">
            <w:pPr>
              <w:spacing w:line="360" w:lineRule="auto"/>
              <w:jc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0"/>
            <w:vAlign w:val="center"/>
          </w:tcPr>
          <w:p w14:paraId="7FE9397D">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暂估价</w:t>
            </w:r>
          </w:p>
        </w:tc>
        <w:tc>
          <w:tcPr>
            <w:tcW w:w="1320" w:type="dxa"/>
            <w:tcBorders>
              <w:top w:val="single" w:color="000000" w:sz="4" w:space="0"/>
              <w:left w:val="single" w:color="000000" w:sz="4" w:space="0"/>
              <w:bottom w:val="nil"/>
              <w:right w:val="nil"/>
            </w:tcBorders>
            <w:shd w:val="clear" w:color="auto" w:fill="FFFFFF"/>
            <w:noWrap w:val="0"/>
            <w:vAlign w:val="center"/>
          </w:tcPr>
          <w:p w14:paraId="0A9B7770">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安全文明</w:t>
            </w:r>
          </w:p>
          <w:p w14:paraId="41050D34">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施工基本费</w:t>
            </w:r>
          </w:p>
        </w:tc>
        <w:tc>
          <w:tcPr>
            <w:tcW w:w="1065" w:type="dxa"/>
            <w:tcBorders>
              <w:top w:val="single" w:color="000000" w:sz="4" w:space="0"/>
              <w:left w:val="single" w:color="000000" w:sz="4" w:space="0"/>
              <w:bottom w:val="nil"/>
              <w:right w:val="nil"/>
            </w:tcBorders>
            <w:shd w:val="clear" w:color="auto" w:fill="FFFFFF"/>
            <w:noWrap w:val="0"/>
            <w:vAlign w:val="center"/>
          </w:tcPr>
          <w:p w14:paraId="1ECCD06B">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规费</w:t>
            </w:r>
          </w:p>
        </w:tc>
        <w:tc>
          <w:tcPr>
            <w:tcW w:w="1155" w:type="dxa"/>
            <w:tcBorders>
              <w:top w:val="single" w:color="000000" w:sz="4" w:space="0"/>
              <w:left w:val="single" w:color="000000" w:sz="4" w:space="0"/>
              <w:bottom w:val="nil"/>
              <w:right w:val="single" w:color="000000" w:sz="4" w:space="0"/>
            </w:tcBorders>
            <w:shd w:val="clear" w:color="auto" w:fill="FFFFFF"/>
            <w:noWrap w:val="0"/>
            <w:vAlign w:val="center"/>
          </w:tcPr>
          <w:p w14:paraId="3D1A796C">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税金</w:t>
            </w:r>
          </w:p>
        </w:tc>
      </w:tr>
      <w:tr w14:paraId="12A55B9E">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nil"/>
              <w:right w:val="nil"/>
            </w:tcBorders>
            <w:shd w:val="clear" w:color="auto" w:fill="FFFFFF"/>
            <w:noWrap w:val="0"/>
            <w:vAlign w:val="center"/>
          </w:tcPr>
          <w:p w14:paraId="17E9EF95">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330" w:type="dxa"/>
            <w:tcBorders>
              <w:top w:val="single" w:color="000000" w:sz="4" w:space="0"/>
              <w:left w:val="single" w:color="000000" w:sz="4" w:space="0"/>
              <w:bottom w:val="nil"/>
              <w:right w:val="nil"/>
            </w:tcBorders>
            <w:shd w:val="clear" w:color="auto" w:fill="FFFFFF"/>
            <w:noWrap w:val="0"/>
            <w:vAlign w:val="center"/>
          </w:tcPr>
          <w:p w14:paraId="21C1A688">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仙居县台创基地未来乡村项目渔耕体验区配套道路</w:t>
            </w:r>
          </w:p>
        </w:tc>
        <w:tc>
          <w:tcPr>
            <w:tcW w:w="1410" w:type="dxa"/>
            <w:tcBorders>
              <w:top w:val="single" w:color="000000" w:sz="4" w:space="0"/>
              <w:left w:val="single" w:color="000000" w:sz="4" w:space="0"/>
              <w:bottom w:val="nil"/>
              <w:right w:val="nil"/>
            </w:tcBorders>
            <w:shd w:val="clear" w:color="auto" w:fill="FFFFFF"/>
            <w:noWrap/>
            <w:vAlign w:val="center"/>
          </w:tcPr>
          <w:p w14:paraId="23EF291C">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5D451369">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3F4D3958">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69D7F950">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789C599F">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r w14:paraId="5EBB0D28">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78B00290">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3330" w:type="dxa"/>
            <w:tcBorders>
              <w:top w:val="single" w:color="000000" w:sz="4" w:space="0"/>
              <w:left w:val="single" w:color="000000" w:sz="4" w:space="0"/>
              <w:bottom w:val="nil"/>
              <w:right w:val="nil"/>
            </w:tcBorders>
            <w:shd w:val="clear" w:color="auto" w:fill="FFFFFF"/>
            <w:noWrap w:val="0"/>
            <w:vAlign w:val="center"/>
          </w:tcPr>
          <w:p w14:paraId="32AFB156">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6F13C15F">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0E52FD28">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5EE6F90B">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0D819F85">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4F70B2B7">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r w14:paraId="74CB28B6">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246B9154">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70320738">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3A90F754">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77686681">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72B65D89">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3E10B1F2">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05584BAA">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r w14:paraId="60BBC819">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3D8A2A9A">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p>
        </w:tc>
        <w:tc>
          <w:tcPr>
            <w:tcW w:w="3330" w:type="dxa"/>
            <w:tcBorders>
              <w:top w:val="single" w:color="000000" w:sz="4" w:space="0"/>
              <w:left w:val="single" w:color="000000" w:sz="4" w:space="0"/>
              <w:bottom w:val="nil"/>
              <w:right w:val="nil"/>
            </w:tcBorders>
            <w:shd w:val="clear" w:color="auto" w:fill="FFFFFF"/>
            <w:noWrap w:val="0"/>
            <w:vAlign w:val="center"/>
          </w:tcPr>
          <w:p w14:paraId="60E3E162">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25080000">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1F1E4251">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216F3CF5">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62BB5E2F">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0141EA0B">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r w14:paraId="5744E970">
        <w:tblPrEx>
          <w:tblCellMar>
            <w:top w:w="0" w:type="dxa"/>
            <w:left w:w="108" w:type="dxa"/>
            <w:bottom w:w="0" w:type="dxa"/>
            <w:right w:w="108" w:type="dxa"/>
          </w:tblCellMar>
        </w:tblPrEx>
        <w:trPr>
          <w:trHeight w:val="450" w:hRule="atLeast"/>
        </w:trPr>
        <w:tc>
          <w:tcPr>
            <w:tcW w:w="585" w:type="dxa"/>
            <w:tcBorders>
              <w:top w:val="single" w:color="000000" w:sz="4" w:space="0"/>
              <w:left w:val="single" w:color="000000" w:sz="4" w:space="0"/>
              <w:bottom w:val="nil"/>
              <w:right w:val="nil"/>
            </w:tcBorders>
            <w:shd w:val="clear" w:color="auto" w:fill="FFFFFF"/>
            <w:noWrap w:val="0"/>
            <w:vAlign w:val="center"/>
          </w:tcPr>
          <w:p w14:paraId="487E4987">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p>
        </w:tc>
        <w:tc>
          <w:tcPr>
            <w:tcW w:w="3330" w:type="dxa"/>
            <w:tcBorders>
              <w:top w:val="single" w:color="000000" w:sz="4" w:space="0"/>
              <w:left w:val="single" w:color="000000" w:sz="4" w:space="0"/>
              <w:bottom w:val="nil"/>
              <w:right w:val="nil"/>
            </w:tcBorders>
            <w:shd w:val="clear" w:color="auto" w:fill="FFFFFF"/>
            <w:noWrap w:val="0"/>
            <w:vAlign w:val="center"/>
          </w:tcPr>
          <w:p w14:paraId="0199FC04">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520B77DE">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42EF2358">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2D48BF2A">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4ACC2956">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2F0B375E">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r w14:paraId="611FED60">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5DEC384D">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28951190">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6A713110">
            <w:pPr>
              <w:spacing w:line="360" w:lineRule="auto"/>
              <w:jc w:val="right"/>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32907D0C">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2FF29488">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0B6CDB10">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22B88D19">
            <w:pPr>
              <w:spacing w:line="360" w:lineRule="auto"/>
              <w:jc w:val="right"/>
              <w:rPr>
                <w:rFonts w:hint="eastAsia" w:ascii="宋体" w:hAnsi="宋体" w:eastAsia="宋体" w:cs="宋体"/>
                <w:i w:val="0"/>
                <w:iCs w:val="0"/>
                <w:color w:val="auto"/>
                <w:sz w:val="18"/>
                <w:szCs w:val="18"/>
                <w:highlight w:val="none"/>
                <w:u w:val="none"/>
              </w:rPr>
            </w:pPr>
          </w:p>
        </w:tc>
      </w:tr>
      <w:tr w14:paraId="5FB9BC17">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3EE17116">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4F546201">
            <w:pPr>
              <w:keepNext w:val="0"/>
              <w:keepLines w:val="0"/>
              <w:widowControl/>
              <w:suppressLineNumbers w:val="0"/>
              <w:spacing w:line="360" w:lineRule="auto"/>
              <w:jc w:val="left"/>
              <w:textAlignment w:val="center"/>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32D91E96">
            <w:pPr>
              <w:spacing w:line="360" w:lineRule="auto"/>
              <w:jc w:val="right"/>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77BC842F">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618442EF">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633161C9">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3E9ADD70">
            <w:pPr>
              <w:spacing w:line="360" w:lineRule="auto"/>
              <w:jc w:val="right"/>
              <w:rPr>
                <w:rFonts w:hint="eastAsia" w:ascii="宋体" w:hAnsi="宋体" w:eastAsia="宋体" w:cs="宋体"/>
                <w:i w:val="0"/>
                <w:iCs w:val="0"/>
                <w:color w:val="auto"/>
                <w:sz w:val="18"/>
                <w:szCs w:val="18"/>
                <w:highlight w:val="none"/>
                <w:u w:val="none"/>
              </w:rPr>
            </w:pPr>
          </w:p>
        </w:tc>
      </w:tr>
      <w:tr w14:paraId="0E68D400">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2D3D3AE3">
            <w:pPr>
              <w:spacing w:line="360" w:lineRule="auto"/>
              <w:jc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113D8866">
            <w:pPr>
              <w:spacing w:line="360" w:lineRule="auto"/>
              <w:jc w:val="left"/>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2C12D7EA">
            <w:pPr>
              <w:spacing w:line="360" w:lineRule="auto"/>
              <w:jc w:val="right"/>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5997972A">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6A3119CA">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15D7FAE8">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086D886B">
            <w:pPr>
              <w:spacing w:line="360" w:lineRule="auto"/>
              <w:jc w:val="right"/>
              <w:rPr>
                <w:rFonts w:hint="eastAsia" w:ascii="宋体" w:hAnsi="宋体" w:eastAsia="宋体" w:cs="宋体"/>
                <w:i w:val="0"/>
                <w:iCs w:val="0"/>
                <w:color w:val="auto"/>
                <w:sz w:val="18"/>
                <w:szCs w:val="18"/>
                <w:highlight w:val="none"/>
                <w:u w:val="none"/>
              </w:rPr>
            </w:pPr>
          </w:p>
        </w:tc>
      </w:tr>
      <w:tr w14:paraId="3C74FB03">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03DB067A">
            <w:pPr>
              <w:spacing w:line="360" w:lineRule="auto"/>
              <w:jc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5B9A7892">
            <w:pPr>
              <w:spacing w:line="360" w:lineRule="auto"/>
              <w:jc w:val="left"/>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0CB0E239">
            <w:pPr>
              <w:spacing w:line="360" w:lineRule="auto"/>
              <w:jc w:val="right"/>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396E6A29">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0D26A783">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2DAE6715">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3E865A06">
            <w:pPr>
              <w:spacing w:line="360" w:lineRule="auto"/>
              <w:jc w:val="right"/>
              <w:rPr>
                <w:rFonts w:hint="eastAsia" w:ascii="宋体" w:hAnsi="宋体" w:eastAsia="宋体" w:cs="宋体"/>
                <w:i w:val="0"/>
                <w:iCs w:val="0"/>
                <w:color w:val="auto"/>
                <w:sz w:val="18"/>
                <w:szCs w:val="18"/>
                <w:highlight w:val="none"/>
                <w:u w:val="none"/>
              </w:rPr>
            </w:pPr>
          </w:p>
        </w:tc>
      </w:tr>
      <w:tr w14:paraId="515CD6BF">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nil"/>
              <w:right w:val="nil"/>
            </w:tcBorders>
            <w:shd w:val="clear" w:color="auto" w:fill="FFFFFF"/>
            <w:noWrap w:val="0"/>
            <w:vAlign w:val="center"/>
          </w:tcPr>
          <w:p w14:paraId="705924F5">
            <w:pPr>
              <w:spacing w:line="360" w:lineRule="auto"/>
              <w:jc w:val="center"/>
              <w:rPr>
                <w:rFonts w:hint="eastAsia" w:ascii="宋体" w:hAnsi="宋体" w:eastAsia="宋体" w:cs="宋体"/>
                <w:i w:val="0"/>
                <w:iCs w:val="0"/>
                <w:color w:val="auto"/>
                <w:sz w:val="18"/>
                <w:szCs w:val="18"/>
                <w:highlight w:val="none"/>
                <w:u w:val="none"/>
              </w:rPr>
            </w:pPr>
          </w:p>
        </w:tc>
        <w:tc>
          <w:tcPr>
            <w:tcW w:w="3330" w:type="dxa"/>
            <w:tcBorders>
              <w:top w:val="single" w:color="000000" w:sz="4" w:space="0"/>
              <w:left w:val="single" w:color="000000" w:sz="4" w:space="0"/>
              <w:bottom w:val="nil"/>
              <w:right w:val="nil"/>
            </w:tcBorders>
            <w:shd w:val="clear" w:color="auto" w:fill="FFFFFF"/>
            <w:noWrap w:val="0"/>
            <w:vAlign w:val="center"/>
          </w:tcPr>
          <w:p w14:paraId="6AFAB0F6">
            <w:pPr>
              <w:spacing w:line="360" w:lineRule="auto"/>
              <w:jc w:val="left"/>
              <w:rPr>
                <w:rFonts w:hint="eastAsia" w:ascii="宋体" w:hAnsi="宋体" w:eastAsia="宋体" w:cs="宋体"/>
                <w:i w:val="0"/>
                <w:iCs w:val="0"/>
                <w:color w:val="auto"/>
                <w:sz w:val="18"/>
                <w:szCs w:val="18"/>
                <w:highlight w:val="none"/>
                <w:u w:val="none"/>
              </w:rPr>
            </w:pPr>
          </w:p>
        </w:tc>
        <w:tc>
          <w:tcPr>
            <w:tcW w:w="1410" w:type="dxa"/>
            <w:tcBorders>
              <w:top w:val="single" w:color="000000" w:sz="4" w:space="0"/>
              <w:left w:val="single" w:color="000000" w:sz="4" w:space="0"/>
              <w:bottom w:val="nil"/>
              <w:right w:val="nil"/>
            </w:tcBorders>
            <w:shd w:val="clear" w:color="auto" w:fill="FFFFFF"/>
            <w:noWrap/>
            <w:vAlign w:val="center"/>
          </w:tcPr>
          <w:p w14:paraId="4AE2D88F">
            <w:pPr>
              <w:spacing w:line="360" w:lineRule="auto"/>
              <w:jc w:val="right"/>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nil"/>
              <w:right w:val="nil"/>
            </w:tcBorders>
            <w:shd w:val="clear" w:color="auto" w:fill="FFFFFF"/>
            <w:noWrap/>
            <w:vAlign w:val="center"/>
          </w:tcPr>
          <w:p w14:paraId="2493DFB6">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nil"/>
              <w:right w:val="nil"/>
            </w:tcBorders>
            <w:shd w:val="clear" w:color="auto" w:fill="FFFFFF"/>
            <w:noWrap/>
            <w:vAlign w:val="center"/>
          </w:tcPr>
          <w:p w14:paraId="469B7573">
            <w:pPr>
              <w:spacing w:line="360" w:lineRule="auto"/>
              <w:jc w:val="right"/>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nil"/>
              <w:right w:val="nil"/>
            </w:tcBorders>
            <w:shd w:val="clear" w:color="auto" w:fill="FFFFFF"/>
            <w:noWrap/>
            <w:vAlign w:val="center"/>
          </w:tcPr>
          <w:p w14:paraId="32B7CFF9">
            <w:pPr>
              <w:spacing w:line="360" w:lineRule="auto"/>
              <w:jc w:val="right"/>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nil"/>
              <w:right w:val="single" w:color="000000" w:sz="4" w:space="0"/>
            </w:tcBorders>
            <w:shd w:val="clear" w:color="auto" w:fill="FFFFFF"/>
            <w:noWrap/>
            <w:vAlign w:val="center"/>
          </w:tcPr>
          <w:p w14:paraId="45FC1141">
            <w:pPr>
              <w:spacing w:line="360" w:lineRule="auto"/>
              <w:jc w:val="right"/>
              <w:rPr>
                <w:rFonts w:hint="eastAsia" w:ascii="宋体" w:hAnsi="宋体" w:eastAsia="宋体" w:cs="宋体"/>
                <w:i w:val="0"/>
                <w:iCs w:val="0"/>
                <w:color w:val="auto"/>
                <w:sz w:val="18"/>
                <w:szCs w:val="18"/>
                <w:highlight w:val="none"/>
                <w:u w:val="none"/>
              </w:rPr>
            </w:pPr>
          </w:p>
        </w:tc>
      </w:tr>
      <w:tr w14:paraId="6C1BDCB9">
        <w:tblPrEx>
          <w:tblCellMar>
            <w:top w:w="0" w:type="dxa"/>
            <w:left w:w="108" w:type="dxa"/>
            <w:bottom w:w="0" w:type="dxa"/>
            <w:right w:w="108" w:type="dxa"/>
          </w:tblCellMar>
        </w:tblPrEx>
        <w:trPr>
          <w:trHeight w:val="435" w:hRule="atLeast"/>
        </w:trPr>
        <w:tc>
          <w:tcPr>
            <w:tcW w:w="3915"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07213E41">
            <w:pPr>
              <w:keepNext w:val="0"/>
              <w:keepLines w:val="0"/>
              <w:widowControl/>
              <w:suppressLineNumbers w:val="0"/>
              <w:spacing w:line="36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结转至附件初次报价一览表）</w:t>
            </w:r>
          </w:p>
        </w:tc>
        <w:tc>
          <w:tcPr>
            <w:tcW w:w="1410" w:type="dxa"/>
            <w:tcBorders>
              <w:top w:val="single" w:color="000000" w:sz="4" w:space="0"/>
              <w:left w:val="single" w:color="000000" w:sz="4" w:space="0"/>
              <w:bottom w:val="single" w:color="000000" w:sz="4" w:space="0"/>
              <w:right w:val="nil"/>
            </w:tcBorders>
            <w:shd w:val="clear" w:color="auto" w:fill="FFFFFF"/>
            <w:noWrap w:val="0"/>
            <w:vAlign w:val="center"/>
          </w:tcPr>
          <w:p w14:paraId="06E44E91">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840" w:type="dxa"/>
            <w:tcBorders>
              <w:top w:val="single" w:color="000000" w:sz="4" w:space="0"/>
              <w:left w:val="single" w:color="000000" w:sz="4" w:space="0"/>
              <w:bottom w:val="single" w:color="000000" w:sz="4" w:space="0"/>
              <w:right w:val="nil"/>
            </w:tcBorders>
            <w:shd w:val="clear" w:color="auto" w:fill="FFFFFF"/>
            <w:noWrap/>
            <w:vAlign w:val="center"/>
          </w:tcPr>
          <w:p w14:paraId="127AFFBF">
            <w:pPr>
              <w:spacing w:line="360" w:lineRule="auto"/>
              <w:jc w:val="right"/>
              <w:rPr>
                <w:rFonts w:hint="eastAsia" w:ascii="宋体" w:hAnsi="宋体" w:eastAsia="宋体" w:cs="宋体"/>
                <w:i w:val="0"/>
                <w:iCs w:val="0"/>
                <w:color w:val="auto"/>
                <w:sz w:val="18"/>
                <w:szCs w:val="18"/>
                <w:highlight w:val="none"/>
                <w:u w:val="none"/>
              </w:rPr>
            </w:pPr>
          </w:p>
        </w:tc>
        <w:tc>
          <w:tcPr>
            <w:tcW w:w="1320" w:type="dxa"/>
            <w:tcBorders>
              <w:top w:val="single" w:color="000000" w:sz="4" w:space="0"/>
              <w:left w:val="single" w:color="000000" w:sz="4" w:space="0"/>
              <w:bottom w:val="single" w:color="000000" w:sz="4" w:space="0"/>
              <w:right w:val="nil"/>
            </w:tcBorders>
            <w:shd w:val="clear" w:color="auto" w:fill="FFFFFF"/>
            <w:noWrap/>
            <w:vAlign w:val="center"/>
          </w:tcPr>
          <w:p w14:paraId="1B1A622E">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065" w:type="dxa"/>
            <w:tcBorders>
              <w:top w:val="single" w:color="000000" w:sz="4" w:space="0"/>
              <w:left w:val="single" w:color="000000" w:sz="4" w:space="0"/>
              <w:bottom w:val="single" w:color="000000" w:sz="4" w:space="0"/>
              <w:right w:val="nil"/>
            </w:tcBorders>
            <w:shd w:val="clear" w:color="auto" w:fill="FFFFFF"/>
            <w:noWrap/>
            <w:vAlign w:val="center"/>
          </w:tcPr>
          <w:p w14:paraId="503E7D17">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2A04">
            <w:pPr>
              <w:keepNext w:val="0"/>
              <w:keepLines w:val="0"/>
              <w:widowControl/>
              <w:suppressLineNumbers w:val="0"/>
              <w:spacing w:line="360" w:lineRule="auto"/>
              <w:jc w:val="right"/>
              <w:textAlignment w:val="center"/>
              <w:rPr>
                <w:rFonts w:hint="eastAsia" w:ascii="宋体" w:hAnsi="宋体" w:eastAsia="宋体" w:cs="宋体"/>
                <w:i w:val="0"/>
                <w:iCs w:val="0"/>
                <w:color w:val="auto"/>
                <w:sz w:val="18"/>
                <w:szCs w:val="18"/>
                <w:highlight w:val="none"/>
                <w:u w:val="none"/>
              </w:rPr>
            </w:pPr>
          </w:p>
        </w:tc>
      </w:tr>
    </w:tbl>
    <w:p w14:paraId="433D07E5">
      <w:pPr>
        <w:pStyle w:val="23"/>
        <w:spacing w:line="360" w:lineRule="auto"/>
        <w:rPr>
          <w:rFonts w:hint="eastAsia"/>
          <w:lang w:eastAsia="zh-CN"/>
        </w:rPr>
      </w:pPr>
    </w:p>
    <w:p w14:paraId="3C08CFC1">
      <w:pPr>
        <w:snapToGrid w:val="0"/>
        <w:spacing w:line="360" w:lineRule="auto"/>
        <w:jc w:val="left"/>
        <w:rPr>
          <w:rFonts w:hint="eastAsia" w:ascii="宋体" w:hAnsi="宋体" w:cs="宋体"/>
          <w:b/>
          <w:bCs/>
          <w:color w:val="FF0000"/>
          <w:szCs w:val="21"/>
        </w:rPr>
      </w:pPr>
      <w:r>
        <w:rPr>
          <w:rFonts w:hint="eastAsia" w:ascii="宋体" w:hAnsi="宋体" w:cs="宋体"/>
          <w:b/>
          <w:bCs/>
          <w:szCs w:val="21"/>
        </w:rPr>
        <w:t>注：</w:t>
      </w:r>
    </w:p>
    <w:p w14:paraId="2A25CCBE">
      <w:pPr>
        <w:spacing w:line="360" w:lineRule="auto"/>
        <w:rPr>
          <w:rFonts w:hint="eastAsia"/>
          <w:b/>
          <w:bCs/>
          <w:color w:val="auto"/>
          <w:szCs w:val="21"/>
          <w:highlight w:val="none"/>
        </w:rPr>
      </w:pPr>
      <w:r>
        <w:rPr>
          <w:rFonts w:hint="eastAsia"/>
          <w:b/>
          <w:bCs/>
          <w:color w:val="auto"/>
          <w:szCs w:val="21"/>
          <w:highlight w:val="none"/>
        </w:rPr>
        <w:t>1、“工程项目投标报价汇总表”中的投标总报价应与“</w:t>
      </w:r>
      <w:r>
        <w:rPr>
          <w:rFonts w:hint="eastAsia"/>
          <w:b/>
          <w:bCs/>
          <w:color w:val="auto"/>
          <w:szCs w:val="21"/>
          <w:highlight w:val="none"/>
          <w:lang w:eastAsia="zh-CN"/>
        </w:rPr>
        <w:t>首次报价</w:t>
      </w:r>
      <w:r>
        <w:rPr>
          <w:rFonts w:hint="eastAsia"/>
          <w:b/>
          <w:bCs/>
          <w:color w:val="auto"/>
          <w:szCs w:val="21"/>
          <w:highlight w:val="none"/>
        </w:rPr>
        <w:t>一览表”中的投标总报价相一致，不一致时，以“</w:t>
      </w:r>
      <w:r>
        <w:rPr>
          <w:rFonts w:hint="eastAsia"/>
          <w:b/>
          <w:bCs/>
          <w:color w:val="auto"/>
          <w:szCs w:val="21"/>
          <w:highlight w:val="none"/>
          <w:lang w:eastAsia="zh-CN"/>
        </w:rPr>
        <w:t>首次</w:t>
      </w:r>
      <w:r>
        <w:rPr>
          <w:rFonts w:hint="eastAsia"/>
          <w:b/>
          <w:bCs/>
          <w:color w:val="auto"/>
          <w:szCs w:val="21"/>
          <w:highlight w:val="none"/>
        </w:rPr>
        <w:t>报价一览表”为准。</w:t>
      </w:r>
    </w:p>
    <w:p w14:paraId="14C797FB">
      <w:pPr>
        <w:wordWrap w:val="0"/>
        <w:spacing w:line="360" w:lineRule="auto"/>
        <w:jc w:val="left"/>
        <w:rPr>
          <w:rFonts w:hint="eastAsia"/>
          <w:b/>
          <w:bCs/>
          <w:color w:val="auto"/>
          <w:szCs w:val="21"/>
          <w:highlight w:val="none"/>
        </w:rPr>
      </w:pPr>
      <w:r>
        <w:rPr>
          <w:rFonts w:hint="eastAsia"/>
          <w:b/>
          <w:bCs/>
          <w:color w:val="auto"/>
          <w:szCs w:val="21"/>
          <w:highlight w:val="none"/>
        </w:rPr>
        <w:t>2、投标报价明细表所填内容应根据投标人实际情况填写。如有漏报的，视同已包含在投标总价内或已作优惠处理。有重大缺项的将作无效标处理。</w:t>
      </w:r>
    </w:p>
    <w:p w14:paraId="6472A30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rPr>
      </w:pPr>
      <w:r>
        <w:rPr>
          <w:rFonts w:hint="eastAsia" w:ascii="宋体"/>
          <w:b/>
          <w:color w:val="0000FF"/>
          <w:sz w:val="21"/>
          <w:szCs w:val="21"/>
          <w:highlight w:val="none"/>
          <w:lang w:val="en-US" w:eastAsia="zh-CN"/>
        </w:rPr>
        <w:t>3、</w:t>
      </w:r>
      <w:r>
        <w:rPr>
          <w:rFonts w:hint="eastAsia" w:ascii="宋体"/>
          <w:b/>
          <w:color w:val="0000FF"/>
          <w:sz w:val="21"/>
          <w:szCs w:val="21"/>
          <w:highlight w:val="none"/>
          <w:lang w:eastAsia="zh-CN"/>
        </w:rPr>
        <w:t>附录详见工程量清单</w:t>
      </w:r>
    </w:p>
    <w:p w14:paraId="6F8E82A8">
      <w:pPr>
        <w:spacing w:line="360" w:lineRule="auto"/>
        <w:ind w:right="840"/>
        <w:jc w:val="center"/>
        <w:rPr>
          <w:rFonts w:ascii="宋体" w:hAnsi="宋体"/>
          <w:b/>
          <w:szCs w:val="21"/>
          <w:lang w:val="zh-CN"/>
        </w:rPr>
      </w:pP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cs="宋体"/>
          <w:b/>
          <w:sz w:val="24"/>
        </w:rPr>
        <w:t xml:space="preserve">             </w:t>
      </w:r>
      <w:r>
        <w:rPr>
          <w:rFonts w:hint="eastAsia" w:ascii="宋体" w:hAnsi="宋体" w:cs="宋体"/>
          <w:b/>
          <w:sz w:val="24"/>
          <w:lang w:val="zh-CN"/>
        </w:rPr>
        <w:t xml:space="preserve">  </w:t>
      </w:r>
      <w:r>
        <w:rPr>
          <w:rFonts w:hint="eastAsia" w:ascii="宋体" w:hAnsi="宋体"/>
          <w:b/>
          <w:szCs w:val="21"/>
        </w:rPr>
        <w:t xml:space="preserve"> </w:t>
      </w:r>
      <w:r>
        <w:rPr>
          <w:rFonts w:ascii="宋体" w:hAnsi="宋体"/>
          <w:b/>
          <w:szCs w:val="21"/>
          <w:lang w:val="zh-CN"/>
        </w:rPr>
        <w:t xml:space="preserve">供应商（盖单位章）： </w:t>
      </w:r>
    </w:p>
    <w:p w14:paraId="061E7B10">
      <w:pPr>
        <w:spacing w:line="360" w:lineRule="auto"/>
        <w:ind w:right="840"/>
        <w:jc w:val="center"/>
        <w:rPr>
          <w:rFonts w:hint="eastAsia" w:ascii="宋体" w:hAnsi="宋体"/>
          <w:b/>
          <w:szCs w:val="21"/>
          <w:lang w:val="zh-CN"/>
        </w:rPr>
      </w:pPr>
      <w:r>
        <w:rPr>
          <w:rFonts w:hint="eastAsia" w:ascii="宋体" w:hAnsi="宋体"/>
          <w:b/>
          <w:szCs w:val="21"/>
          <w:lang w:val="zh-CN"/>
        </w:rPr>
        <w:t>法定代表人或其授权代表人（签字或盖章）：</w:t>
      </w:r>
    </w:p>
    <w:p w14:paraId="46B47CA4">
      <w:pPr>
        <w:spacing w:line="360" w:lineRule="auto"/>
        <w:ind w:right="420" w:firstLine="5271" w:firstLineChars="2500"/>
        <w:rPr>
          <w:rFonts w:hint="eastAsia" w:ascii="宋体" w:hAnsi="宋体" w:eastAsia="宋体" w:cs="宋体"/>
          <w:b/>
          <w:sz w:val="28"/>
          <w:szCs w:val="28"/>
          <w:highlight w:val="none"/>
        </w:rPr>
      </w:pPr>
      <w:r>
        <w:rPr>
          <w:rFonts w:ascii="宋体" w:hAnsi="宋体"/>
          <w:b/>
          <w:szCs w:val="21"/>
          <w:lang w:val="zh-CN"/>
        </w:rPr>
        <w:t xml:space="preserve">日 </w:t>
      </w:r>
      <w:r>
        <w:rPr>
          <w:rFonts w:hint="eastAsia" w:ascii="宋体" w:hAnsi="宋体"/>
          <w:b/>
          <w:szCs w:val="21"/>
        </w:rPr>
        <w:t xml:space="preserve"> </w:t>
      </w:r>
      <w:r>
        <w:rPr>
          <w:rFonts w:hint="eastAsia" w:ascii="宋体" w:hAnsi="宋体"/>
          <w:b/>
          <w:szCs w:val="21"/>
          <w:lang w:val="zh-CN"/>
        </w:rPr>
        <w:t xml:space="preserve"> </w:t>
      </w:r>
      <w:r>
        <w:rPr>
          <w:rFonts w:ascii="宋体" w:hAnsi="宋体"/>
          <w:b/>
          <w:szCs w:val="21"/>
          <w:lang w:val="zh-CN"/>
        </w:rPr>
        <w:t>期：</w:t>
      </w:r>
      <w:bookmarkEnd w:id="390"/>
    </w:p>
    <w:p w14:paraId="648AD751">
      <w:pPr>
        <w:spacing w:line="360" w:lineRule="auto"/>
        <w:rPr>
          <w:rFonts w:hint="eastAsia" w:ascii="宋体" w:hAnsi="宋体" w:cs="宋体"/>
          <w:b/>
          <w:bCs/>
          <w:color w:val="000000"/>
          <w:sz w:val="24"/>
        </w:rPr>
      </w:pPr>
      <w:r>
        <w:rPr>
          <w:rFonts w:hint="eastAsia" w:ascii="宋体" w:hAnsi="宋体" w:cs="宋体"/>
          <w:b/>
          <w:bCs/>
          <w:color w:val="000000"/>
          <w:sz w:val="24"/>
        </w:rPr>
        <w:t>附件</w:t>
      </w:r>
      <w:r>
        <w:rPr>
          <w:rFonts w:hint="eastAsia" w:ascii="宋体" w:hAnsi="宋体" w:cs="宋体"/>
          <w:b/>
          <w:bCs/>
          <w:color w:val="000000"/>
          <w:sz w:val="24"/>
          <w:lang w:val="en-US" w:eastAsia="zh-CN"/>
        </w:rPr>
        <w:t>15</w:t>
      </w:r>
      <w:r>
        <w:rPr>
          <w:rFonts w:hint="eastAsia" w:ascii="宋体" w:hAnsi="宋体" w:cs="宋体"/>
          <w:b/>
          <w:bCs/>
          <w:color w:val="000000"/>
          <w:sz w:val="24"/>
        </w:rPr>
        <w:t xml:space="preserve">： </w:t>
      </w:r>
    </w:p>
    <w:p w14:paraId="1ABA02F4">
      <w:pPr>
        <w:pStyle w:val="48"/>
        <w:numPr>
          <w:ilvl w:val="6"/>
          <w:numId w:val="0"/>
        </w:numPr>
        <w:spacing w:line="360" w:lineRule="auto"/>
        <w:jc w:val="both"/>
        <w:rPr>
          <w:rFonts w:hint="eastAsia"/>
        </w:rPr>
      </w:pPr>
      <w:r>
        <w:rPr>
          <w:rFonts w:hint="eastAsia"/>
          <w:b/>
          <w:i/>
          <w:iCs/>
          <w:color w:val="auto"/>
          <w:sz w:val="24"/>
          <w:highlight w:val="none"/>
        </w:rPr>
        <w:t>注：初次报价时无需提供。</w:t>
      </w:r>
    </w:p>
    <w:p w14:paraId="5A66376B">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报价一览表（</w:t>
      </w:r>
      <w:r>
        <w:rPr>
          <w:rFonts w:hint="eastAsia" w:ascii="宋体" w:hAnsi="宋体" w:eastAsia="宋体" w:cs="宋体"/>
          <w:b/>
          <w:sz w:val="28"/>
          <w:szCs w:val="28"/>
          <w:highlight w:val="none"/>
          <w:lang w:eastAsia="zh-CN"/>
        </w:rPr>
        <w:t>最终</w:t>
      </w:r>
      <w:r>
        <w:rPr>
          <w:rFonts w:hint="eastAsia" w:ascii="宋体" w:hAnsi="宋体" w:eastAsia="宋体" w:cs="宋体"/>
          <w:b/>
          <w:sz w:val="28"/>
          <w:szCs w:val="28"/>
          <w:highlight w:val="none"/>
        </w:rPr>
        <w:t>报价）</w:t>
      </w:r>
      <w:r>
        <w:rPr>
          <w:rFonts w:hint="eastAsia" w:ascii="宋体" w:hAnsi="宋体" w:eastAsia="宋体" w:cs="宋体"/>
          <w:b/>
          <w:sz w:val="28"/>
          <w:szCs w:val="28"/>
        </w:rPr>
        <w:t xml:space="preserve"> </w:t>
      </w:r>
    </w:p>
    <w:p w14:paraId="03419D85">
      <w:pPr>
        <w:pStyle w:val="22"/>
        <w:spacing w:beforeLines="0" w:afterLines="0" w:line="360" w:lineRule="auto"/>
        <w:ind w:firstLine="210" w:firstLineChars="100"/>
        <w:rPr>
          <w:rFonts w:hint="eastAsia" w:hAnsi="宋体" w:eastAsia="宋体" w:cs="宋体"/>
          <w:sz w:val="21"/>
          <w:szCs w:val="21"/>
          <w:highlight w:val="none"/>
          <w:lang w:eastAsia="zh-CN"/>
        </w:rPr>
      </w:pPr>
      <w:r>
        <w:rPr>
          <w:rFonts w:hint="eastAsia" w:hAnsi="宋体" w:eastAsia="宋体" w:cs="宋体"/>
          <w:sz w:val="21"/>
          <w:szCs w:val="21"/>
          <w:highlight w:val="none"/>
        </w:rPr>
        <w:t>项目编号：</w:t>
      </w:r>
      <w:r>
        <w:rPr>
          <w:rFonts w:hint="eastAsia" w:hAnsi="宋体" w:cs="宋体"/>
          <w:sz w:val="21"/>
          <w:szCs w:val="21"/>
          <w:highlight w:val="none"/>
          <w:lang w:eastAsia="zh-CN"/>
        </w:rPr>
        <w:t>ZJJX-25CG-006</w:t>
      </w:r>
    </w:p>
    <w:p w14:paraId="780B4C13">
      <w:pPr>
        <w:pStyle w:val="22"/>
        <w:spacing w:beforeLines="0" w:afterLines="0" w:line="360" w:lineRule="auto"/>
        <w:ind w:firstLine="210" w:firstLineChars="100"/>
        <w:rPr>
          <w:rFonts w:hint="eastAsia" w:ascii="宋体" w:hAnsi="宋体" w:cs="宋体"/>
          <w:szCs w:val="21"/>
          <w:highlight w:val="none"/>
          <w:lang w:eastAsia="zh-CN"/>
        </w:rPr>
      </w:pPr>
      <w:r>
        <w:rPr>
          <w:rFonts w:hint="eastAsia" w:hAnsi="宋体" w:eastAsia="宋体" w:cs="宋体"/>
          <w:sz w:val="21"/>
          <w:szCs w:val="21"/>
          <w:highlight w:val="none"/>
        </w:rPr>
        <w:t>项目名称：</w:t>
      </w:r>
      <w:r>
        <w:rPr>
          <w:rFonts w:hint="eastAsia" w:hAnsi="宋体" w:cs="宋体"/>
          <w:sz w:val="21"/>
          <w:szCs w:val="21"/>
          <w:highlight w:val="none"/>
          <w:lang w:eastAsia="zh-CN"/>
        </w:rPr>
        <w:t>仙居县台创基地未来乡村项目渔耕体验区配套道路</w:t>
      </w:r>
      <w:r>
        <w:rPr>
          <w:rFonts w:hint="eastAsia" w:hAnsi="宋体" w:eastAsia="宋体" w:cs="宋体"/>
          <w:sz w:val="21"/>
          <w:szCs w:val="21"/>
          <w:highlight w:val="none"/>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2315"/>
        <w:gridCol w:w="4170"/>
      </w:tblGrid>
      <w:tr w14:paraId="5045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4" w:hRule="atLeast"/>
          <w:jc w:val="center"/>
        </w:trPr>
        <w:tc>
          <w:tcPr>
            <w:tcW w:w="2694" w:type="dxa"/>
            <w:vMerge w:val="restart"/>
            <w:noWrap w:val="0"/>
            <w:vAlign w:val="center"/>
          </w:tcPr>
          <w:p w14:paraId="18939233">
            <w:pPr>
              <w:keepNext w:val="0"/>
              <w:keepLines w:val="0"/>
              <w:suppressLineNumbers w:val="0"/>
              <w:snapToGrid w:val="0"/>
              <w:spacing w:before="50" w:beforeAutospacing="0" w:after="50" w:afterAutospacing="0" w:line="360" w:lineRule="auto"/>
              <w:ind w:left="0" w:leftChars="0" w:right="-617" w:rightChars="-294" w:firstLine="241" w:firstLineChars="100"/>
              <w:jc w:val="left"/>
              <w:rPr>
                <w:rFonts w:hint="eastAsia" w:ascii="宋体" w:hAnsi="宋体" w:eastAsia="宋体" w:cs="宋体"/>
                <w:color w:val="auto"/>
                <w:sz w:val="24"/>
                <w:highlight w:val="none"/>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2315" w:type="dxa"/>
            <w:noWrap w:val="0"/>
            <w:vAlign w:val="center"/>
          </w:tcPr>
          <w:p w14:paraId="46AD4BC8">
            <w:pPr>
              <w:keepNext w:val="0"/>
              <w:keepLines w:val="0"/>
              <w:suppressLineNumbers w:val="0"/>
              <w:snapToGrid w:val="0"/>
              <w:spacing w:before="50" w:beforeAutospacing="0" w:after="50" w:afterAutospacing="0" w:line="360" w:lineRule="auto"/>
              <w:ind w:left="0" w:leftChars="0" w:right="-617" w:rightChars="-294"/>
              <w:jc w:val="left"/>
              <w:rPr>
                <w:rFonts w:hint="eastAsia" w:ascii="宋体" w:hAnsi="宋体" w:eastAsia="宋体" w:cs="宋体"/>
                <w:color w:val="auto"/>
                <w:sz w:val="24"/>
                <w:highlight w:val="none"/>
              </w:rPr>
            </w:pPr>
            <w:r>
              <w:rPr>
                <w:rFonts w:hint="eastAsia" w:ascii="宋体" w:hAnsi="宋体"/>
                <w:b/>
                <w:bCs/>
                <w:color w:val="auto"/>
                <w:sz w:val="21"/>
                <w:szCs w:val="21"/>
                <w:lang w:eastAsia="zh-CN"/>
              </w:rPr>
              <w:t>小写：</w:t>
            </w:r>
          </w:p>
        </w:tc>
        <w:tc>
          <w:tcPr>
            <w:tcW w:w="4170" w:type="dxa"/>
            <w:noWrap w:val="0"/>
            <w:vAlign w:val="center"/>
          </w:tcPr>
          <w:p w14:paraId="5624894B">
            <w:pPr>
              <w:keepNext w:val="0"/>
              <w:keepLines w:val="0"/>
              <w:suppressLineNumbers w:val="0"/>
              <w:snapToGrid w:val="0"/>
              <w:spacing w:before="50" w:beforeAutospacing="0" w:after="50" w:afterAutospacing="0" w:line="360" w:lineRule="auto"/>
              <w:ind w:left="0" w:leftChars="0" w:right="-617" w:rightChars="-294"/>
              <w:jc w:val="left"/>
              <w:rPr>
                <w:rFonts w:hint="eastAsia" w:ascii="宋体" w:hAnsi="宋体" w:eastAsia="宋体" w:cs="宋体"/>
                <w:color w:val="auto"/>
                <w:sz w:val="24"/>
                <w:highlight w:val="none"/>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7DE6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jc w:val="center"/>
        </w:trPr>
        <w:tc>
          <w:tcPr>
            <w:tcW w:w="2694" w:type="dxa"/>
            <w:vMerge w:val="continue"/>
            <w:noWrap w:val="0"/>
            <w:vAlign w:val="center"/>
          </w:tcPr>
          <w:p w14:paraId="100DEE69">
            <w:pPr>
              <w:keepNext w:val="0"/>
              <w:keepLines w:val="0"/>
              <w:suppressLineNumbers w:val="0"/>
              <w:snapToGrid w:val="0"/>
              <w:spacing w:before="50" w:beforeAutospacing="0" w:after="50" w:afterAutospacing="0" w:line="360" w:lineRule="auto"/>
              <w:ind w:left="0" w:leftChars="0" w:right="-617" w:rightChars="-294"/>
              <w:jc w:val="center"/>
              <w:rPr>
                <w:rFonts w:hint="eastAsia" w:ascii="宋体" w:hAnsi="宋体" w:eastAsia="宋体" w:cs="宋体"/>
                <w:color w:val="auto"/>
                <w:sz w:val="24"/>
                <w:highlight w:val="none"/>
              </w:rPr>
            </w:pPr>
          </w:p>
        </w:tc>
        <w:tc>
          <w:tcPr>
            <w:tcW w:w="2315" w:type="dxa"/>
            <w:noWrap w:val="0"/>
            <w:vAlign w:val="center"/>
          </w:tcPr>
          <w:p w14:paraId="5D971C02">
            <w:pPr>
              <w:keepNext w:val="0"/>
              <w:keepLines w:val="0"/>
              <w:suppressLineNumbers w:val="0"/>
              <w:snapToGrid w:val="0"/>
              <w:spacing w:before="50" w:beforeAutospacing="0" w:after="50" w:afterAutospacing="0" w:line="360" w:lineRule="auto"/>
              <w:ind w:left="0" w:leftChars="0" w:right="-617" w:rightChars="-294"/>
              <w:jc w:val="left"/>
              <w:rPr>
                <w:rFonts w:hint="eastAsia" w:ascii="宋体" w:hAnsi="宋体" w:eastAsia="宋体" w:cs="宋体"/>
                <w:color w:val="auto"/>
                <w:sz w:val="24"/>
                <w:highlight w:val="none"/>
                <w:u w:val="single"/>
              </w:rPr>
            </w:pPr>
            <w:r>
              <w:rPr>
                <w:rFonts w:hint="eastAsia" w:ascii="宋体" w:hAnsi="宋体"/>
                <w:b/>
                <w:bCs/>
                <w:color w:val="auto"/>
                <w:sz w:val="21"/>
                <w:szCs w:val="21"/>
                <w:lang w:eastAsia="zh-CN"/>
              </w:rPr>
              <w:t>大写：</w:t>
            </w:r>
          </w:p>
        </w:tc>
        <w:tc>
          <w:tcPr>
            <w:tcW w:w="4170" w:type="dxa"/>
            <w:noWrap w:val="0"/>
            <w:vAlign w:val="center"/>
          </w:tcPr>
          <w:p w14:paraId="0143BCEF">
            <w:pPr>
              <w:keepNext w:val="0"/>
              <w:keepLines w:val="0"/>
              <w:suppressLineNumbers w:val="0"/>
              <w:snapToGrid w:val="0"/>
              <w:spacing w:before="50" w:beforeAutospacing="0" w:after="50" w:afterAutospacing="0" w:line="360" w:lineRule="auto"/>
              <w:ind w:left="0" w:leftChars="0" w:right="-617" w:rightChars="-294"/>
              <w:jc w:val="left"/>
              <w:rPr>
                <w:rFonts w:hint="eastAsia" w:ascii="宋体" w:hAnsi="宋体" w:eastAsia="宋体" w:cs="宋体"/>
                <w:color w:val="auto"/>
                <w:sz w:val="24"/>
                <w:highlight w:val="none"/>
                <w:u w:val="single"/>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75AE44C9">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C11C07F">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注: 1.磋商报价指完成本项目所需的包含所有一切人员工资、各种加班费、节假日补贴、各种社会保险、安全保险、食宿与交通、材料费、机械费、人工费、辅助材料费、建筑垃圾清运费、保险费、管理费、规费以及所有税收、利润、总承包服务费、采购代理服务费等、政策性文件规定及合同包含的所有风险责任等一切费用等完成合同所需的一切本身和不可或缺的所有工作开支、政策性文件规定及合同包含的所有风险、责任等各项全部费用并承担一切风险责任。</w:t>
      </w:r>
    </w:p>
    <w:p w14:paraId="78981EC5">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2.报价一经涂改，应在涂改处加盖单位公章，或者由法定代表人或全权代表签字或盖章，否则其磋商无效。</w:t>
      </w:r>
    </w:p>
    <w:p w14:paraId="091920A9">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3.最终报价不得高于首次报价，否则其磋商响应文件作无效标处理。</w:t>
      </w:r>
    </w:p>
    <w:p w14:paraId="42023E9A">
      <w:pPr>
        <w:spacing w:line="360" w:lineRule="auto"/>
        <w:ind w:right="840"/>
        <w:jc w:val="center"/>
        <w:rPr>
          <w:rFonts w:hint="eastAsia" w:ascii="宋体" w:hAnsi="宋体" w:eastAsia="宋体" w:cs="宋体"/>
          <w:b/>
          <w:szCs w:val="21"/>
          <w:highlight w:val="none"/>
          <w:lang w:val="zh-CN"/>
        </w:rPr>
      </w:pPr>
    </w:p>
    <w:p w14:paraId="1DBDF8C2">
      <w:pPr>
        <w:spacing w:line="360" w:lineRule="auto"/>
        <w:ind w:right="840"/>
        <w:jc w:val="center"/>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 xml:space="preserve"> 供应商（盖单位章）： </w:t>
      </w:r>
    </w:p>
    <w:p w14:paraId="627DAC4B">
      <w:pPr>
        <w:spacing w:line="360" w:lineRule="auto"/>
        <w:ind w:right="420" w:firstLine="5068" w:firstLineChars="2404"/>
        <w:rPr>
          <w:rFonts w:hint="eastAsia" w:ascii="宋体" w:hAnsi="宋体" w:eastAsia="宋体" w:cs="宋体"/>
          <w:b/>
          <w:szCs w:val="21"/>
          <w:highlight w:val="none"/>
          <w:lang w:val="zh-CN"/>
        </w:rPr>
      </w:pPr>
      <w:r>
        <w:rPr>
          <w:rFonts w:hint="eastAsia" w:ascii="宋体" w:hAnsi="宋体" w:eastAsia="宋体" w:cs="宋体"/>
          <w:b/>
          <w:szCs w:val="21"/>
          <w:highlight w:val="none"/>
          <w:lang w:val="zh-CN"/>
        </w:rPr>
        <w:t>日  期：</w:t>
      </w:r>
    </w:p>
    <w:p w14:paraId="44CB9D25">
      <w:pPr>
        <w:pStyle w:val="17"/>
        <w:spacing w:line="360" w:lineRule="auto"/>
        <w:rPr>
          <w:rFonts w:hint="eastAsia" w:ascii="宋体" w:hAnsi="宋体" w:eastAsia="宋体" w:cs="宋体"/>
          <w:b/>
          <w:szCs w:val="21"/>
          <w:highlight w:val="none"/>
          <w:lang w:val="zh-CN"/>
        </w:rPr>
      </w:pPr>
    </w:p>
    <w:p w14:paraId="25C2157F">
      <w:pPr>
        <w:pStyle w:val="18"/>
        <w:spacing w:line="360" w:lineRule="auto"/>
        <w:rPr>
          <w:rFonts w:hint="eastAsia" w:ascii="宋体" w:hAnsi="宋体" w:eastAsia="宋体" w:cs="宋体"/>
          <w:b/>
          <w:szCs w:val="21"/>
          <w:highlight w:val="none"/>
          <w:lang w:val="zh-CN"/>
        </w:rPr>
      </w:pPr>
    </w:p>
    <w:p w14:paraId="381C11B7">
      <w:pPr>
        <w:spacing w:line="360" w:lineRule="auto"/>
        <w:rPr>
          <w:rFonts w:hint="eastAsia" w:ascii="宋体" w:hAnsi="宋体" w:eastAsia="宋体" w:cs="宋体"/>
          <w:b/>
          <w:szCs w:val="21"/>
          <w:highlight w:val="none"/>
          <w:lang w:val="zh-CN"/>
        </w:rPr>
      </w:pPr>
    </w:p>
    <w:p w14:paraId="16BAB628">
      <w:pPr>
        <w:pStyle w:val="17"/>
        <w:spacing w:line="360" w:lineRule="auto"/>
        <w:rPr>
          <w:rFonts w:hint="eastAsia" w:ascii="宋体" w:hAnsi="宋体" w:eastAsia="宋体" w:cs="宋体"/>
          <w:b/>
          <w:szCs w:val="21"/>
          <w:highlight w:val="none"/>
          <w:lang w:val="zh-CN"/>
        </w:rPr>
      </w:pPr>
    </w:p>
    <w:p w14:paraId="63E6D5C7">
      <w:pPr>
        <w:pStyle w:val="17"/>
        <w:spacing w:line="360" w:lineRule="auto"/>
        <w:ind w:left="0" w:leftChars="0" w:firstLine="0" w:firstLineChars="0"/>
        <w:rPr>
          <w:rFonts w:hint="eastAsia"/>
          <w:lang w:val="zh-CN"/>
        </w:rPr>
      </w:pPr>
    </w:p>
    <w:p w14:paraId="30B3E66F">
      <w:pPr>
        <w:pStyle w:val="18"/>
        <w:rPr>
          <w:rFonts w:hint="eastAsia"/>
          <w:lang w:val="zh-CN"/>
        </w:rPr>
      </w:pPr>
    </w:p>
    <w:p w14:paraId="68ECD6EB">
      <w:pPr>
        <w:rPr>
          <w:rFonts w:hint="eastAsia"/>
          <w:lang w:val="zh-CN"/>
        </w:rPr>
      </w:pPr>
    </w:p>
    <w:p w14:paraId="0D57E66C">
      <w:pPr>
        <w:rPr>
          <w:rFonts w:hint="eastAsia"/>
          <w:lang w:val="zh-CN"/>
        </w:rPr>
      </w:pPr>
    </w:p>
    <w:p w14:paraId="67D17B4D">
      <w:pPr>
        <w:pStyle w:val="2"/>
        <w:rPr>
          <w:rFonts w:hint="eastAsia"/>
          <w:lang w:val="zh-CN"/>
        </w:rPr>
      </w:pPr>
    </w:p>
    <w:p w14:paraId="14BF48C7">
      <w:pPr>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附件</w:t>
      </w:r>
      <w:r>
        <w:rPr>
          <w:rFonts w:hint="eastAsia" w:ascii="宋体" w:hAnsi="宋体" w:cs="宋体"/>
          <w:b/>
          <w:bCs/>
          <w:color w:val="000000"/>
          <w:sz w:val="24"/>
          <w:highlight w:val="none"/>
          <w:lang w:val="en-US" w:eastAsia="zh-CN"/>
        </w:rPr>
        <w:t>16</w:t>
      </w:r>
      <w:r>
        <w:rPr>
          <w:rFonts w:hint="eastAsia" w:ascii="宋体" w:hAnsi="宋体" w:eastAsia="宋体" w:cs="宋体"/>
          <w:b/>
          <w:bCs/>
          <w:color w:val="000000"/>
          <w:sz w:val="24"/>
          <w:highlight w:val="none"/>
        </w:rPr>
        <w:t xml:space="preserve">： </w:t>
      </w:r>
    </w:p>
    <w:p w14:paraId="45272626">
      <w:pPr>
        <w:pStyle w:val="83"/>
        <w:widowControl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r>
        <w:rPr>
          <w:rFonts w:hint="eastAsia" w:ascii="宋体" w:hAnsi="宋体" w:cs="宋体"/>
          <w:b/>
          <w:i/>
          <w:iCs/>
          <w:color w:val="FF0000"/>
          <w:sz w:val="21"/>
          <w:szCs w:val="21"/>
          <w:highlight w:val="none"/>
          <w:lang w:val="en-US" w:eastAsia="zh-CN"/>
        </w:rPr>
        <w:t>（以下二选一）</w:t>
      </w:r>
    </w:p>
    <w:p w14:paraId="31E4A18D">
      <w:pPr>
        <w:pStyle w:val="8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浙江聚信工程管理有限公司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709706EF">
      <w:pPr>
        <w:pStyle w:val="83"/>
        <w:widowControl w:val="0"/>
        <w:snapToGrid w:val="0"/>
        <w:spacing w:line="360" w:lineRule="auto"/>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cs="宋体"/>
          <w:color w:val="auto"/>
          <w:spacing w:val="6"/>
          <w:sz w:val="21"/>
          <w:szCs w:val="21"/>
          <w:highlight w:val="none"/>
          <w:u w:val="single"/>
          <w:lang w:eastAsia="zh-CN"/>
        </w:rPr>
        <w:t>仙居县台创基地未来乡村项目渔耕体验区配套道路</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ZJJX-25CG-006</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14:paraId="48027714">
      <w:pPr>
        <w:pStyle w:val="84"/>
        <w:widowControl/>
        <w:numPr>
          <w:ilvl w:val="0"/>
          <w:numId w:val="11"/>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36FFEF">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4FC2B01">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395E3F87">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8F3953">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9720F14">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122DDB2">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783DE4F6">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2AF1A2F5">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24B49CBE">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50444B5">
      <w:pPr>
        <w:pStyle w:val="83"/>
        <w:widowControl w:val="0"/>
        <w:snapToGrid w:val="0"/>
        <w:spacing w:line="360" w:lineRule="auto"/>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391" w:name="_Toc26265"/>
      <w:bookmarkStart w:id="392" w:name="_Toc30614"/>
      <w:bookmarkStart w:id="393" w:name="_Toc24641"/>
      <w:bookmarkStart w:id="394" w:name="_Toc9631"/>
      <w:r>
        <w:rPr>
          <w:rFonts w:hint="eastAsia" w:ascii="宋体" w:hAnsi="宋体" w:eastAsia="宋体" w:cs="宋体"/>
          <w:color w:val="auto"/>
          <w:kern w:val="0"/>
          <w:sz w:val="21"/>
          <w:szCs w:val="21"/>
          <w:highlight w:val="none"/>
        </w:rPr>
        <w:t>G.存在共同直接或间接投资设立子公司、联营企业和合营企业情况</w:t>
      </w:r>
      <w:bookmarkEnd w:id="391"/>
      <w:bookmarkEnd w:id="392"/>
      <w:bookmarkEnd w:id="393"/>
      <w:bookmarkEnd w:id="394"/>
    </w:p>
    <w:p w14:paraId="6CB606EA">
      <w:pPr>
        <w:pStyle w:val="83"/>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62ED263">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6688F65">
      <w:pPr>
        <w:pStyle w:val="84"/>
        <w:widowControl/>
        <w:numPr>
          <w:ilvl w:val="0"/>
          <w:numId w:val="12"/>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7D8FD5CF">
      <w:pPr>
        <w:pStyle w:val="84"/>
        <w:widowControl/>
        <w:numPr>
          <w:ilvl w:val="0"/>
          <w:numId w:val="12"/>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none"/>
        </w:rPr>
        <w:t>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3E853929">
      <w:pPr>
        <w:pStyle w:val="83"/>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1A70733D">
      <w:pPr>
        <w:spacing w:after="240" w:afterLines="10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BFA2F5C">
      <w:pPr>
        <w:pStyle w:val="83"/>
        <w:widowControl w:val="0"/>
        <w:snapToGrid w:val="0"/>
        <w:spacing w:line="360" w:lineRule="auto"/>
        <w:jc w:val="center"/>
        <w:rPr>
          <w:rFonts w:hint="eastAsia" w:ascii="宋体" w:hAnsi="宋体" w:eastAsia="宋体" w:cs="宋体"/>
          <w:b/>
          <w:bCs/>
          <w:color w:val="auto"/>
          <w:sz w:val="21"/>
          <w:szCs w:val="21"/>
          <w:highlight w:val="none"/>
        </w:rPr>
        <w:sectPr>
          <w:pgSz w:w="11905" w:h="16838"/>
          <w:pgMar w:top="1440" w:right="1080" w:bottom="1440" w:left="1080" w:header="907" w:footer="924" w:gutter="0"/>
          <w:pgBorders>
            <w:top w:val="none" w:sz="0" w:space="0"/>
            <w:left w:val="none" w:sz="0" w:space="0"/>
            <w:bottom w:val="none" w:sz="0" w:space="0"/>
            <w:right w:val="none" w:sz="0" w:space="0"/>
          </w:pgBorders>
          <w:cols w:space="0" w:num="1"/>
          <w:rtlGutter w:val="0"/>
          <w:docGrid w:type="lines" w:linePitch="304" w:charSpace="0"/>
        </w:sectPr>
      </w:pPr>
    </w:p>
    <w:p w14:paraId="14C5E800">
      <w:pPr>
        <w:pStyle w:val="83"/>
        <w:widowControl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14:paraId="6330D673">
      <w:pPr>
        <w:pStyle w:val="8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cs="宋体"/>
          <w:color w:val="auto"/>
          <w:kern w:val="0"/>
          <w:sz w:val="21"/>
          <w:szCs w:val="21"/>
          <w:highlight w:val="none"/>
          <w:u w:val="single"/>
          <w:lang w:eastAsia="zh-CN"/>
        </w:rPr>
        <w:t>浙江聚信工程管理有限公司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14:paraId="6696037A">
      <w:pPr>
        <w:pStyle w:val="83"/>
        <w:widowControl w:val="0"/>
        <w:snapToGrid w:val="0"/>
        <w:spacing w:line="360" w:lineRule="auto"/>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cs="宋体"/>
          <w:color w:val="auto"/>
          <w:spacing w:val="6"/>
          <w:sz w:val="21"/>
          <w:szCs w:val="21"/>
          <w:highlight w:val="none"/>
          <w:u w:val="single"/>
          <w:lang w:eastAsia="zh-CN"/>
        </w:rPr>
        <w:t>仙居县台创基地未来乡村项目渔耕体验区配套道路</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cs="宋体"/>
          <w:color w:val="auto"/>
          <w:spacing w:val="6"/>
          <w:sz w:val="21"/>
          <w:szCs w:val="21"/>
          <w:highlight w:val="none"/>
          <w:u w:val="single"/>
          <w:lang w:eastAsia="zh-CN"/>
        </w:rPr>
        <w:t>ZJJX-25CG-006</w:t>
      </w:r>
      <w:r>
        <w:rPr>
          <w:rFonts w:hint="eastAsia" w:ascii="宋体" w:hAnsi="宋体" w:eastAsia="宋体" w:cs="宋体"/>
          <w:color w:val="auto"/>
          <w:spacing w:val="6"/>
          <w:sz w:val="21"/>
          <w:szCs w:val="21"/>
          <w:highlight w:val="none"/>
        </w:rPr>
        <w:t xml:space="preserve">）采购活动，现就有关公平竞争事项郑重声明如下： </w:t>
      </w:r>
    </w:p>
    <w:p w14:paraId="350174A0">
      <w:pPr>
        <w:pStyle w:val="84"/>
        <w:widowControl/>
        <w:numPr>
          <w:ilvl w:val="0"/>
          <w:numId w:val="11"/>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5C86C64">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4CE5711B">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669311A1">
      <w:pPr>
        <w:pStyle w:val="8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163BF7">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7CFEE494">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16B25AB">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EF8B45D">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236E5405">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9410CF6">
      <w:pPr>
        <w:pStyle w:val="83"/>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731D23A">
      <w:pPr>
        <w:pStyle w:val="83"/>
        <w:widowControl w:val="0"/>
        <w:snapToGrid w:val="0"/>
        <w:spacing w:line="360" w:lineRule="auto"/>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395" w:name="_Toc9754"/>
      <w:bookmarkStart w:id="396" w:name="_Toc1384"/>
      <w:bookmarkStart w:id="397" w:name="_Toc9189"/>
      <w:bookmarkStart w:id="398" w:name="_Toc11043"/>
      <w:r>
        <w:rPr>
          <w:rFonts w:hint="eastAsia" w:ascii="宋体" w:hAnsi="宋体" w:eastAsia="宋体" w:cs="宋体"/>
          <w:color w:val="auto"/>
          <w:kern w:val="0"/>
          <w:sz w:val="21"/>
          <w:szCs w:val="21"/>
          <w:highlight w:val="none"/>
        </w:rPr>
        <w:t>G.存在共同直接或间接投资设立子公司、联营企业和合营企业情况</w:t>
      </w:r>
      <w:bookmarkEnd w:id="395"/>
      <w:bookmarkEnd w:id="396"/>
      <w:bookmarkEnd w:id="397"/>
      <w:bookmarkEnd w:id="398"/>
    </w:p>
    <w:p w14:paraId="727916B4">
      <w:pPr>
        <w:pStyle w:val="83"/>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07258B06">
      <w:pPr>
        <w:pStyle w:val="83"/>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0E4578C">
      <w:pPr>
        <w:pStyle w:val="84"/>
        <w:widowControl/>
        <w:numPr>
          <w:ilvl w:val="0"/>
          <w:numId w:val="12"/>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227E7510">
      <w:pPr>
        <w:pStyle w:val="84"/>
        <w:widowControl/>
        <w:numPr>
          <w:ilvl w:val="0"/>
          <w:numId w:val="12"/>
        </w:numPr>
        <w:snapToGrid w:val="0"/>
        <w:spacing w:line="360" w:lineRule="auto"/>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2B896895">
      <w:pPr>
        <w:pStyle w:val="83"/>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14:paraId="4CF8BA7E">
      <w:pPr>
        <w:spacing w:after="240" w:afterLines="100" w:line="360" w:lineRule="auto"/>
        <w:jc w:val="center"/>
        <w:rPr>
          <w:rFonts w:hint="eastAsia"/>
          <w:b/>
          <w:bCs/>
          <w:color w:val="FF0000"/>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4CCA948">
      <w:pPr>
        <w:pStyle w:val="16"/>
        <w:spacing w:after="0"/>
        <w:rPr>
          <w:color w:val="000000" w:themeColor="text1"/>
          <w:sz w:val="18"/>
          <w:szCs w:val="18"/>
        </w:rPr>
      </w:pPr>
      <w:r>
        <w:rPr>
          <w:rFonts w:hint="eastAsia"/>
          <w:b/>
          <w:bCs/>
          <w:color w:val="FF0000"/>
        </w:rPr>
        <w:t>注：1、本声明书非响应文件的组成内容，无须在响应文件中提供。</w:t>
      </w:r>
    </w:p>
    <w:p w14:paraId="614D8642">
      <w:pPr>
        <w:pStyle w:val="16"/>
        <w:spacing w:after="0"/>
        <w:rPr>
          <w:rFonts w:hint="eastAsia" w:ascii="Times New Roman" w:hAnsi="Times New Roman" w:cs="Times New Roman"/>
          <w:b/>
          <w:bCs/>
          <w:color w:val="FF0000"/>
        </w:rPr>
      </w:pPr>
      <w:r>
        <w:rPr>
          <w:rFonts w:hint="eastAsia"/>
          <w:color w:val="000000" w:themeColor="text1"/>
          <w:sz w:val="18"/>
          <w:szCs w:val="18"/>
        </w:rPr>
        <w:t xml:space="preserve">   </w:t>
      </w:r>
      <w:r>
        <w:rPr>
          <w:rFonts w:hint="eastAsia" w:ascii="Times New Roman" w:hAnsi="Times New Roman" w:cs="Times New Roman"/>
          <w:b/>
          <w:bCs/>
          <w:color w:val="FF0000"/>
        </w:rPr>
        <w:t xml:space="preserve"> 2、各供应商提前打印本表，开标当日，签署完毕后发送至邮箱</w:t>
      </w:r>
      <w:r>
        <w:rPr>
          <w:rFonts w:hint="eastAsia" w:ascii="Times New Roman" w:hAnsi="Times New Roman" w:cs="Times New Roman"/>
          <w:b/>
          <w:bCs/>
          <w:color w:val="FF0000"/>
          <w:lang w:val="en-US" w:eastAsia="zh-CN"/>
        </w:rPr>
        <w:t>2231993302</w:t>
      </w:r>
      <w:r>
        <w:rPr>
          <w:rFonts w:hint="eastAsia" w:ascii="Times New Roman" w:hAnsi="Times New Roman" w:cs="Times New Roman"/>
          <w:b/>
          <w:bCs/>
          <w:color w:val="FF0000"/>
        </w:rPr>
        <w:t>@qq.com</w:t>
      </w:r>
      <w:r>
        <w:rPr>
          <w:rFonts w:hint="eastAsia" w:ascii="Times New Roman" w:hAnsi="Times New Roman" w:cs="Times New Roman"/>
          <w:b/>
          <w:bCs/>
          <w:color w:val="FF0000"/>
          <w:lang w:val="en-US" w:eastAsia="zh-CN"/>
        </w:rPr>
        <w:t>或</w:t>
      </w:r>
      <w:r>
        <w:rPr>
          <w:rFonts w:hint="eastAsia" w:ascii="Times New Roman" w:hAnsi="Times New Roman" w:cs="Times New Roman"/>
          <w:b/>
          <w:bCs/>
          <w:color w:val="FF0000"/>
        </w:rPr>
        <w:t>待标书件解密结束后，签署完毕后上传至乐采云平台。上传途径由采购组织机构发起在线（询标）通知后，供应商按时上传递交。</w:t>
      </w:r>
    </w:p>
    <w:p w14:paraId="179F9539">
      <w:pPr>
        <w:pStyle w:val="16"/>
        <w:spacing w:after="0"/>
        <w:rPr>
          <w:rFonts w:hint="eastAsia" w:ascii="Times New Roman" w:hAnsi="Times New Roman" w:cs="Times New Roman"/>
          <w:b/>
          <w:bCs/>
          <w:color w:val="FF0000"/>
        </w:rPr>
      </w:pPr>
    </w:p>
    <w:p w14:paraId="5518154B">
      <w:pPr>
        <w:pStyle w:val="16"/>
        <w:spacing w:after="0"/>
        <w:rPr>
          <w:rFonts w:hint="eastAsia" w:ascii="Times New Roman" w:hAnsi="Times New Roman" w:cs="Times New Roman"/>
          <w:b/>
          <w:bCs/>
          <w:color w:val="FF0000"/>
        </w:rPr>
      </w:pPr>
    </w:p>
    <w:p w14:paraId="38822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0758">
    <w:pPr>
      <w:pStyle w:val="27"/>
      <w:jc w:val="right"/>
      <w:rPr>
        <w:rFonts w:ascii="宋体" w:cs="宋体"/>
      </w:rPr>
    </w:pPr>
  </w:p>
  <w:p w14:paraId="64C8F9A3">
    <w:pPr>
      <w:pStyle w:val="27"/>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14</w:t>
    </w:r>
    <w:r>
      <w:rPr>
        <w:rFonts w:ascii="宋体" w:hAnsi="宋体" w:cs="宋体"/>
      </w:rPr>
      <w:fldChar w:fldCharType="end"/>
    </w:r>
  </w:p>
  <w:p w14:paraId="1673216F">
    <w:pPr>
      <w:pStyle w:val="27"/>
      <w:pBdr>
        <w:top w:val="single" w:color="auto" w:sz="4" w:space="1"/>
      </w:pBdr>
      <w:ind w:right="360"/>
      <w:rPr>
        <w:rFonts w:ascii="宋体" w:cs="宋体"/>
        <w:color w:val="000099"/>
        <w:sz w:val="15"/>
        <w:szCs w:val="15"/>
      </w:rPr>
    </w:pPr>
    <w:r>
      <w:rPr>
        <w:rFonts w:hint="eastAsia" w:ascii="宋体" w:hAnsi="宋体" w:cs="宋体"/>
        <w:color w:val="000099"/>
        <w:sz w:val="15"/>
        <w:szCs w:val="15"/>
      </w:rPr>
      <w:t>浙江聚信工程管理有限公司（仙居县光明西路434号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09ED">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427CA72D">
      <w:pPr>
        <w:spacing w:line="300" w:lineRule="exact"/>
        <w:ind w:left="180" w:hanging="180" w:hangingChars="100"/>
        <w:rPr>
          <w:rFonts w:ascii="宋体" w:hAnsi="宋体"/>
          <w:sz w:val="18"/>
          <w:szCs w:val="18"/>
        </w:rPr>
      </w:pPr>
    </w:p>
  </w:footnote>
  <w:footnote w:id="1">
    <w:p w14:paraId="0080E574">
      <w:pPr>
        <w:spacing w:line="300" w:lineRule="exact"/>
        <w:ind w:left="180" w:hanging="180" w:hangingChars="100"/>
        <w:rPr>
          <w:rFonts w:ascii="宋体" w:hAnsi="宋体"/>
          <w:sz w:val="18"/>
          <w:szCs w:val="18"/>
        </w:rPr>
      </w:pPr>
    </w:p>
  </w:footnote>
  <w:footnote w:id="2">
    <w:p w14:paraId="30A4DEBA">
      <w:pPr>
        <w:spacing w:line="300" w:lineRule="exact"/>
        <w:ind w:left="180" w:hanging="180" w:hangingChars="100"/>
        <w:rPr>
          <w:rFonts w:ascii="宋体" w:hAnsi="宋体"/>
          <w:sz w:val="18"/>
          <w:szCs w:val="18"/>
        </w:rPr>
      </w:pPr>
    </w:p>
  </w:footnote>
  <w:footnote w:id="3">
    <w:p w14:paraId="26A6272A">
      <w:pPr>
        <w:spacing w:line="300" w:lineRule="exact"/>
        <w:ind w:left="180" w:hanging="180" w:hangingChars="100"/>
        <w:rPr>
          <w:rFonts w:ascii="宋体" w:hAnsi="宋体"/>
          <w:sz w:val="18"/>
          <w:szCs w:val="18"/>
        </w:rPr>
      </w:pPr>
      <w:r>
        <w:rPr>
          <w:rFonts w:hint="eastAsia" w:ascii="宋体" w:hAnsi="宋体"/>
          <w:sz w:val="18"/>
          <w:szCs w:val="18"/>
        </w:rPr>
        <w:footnoteRef/>
      </w:r>
      <w:r>
        <w:rPr>
          <w:rFonts w:hint="eastAsia" w:ascii="宋体" w:hAnsi="宋体"/>
          <w:sz w:val="18"/>
          <w:szCs w:val="18"/>
        </w:rPr>
        <w:t>对合同实施期间可能多次发生的违约情形，宜对每次发生违约的处理金额予以明确，但总额不应超过相关规定。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0EFC">
    <w:pPr>
      <w:pStyle w:val="28"/>
      <w:pBdr>
        <w:bottom w:val="single" w:color="auto" w:sz="4" w:space="1"/>
      </w:pBdr>
      <w:jc w:val="right"/>
      <w:rPr>
        <w:rFonts w:ascii="宋体" w:cs="宋体"/>
      </w:rPr>
    </w:pPr>
    <w:r>
      <w:rPr>
        <w:rFonts w:hint="eastAsia" w:ascii="宋体" w:hAnsi="宋体" w:cs="宋体"/>
        <w:color w:val="000000"/>
        <w:szCs w:val="21"/>
        <w:lang w:eastAsia="zh-CN"/>
      </w:rPr>
      <w:t>仙居县台创基地未来乡村项目渔耕体验区配套道路</w:t>
    </w:r>
    <w:r>
      <w:rPr>
        <w:rFonts w:hint="eastAsia" w:ascii="宋体" w:hAnsi="宋体" w:cs="宋体"/>
        <w:color w:val="00000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D6D2E">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8372">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F4F78">
    <w:pPr>
      <w:pStyle w:val="28"/>
      <w:pBdr>
        <w:bottom w:val="single" w:color="auto" w:sz="4" w:space="1"/>
      </w:pBdr>
      <w:jc w:val="right"/>
      <w:rPr>
        <w:rFonts w:ascii="宋体" w:hAnsi="宋体" w:cs="宋体"/>
      </w:rPr>
    </w:pPr>
    <w:r>
      <w:rPr>
        <w:rFonts w:hint="eastAsia" w:ascii="宋体" w:hAnsi="宋体" w:cs="宋体"/>
        <w:color w:val="000000"/>
        <w:szCs w:val="21"/>
        <w:lang w:eastAsia="zh-CN"/>
      </w:rPr>
      <w:t>仙居县台创基地未来乡村项目渔耕体验区配套道路</w:t>
    </w:r>
    <w:r>
      <w:rPr>
        <w:rFonts w:hint="eastAsia" w:ascii="宋体" w:hAnsi="宋体" w:cs="宋体"/>
        <w:color w:val="000000"/>
        <w:szCs w:val="21"/>
      </w:rPr>
      <w:t>招标文件</w:t>
    </w:r>
  </w:p>
  <w:p w14:paraId="2D3523F7">
    <w:pPr>
      <w:jc w:val="righ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851"/>
    <w:multiLevelType w:val="multilevel"/>
    <w:tmpl w:val="83D95851"/>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03D974A"/>
    <w:multiLevelType w:val="multilevel"/>
    <w:tmpl w:val="A03D974A"/>
    <w:lvl w:ilvl="0" w:tentative="0">
      <w:start w:val="1"/>
      <w:numFmt w:val="decimal"/>
      <w:suff w:val="space"/>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F26DF36F"/>
    <w:multiLevelType w:val="singleLevel"/>
    <w:tmpl w:val="F26DF36F"/>
    <w:lvl w:ilvl="0" w:tentative="0">
      <w:start w:val="1"/>
      <w:numFmt w:val="decimal"/>
      <w:suff w:val="nothing"/>
      <w:lvlText w:val="%1、"/>
      <w:lvlJc w:val="left"/>
      <w:rPr>
        <w:rFonts w:cs="Times New Roman"/>
      </w:r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8"/>
    <w:multiLevelType w:val="singleLevel"/>
    <w:tmpl w:val="00000008"/>
    <w:lvl w:ilvl="0" w:tentative="0">
      <w:start w:val="1"/>
      <w:numFmt w:val="decimal"/>
      <w:suff w:val="nothing"/>
      <w:lvlText w:val="（%1）"/>
      <w:lvlJc w:val="left"/>
    </w:lvl>
  </w:abstractNum>
  <w:abstractNum w:abstractNumId="5">
    <w:nsid w:val="0D300F12"/>
    <w:multiLevelType w:val="multilevel"/>
    <w:tmpl w:val="0D300F12"/>
    <w:lvl w:ilvl="0" w:tentative="0">
      <w:start w:val="3"/>
      <w:numFmt w:val="japaneseCounting"/>
      <w:lvlText w:val="%1）"/>
      <w:lvlJc w:val="left"/>
      <w:pPr>
        <w:tabs>
          <w:tab w:val="left" w:pos="630"/>
        </w:tabs>
        <w:ind w:left="630" w:hanging="42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pStyle w:val="94"/>
      <w:lvlText w:val="%3."/>
      <w:lvlJc w:val="right"/>
      <w:pPr>
        <w:tabs>
          <w:tab w:val="left" w:pos="1470"/>
        </w:tabs>
        <w:ind w:left="1470" w:hanging="420"/>
      </w:pPr>
      <w:rPr>
        <w:rFonts w:cs="Times New Roman"/>
      </w:rPr>
    </w:lvl>
    <w:lvl w:ilvl="3" w:tentative="0">
      <w:start w:val="1"/>
      <w:numFmt w:val="decimal"/>
      <w:pStyle w:val="93"/>
      <w:lvlText w:val="%4."/>
      <w:lvlJc w:val="left"/>
      <w:pPr>
        <w:tabs>
          <w:tab w:val="left" w:pos="1890"/>
        </w:tabs>
        <w:ind w:left="1890" w:hanging="420"/>
      </w:pPr>
      <w:rPr>
        <w:rFonts w:cs="Times New Roman"/>
      </w:rPr>
    </w:lvl>
    <w:lvl w:ilvl="4" w:tentative="0">
      <w:start w:val="1"/>
      <w:numFmt w:val="lowerLetter"/>
      <w:pStyle w:val="97"/>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6">
    <w:nsid w:val="27CF816A"/>
    <w:multiLevelType w:val="singleLevel"/>
    <w:tmpl w:val="27CF816A"/>
    <w:lvl w:ilvl="0" w:tentative="0">
      <w:start w:val="1"/>
      <w:numFmt w:val="decimal"/>
      <w:suff w:val="space"/>
      <w:lvlText w:val="%1."/>
      <w:lvlJc w:val="left"/>
      <w:pPr>
        <w:ind w:left="454" w:hanging="454"/>
      </w:pPr>
      <w:rPr>
        <w:rFonts w:hint="default" w:cs="Times New Roman"/>
        <w:b w:val="0"/>
        <w:bCs w:val="0"/>
      </w:rPr>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604D78A5"/>
    <w:multiLevelType w:val="multilevel"/>
    <w:tmpl w:val="604D78A5"/>
    <w:lvl w:ilvl="0" w:tentative="0">
      <w:start w:val="1"/>
      <w:numFmt w:val="chineseCountingThousand"/>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0">
    <w:nsid w:val="605973FD"/>
    <w:multiLevelType w:val="multilevel"/>
    <w:tmpl w:val="605973FD"/>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pStyle w:val="82"/>
      <w:lvlText w:val="%6."/>
      <w:lvlJc w:val="right"/>
      <w:pPr>
        <w:tabs>
          <w:tab w:val="left" w:pos="2944"/>
        </w:tabs>
        <w:ind w:left="2944" w:hanging="420"/>
      </w:pPr>
      <w:rPr>
        <w:rFonts w:cs="Times New Roman"/>
      </w:rPr>
    </w:lvl>
    <w:lvl w:ilvl="6" w:tentative="0">
      <w:start w:val="1"/>
      <w:numFmt w:val="decimal"/>
      <w:pStyle w:val="48"/>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11">
    <w:nsid w:val="6B5CC886"/>
    <w:multiLevelType w:val="singleLevel"/>
    <w:tmpl w:val="6B5CC886"/>
    <w:lvl w:ilvl="0" w:tentative="0">
      <w:start w:val="1"/>
      <w:numFmt w:val="decimal"/>
      <w:suff w:val="space"/>
      <w:lvlText w:val="%1."/>
      <w:lvlJc w:val="left"/>
    </w:lvl>
  </w:abstractNum>
  <w:num w:numId="1">
    <w:abstractNumId w:val="10"/>
  </w:num>
  <w:num w:numId="2">
    <w:abstractNumId w:val="5"/>
  </w:num>
  <w:num w:numId="3">
    <w:abstractNumId w:val="9"/>
    <w:lvlOverride w:ilvl="0">
      <w:lvl w:ilvl="0" w:tentative="1">
        <w:start w:val="1"/>
        <w:numFmt w:val="chineseCountingThousand"/>
        <w:suff w:val="space"/>
        <w:lvlText w:val="%1、"/>
        <w:lvlJc w:val="left"/>
        <w:pPr>
          <w:ind w:left="420" w:hanging="420"/>
        </w:pPr>
        <w:rPr>
          <w:rFonts w:cs="Times New Roman"/>
        </w:rPr>
      </w:lvl>
    </w:lvlOverride>
    <w:lvlOverride w:ilvl="1">
      <w:lvl w:ilvl="1" w:tentative="1">
        <w:start w:val="1"/>
        <w:numFmt w:val="lowerLetter"/>
        <w:lvlRestart w:val="0"/>
        <w:lvlText w:val="%2)"/>
        <w:lvlJc w:val="left"/>
        <w:pPr>
          <w:ind w:left="840" w:hanging="420"/>
        </w:pPr>
        <w:rPr>
          <w:rFonts w:cs="Times New Roman"/>
        </w:rPr>
      </w:lvl>
    </w:lvlOverride>
    <w:lvlOverride w:ilvl="2">
      <w:lvl w:ilvl="2" w:tentative="1">
        <w:start w:val="1"/>
        <w:numFmt w:val="lowerRoman"/>
        <w:lvlRestart w:val="0"/>
        <w:lvlText w:val="%3."/>
        <w:lvlJc w:val="right"/>
        <w:pPr>
          <w:ind w:left="1260" w:hanging="420"/>
        </w:pPr>
        <w:rPr>
          <w:rFonts w:cs="Times New Roman"/>
        </w:rPr>
      </w:lvl>
    </w:lvlOverride>
    <w:lvlOverride w:ilvl="3">
      <w:lvl w:ilvl="3" w:tentative="1">
        <w:start w:val="1"/>
        <w:numFmt w:val="decimal"/>
        <w:lvlRestart w:val="0"/>
        <w:lvlText w:val="%4."/>
        <w:lvlJc w:val="left"/>
        <w:pPr>
          <w:ind w:left="1680" w:hanging="420"/>
        </w:pPr>
        <w:rPr>
          <w:rFonts w:cs="Times New Roman"/>
        </w:rPr>
      </w:lvl>
    </w:lvlOverride>
    <w:lvlOverride w:ilvl="4">
      <w:lvl w:ilvl="4" w:tentative="1">
        <w:start w:val="1"/>
        <w:numFmt w:val="lowerLetter"/>
        <w:lvlRestart w:val="0"/>
        <w:lvlText w:val="%5)"/>
        <w:lvlJc w:val="left"/>
        <w:pPr>
          <w:ind w:left="2100" w:hanging="420"/>
        </w:pPr>
        <w:rPr>
          <w:rFonts w:cs="Times New Roman"/>
        </w:rPr>
      </w:lvl>
    </w:lvlOverride>
    <w:lvlOverride w:ilvl="5">
      <w:lvl w:ilvl="5" w:tentative="1">
        <w:start w:val="1"/>
        <w:numFmt w:val="lowerRoman"/>
        <w:lvlRestart w:val="0"/>
        <w:lvlText w:val="%6."/>
        <w:lvlJc w:val="right"/>
        <w:pPr>
          <w:ind w:left="2520" w:hanging="420"/>
        </w:pPr>
        <w:rPr>
          <w:rFonts w:cs="Times New Roman"/>
        </w:rPr>
      </w:lvl>
    </w:lvlOverride>
    <w:lvlOverride w:ilvl="6">
      <w:lvl w:ilvl="6" w:tentative="1">
        <w:start w:val="1"/>
        <w:numFmt w:val="decimal"/>
        <w:lvlRestart w:val="0"/>
        <w:lvlText w:val="%7."/>
        <w:lvlJc w:val="left"/>
        <w:pPr>
          <w:ind w:left="2940" w:hanging="420"/>
        </w:pPr>
        <w:rPr>
          <w:rFonts w:cs="Times New Roman"/>
        </w:rPr>
      </w:lvl>
    </w:lvlOverride>
    <w:lvlOverride w:ilvl="7">
      <w:lvl w:ilvl="7" w:tentative="1">
        <w:start w:val="1"/>
        <w:numFmt w:val="lowerLetter"/>
        <w:lvlRestart w:val="0"/>
        <w:lvlText w:val="%8)"/>
        <w:lvlJc w:val="left"/>
        <w:pPr>
          <w:ind w:left="3360" w:hanging="420"/>
        </w:pPr>
        <w:rPr>
          <w:rFonts w:cs="Times New Roman"/>
        </w:rPr>
      </w:lvl>
    </w:lvlOverride>
    <w:lvlOverride w:ilvl="8">
      <w:lvl w:ilvl="8" w:tentative="1">
        <w:start w:val="1"/>
        <w:numFmt w:val="lowerRoman"/>
        <w:lvlRestart w:val="0"/>
        <w:lvlText w:val="%9."/>
        <w:lvlJc w:val="right"/>
        <w:pPr>
          <w:ind w:left="3780" w:hanging="420"/>
        </w:pPr>
        <w:rPr>
          <w:rFonts w:cs="Times New Roman"/>
        </w:rPr>
      </w:lvl>
    </w:lvlOverride>
  </w:num>
  <w:num w:numId="4">
    <w:abstractNumId w:val="6"/>
  </w:num>
  <w:num w:numId="5">
    <w:abstractNumId w:val="3"/>
  </w:num>
  <w:num w:numId="6">
    <w:abstractNumId w:val="1"/>
  </w:num>
  <w:num w:numId="7">
    <w:abstractNumId w:val="0"/>
  </w:num>
  <w:num w:numId="8">
    <w:abstractNumId w:val="4"/>
  </w:num>
  <w:num w:numId="9">
    <w:abstractNumId w:val="2"/>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noLineBreaksAfter w:lang="zh-CN" w:val="$([{£¥·‘“〈《「『【〔〖〝﹙﹛﹝＄（．［｛￡￥"/>
  <w:noLineBreaksBefore w:lang="zh-CN" w:val="!%),.:;&gt;?]}¢¨°·ˇˉ―‖’”…‰′″›℃∶、。〃〉》」』】〕〗〞︶︺︾﹀﹄﹚﹜﹞！＂％＇），．：；？］｀｜｝～￠"/>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WVmMGQyMmExNGQ4N2Y2YTdlYjA3Mjg5YWEyNThlMTQifQ=="/>
  </w:docVars>
  <w:rsids>
    <w:rsidRoot w:val="00011419"/>
    <w:rsid w:val="00006538"/>
    <w:rsid w:val="00010B89"/>
    <w:rsid w:val="00011419"/>
    <w:rsid w:val="00030372"/>
    <w:rsid w:val="00032862"/>
    <w:rsid w:val="0003560D"/>
    <w:rsid w:val="00037B77"/>
    <w:rsid w:val="000468AD"/>
    <w:rsid w:val="00072F8E"/>
    <w:rsid w:val="000C2BD8"/>
    <w:rsid w:val="000C7222"/>
    <w:rsid w:val="000D757E"/>
    <w:rsid w:val="000F711B"/>
    <w:rsid w:val="0011444A"/>
    <w:rsid w:val="001155A2"/>
    <w:rsid w:val="00115F78"/>
    <w:rsid w:val="001439F6"/>
    <w:rsid w:val="00174DB8"/>
    <w:rsid w:val="00175A4A"/>
    <w:rsid w:val="00176CD4"/>
    <w:rsid w:val="00190477"/>
    <w:rsid w:val="001A11A9"/>
    <w:rsid w:val="001B3F9A"/>
    <w:rsid w:val="001B599E"/>
    <w:rsid w:val="001D13E8"/>
    <w:rsid w:val="001E1FE4"/>
    <w:rsid w:val="001F289B"/>
    <w:rsid w:val="0020785D"/>
    <w:rsid w:val="0023277D"/>
    <w:rsid w:val="0024005A"/>
    <w:rsid w:val="002769B0"/>
    <w:rsid w:val="00276A69"/>
    <w:rsid w:val="00285124"/>
    <w:rsid w:val="002929C3"/>
    <w:rsid w:val="002A6597"/>
    <w:rsid w:val="002A7BF2"/>
    <w:rsid w:val="002B198A"/>
    <w:rsid w:val="0033317C"/>
    <w:rsid w:val="003344E3"/>
    <w:rsid w:val="0035706D"/>
    <w:rsid w:val="00361AE7"/>
    <w:rsid w:val="0037648D"/>
    <w:rsid w:val="00385911"/>
    <w:rsid w:val="003A5751"/>
    <w:rsid w:val="003D74A4"/>
    <w:rsid w:val="00430A77"/>
    <w:rsid w:val="00457ACE"/>
    <w:rsid w:val="004665BE"/>
    <w:rsid w:val="004A44CE"/>
    <w:rsid w:val="004B0E93"/>
    <w:rsid w:val="004B1317"/>
    <w:rsid w:val="004B3FD8"/>
    <w:rsid w:val="004C279C"/>
    <w:rsid w:val="004D1FF3"/>
    <w:rsid w:val="004F4D0D"/>
    <w:rsid w:val="00531895"/>
    <w:rsid w:val="00534D3D"/>
    <w:rsid w:val="00536D03"/>
    <w:rsid w:val="00536EEB"/>
    <w:rsid w:val="0054190C"/>
    <w:rsid w:val="00554063"/>
    <w:rsid w:val="00557B71"/>
    <w:rsid w:val="00563D6B"/>
    <w:rsid w:val="00576EAE"/>
    <w:rsid w:val="005A12FB"/>
    <w:rsid w:val="005C3069"/>
    <w:rsid w:val="00606B54"/>
    <w:rsid w:val="006137E5"/>
    <w:rsid w:val="006204FD"/>
    <w:rsid w:val="00623F4C"/>
    <w:rsid w:val="00657D7D"/>
    <w:rsid w:val="00661C41"/>
    <w:rsid w:val="00695C4B"/>
    <w:rsid w:val="006A31E9"/>
    <w:rsid w:val="006B2A8B"/>
    <w:rsid w:val="006D34C7"/>
    <w:rsid w:val="006D7924"/>
    <w:rsid w:val="007160DA"/>
    <w:rsid w:val="007224D9"/>
    <w:rsid w:val="00733D3F"/>
    <w:rsid w:val="00756156"/>
    <w:rsid w:val="0076678D"/>
    <w:rsid w:val="0077073A"/>
    <w:rsid w:val="0077704B"/>
    <w:rsid w:val="00792FCB"/>
    <w:rsid w:val="007A28B6"/>
    <w:rsid w:val="007A3E74"/>
    <w:rsid w:val="007A58A9"/>
    <w:rsid w:val="007B506D"/>
    <w:rsid w:val="007D6788"/>
    <w:rsid w:val="007E364D"/>
    <w:rsid w:val="0086495C"/>
    <w:rsid w:val="00885A6C"/>
    <w:rsid w:val="0089394E"/>
    <w:rsid w:val="008D0A99"/>
    <w:rsid w:val="008D7515"/>
    <w:rsid w:val="009108FB"/>
    <w:rsid w:val="00915E81"/>
    <w:rsid w:val="00920233"/>
    <w:rsid w:val="0093168C"/>
    <w:rsid w:val="0093317F"/>
    <w:rsid w:val="0094018D"/>
    <w:rsid w:val="00942D71"/>
    <w:rsid w:val="00955130"/>
    <w:rsid w:val="00981E54"/>
    <w:rsid w:val="009C0B97"/>
    <w:rsid w:val="009D32C7"/>
    <w:rsid w:val="009E4253"/>
    <w:rsid w:val="00A003A2"/>
    <w:rsid w:val="00A14417"/>
    <w:rsid w:val="00A25F13"/>
    <w:rsid w:val="00A43B60"/>
    <w:rsid w:val="00A54CD6"/>
    <w:rsid w:val="00A87858"/>
    <w:rsid w:val="00AB5F7C"/>
    <w:rsid w:val="00AD0467"/>
    <w:rsid w:val="00AE62E9"/>
    <w:rsid w:val="00AF2307"/>
    <w:rsid w:val="00AF4275"/>
    <w:rsid w:val="00B16B52"/>
    <w:rsid w:val="00B27AAD"/>
    <w:rsid w:val="00B31BB9"/>
    <w:rsid w:val="00B542A9"/>
    <w:rsid w:val="00B8751E"/>
    <w:rsid w:val="00B94919"/>
    <w:rsid w:val="00BC6F46"/>
    <w:rsid w:val="00BD2B5A"/>
    <w:rsid w:val="00BE1B7D"/>
    <w:rsid w:val="00BF5BA2"/>
    <w:rsid w:val="00C14E61"/>
    <w:rsid w:val="00C617AA"/>
    <w:rsid w:val="00C617AE"/>
    <w:rsid w:val="00C64931"/>
    <w:rsid w:val="00C71883"/>
    <w:rsid w:val="00C73A6A"/>
    <w:rsid w:val="00C75F58"/>
    <w:rsid w:val="00C92B85"/>
    <w:rsid w:val="00CB294B"/>
    <w:rsid w:val="00CD6538"/>
    <w:rsid w:val="00CE1828"/>
    <w:rsid w:val="00D1304C"/>
    <w:rsid w:val="00D14BD8"/>
    <w:rsid w:val="00D3372F"/>
    <w:rsid w:val="00D60258"/>
    <w:rsid w:val="00D85562"/>
    <w:rsid w:val="00D85D74"/>
    <w:rsid w:val="00D953A8"/>
    <w:rsid w:val="00DA4844"/>
    <w:rsid w:val="00DB0768"/>
    <w:rsid w:val="00DB2F8A"/>
    <w:rsid w:val="00DE5A39"/>
    <w:rsid w:val="00DE5DF3"/>
    <w:rsid w:val="00DF32CD"/>
    <w:rsid w:val="00E00B2A"/>
    <w:rsid w:val="00E01E9A"/>
    <w:rsid w:val="00E12E8F"/>
    <w:rsid w:val="00E13486"/>
    <w:rsid w:val="00E3725C"/>
    <w:rsid w:val="00E438A2"/>
    <w:rsid w:val="00E575E1"/>
    <w:rsid w:val="00E5797A"/>
    <w:rsid w:val="00E65D33"/>
    <w:rsid w:val="00E70D3C"/>
    <w:rsid w:val="00EB5C87"/>
    <w:rsid w:val="00ED7AE1"/>
    <w:rsid w:val="00EF307B"/>
    <w:rsid w:val="00F1072C"/>
    <w:rsid w:val="00F1674C"/>
    <w:rsid w:val="00F2408F"/>
    <w:rsid w:val="00F273E9"/>
    <w:rsid w:val="00F553ED"/>
    <w:rsid w:val="00F7653E"/>
    <w:rsid w:val="00F87E64"/>
    <w:rsid w:val="00FB4104"/>
    <w:rsid w:val="00FB7C7E"/>
    <w:rsid w:val="00FD41D2"/>
    <w:rsid w:val="00FE776F"/>
    <w:rsid w:val="00FF33A1"/>
    <w:rsid w:val="01020FCC"/>
    <w:rsid w:val="01075C89"/>
    <w:rsid w:val="015B44A1"/>
    <w:rsid w:val="015E4AD6"/>
    <w:rsid w:val="0162486C"/>
    <w:rsid w:val="016C71F3"/>
    <w:rsid w:val="016C78C3"/>
    <w:rsid w:val="016D6AC7"/>
    <w:rsid w:val="01770B89"/>
    <w:rsid w:val="01944D9A"/>
    <w:rsid w:val="01981D96"/>
    <w:rsid w:val="01A20643"/>
    <w:rsid w:val="01A84F6B"/>
    <w:rsid w:val="01AB6FC6"/>
    <w:rsid w:val="01C0753F"/>
    <w:rsid w:val="01CA4E76"/>
    <w:rsid w:val="01DC43C7"/>
    <w:rsid w:val="01EE5E5A"/>
    <w:rsid w:val="021C67BA"/>
    <w:rsid w:val="023800B3"/>
    <w:rsid w:val="027E7B61"/>
    <w:rsid w:val="028C0922"/>
    <w:rsid w:val="029562D6"/>
    <w:rsid w:val="02B46A49"/>
    <w:rsid w:val="02BD7561"/>
    <w:rsid w:val="02C774DC"/>
    <w:rsid w:val="030C7B4F"/>
    <w:rsid w:val="03425FB8"/>
    <w:rsid w:val="03555A65"/>
    <w:rsid w:val="035B0D7F"/>
    <w:rsid w:val="03914010"/>
    <w:rsid w:val="03A74E08"/>
    <w:rsid w:val="041F679F"/>
    <w:rsid w:val="042D119E"/>
    <w:rsid w:val="04316146"/>
    <w:rsid w:val="047010F6"/>
    <w:rsid w:val="04C35D04"/>
    <w:rsid w:val="05196C8F"/>
    <w:rsid w:val="05241069"/>
    <w:rsid w:val="056D0B77"/>
    <w:rsid w:val="05873749"/>
    <w:rsid w:val="058D73FC"/>
    <w:rsid w:val="05A131E3"/>
    <w:rsid w:val="05A745B5"/>
    <w:rsid w:val="05C83931"/>
    <w:rsid w:val="05E65252"/>
    <w:rsid w:val="05EA28BE"/>
    <w:rsid w:val="06021ED4"/>
    <w:rsid w:val="06023C82"/>
    <w:rsid w:val="060F770F"/>
    <w:rsid w:val="061E4CE3"/>
    <w:rsid w:val="062C6F86"/>
    <w:rsid w:val="06506CC2"/>
    <w:rsid w:val="066928B6"/>
    <w:rsid w:val="0669415E"/>
    <w:rsid w:val="06B77A1C"/>
    <w:rsid w:val="06F0266E"/>
    <w:rsid w:val="071A4FFB"/>
    <w:rsid w:val="0766397E"/>
    <w:rsid w:val="076E5CA6"/>
    <w:rsid w:val="07A56FBB"/>
    <w:rsid w:val="07C459A9"/>
    <w:rsid w:val="07CD3DB5"/>
    <w:rsid w:val="08146D2C"/>
    <w:rsid w:val="0821600F"/>
    <w:rsid w:val="083B53E8"/>
    <w:rsid w:val="085E716A"/>
    <w:rsid w:val="086A3D60"/>
    <w:rsid w:val="086C67DD"/>
    <w:rsid w:val="087356A5"/>
    <w:rsid w:val="08903486"/>
    <w:rsid w:val="08910112"/>
    <w:rsid w:val="08A47272"/>
    <w:rsid w:val="08AD6DC6"/>
    <w:rsid w:val="08BF794D"/>
    <w:rsid w:val="08D24978"/>
    <w:rsid w:val="08F61060"/>
    <w:rsid w:val="08F8263A"/>
    <w:rsid w:val="08FD098B"/>
    <w:rsid w:val="09024F69"/>
    <w:rsid w:val="0957377F"/>
    <w:rsid w:val="09632F44"/>
    <w:rsid w:val="09826502"/>
    <w:rsid w:val="099868FF"/>
    <w:rsid w:val="09A5562C"/>
    <w:rsid w:val="09DD4D52"/>
    <w:rsid w:val="0A0344D0"/>
    <w:rsid w:val="0A187F18"/>
    <w:rsid w:val="0A3665F0"/>
    <w:rsid w:val="0A375EC4"/>
    <w:rsid w:val="0A5922E8"/>
    <w:rsid w:val="0AA3355A"/>
    <w:rsid w:val="0AB15C77"/>
    <w:rsid w:val="0ABF3A21"/>
    <w:rsid w:val="0AF17E80"/>
    <w:rsid w:val="0B177CB0"/>
    <w:rsid w:val="0B507053"/>
    <w:rsid w:val="0B5F3A74"/>
    <w:rsid w:val="0B796AE0"/>
    <w:rsid w:val="0B824E2A"/>
    <w:rsid w:val="0BAA0535"/>
    <w:rsid w:val="0BAB5C09"/>
    <w:rsid w:val="0BAF665A"/>
    <w:rsid w:val="0BCB70E1"/>
    <w:rsid w:val="0BE24363"/>
    <w:rsid w:val="0BEB46DC"/>
    <w:rsid w:val="0BF422BF"/>
    <w:rsid w:val="0C0D2E2E"/>
    <w:rsid w:val="0C405504"/>
    <w:rsid w:val="0C545EA9"/>
    <w:rsid w:val="0C9B3B3C"/>
    <w:rsid w:val="0CA84E57"/>
    <w:rsid w:val="0CB11F5E"/>
    <w:rsid w:val="0D1F193A"/>
    <w:rsid w:val="0D2E1801"/>
    <w:rsid w:val="0D4C612B"/>
    <w:rsid w:val="0D4D6BBA"/>
    <w:rsid w:val="0D774F56"/>
    <w:rsid w:val="0D866BDE"/>
    <w:rsid w:val="0DA32C02"/>
    <w:rsid w:val="0DB404F9"/>
    <w:rsid w:val="0DC17A76"/>
    <w:rsid w:val="0DD75AF7"/>
    <w:rsid w:val="0DDA3D16"/>
    <w:rsid w:val="0E161C10"/>
    <w:rsid w:val="0E2A77C1"/>
    <w:rsid w:val="0E3107CA"/>
    <w:rsid w:val="0E4428A5"/>
    <w:rsid w:val="0E6F0323"/>
    <w:rsid w:val="0E6F695F"/>
    <w:rsid w:val="0E7D73E2"/>
    <w:rsid w:val="0E8A0CB9"/>
    <w:rsid w:val="0E972D25"/>
    <w:rsid w:val="0E9B4C74"/>
    <w:rsid w:val="0EA0672E"/>
    <w:rsid w:val="0EA77ABC"/>
    <w:rsid w:val="0EAF6971"/>
    <w:rsid w:val="0EB652F5"/>
    <w:rsid w:val="0EB65F51"/>
    <w:rsid w:val="0EB9334C"/>
    <w:rsid w:val="0EBC0662"/>
    <w:rsid w:val="0EBE17F9"/>
    <w:rsid w:val="0EDF04C0"/>
    <w:rsid w:val="0EE853A0"/>
    <w:rsid w:val="0F000F7B"/>
    <w:rsid w:val="0F056591"/>
    <w:rsid w:val="0F197691"/>
    <w:rsid w:val="0F234454"/>
    <w:rsid w:val="0F3A0E63"/>
    <w:rsid w:val="0F3A31CE"/>
    <w:rsid w:val="0F523A0C"/>
    <w:rsid w:val="0F5D3A75"/>
    <w:rsid w:val="0F650B88"/>
    <w:rsid w:val="0F655282"/>
    <w:rsid w:val="0F6D3D54"/>
    <w:rsid w:val="0F7B6853"/>
    <w:rsid w:val="0FD76BE7"/>
    <w:rsid w:val="0FD77F2D"/>
    <w:rsid w:val="0FEB6916"/>
    <w:rsid w:val="102A50D2"/>
    <w:rsid w:val="10423A33"/>
    <w:rsid w:val="109D408D"/>
    <w:rsid w:val="10A67900"/>
    <w:rsid w:val="10BD4122"/>
    <w:rsid w:val="111F39C6"/>
    <w:rsid w:val="1154735C"/>
    <w:rsid w:val="11587961"/>
    <w:rsid w:val="11592BC4"/>
    <w:rsid w:val="11707B9C"/>
    <w:rsid w:val="11841370"/>
    <w:rsid w:val="1198156C"/>
    <w:rsid w:val="11F61489"/>
    <w:rsid w:val="11FC483D"/>
    <w:rsid w:val="121C129E"/>
    <w:rsid w:val="121C6DF8"/>
    <w:rsid w:val="123D5F45"/>
    <w:rsid w:val="12444C84"/>
    <w:rsid w:val="125E66E4"/>
    <w:rsid w:val="12A54EC2"/>
    <w:rsid w:val="12C30C3D"/>
    <w:rsid w:val="12D27CAA"/>
    <w:rsid w:val="12DF7222"/>
    <w:rsid w:val="12F00BC2"/>
    <w:rsid w:val="12FC5FDF"/>
    <w:rsid w:val="13357DBD"/>
    <w:rsid w:val="13827C23"/>
    <w:rsid w:val="138805E8"/>
    <w:rsid w:val="13A641B5"/>
    <w:rsid w:val="13B862C8"/>
    <w:rsid w:val="13C05BD9"/>
    <w:rsid w:val="13F7627C"/>
    <w:rsid w:val="14103A0E"/>
    <w:rsid w:val="142E0264"/>
    <w:rsid w:val="143253C7"/>
    <w:rsid w:val="143A6CDD"/>
    <w:rsid w:val="144B08EA"/>
    <w:rsid w:val="145C2FD5"/>
    <w:rsid w:val="146632C7"/>
    <w:rsid w:val="14834A88"/>
    <w:rsid w:val="148665EA"/>
    <w:rsid w:val="14956A7F"/>
    <w:rsid w:val="14FE062D"/>
    <w:rsid w:val="15013EAF"/>
    <w:rsid w:val="15202377"/>
    <w:rsid w:val="15372482"/>
    <w:rsid w:val="153957D6"/>
    <w:rsid w:val="15632263"/>
    <w:rsid w:val="15CF0E64"/>
    <w:rsid w:val="15D65076"/>
    <w:rsid w:val="15D73C6A"/>
    <w:rsid w:val="16022658"/>
    <w:rsid w:val="166B13D0"/>
    <w:rsid w:val="168048BD"/>
    <w:rsid w:val="16B8105F"/>
    <w:rsid w:val="16D77A93"/>
    <w:rsid w:val="16F77510"/>
    <w:rsid w:val="16FE2244"/>
    <w:rsid w:val="171F3424"/>
    <w:rsid w:val="17425BC5"/>
    <w:rsid w:val="17531AF6"/>
    <w:rsid w:val="179E57D5"/>
    <w:rsid w:val="17A10E21"/>
    <w:rsid w:val="17CF5138"/>
    <w:rsid w:val="17D22FF2"/>
    <w:rsid w:val="17F03895"/>
    <w:rsid w:val="185F0FC1"/>
    <w:rsid w:val="18630E8B"/>
    <w:rsid w:val="186A3DA9"/>
    <w:rsid w:val="187A0287"/>
    <w:rsid w:val="18954E2A"/>
    <w:rsid w:val="18A21EDF"/>
    <w:rsid w:val="18DF264F"/>
    <w:rsid w:val="18E92A80"/>
    <w:rsid w:val="18FE3E66"/>
    <w:rsid w:val="19306900"/>
    <w:rsid w:val="19543C06"/>
    <w:rsid w:val="196B35CB"/>
    <w:rsid w:val="197B1F89"/>
    <w:rsid w:val="19B13F50"/>
    <w:rsid w:val="19BE4225"/>
    <w:rsid w:val="19CB65C6"/>
    <w:rsid w:val="19D627DC"/>
    <w:rsid w:val="1A5F56EF"/>
    <w:rsid w:val="1A761BCF"/>
    <w:rsid w:val="1A957770"/>
    <w:rsid w:val="1AF83EC6"/>
    <w:rsid w:val="1B285471"/>
    <w:rsid w:val="1B2F4288"/>
    <w:rsid w:val="1B401F46"/>
    <w:rsid w:val="1B860A5A"/>
    <w:rsid w:val="1BAF4334"/>
    <w:rsid w:val="1BC42B1F"/>
    <w:rsid w:val="1BC94BA6"/>
    <w:rsid w:val="1BE55262"/>
    <w:rsid w:val="1BF25A3C"/>
    <w:rsid w:val="1C062F8D"/>
    <w:rsid w:val="1C2535E3"/>
    <w:rsid w:val="1C2838BF"/>
    <w:rsid w:val="1C2F56B1"/>
    <w:rsid w:val="1C46734E"/>
    <w:rsid w:val="1C4C3A51"/>
    <w:rsid w:val="1C8541A2"/>
    <w:rsid w:val="1C993EA1"/>
    <w:rsid w:val="1CAD6A5A"/>
    <w:rsid w:val="1CCE5664"/>
    <w:rsid w:val="1D04432C"/>
    <w:rsid w:val="1D092145"/>
    <w:rsid w:val="1D33076D"/>
    <w:rsid w:val="1D466790"/>
    <w:rsid w:val="1D50131F"/>
    <w:rsid w:val="1D600539"/>
    <w:rsid w:val="1D7D4BB4"/>
    <w:rsid w:val="1D854E06"/>
    <w:rsid w:val="1DA44B8F"/>
    <w:rsid w:val="1DBC6A30"/>
    <w:rsid w:val="1DD95CC8"/>
    <w:rsid w:val="1DF47EFC"/>
    <w:rsid w:val="1DF779ED"/>
    <w:rsid w:val="1E3A4823"/>
    <w:rsid w:val="1E516CB1"/>
    <w:rsid w:val="1E7869AE"/>
    <w:rsid w:val="1EB340DE"/>
    <w:rsid w:val="1EB91E37"/>
    <w:rsid w:val="1EC93137"/>
    <w:rsid w:val="1EEA7263"/>
    <w:rsid w:val="1EF06CC1"/>
    <w:rsid w:val="1F0113D5"/>
    <w:rsid w:val="1F3F0AB2"/>
    <w:rsid w:val="1F4B4494"/>
    <w:rsid w:val="1F5E326E"/>
    <w:rsid w:val="1F7449AC"/>
    <w:rsid w:val="20140941"/>
    <w:rsid w:val="203046D5"/>
    <w:rsid w:val="204D2C21"/>
    <w:rsid w:val="20827A42"/>
    <w:rsid w:val="208512E0"/>
    <w:rsid w:val="20992DBC"/>
    <w:rsid w:val="20E701EC"/>
    <w:rsid w:val="21191BD6"/>
    <w:rsid w:val="21223E26"/>
    <w:rsid w:val="2135443B"/>
    <w:rsid w:val="215A3315"/>
    <w:rsid w:val="21744C49"/>
    <w:rsid w:val="219043E0"/>
    <w:rsid w:val="21936EBB"/>
    <w:rsid w:val="21B3410D"/>
    <w:rsid w:val="21BF089F"/>
    <w:rsid w:val="21C12C09"/>
    <w:rsid w:val="21E06726"/>
    <w:rsid w:val="22021EFF"/>
    <w:rsid w:val="22145011"/>
    <w:rsid w:val="22296FD1"/>
    <w:rsid w:val="226B2757"/>
    <w:rsid w:val="229677D4"/>
    <w:rsid w:val="22BB48F8"/>
    <w:rsid w:val="22D60519"/>
    <w:rsid w:val="22E32419"/>
    <w:rsid w:val="22EC3898"/>
    <w:rsid w:val="22FB7A0E"/>
    <w:rsid w:val="22FC5CCE"/>
    <w:rsid w:val="23134669"/>
    <w:rsid w:val="23351DFA"/>
    <w:rsid w:val="23395F1C"/>
    <w:rsid w:val="235007F1"/>
    <w:rsid w:val="23574D1C"/>
    <w:rsid w:val="236441EE"/>
    <w:rsid w:val="23722E0E"/>
    <w:rsid w:val="237241E0"/>
    <w:rsid w:val="23757C61"/>
    <w:rsid w:val="23983A20"/>
    <w:rsid w:val="23A51000"/>
    <w:rsid w:val="23A77F27"/>
    <w:rsid w:val="23FF25E7"/>
    <w:rsid w:val="2455546D"/>
    <w:rsid w:val="24926371"/>
    <w:rsid w:val="24935D7F"/>
    <w:rsid w:val="24A82155"/>
    <w:rsid w:val="24C525F3"/>
    <w:rsid w:val="24F57711"/>
    <w:rsid w:val="250075EA"/>
    <w:rsid w:val="250F7D12"/>
    <w:rsid w:val="2526240F"/>
    <w:rsid w:val="252A68FA"/>
    <w:rsid w:val="255D6CCF"/>
    <w:rsid w:val="256E120F"/>
    <w:rsid w:val="25774358"/>
    <w:rsid w:val="258C7D56"/>
    <w:rsid w:val="258E50DA"/>
    <w:rsid w:val="259F4B50"/>
    <w:rsid w:val="25C930A2"/>
    <w:rsid w:val="25FE3917"/>
    <w:rsid w:val="260A4B7D"/>
    <w:rsid w:val="261661B5"/>
    <w:rsid w:val="26303CF9"/>
    <w:rsid w:val="263D4806"/>
    <w:rsid w:val="26433E13"/>
    <w:rsid w:val="265E796C"/>
    <w:rsid w:val="267B5DCA"/>
    <w:rsid w:val="26881D95"/>
    <w:rsid w:val="26887D7C"/>
    <w:rsid w:val="26D60ACD"/>
    <w:rsid w:val="26FD2518"/>
    <w:rsid w:val="270417F1"/>
    <w:rsid w:val="27134937"/>
    <w:rsid w:val="2737597D"/>
    <w:rsid w:val="27383550"/>
    <w:rsid w:val="273E7B87"/>
    <w:rsid w:val="275845C6"/>
    <w:rsid w:val="27D4642D"/>
    <w:rsid w:val="286713AC"/>
    <w:rsid w:val="28A03F95"/>
    <w:rsid w:val="28DB6487"/>
    <w:rsid w:val="28F434A6"/>
    <w:rsid w:val="292947E6"/>
    <w:rsid w:val="292E3FA1"/>
    <w:rsid w:val="2957652F"/>
    <w:rsid w:val="29811395"/>
    <w:rsid w:val="29831EDE"/>
    <w:rsid w:val="298C172F"/>
    <w:rsid w:val="299370B2"/>
    <w:rsid w:val="29D519A9"/>
    <w:rsid w:val="29DF6D78"/>
    <w:rsid w:val="29FB08D6"/>
    <w:rsid w:val="2A144079"/>
    <w:rsid w:val="2A423CE6"/>
    <w:rsid w:val="2A5F0DF4"/>
    <w:rsid w:val="2A74112A"/>
    <w:rsid w:val="2A7F4FF2"/>
    <w:rsid w:val="2A9650C9"/>
    <w:rsid w:val="2AAA433B"/>
    <w:rsid w:val="2ABB0720"/>
    <w:rsid w:val="2ABF1AC1"/>
    <w:rsid w:val="2AC34D87"/>
    <w:rsid w:val="2AF27EBA"/>
    <w:rsid w:val="2B134BD7"/>
    <w:rsid w:val="2B3109E2"/>
    <w:rsid w:val="2B854657"/>
    <w:rsid w:val="2BA50A88"/>
    <w:rsid w:val="2BA91893"/>
    <w:rsid w:val="2BAD01DF"/>
    <w:rsid w:val="2BB4374E"/>
    <w:rsid w:val="2BCA6741"/>
    <w:rsid w:val="2BD870AF"/>
    <w:rsid w:val="2C1B6FB7"/>
    <w:rsid w:val="2C3D33B6"/>
    <w:rsid w:val="2C44116A"/>
    <w:rsid w:val="2C466824"/>
    <w:rsid w:val="2C543E03"/>
    <w:rsid w:val="2C8357CB"/>
    <w:rsid w:val="2CB4298F"/>
    <w:rsid w:val="2CC91D61"/>
    <w:rsid w:val="2CD57BE7"/>
    <w:rsid w:val="2D3E2F42"/>
    <w:rsid w:val="2D5A40BD"/>
    <w:rsid w:val="2D5F499D"/>
    <w:rsid w:val="2D822D02"/>
    <w:rsid w:val="2D8A6187"/>
    <w:rsid w:val="2DB27994"/>
    <w:rsid w:val="2DBD5498"/>
    <w:rsid w:val="2DCA6ECC"/>
    <w:rsid w:val="2DD41AF8"/>
    <w:rsid w:val="2DDE53CD"/>
    <w:rsid w:val="2DF33D2D"/>
    <w:rsid w:val="2DFC0965"/>
    <w:rsid w:val="2E272633"/>
    <w:rsid w:val="2E2D4421"/>
    <w:rsid w:val="2E325DD7"/>
    <w:rsid w:val="2E5A1A2E"/>
    <w:rsid w:val="2E5F591D"/>
    <w:rsid w:val="2E6F3D52"/>
    <w:rsid w:val="2E792B04"/>
    <w:rsid w:val="2E895C66"/>
    <w:rsid w:val="2EB57234"/>
    <w:rsid w:val="2EE668CE"/>
    <w:rsid w:val="2EE81A49"/>
    <w:rsid w:val="2F031ACB"/>
    <w:rsid w:val="2F061B50"/>
    <w:rsid w:val="2F1B7BAB"/>
    <w:rsid w:val="2F3A7467"/>
    <w:rsid w:val="2F692ED5"/>
    <w:rsid w:val="2F762E69"/>
    <w:rsid w:val="2F9E23BE"/>
    <w:rsid w:val="2FBE414D"/>
    <w:rsid w:val="2FC36553"/>
    <w:rsid w:val="2FE96BF7"/>
    <w:rsid w:val="2FF22ED3"/>
    <w:rsid w:val="30045323"/>
    <w:rsid w:val="30064465"/>
    <w:rsid w:val="30276A59"/>
    <w:rsid w:val="302C39FC"/>
    <w:rsid w:val="30314FE0"/>
    <w:rsid w:val="3058028F"/>
    <w:rsid w:val="306C33B3"/>
    <w:rsid w:val="3070755D"/>
    <w:rsid w:val="30801B01"/>
    <w:rsid w:val="3095556F"/>
    <w:rsid w:val="30A51513"/>
    <w:rsid w:val="30AA3E49"/>
    <w:rsid w:val="30E217E0"/>
    <w:rsid w:val="30E331E4"/>
    <w:rsid w:val="30FC197F"/>
    <w:rsid w:val="31151622"/>
    <w:rsid w:val="312F520B"/>
    <w:rsid w:val="313426C2"/>
    <w:rsid w:val="313B4368"/>
    <w:rsid w:val="319C5BD1"/>
    <w:rsid w:val="319C697D"/>
    <w:rsid w:val="31AF440F"/>
    <w:rsid w:val="31B54CD8"/>
    <w:rsid w:val="31CC1E76"/>
    <w:rsid w:val="31DA03D9"/>
    <w:rsid w:val="323455AF"/>
    <w:rsid w:val="32431722"/>
    <w:rsid w:val="324419E7"/>
    <w:rsid w:val="32533FB7"/>
    <w:rsid w:val="325D1438"/>
    <w:rsid w:val="3261552A"/>
    <w:rsid w:val="32754AAB"/>
    <w:rsid w:val="32A97977"/>
    <w:rsid w:val="32B663E8"/>
    <w:rsid w:val="32CF3E68"/>
    <w:rsid w:val="32D00548"/>
    <w:rsid w:val="32DD4AEC"/>
    <w:rsid w:val="332528BB"/>
    <w:rsid w:val="33462B51"/>
    <w:rsid w:val="33784CED"/>
    <w:rsid w:val="33810416"/>
    <w:rsid w:val="338527B5"/>
    <w:rsid w:val="33B201E6"/>
    <w:rsid w:val="33DE37FC"/>
    <w:rsid w:val="3415399E"/>
    <w:rsid w:val="344A58B6"/>
    <w:rsid w:val="34901423"/>
    <w:rsid w:val="34B1049E"/>
    <w:rsid w:val="34C428EA"/>
    <w:rsid w:val="34D86C31"/>
    <w:rsid w:val="34DF500B"/>
    <w:rsid w:val="34E42768"/>
    <w:rsid w:val="34F32BE1"/>
    <w:rsid w:val="35076310"/>
    <w:rsid w:val="3518051D"/>
    <w:rsid w:val="3519539B"/>
    <w:rsid w:val="35494B7A"/>
    <w:rsid w:val="354B6BCF"/>
    <w:rsid w:val="355F5BD4"/>
    <w:rsid w:val="356A6F9C"/>
    <w:rsid w:val="356B3A25"/>
    <w:rsid w:val="358211ED"/>
    <w:rsid w:val="35A674DA"/>
    <w:rsid w:val="35BF159A"/>
    <w:rsid w:val="35C51AB4"/>
    <w:rsid w:val="36131DB6"/>
    <w:rsid w:val="36312E15"/>
    <w:rsid w:val="364102D9"/>
    <w:rsid w:val="364B2424"/>
    <w:rsid w:val="3656097F"/>
    <w:rsid w:val="36672362"/>
    <w:rsid w:val="367535D5"/>
    <w:rsid w:val="367B03AC"/>
    <w:rsid w:val="36A3613A"/>
    <w:rsid w:val="36BB3856"/>
    <w:rsid w:val="36CA3A99"/>
    <w:rsid w:val="36EC42E2"/>
    <w:rsid w:val="3711395D"/>
    <w:rsid w:val="37126BC7"/>
    <w:rsid w:val="371C4CF7"/>
    <w:rsid w:val="373B04F2"/>
    <w:rsid w:val="379355B3"/>
    <w:rsid w:val="37B52E0B"/>
    <w:rsid w:val="37B54749"/>
    <w:rsid w:val="37D063F5"/>
    <w:rsid w:val="37DB33FF"/>
    <w:rsid w:val="381A5EEE"/>
    <w:rsid w:val="38295D87"/>
    <w:rsid w:val="385301A1"/>
    <w:rsid w:val="38B2599D"/>
    <w:rsid w:val="38B927E7"/>
    <w:rsid w:val="38E35FF9"/>
    <w:rsid w:val="390A2F1D"/>
    <w:rsid w:val="392D4EF1"/>
    <w:rsid w:val="39C9789B"/>
    <w:rsid w:val="39D33AED"/>
    <w:rsid w:val="39F52C7B"/>
    <w:rsid w:val="3A003926"/>
    <w:rsid w:val="3A06303A"/>
    <w:rsid w:val="3A23599A"/>
    <w:rsid w:val="3A313B85"/>
    <w:rsid w:val="3A4F41F2"/>
    <w:rsid w:val="3A5C35BA"/>
    <w:rsid w:val="3A6E041F"/>
    <w:rsid w:val="3A8A2E97"/>
    <w:rsid w:val="3AA50AA5"/>
    <w:rsid w:val="3AD218A1"/>
    <w:rsid w:val="3B13738B"/>
    <w:rsid w:val="3B1E7E1D"/>
    <w:rsid w:val="3B227097"/>
    <w:rsid w:val="3B5A5982"/>
    <w:rsid w:val="3B5F2BD7"/>
    <w:rsid w:val="3B610516"/>
    <w:rsid w:val="3B7E7741"/>
    <w:rsid w:val="3BAC2B5D"/>
    <w:rsid w:val="3BD11425"/>
    <w:rsid w:val="3BE449FF"/>
    <w:rsid w:val="3BED44B1"/>
    <w:rsid w:val="3C027831"/>
    <w:rsid w:val="3C1E6671"/>
    <w:rsid w:val="3C327705"/>
    <w:rsid w:val="3C586481"/>
    <w:rsid w:val="3C734751"/>
    <w:rsid w:val="3CA408E8"/>
    <w:rsid w:val="3CA5708C"/>
    <w:rsid w:val="3CC76F89"/>
    <w:rsid w:val="3CE21B3C"/>
    <w:rsid w:val="3CFD45BC"/>
    <w:rsid w:val="3D052075"/>
    <w:rsid w:val="3D4E5423"/>
    <w:rsid w:val="3D634992"/>
    <w:rsid w:val="3D8464FE"/>
    <w:rsid w:val="3D9A6758"/>
    <w:rsid w:val="3DA2751D"/>
    <w:rsid w:val="3DC379BC"/>
    <w:rsid w:val="3DE64143"/>
    <w:rsid w:val="3DEE5DFA"/>
    <w:rsid w:val="3DFA1107"/>
    <w:rsid w:val="3E0C25D3"/>
    <w:rsid w:val="3E136AF4"/>
    <w:rsid w:val="3E3330E9"/>
    <w:rsid w:val="3E5A6A99"/>
    <w:rsid w:val="3E5D4356"/>
    <w:rsid w:val="3E605C01"/>
    <w:rsid w:val="3E8310FD"/>
    <w:rsid w:val="3EB312A4"/>
    <w:rsid w:val="3EBB5ABB"/>
    <w:rsid w:val="3ECA0ADA"/>
    <w:rsid w:val="3EF20030"/>
    <w:rsid w:val="3EF67591"/>
    <w:rsid w:val="3F171845"/>
    <w:rsid w:val="3F294FFE"/>
    <w:rsid w:val="3F3632A5"/>
    <w:rsid w:val="3F542A99"/>
    <w:rsid w:val="3FC217B1"/>
    <w:rsid w:val="3FF01010"/>
    <w:rsid w:val="4019384B"/>
    <w:rsid w:val="40247A79"/>
    <w:rsid w:val="403B4837"/>
    <w:rsid w:val="40745114"/>
    <w:rsid w:val="407D3353"/>
    <w:rsid w:val="407D7589"/>
    <w:rsid w:val="40DB684D"/>
    <w:rsid w:val="417411D1"/>
    <w:rsid w:val="41AE7549"/>
    <w:rsid w:val="41C300E0"/>
    <w:rsid w:val="42051E29"/>
    <w:rsid w:val="423E21E4"/>
    <w:rsid w:val="426E79CE"/>
    <w:rsid w:val="42982C9D"/>
    <w:rsid w:val="42D068DB"/>
    <w:rsid w:val="42E45EE2"/>
    <w:rsid w:val="42ED7C4A"/>
    <w:rsid w:val="42F4060B"/>
    <w:rsid w:val="43014FC6"/>
    <w:rsid w:val="43103D15"/>
    <w:rsid w:val="433C659D"/>
    <w:rsid w:val="434A3F97"/>
    <w:rsid w:val="4359769A"/>
    <w:rsid w:val="43697616"/>
    <w:rsid w:val="438D0328"/>
    <w:rsid w:val="43A53A71"/>
    <w:rsid w:val="43BB1EE2"/>
    <w:rsid w:val="43C006A4"/>
    <w:rsid w:val="43C93600"/>
    <w:rsid w:val="43DD305D"/>
    <w:rsid w:val="43DD5AEE"/>
    <w:rsid w:val="442B6CCF"/>
    <w:rsid w:val="44450090"/>
    <w:rsid w:val="4447497A"/>
    <w:rsid w:val="444913B7"/>
    <w:rsid w:val="44782D86"/>
    <w:rsid w:val="447F2366"/>
    <w:rsid w:val="449D0A3E"/>
    <w:rsid w:val="44C95FED"/>
    <w:rsid w:val="44DA759D"/>
    <w:rsid w:val="44F61263"/>
    <w:rsid w:val="4504038B"/>
    <w:rsid w:val="45152F6A"/>
    <w:rsid w:val="451807B7"/>
    <w:rsid w:val="4519355D"/>
    <w:rsid w:val="453313C6"/>
    <w:rsid w:val="45575155"/>
    <w:rsid w:val="459B00D6"/>
    <w:rsid w:val="45DD61B2"/>
    <w:rsid w:val="45F75F2C"/>
    <w:rsid w:val="46034F80"/>
    <w:rsid w:val="46132D66"/>
    <w:rsid w:val="46340402"/>
    <w:rsid w:val="464473C4"/>
    <w:rsid w:val="46583D1D"/>
    <w:rsid w:val="46E124EE"/>
    <w:rsid w:val="46F81F5C"/>
    <w:rsid w:val="47014474"/>
    <w:rsid w:val="471336BB"/>
    <w:rsid w:val="4725389A"/>
    <w:rsid w:val="47785ADA"/>
    <w:rsid w:val="478847DA"/>
    <w:rsid w:val="47A1702E"/>
    <w:rsid w:val="47A42D8A"/>
    <w:rsid w:val="47AF3B20"/>
    <w:rsid w:val="47CA56A6"/>
    <w:rsid w:val="47DB3561"/>
    <w:rsid w:val="47F861AC"/>
    <w:rsid w:val="480F1C53"/>
    <w:rsid w:val="483634DD"/>
    <w:rsid w:val="484A67E7"/>
    <w:rsid w:val="484D62D8"/>
    <w:rsid w:val="48934632"/>
    <w:rsid w:val="48944081"/>
    <w:rsid w:val="48B12875"/>
    <w:rsid w:val="48C63840"/>
    <w:rsid w:val="48CC0EB5"/>
    <w:rsid w:val="48FA21B8"/>
    <w:rsid w:val="48FE7961"/>
    <w:rsid w:val="490B30FC"/>
    <w:rsid w:val="492E136C"/>
    <w:rsid w:val="493279A7"/>
    <w:rsid w:val="493F20C4"/>
    <w:rsid w:val="49605D03"/>
    <w:rsid w:val="49640F9D"/>
    <w:rsid w:val="49E07403"/>
    <w:rsid w:val="49EA64D4"/>
    <w:rsid w:val="49F66B3A"/>
    <w:rsid w:val="49FF3307"/>
    <w:rsid w:val="4A0060AB"/>
    <w:rsid w:val="4A140DF8"/>
    <w:rsid w:val="4A417DC6"/>
    <w:rsid w:val="4A6407FA"/>
    <w:rsid w:val="4A8E6E5F"/>
    <w:rsid w:val="4A8F3861"/>
    <w:rsid w:val="4AC26B09"/>
    <w:rsid w:val="4AD35E75"/>
    <w:rsid w:val="4AD64EA9"/>
    <w:rsid w:val="4AF56EDE"/>
    <w:rsid w:val="4B296B88"/>
    <w:rsid w:val="4B3410DF"/>
    <w:rsid w:val="4B3D033C"/>
    <w:rsid w:val="4B51194C"/>
    <w:rsid w:val="4B5160DF"/>
    <w:rsid w:val="4B676C43"/>
    <w:rsid w:val="4B8B73BE"/>
    <w:rsid w:val="4BB5666E"/>
    <w:rsid w:val="4BE02D35"/>
    <w:rsid w:val="4C3C4C30"/>
    <w:rsid w:val="4C4001CF"/>
    <w:rsid w:val="4C577725"/>
    <w:rsid w:val="4C6A4346"/>
    <w:rsid w:val="4C8E212F"/>
    <w:rsid w:val="4CA13CE1"/>
    <w:rsid w:val="4CCF7123"/>
    <w:rsid w:val="4CDA3CE9"/>
    <w:rsid w:val="4CE3154B"/>
    <w:rsid w:val="4D011C49"/>
    <w:rsid w:val="4D0D5C7B"/>
    <w:rsid w:val="4D114968"/>
    <w:rsid w:val="4D2C4D15"/>
    <w:rsid w:val="4D3B231E"/>
    <w:rsid w:val="4D4C3002"/>
    <w:rsid w:val="4D564194"/>
    <w:rsid w:val="4D907C44"/>
    <w:rsid w:val="4D911E12"/>
    <w:rsid w:val="4D9D68AF"/>
    <w:rsid w:val="4DA07CB3"/>
    <w:rsid w:val="4DB36BDD"/>
    <w:rsid w:val="4DE75007"/>
    <w:rsid w:val="4DF571F5"/>
    <w:rsid w:val="4E027BEB"/>
    <w:rsid w:val="4E2D7665"/>
    <w:rsid w:val="4E2F2707"/>
    <w:rsid w:val="4E453CD9"/>
    <w:rsid w:val="4E4B32B9"/>
    <w:rsid w:val="4E4F4B57"/>
    <w:rsid w:val="4EB7698D"/>
    <w:rsid w:val="4EC859C5"/>
    <w:rsid w:val="4ECD25C4"/>
    <w:rsid w:val="4EDB62E4"/>
    <w:rsid w:val="4F0B02F1"/>
    <w:rsid w:val="4F1008F0"/>
    <w:rsid w:val="4F381A88"/>
    <w:rsid w:val="4F462F9B"/>
    <w:rsid w:val="4F4C6E3E"/>
    <w:rsid w:val="4F5D32A4"/>
    <w:rsid w:val="4F7800DE"/>
    <w:rsid w:val="4FAF10B5"/>
    <w:rsid w:val="4FCB46B2"/>
    <w:rsid w:val="4FDB3207"/>
    <w:rsid w:val="4FDF06D0"/>
    <w:rsid w:val="4FF546A4"/>
    <w:rsid w:val="4FF6515B"/>
    <w:rsid w:val="501404F3"/>
    <w:rsid w:val="5060129E"/>
    <w:rsid w:val="50631558"/>
    <w:rsid w:val="507D43C6"/>
    <w:rsid w:val="50801C21"/>
    <w:rsid w:val="508A537D"/>
    <w:rsid w:val="50DB3D9F"/>
    <w:rsid w:val="512562C1"/>
    <w:rsid w:val="512C1180"/>
    <w:rsid w:val="513454B5"/>
    <w:rsid w:val="51363DAD"/>
    <w:rsid w:val="5177715C"/>
    <w:rsid w:val="518D7CA9"/>
    <w:rsid w:val="519A0258"/>
    <w:rsid w:val="51A979AA"/>
    <w:rsid w:val="522D51A7"/>
    <w:rsid w:val="522D6861"/>
    <w:rsid w:val="524170C7"/>
    <w:rsid w:val="52506547"/>
    <w:rsid w:val="526E48F5"/>
    <w:rsid w:val="527821A3"/>
    <w:rsid w:val="5291177B"/>
    <w:rsid w:val="52AD5468"/>
    <w:rsid w:val="52B17A2B"/>
    <w:rsid w:val="52CD6432"/>
    <w:rsid w:val="53051484"/>
    <w:rsid w:val="53065925"/>
    <w:rsid w:val="533B21EF"/>
    <w:rsid w:val="53506CBC"/>
    <w:rsid w:val="53572BA2"/>
    <w:rsid w:val="53A35598"/>
    <w:rsid w:val="53B65679"/>
    <w:rsid w:val="53B92D73"/>
    <w:rsid w:val="53BF7F35"/>
    <w:rsid w:val="53DB0C3B"/>
    <w:rsid w:val="541509F8"/>
    <w:rsid w:val="541E7EC5"/>
    <w:rsid w:val="54391DFC"/>
    <w:rsid w:val="54414F42"/>
    <w:rsid w:val="54466DAA"/>
    <w:rsid w:val="544D6EB3"/>
    <w:rsid w:val="546549EC"/>
    <w:rsid w:val="54662BFB"/>
    <w:rsid w:val="5472078A"/>
    <w:rsid w:val="54860B39"/>
    <w:rsid w:val="549E2395"/>
    <w:rsid w:val="54BD16D5"/>
    <w:rsid w:val="54CF78C5"/>
    <w:rsid w:val="5503246A"/>
    <w:rsid w:val="550502AF"/>
    <w:rsid w:val="550F6DEF"/>
    <w:rsid w:val="552F6C84"/>
    <w:rsid w:val="55603AEE"/>
    <w:rsid w:val="557B1FF8"/>
    <w:rsid w:val="55DC17AB"/>
    <w:rsid w:val="55EB5A9C"/>
    <w:rsid w:val="55EC3936"/>
    <w:rsid w:val="56044307"/>
    <w:rsid w:val="563B3C13"/>
    <w:rsid w:val="566969D2"/>
    <w:rsid w:val="56DC4E96"/>
    <w:rsid w:val="56DD2E6F"/>
    <w:rsid w:val="56F049FE"/>
    <w:rsid w:val="572E44DA"/>
    <w:rsid w:val="57320AAB"/>
    <w:rsid w:val="574C4335"/>
    <w:rsid w:val="57521214"/>
    <w:rsid w:val="576042A9"/>
    <w:rsid w:val="5767358A"/>
    <w:rsid w:val="579F23E2"/>
    <w:rsid w:val="57AD28EF"/>
    <w:rsid w:val="57C84641"/>
    <w:rsid w:val="57D85BBE"/>
    <w:rsid w:val="5816496A"/>
    <w:rsid w:val="583152CE"/>
    <w:rsid w:val="58472D43"/>
    <w:rsid w:val="586451B5"/>
    <w:rsid w:val="5868766F"/>
    <w:rsid w:val="58690ACE"/>
    <w:rsid w:val="587E4AF7"/>
    <w:rsid w:val="58D4325A"/>
    <w:rsid w:val="58D565A1"/>
    <w:rsid w:val="5905455B"/>
    <w:rsid w:val="59094E71"/>
    <w:rsid w:val="5916617B"/>
    <w:rsid w:val="59244215"/>
    <w:rsid w:val="59267594"/>
    <w:rsid w:val="592F7A5F"/>
    <w:rsid w:val="593F3A1A"/>
    <w:rsid w:val="5955323E"/>
    <w:rsid w:val="59611BE3"/>
    <w:rsid w:val="59653481"/>
    <w:rsid w:val="59800E61"/>
    <w:rsid w:val="59941542"/>
    <w:rsid w:val="59967ADE"/>
    <w:rsid w:val="59C75EEA"/>
    <w:rsid w:val="59CC1752"/>
    <w:rsid w:val="59D65F02"/>
    <w:rsid w:val="59E119A3"/>
    <w:rsid w:val="59F03799"/>
    <w:rsid w:val="5A0E3B19"/>
    <w:rsid w:val="5A461504"/>
    <w:rsid w:val="5A476744"/>
    <w:rsid w:val="5A503745"/>
    <w:rsid w:val="5A5C4DE7"/>
    <w:rsid w:val="5A8218F0"/>
    <w:rsid w:val="5AAB1367"/>
    <w:rsid w:val="5AB32552"/>
    <w:rsid w:val="5AB346C0"/>
    <w:rsid w:val="5AB43F3C"/>
    <w:rsid w:val="5B044F1C"/>
    <w:rsid w:val="5B207C03"/>
    <w:rsid w:val="5B44356A"/>
    <w:rsid w:val="5B444677"/>
    <w:rsid w:val="5B544518"/>
    <w:rsid w:val="5B6559BA"/>
    <w:rsid w:val="5B7E6A7C"/>
    <w:rsid w:val="5BCB440E"/>
    <w:rsid w:val="5BD33CE6"/>
    <w:rsid w:val="5BF743DD"/>
    <w:rsid w:val="5C1A77B4"/>
    <w:rsid w:val="5C1B251D"/>
    <w:rsid w:val="5C571B4D"/>
    <w:rsid w:val="5C62639E"/>
    <w:rsid w:val="5C68627A"/>
    <w:rsid w:val="5C6A36E5"/>
    <w:rsid w:val="5C732614"/>
    <w:rsid w:val="5C794D62"/>
    <w:rsid w:val="5C8B664B"/>
    <w:rsid w:val="5CA86F71"/>
    <w:rsid w:val="5CBD7F70"/>
    <w:rsid w:val="5CC372E6"/>
    <w:rsid w:val="5CD16D26"/>
    <w:rsid w:val="5CDF2294"/>
    <w:rsid w:val="5CFA2DC8"/>
    <w:rsid w:val="5D00652B"/>
    <w:rsid w:val="5D066ED2"/>
    <w:rsid w:val="5D2A27B2"/>
    <w:rsid w:val="5D3C3A33"/>
    <w:rsid w:val="5D597FF0"/>
    <w:rsid w:val="5D947D2B"/>
    <w:rsid w:val="5DA72010"/>
    <w:rsid w:val="5DAD189A"/>
    <w:rsid w:val="5DAE4D02"/>
    <w:rsid w:val="5DB01605"/>
    <w:rsid w:val="5DC310BE"/>
    <w:rsid w:val="5DEC4171"/>
    <w:rsid w:val="5DF04094"/>
    <w:rsid w:val="5E183C9A"/>
    <w:rsid w:val="5E617254"/>
    <w:rsid w:val="5E7F07EA"/>
    <w:rsid w:val="5EB923BE"/>
    <w:rsid w:val="5EF332DD"/>
    <w:rsid w:val="5F313E05"/>
    <w:rsid w:val="5F44200D"/>
    <w:rsid w:val="5F474A63"/>
    <w:rsid w:val="5F795ED8"/>
    <w:rsid w:val="5F894660"/>
    <w:rsid w:val="5F9765F7"/>
    <w:rsid w:val="5FB12B07"/>
    <w:rsid w:val="5FB52C88"/>
    <w:rsid w:val="5FC8476A"/>
    <w:rsid w:val="5FE62E42"/>
    <w:rsid w:val="5FF2278B"/>
    <w:rsid w:val="600F0404"/>
    <w:rsid w:val="604723EF"/>
    <w:rsid w:val="60786F09"/>
    <w:rsid w:val="60D1764E"/>
    <w:rsid w:val="60FC2447"/>
    <w:rsid w:val="612E6238"/>
    <w:rsid w:val="61564F77"/>
    <w:rsid w:val="61762489"/>
    <w:rsid w:val="618F495D"/>
    <w:rsid w:val="61BD4DBB"/>
    <w:rsid w:val="61FA4982"/>
    <w:rsid w:val="620B508D"/>
    <w:rsid w:val="62233ED9"/>
    <w:rsid w:val="62334050"/>
    <w:rsid w:val="62950FB1"/>
    <w:rsid w:val="62AC3ECF"/>
    <w:rsid w:val="62BE27AA"/>
    <w:rsid w:val="62C717CB"/>
    <w:rsid w:val="62D67447"/>
    <w:rsid w:val="62DC368C"/>
    <w:rsid w:val="632F543B"/>
    <w:rsid w:val="633A2150"/>
    <w:rsid w:val="63443DB1"/>
    <w:rsid w:val="634E4F86"/>
    <w:rsid w:val="63696264"/>
    <w:rsid w:val="63983853"/>
    <w:rsid w:val="639C2195"/>
    <w:rsid w:val="63CF256B"/>
    <w:rsid w:val="640F0BB9"/>
    <w:rsid w:val="64164839"/>
    <w:rsid w:val="64267CB1"/>
    <w:rsid w:val="64276397"/>
    <w:rsid w:val="64356146"/>
    <w:rsid w:val="645301E6"/>
    <w:rsid w:val="645A662E"/>
    <w:rsid w:val="64964E36"/>
    <w:rsid w:val="649F4523"/>
    <w:rsid w:val="64C35C14"/>
    <w:rsid w:val="65044B19"/>
    <w:rsid w:val="650913DC"/>
    <w:rsid w:val="65143FAD"/>
    <w:rsid w:val="65353A71"/>
    <w:rsid w:val="654301AA"/>
    <w:rsid w:val="657328B6"/>
    <w:rsid w:val="65815627"/>
    <w:rsid w:val="658902D2"/>
    <w:rsid w:val="6598698C"/>
    <w:rsid w:val="65AE3F09"/>
    <w:rsid w:val="65B736E3"/>
    <w:rsid w:val="65BD3145"/>
    <w:rsid w:val="65DC24EE"/>
    <w:rsid w:val="65EB3100"/>
    <w:rsid w:val="660B1C97"/>
    <w:rsid w:val="66112147"/>
    <w:rsid w:val="66386A85"/>
    <w:rsid w:val="663E65EC"/>
    <w:rsid w:val="666852B2"/>
    <w:rsid w:val="668946A2"/>
    <w:rsid w:val="66932A01"/>
    <w:rsid w:val="669730E8"/>
    <w:rsid w:val="66DA1CDC"/>
    <w:rsid w:val="67200490"/>
    <w:rsid w:val="67334FF7"/>
    <w:rsid w:val="674647FB"/>
    <w:rsid w:val="674A015A"/>
    <w:rsid w:val="67556DDE"/>
    <w:rsid w:val="6773073A"/>
    <w:rsid w:val="679B1528"/>
    <w:rsid w:val="679D34B6"/>
    <w:rsid w:val="67AE7B76"/>
    <w:rsid w:val="67DB7004"/>
    <w:rsid w:val="67F801A4"/>
    <w:rsid w:val="67FF5B5B"/>
    <w:rsid w:val="68153443"/>
    <w:rsid w:val="68867CD4"/>
    <w:rsid w:val="68A01D39"/>
    <w:rsid w:val="68B65F70"/>
    <w:rsid w:val="68C006D4"/>
    <w:rsid w:val="68C27158"/>
    <w:rsid w:val="68E24F05"/>
    <w:rsid w:val="68E82655"/>
    <w:rsid w:val="695E6FEA"/>
    <w:rsid w:val="69733519"/>
    <w:rsid w:val="69A35F61"/>
    <w:rsid w:val="69A41529"/>
    <w:rsid w:val="69A4520A"/>
    <w:rsid w:val="69BF2426"/>
    <w:rsid w:val="69D50EF4"/>
    <w:rsid w:val="69DB32EB"/>
    <w:rsid w:val="69E6330C"/>
    <w:rsid w:val="69E95A08"/>
    <w:rsid w:val="6A3D373D"/>
    <w:rsid w:val="6A5B40AC"/>
    <w:rsid w:val="6A7F7BB2"/>
    <w:rsid w:val="6AA655C6"/>
    <w:rsid w:val="6AA9223D"/>
    <w:rsid w:val="6AC35D69"/>
    <w:rsid w:val="6AC81F86"/>
    <w:rsid w:val="6AD95A7D"/>
    <w:rsid w:val="6ADB1A56"/>
    <w:rsid w:val="6B073AA9"/>
    <w:rsid w:val="6B0A3354"/>
    <w:rsid w:val="6B2252E8"/>
    <w:rsid w:val="6B346D3F"/>
    <w:rsid w:val="6B8C6F93"/>
    <w:rsid w:val="6BAF3695"/>
    <w:rsid w:val="6BD274A9"/>
    <w:rsid w:val="6BFB7C75"/>
    <w:rsid w:val="6C007039"/>
    <w:rsid w:val="6C24541E"/>
    <w:rsid w:val="6C384A25"/>
    <w:rsid w:val="6C4D6722"/>
    <w:rsid w:val="6C4E5FF7"/>
    <w:rsid w:val="6C711CE5"/>
    <w:rsid w:val="6C7517D5"/>
    <w:rsid w:val="6C7860A0"/>
    <w:rsid w:val="6C9C1458"/>
    <w:rsid w:val="6C9C440C"/>
    <w:rsid w:val="6CCA2179"/>
    <w:rsid w:val="6CD354BA"/>
    <w:rsid w:val="6CEE7263"/>
    <w:rsid w:val="6D064AD7"/>
    <w:rsid w:val="6D0D4033"/>
    <w:rsid w:val="6D221530"/>
    <w:rsid w:val="6D3941D2"/>
    <w:rsid w:val="6D5E61A8"/>
    <w:rsid w:val="6D8A5CBE"/>
    <w:rsid w:val="6DA70849"/>
    <w:rsid w:val="6DAF3447"/>
    <w:rsid w:val="6DB26B6E"/>
    <w:rsid w:val="6DB304DD"/>
    <w:rsid w:val="6DB4632D"/>
    <w:rsid w:val="6DCC18C9"/>
    <w:rsid w:val="6DE43DE7"/>
    <w:rsid w:val="6DFA4195"/>
    <w:rsid w:val="6E042DF5"/>
    <w:rsid w:val="6E265F09"/>
    <w:rsid w:val="6EAC24B3"/>
    <w:rsid w:val="6EBF4F8A"/>
    <w:rsid w:val="6EC17220"/>
    <w:rsid w:val="6F0429E0"/>
    <w:rsid w:val="6FAB4C9D"/>
    <w:rsid w:val="6FD43436"/>
    <w:rsid w:val="6FEC7A01"/>
    <w:rsid w:val="700147E0"/>
    <w:rsid w:val="70046054"/>
    <w:rsid w:val="70177507"/>
    <w:rsid w:val="701C7327"/>
    <w:rsid w:val="70510D54"/>
    <w:rsid w:val="70731F17"/>
    <w:rsid w:val="7081142A"/>
    <w:rsid w:val="70903082"/>
    <w:rsid w:val="7096226F"/>
    <w:rsid w:val="709E03E8"/>
    <w:rsid w:val="70B26321"/>
    <w:rsid w:val="70BD374B"/>
    <w:rsid w:val="70C920F0"/>
    <w:rsid w:val="70F54057"/>
    <w:rsid w:val="710342D9"/>
    <w:rsid w:val="711F33DE"/>
    <w:rsid w:val="713501A3"/>
    <w:rsid w:val="717604C9"/>
    <w:rsid w:val="72104BD5"/>
    <w:rsid w:val="721627FC"/>
    <w:rsid w:val="72162826"/>
    <w:rsid w:val="72165809"/>
    <w:rsid w:val="7231447F"/>
    <w:rsid w:val="72325B62"/>
    <w:rsid w:val="72356104"/>
    <w:rsid w:val="724D0AFE"/>
    <w:rsid w:val="72637960"/>
    <w:rsid w:val="727604F0"/>
    <w:rsid w:val="7280464E"/>
    <w:rsid w:val="729329B5"/>
    <w:rsid w:val="72964253"/>
    <w:rsid w:val="72966B20"/>
    <w:rsid w:val="72A55D34"/>
    <w:rsid w:val="72B50AD0"/>
    <w:rsid w:val="72DA05E4"/>
    <w:rsid w:val="73801537"/>
    <w:rsid w:val="739A4857"/>
    <w:rsid w:val="740D2C3B"/>
    <w:rsid w:val="743D52CE"/>
    <w:rsid w:val="744B0462"/>
    <w:rsid w:val="744E1D13"/>
    <w:rsid w:val="746A18B5"/>
    <w:rsid w:val="746E5488"/>
    <w:rsid w:val="74962474"/>
    <w:rsid w:val="749D5D6D"/>
    <w:rsid w:val="74A25FDF"/>
    <w:rsid w:val="74BA691F"/>
    <w:rsid w:val="74E117F9"/>
    <w:rsid w:val="75045DDD"/>
    <w:rsid w:val="7507559A"/>
    <w:rsid w:val="75091655"/>
    <w:rsid w:val="75292E35"/>
    <w:rsid w:val="752A136D"/>
    <w:rsid w:val="75322959"/>
    <w:rsid w:val="7539091C"/>
    <w:rsid w:val="754E0E15"/>
    <w:rsid w:val="7555559E"/>
    <w:rsid w:val="755F58B4"/>
    <w:rsid w:val="75D73DE6"/>
    <w:rsid w:val="75FF52DB"/>
    <w:rsid w:val="76407273"/>
    <w:rsid w:val="7641097A"/>
    <w:rsid w:val="767970E9"/>
    <w:rsid w:val="77311573"/>
    <w:rsid w:val="77453FE7"/>
    <w:rsid w:val="775E5EC2"/>
    <w:rsid w:val="77611FA0"/>
    <w:rsid w:val="779C055E"/>
    <w:rsid w:val="783F079F"/>
    <w:rsid w:val="784326BC"/>
    <w:rsid w:val="78666B79"/>
    <w:rsid w:val="78752293"/>
    <w:rsid w:val="789426FC"/>
    <w:rsid w:val="78B773E8"/>
    <w:rsid w:val="78C879D1"/>
    <w:rsid w:val="78C9164E"/>
    <w:rsid w:val="78E85F83"/>
    <w:rsid w:val="78ED0F02"/>
    <w:rsid w:val="78EE24F1"/>
    <w:rsid w:val="790C26E0"/>
    <w:rsid w:val="79164340"/>
    <w:rsid w:val="79197508"/>
    <w:rsid w:val="791D55DD"/>
    <w:rsid w:val="79256A82"/>
    <w:rsid w:val="79554FB7"/>
    <w:rsid w:val="79674B9C"/>
    <w:rsid w:val="79697CBD"/>
    <w:rsid w:val="79790FCF"/>
    <w:rsid w:val="79A25BD4"/>
    <w:rsid w:val="79B57C07"/>
    <w:rsid w:val="79B6432A"/>
    <w:rsid w:val="79BC0365"/>
    <w:rsid w:val="79F91C98"/>
    <w:rsid w:val="7A04063C"/>
    <w:rsid w:val="7A147D50"/>
    <w:rsid w:val="7A154F84"/>
    <w:rsid w:val="7A1A6B6F"/>
    <w:rsid w:val="7A3E14C6"/>
    <w:rsid w:val="7A682979"/>
    <w:rsid w:val="7A80073F"/>
    <w:rsid w:val="7ADB139D"/>
    <w:rsid w:val="7AFA4960"/>
    <w:rsid w:val="7B4A39D3"/>
    <w:rsid w:val="7B537186"/>
    <w:rsid w:val="7B5C0203"/>
    <w:rsid w:val="7B66200D"/>
    <w:rsid w:val="7B670061"/>
    <w:rsid w:val="7B7242C0"/>
    <w:rsid w:val="7B7C49AB"/>
    <w:rsid w:val="7B9C1E4D"/>
    <w:rsid w:val="7B9C304B"/>
    <w:rsid w:val="7BA9149B"/>
    <w:rsid w:val="7BD302C6"/>
    <w:rsid w:val="7BFC15CB"/>
    <w:rsid w:val="7C0B5CB2"/>
    <w:rsid w:val="7C416A67"/>
    <w:rsid w:val="7C6D04F8"/>
    <w:rsid w:val="7C7B5A7C"/>
    <w:rsid w:val="7C835849"/>
    <w:rsid w:val="7C84114F"/>
    <w:rsid w:val="7C866DCB"/>
    <w:rsid w:val="7C8737C8"/>
    <w:rsid w:val="7C907F65"/>
    <w:rsid w:val="7CA350F5"/>
    <w:rsid w:val="7CBD05B2"/>
    <w:rsid w:val="7CE63742"/>
    <w:rsid w:val="7CF24A8A"/>
    <w:rsid w:val="7CF255B2"/>
    <w:rsid w:val="7D2550A9"/>
    <w:rsid w:val="7D2D4371"/>
    <w:rsid w:val="7D366D5F"/>
    <w:rsid w:val="7D903254"/>
    <w:rsid w:val="7D951CD7"/>
    <w:rsid w:val="7DBB4925"/>
    <w:rsid w:val="7DE028A3"/>
    <w:rsid w:val="7E1A72E8"/>
    <w:rsid w:val="7E202C14"/>
    <w:rsid w:val="7E384D21"/>
    <w:rsid w:val="7E4D4360"/>
    <w:rsid w:val="7E5962EA"/>
    <w:rsid w:val="7EA54557"/>
    <w:rsid w:val="7EAF501B"/>
    <w:rsid w:val="7ECD11F7"/>
    <w:rsid w:val="7EE17F47"/>
    <w:rsid w:val="7EE21D77"/>
    <w:rsid w:val="7EF24F07"/>
    <w:rsid w:val="7EFC5D86"/>
    <w:rsid w:val="7EFF5555"/>
    <w:rsid w:val="7F297252"/>
    <w:rsid w:val="7F330864"/>
    <w:rsid w:val="7F511C2E"/>
    <w:rsid w:val="7F5F0772"/>
    <w:rsid w:val="7F6A05EF"/>
    <w:rsid w:val="7F8D036B"/>
    <w:rsid w:val="7FBC7B2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qFormat="1" w:unhideWhenUsed="0" w:uiPriority="99" w:semiHidden="0" w:name="toc 6"/>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99"/>
    <w:pPr>
      <w:keepNext/>
      <w:keepLines/>
      <w:spacing w:before="260" w:after="260" w:line="416" w:lineRule="auto"/>
      <w:outlineLvl w:val="2"/>
    </w:pPr>
    <w:rPr>
      <w:b/>
      <w:bCs/>
      <w:sz w:val="32"/>
      <w:szCs w:val="32"/>
    </w:rPr>
  </w:style>
  <w:style w:type="paragraph" w:styleId="6">
    <w:name w:val="heading 4"/>
    <w:basedOn w:val="1"/>
    <w:next w:val="1"/>
    <w:link w:val="57"/>
    <w:qFormat/>
    <w:uiPriority w:val="99"/>
    <w:pPr>
      <w:keepNext/>
      <w:keepLines/>
      <w:spacing w:line="372" w:lineRule="auto"/>
      <w:outlineLvl w:val="3"/>
    </w:pPr>
    <w:rPr>
      <w:rFonts w:ascii="Cambria" w:hAnsi="Cambria"/>
      <w:b/>
      <w:bCs/>
      <w:sz w:val="28"/>
      <w:szCs w:val="28"/>
    </w:rPr>
  </w:style>
  <w:style w:type="paragraph" w:styleId="7">
    <w:name w:val="heading 5"/>
    <w:basedOn w:val="1"/>
    <w:next w:val="1"/>
    <w:link w:val="58"/>
    <w:qFormat/>
    <w:uiPriority w:val="99"/>
    <w:pPr>
      <w:keepNext/>
      <w:keepLines/>
      <w:spacing w:line="372"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9"/>
    <w:qFormat/>
    <w:uiPriority w:val="99"/>
    <w:pPr>
      <w:spacing w:before="240" w:after="60"/>
      <w:jc w:val="center"/>
      <w:outlineLvl w:val="0"/>
    </w:pPr>
    <w:rPr>
      <w:rFonts w:ascii="Cambria" w:hAnsi="Cambria"/>
      <w:b/>
      <w:bCs/>
      <w:sz w:val="32"/>
      <w:szCs w:val="32"/>
    </w:rPr>
  </w:style>
  <w:style w:type="paragraph" w:styleId="8">
    <w:name w:val="table of authorities"/>
    <w:basedOn w:val="1"/>
    <w:next w:val="1"/>
    <w:qFormat/>
    <w:locked/>
    <w:uiPriority w:val="0"/>
    <w:pPr>
      <w:ind w:left="420" w:leftChars="200"/>
    </w:pPr>
    <w:rPr>
      <w:rFonts w:ascii="Calibri" w:hAnsi="Calibri"/>
      <w:sz w:val="24"/>
      <w:szCs w:val="22"/>
    </w:rPr>
  </w:style>
  <w:style w:type="paragraph" w:styleId="9">
    <w:name w:val="Normal Indent"/>
    <w:basedOn w:val="1"/>
    <w:next w:val="10"/>
    <w:qFormat/>
    <w:uiPriority w:val="99"/>
    <w:pPr>
      <w:ind w:firstLine="420"/>
    </w:pPr>
    <w:rPr>
      <w:szCs w:val="20"/>
    </w:rPr>
  </w:style>
  <w:style w:type="paragraph" w:customStyle="1" w:styleId="10">
    <w:name w:val="正文缩进5"/>
    <w:next w:val="1"/>
    <w:qFormat/>
    <w:uiPriority w:val="0"/>
    <w:pPr>
      <w:wordWrap w:val="0"/>
      <w:ind w:left="3400"/>
      <w:jc w:val="both"/>
    </w:pPr>
    <w:rPr>
      <w:rFonts w:ascii="Calibri" w:hAnsi="Calibri" w:eastAsia="宋体" w:cs="Times New Roman"/>
      <w:sz w:val="21"/>
      <w:lang w:val="en-US" w:eastAsia="zh-CN" w:bidi="ar-SA"/>
    </w:rPr>
  </w:style>
  <w:style w:type="paragraph" w:styleId="11">
    <w:name w:val="caption"/>
    <w:basedOn w:val="1"/>
    <w:next w:val="1"/>
    <w:qFormat/>
    <w:locked/>
    <w:uiPriority w:val="0"/>
    <w:rPr>
      <w:rFonts w:ascii="Cambria" w:hAnsi="Cambria" w:eastAsia="黑体"/>
      <w:sz w:val="20"/>
    </w:rPr>
  </w:style>
  <w:style w:type="paragraph" w:styleId="12">
    <w:name w:val="toa heading"/>
    <w:basedOn w:val="1"/>
    <w:next w:val="1"/>
    <w:qFormat/>
    <w:uiPriority w:val="99"/>
    <w:pPr>
      <w:spacing w:before="120"/>
    </w:pPr>
    <w:rPr>
      <w:rFonts w:ascii="Arial" w:hAnsi="Arial"/>
      <w:sz w:val="24"/>
      <w:szCs w:val="20"/>
    </w:rPr>
  </w:style>
  <w:style w:type="paragraph" w:styleId="13">
    <w:name w:val="annotation text"/>
    <w:basedOn w:val="1"/>
    <w:next w:val="14"/>
    <w:link w:val="60"/>
    <w:qFormat/>
    <w:uiPriority w:val="99"/>
    <w:pPr>
      <w:jc w:val="left"/>
    </w:pPr>
  </w:style>
  <w:style w:type="paragraph" w:customStyle="1" w:styleId="14">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5">
    <w:name w:val="Body Text 3"/>
    <w:basedOn w:val="1"/>
    <w:link w:val="61"/>
    <w:qFormat/>
    <w:uiPriority w:val="99"/>
    <w:pPr>
      <w:adjustRightInd w:val="0"/>
      <w:spacing w:after="120" w:line="500" w:lineRule="atLeast"/>
      <w:ind w:firstLine="561"/>
      <w:textAlignment w:val="baseline"/>
    </w:pPr>
    <w:rPr>
      <w:rFonts w:ascii="Calibri" w:hAnsi="Calibri"/>
      <w:sz w:val="16"/>
      <w:szCs w:val="16"/>
    </w:rPr>
  </w:style>
  <w:style w:type="paragraph" w:styleId="16">
    <w:name w:val="Body Text"/>
    <w:basedOn w:val="1"/>
    <w:next w:val="17"/>
    <w:link w:val="62"/>
    <w:qFormat/>
    <w:uiPriority w:val="99"/>
    <w:pPr>
      <w:spacing w:after="120"/>
    </w:pPr>
  </w:style>
  <w:style w:type="paragraph" w:styleId="17">
    <w:name w:val="Body Text First Indent"/>
    <w:basedOn w:val="16"/>
    <w:next w:val="18"/>
    <w:link w:val="63"/>
    <w:qFormat/>
    <w:uiPriority w:val="99"/>
    <w:pPr>
      <w:spacing w:line="360" w:lineRule="auto"/>
      <w:ind w:firstLine="200" w:firstLineChars="200"/>
      <w:jc w:val="left"/>
    </w:pPr>
  </w:style>
  <w:style w:type="paragraph" w:styleId="18">
    <w:name w:val="toc 6"/>
    <w:basedOn w:val="1"/>
    <w:next w:val="1"/>
    <w:qFormat/>
    <w:uiPriority w:val="99"/>
    <w:pPr>
      <w:ind w:left="1050"/>
      <w:jc w:val="left"/>
    </w:pPr>
    <w:rPr>
      <w:sz w:val="18"/>
      <w:szCs w:val="18"/>
    </w:rPr>
  </w:style>
  <w:style w:type="paragraph" w:styleId="19">
    <w:name w:val="Body Text Indent"/>
    <w:basedOn w:val="1"/>
    <w:next w:val="1"/>
    <w:link w:val="64"/>
    <w:qFormat/>
    <w:uiPriority w:val="99"/>
    <w:pPr>
      <w:spacing w:line="360" w:lineRule="auto"/>
      <w:ind w:firstLine="600" w:firstLineChars="200"/>
    </w:pPr>
    <w:rPr>
      <w:rFonts w:ascii="仿宋_GB2312" w:hAnsi="宋体" w:eastAsia="仿宋_GB2312"/>
      <w:sz w:val="30"/>
    </w:rPr>
  </w:style>
  <w:style w:type="paragraph" w:styleId="20">
    <w:name w:val="Block Text"/>
    <w:basedOn w:val="1"/>
    <w:qFormat/>
    <w:locked/>
    <w:uiPriority w:val="0"/>
    <w:pPr>
      <w:tabs>
        <w:tab w:val="left" w:pos="7080"/>
        <w:tab w:val="left" w:pos="8700"/>
      </w:tabs>
      <w:spacing w:line="460" w:lineRule="atLeast"/>
      <w:ind w:left="113" w:right="3178" w:firstLine="467"/>
    </w:pPr>
    <w:rPr>
      <w:rFonts w:ascii="楷体_GB2312" w:eastAsia="楷体_GB2312"/>
      <w:sz w:val="52"/>
    </w:rPr>
  </w:style>
  <w:style w:type="paragraph" w:styleId="21">
    <w:name w:val="toc 3"/>
    <w:basedOn w:val="1"/>
    <w:next w:val="1"/>
    <w:qFormat/>
    <w:uiPriority w:val="99"/>
    <w:pPr>
      <w:ind w:left="840" w:leftChars="400"/>
    </w:pPr>
  </w:style>
  <w:style w:type="paragraph" w:styleId="22">
    <w:name w:val="Plain Text"/>
    <w:basedOn w:val="1"/>
    <w:next w:val="23"/>
    <w:link w:val="65"/>
    <w:qFormat/>
    <w:uiPriority w:val="99"/>
    <w:pPr>
      <w:spacing w:beforeLines="50" w:afterLines="50" w:line="400" w:lineRule="exact"/>
    </w:pPr>
    <w:rPr>
      <w:rFonts w:ascii="宋体" w:hAnsi="Courier New"/>
      <w:sz w:val="24"/>
    </w:rPr>
  </w:style>
  <w:style w:type="paragraph" w:styleId="23">
    <w:name w:val="Date"/>
    <w:basedOn w:val="1"/>
    <w:next w:val="1"/>
    <w:link w:val="66"/>
    <w:qFormat/>
    <w:uiPriority w:val="99"/>
    <w:pPr>
      <w:ind w:left="100" w:leftChars="2500"/>
    </w:pPr>
  </w:style>
  <w:style w:type="paragraph" w:styleId="24">
    <w:name w:val="toc 8"/>
    <w:basedOn w:val="1"/>
    <w:next w:val="1"/>
    <w:qFormat/>
    <w:locked/>
    <w:uiPriority w:val="0"/>
    <w:pPr>
      <w:ind w:left="1400" w:leftChars="1400"/>
    </w:pPr>
  </w:style>
  <w:style w:type="paragraph" w:styleId="25">
    <w:name w:val="Body Text Indent 2"/>
    <w:basedOn w:val="1"/>
    <w:link w:val="67"/>
    <w:qFormat/>
    <w:uiPriority w:val="99"/>
    <w:pPr>
      <w:spacing w:after="120" w:line="480" w:lineRule="auto"/>
      <w:ind w:left="420" w:leftChars="200"/>
    </w:pPr>
    <w:rPr>
      <w:szCs w:val="20"/>
    </w:rPr>
  </w:style>
  <w:style w:type="paragraph" w:styleId="26">
    <w:name w:val="Balloon Text"/>
    <w:basedOn w:val="1"/>
    <w:link w:val="68"/>
    <w:qFormat/>
    <w:uiPriority w:val="99"/>
    <w:rPr>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pPr>
      <w:tabs>
        <w:tab w:val="right" w:leader="dot" w:pos="8494"/>
      </w:tabs>
    </w:pPr>
    <w:rPr>
      <w:rFonts w:ascii="宋体" w:hAnsi="宋体"/>
      <w:sz w:val="32"/>
    </w:rPr>
  </w:style>
  <w:style w:type="paragraph" w:styleId="30">
    <w:name w:val="toc 4"/>
    <w:basedOn w:val="1"/>
    <w:next w:val="1"/>
    <w:qFormat/>
    <w:uiPriority w:val="99"/>
    <w:pPr>
      <w:ind w:left="630"/>
      <w:jc w:val="left"/>
    </w:pPr>
    <w:rPr>
      <w:sz w:val="18"/>
      <w:szCs w:val="18"/>
    </w:rPr>
  </w:style>
  <w:style w:type="paragraph" w:styleId="31">
    <w:name w:val="Body Text Indent 3"/>
    <w:basedOn w:val="1"/>
    <w:link w:val="71"/>
    <w:qFormat/>
    <w:uiPriority w:val="99"/>
    <w:pPr>
      <w:spacing w:after="120"/>
      <w:ind w:left="420" w:leftChars="200"/>
    </w:pPr>
    <w:rPr>
      <w:sz w:val="16"/>
      <w:szCs w:val="16"/>
    </w:rPr>
  </w:style>
  <w:style w:type="paragraph" w:styleId="32">
    <w:name w:val="toc 2"/>
    <w:basedOn w:val="1"/>
    <w:next w:val="1"/>
    <w:qFormat/>
    <w:uiPriority w:val="99"/>
    <w:pPr>
      <w:ind w:left="420" w:leftChars="200"/>
    </w:pPr>
  </w:style>
  <w:style w:type="paragraph" w:styleId="33">
    <w:name w:val="Normal (Web)"/>
    <w:basedOn w:val="1"/>
    <w:next w:val="34"/>
    <w:qFormat/>
    <w:uiPriority w:val="99"/>
    <w:pPr>
      <w:widowControl/>
      <w:spacing w:before="100" w:beforeAutospacing="1" w:after="100" w:afterAutospacing="1"/>
      <w:jc w:val="left"/>
    </w:pPr>
    <w:rPr>
      <w:rFonts w:ascii="宋体" w:hAnsi="宋体"/>
      <w:color w:val="000000"/>
      <w:kern w:val="0"/>
      <w:sz w:val="24"/>
    </w:rPr>
  </w:style>
  <w:style w:type="paragraph" w:customStyle="1" w:styleId="34">
    <w:name w:val="目录 31"/>
    <w:next w:val="1"/>
    <w:qFormat/>
    <w:uiPriority w:val="0"/>
    <w:pPr>
      <w:wordWrap w:val="0"/>
      <w:ind w:left="425"/>
      <w:jc w:val="both"/>
    </w:pPr>
    <w:rPr>
      <w:rFonts w:ascii="Calibri" w:hAnsi="Calibri" w:eastAsia="宋体" w:cs="Times New Roman"/>
      <w:sz w:val="21"/>
      <w:lang w:val="en-US" w:eastAsia="zh-CN" w:bidi="ar-SA"/>
    </w:rPr>
  </w:style>
  <w:style w:type="paragraph" w:styleId="35">
    <w:name w:val="Body Text First Indent 2"/>
    <w:basedOn w:val="19"/>
    <w:next w:val="20"/>
    <w:link w:val="72"/>
    <w:qFormat/>
    <w:uiPriority w:val="99"/>
    <w:pPr>
      <w:ind w:firstLine="420"/>
    </w:pPr>
  </w:style>
  <w:style w:type="table" w:styleId="37">
    <w:name w:val="Table Grid"/>
    <w:basedOn w:val="3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locked/>
    <w:uiPriority w:val="22"/>
    <w:rPr>
      <w:b/>
      <w:bCs/>
    </w:rPr>
  </w:style>
  <w:style w:type="character" w:styleId="40">
    <w:name w:val="page number"/>
    <w:basedOn w:val="38"/>
    <w:qFormat/>
    <w:uiPriority w:val="99"/>
    <w:rPr>
      <w:rFonts w:cs="Times New Roman"/>
    </w:rPr>
  </w:style>
  <w:style w:type="character" w:styleId="41">
    <w:name w:val="FollowedHyperlink"/>
    <w:basedOn w:val="38"/>
    <w:semiHidden/>
    <w:unhideWhenUsed/>
    <w:qFormat/>
    <w:locked/>
    <w:uiPriority w:val="99"/>
    <w:rPr>
      <w:color w:val="800080"/>
      <w:u w:val="none"/>
    </w:rPr>
  </w:style>
  <w:style w:type="character" w:styleId="42">
    <w:name w:val="Emphasis"/>
    <w:basedOn w:val="38"/>
    <w:qFormat/>
    <w:uiPriority w:val="99"/>
    <w:rPr>
      <w:rFonts w:cs="Times New Roman"/>
      <w:color w:val="CC0000"/>
    </w:rPr>
  </w:style>
  <w:style w:type="character" w:styleId="43">
    <w:name w:val="Hyperlink"/>
    <w:basedOn w:val="38"/>
    <w:qFormat/>
    <w:uiPriority w:val="99"/>
    <w:rPr>
      <w:rFonts w:cs="Times New Roman"/>
      <w:color w:val="0000FF"/>
      <w:u w:val="single"/>
    </w:rPr>
  </w:style>
  <w:style w:type="character" w:styleId="44">
    <w:name w:val="annotation reference"/>
    <w:basedOn w:val="38"/>
    <w:qFormat/>
    <w:uiPriority w:val="99"/>
    <w:rPr>
      <w:rFonts w:cs="Times New Roman"/>
      <w:sz w:val="21"/>
      <w:szCs w:val="21"/>
    </w:rPr>
  </w:style>
  <w:style w:type="character" w:styleId="45">
    <w:name w:val="HTML Sample"/>
    <w:basedOn w:val="38"/>
    <w:semiHidden/>
    <w:unhideWhenUsed/>
    <w:qFormat/>
    <w:locked/>
    <w:uiPriority w:val="99"/>
    <w:rPr>
      <w:rFonts w:ascii="Courier New" w:hAnsi="Courier New"/>
    </w:rPr>
  </w:style>
  <w:style w:type="paragraph" w:customStyle="1" w:styleId="46">
    <w:name w:val="正文文本首行缩进 21"/>
    <w:basedOn w:val="19"/>
    <w:qFormat/>
    <w:uiPriority w:val="99"/>
    <w:pPr>
      <w:spacing w:line="200" w:lineRule="atLeast"/>
      <w:ind w:firstLine="420"/>
    </w:pPr>
    <w:rPr>
      <w:rFonts w:ascii="宋体" w:hAnsi="Courier New"/>
      <w:spacing w:val="-4"/>
      <w:sz w:val="18"/>
    </w:rPr>
  </w:style>
  <w:style w:type="paragraph" w:customStyle="1" w:styleId="4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首行缩进"/>
    <w:basedOn w:val="1"/>
    <w:qFormat/>
    <w:uiPriority w:val="99"/>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49">
    <w:name w:val="正文1"/>
    <w:basedOn w:val="1"/>
    <w:next w:val="1"/>
    <w:qFormat/>
    <w:uiPriority w:val="99"/>
    <w:pPr>
      <w:spacing w:before="240" w:line="460" w:lineRule="exact"/>
    </w:pPr>
    <w:rPr>
      <w:rFonts w:ascii="仿宋_GB2312" w:hAnsi="宋体" w:eastAsia="仿宋_GB2312"/>
      <w:b/>
      <w:sz w:val="28"/>
      <w:szCs w:val="28"/>
    </w:rPr>
  </w:style>
  <w:style w:type="paragraph" w:customStyle="1" w:styleId="50">
    <w:name w:val="样式 标题 3 + (中文) 黑体 小四 非加粗 段前: 7.8 磅 段后: 0 磅 行距: 固定值 20 磅_0"/>
    <w:basedOn w:val="51"/>
    <w:qFormat/>
    <w:uiPriority w:val="0"/>
    <w:pPr>
      <w:spacing w:before="0" w:after="0" w:line="400" w:lineRule="exact"/>
    </w:pPr>
    <w:rPr>
      <w:rFonts w:ascii="Times New Roman" w:hAnsi="Times New Roman" w:eastAsia="黑体" w:cs="宋体"/>
      <w:b w:val="0"/>
      <w:bCs w:val="0"/>
      <w:sz w:val="21"/>
      <w:szCs w:val="20"/>
    </w:rPr>
  </w:style>
  <w:style w:type="paragraph" w:customStyle="1" w:styleId="51">
    <w:name w:val="标题 3_0"/>
    <w:basedOn w:val="52"/>
    <w:next w:val="53"/>
    <w:qFormat/>
    <w:uiPriority w:val="0"/>
    <w:pPr>
      <w:keepNext/>
      <w:keepLines/>
      <w:spacing w:before="260" w:after="260" w:line="416" w:lineRule="auto"/>
      <w:outlineLvl w:val="2"/>
    </w:pPr>
    <w:rPr>
      <w:rFonts w:eastAsia="宋体"/>
      <w:b/>
      <w:bCs/>
      <w:sz w:val="32"/>
      <w:szCs w:val="32"/>
    </w:rPr>
  </w:style>
  <w:style w:type="paragraph" w:customStyle="1" w:styleId="52">
    <w:name w:val="正文_0"/>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53">
    <w:name w:val="正文_1"/>
    <w:next w:val="35"/>
    <w:qFormat/>
    <w:uiPriority w:val="0"/>
    <w:pPr>
      <w:widowControl w:val="0"/>
      <w:jc w:val="both"/>
    </w:pPr>
    <w:rPr>
      <w:rFonts w:ascii="Calibri" w:hAnsi="Calibri" w:eastAsia="仿宋_GB2312" w:cs="Times New Roman"/>
      <w:kern w:val="2"/>
      <w:sz w:val="21"/>
      <w:szCs w:val="22"/>
      <w:lang w:val="en-US" w:eastAsia="zh-CN" w:bidi="ar-SA"/>
    </w:rPr>
  </w:style>
  <w:style w:type="character" w:customStyle="1" w:styleId="54">
    <w:name w:val="标题 1 字符"/>
    <w:basedOn w:val="38"/>
    <w:link w:val="3"/>
    <w:qFormat/>
    <w:locked/>
    <w:uiPriority w:val="99"/>
    <w:rPr>
      <w:rFonts w:cs="Times New Roman"/>
      <w:b/>
      <w:bCs/>
      <w:kern w:val="44"/>
      <w:sz w:val="44"/>
      <w:szCs w:val="44"/>
    </w:rPr>
  </w:style>
  <w:style w:type="character" w:customStyle="1" w:styleId="55">
    <w:name w:val="标题 2 字符"/>
    <w:basedOn w:val="38"/>
    <w:link w:val="4"/>
    <w:semiHidden/>
    <w:qFormat/>
    <w:locked/>
    <w:uiPriority w:val="99"/>
    <w:rPr>
      <w:rFonts w:ascii="Cambria" w:hAnsi="Cambria" w:eastAsia="宋体" w:cs="Times New Roman"/>
      <w:b/>
      <w:bCs/>
      <w:sz w:val="32"/>
      <w:szCs w:val="32"/>
    </w:rPr>
  </w:style>
  <w:style w:type="character" w:customStyle="1" w:styleId="56">
    <w:name w:val="标题 3 字符"/>
    <w:basedOn w:val="38"/>
    <w:link w:val="5"/>
    <w:semiHidden/>
    <w:qFormat/>
    <w:locked/>
    <w:uiPriority w:val="99"/>
    <w:rPr>
      <w:rFonts w:cs="Times New Roman"/>
      <w:b/>
      <w:bCs/>
      <w:sz w:val="32"/>
      <w:szCs w:val="32"/>
    </w:rPr>
  </w:style>
  <w:style w:type="character" w:customStyle="1" w:styleId="57">
    <w:name w:val="标题 4 字符"/>
    <w:basedOn w:val="38"/>
    <w:link w:val="6"/>
    <w:semiHidden/>
    <w:qFormat/>
    <w:locked/>
    <w:uiPriority w:val="99"/>
    <w:rPr>
      <w:rFonts w:ascii="Cambria" w:hAnsi="Cambria" w:eastAsia="宋体" w:cs="Times New Roman"/>
      <w:b/>
      <w:bCs/>
      <w:sz w:val="28"/>
      <w:szCs w:val="28"/>
    </w:rPr>
  </w:style>
  <w:style w:type="character" w:customStyle="1" w:styleId="58">
    <w:name w:val="标题 5 字符"/>
    <w:basedOn w:val="38"/>
    <w:link w:val="7"/>
    <w:semiHidden/>
    <w:qFormat/>
    <w:locked/>
    <w:uiPriority w:val="99"/>
    <w:rPr>
      <w:rFonts w:cs="Times New Roman"/>
      <w:b/>
      <w:bCs/>
      <w:sz w:val="28"/>
      <w:szCs w:val="28"/>
    </w:rPr>
  </w:style>
  <w:style w:type="character" w:customStyle="1" w:styleId="59">
    <w:name w:val="标题 字符"/>
    <w:basedOn w:val="38"/>
    <w:link w:val="2"/>
    <w:qFormat/>
    <w:locked/>
    <w:uiPriority w:val="99"/>
    <w:rPr>
      <w:rFonts w:ascii="Cambria" w:hAnsi="Cambria" w:cs="Times New Roman"/>
      <w:b/>
      <w:bCs/>
      <w:sz w:val="32"/>
      <w:szCs w:val="32"/>
    </w:rPr>
  </w:style>
  <w:style w:type="character" w:customStyle="1" w:styleId="60">
    <w:name w:val="批注文字 字符"/>
    <w:basedOn w:val="38"/>
    <w:link w:val="13"/>
    <w:semiHidden/>
    <w:qFormat/>
    <w:locked/>
    <w:uiPriority w:val="99"/>
    <w:rPr>
      <w:rFonts w:cs="Times New Roman"/>
      <w:sz w:val="24"/>
      <w:szCs w:val="24"/>
    </w:rPr>
  </w:style>
  <w:style w:type="character" w:customStyle="1" w:styleId="61">
    <w:name w:val="正文文本 3 字符"/>
    <w:basedOn w:val="38"/>
    <w:link w:val="15"/>
    <w:semiHidden/>
    <w:qFormat/>
    <w:locked/>
    <w:uiPriority w:val="99"/>
    <w:rPr>
      <w:rFonts w:cs="Times New Roman"/>
      <w:sz w:val="16"/>
      <w:szCs w:val="16"/>
    </w:rPr>
  </w:style>
  <w:style w:type="character" w:customStyle="1" w:styleId="62">
    <w:name w:val="正文文本 字符"/>
    <w:basedOn w:val="38"/>
    <w:link w:val="16"/>
    <w:semiHidden/>
    <w:qFormat/>
    <w:locked/>
    <w:uiPriority w:val="99"/>
    <w:rPr>
      <w:rFonts w:cs="Times New Roman"/>
      <w:sz w:val="24"/>
      <w:szCs w:val="24"/>
    </w:rPr>
  </w:style>
  <w:style w:type="character" w:customStyle="1" w:styleId="63">
    <w:name w:val="正文文本首行缩进 字符"/>
    <w:basedOn w:val="62"/>
    <w:link w:val="17"/>
    <w:semiHidden/>
    <w:qFormat/>
    <w:locked/>
    <w:uiPriority w:val="99"/>
    <w:rPr>
      <w:rFonts w:cs="Times New Roman"/>
      <w:sz w:val="24"/>
      <w:szCs w:val="24"/>
    </w:rPr>
  </w:style>
  <w:style w:type="character" w:customStyle="1" w:styleId="64">
    <w:name w:val="正文文本缩进 字符"/>
    <w:basedOn w:val="38"/>
    <w:link w:val="19"/>
    <w:semiHidden/>
    <w:qFormat/>
    <w:locked/>
    <w:uiPriority w:val="99"/>
    <w:rPr>
      <w:rFonts w:cs="Times New Roman"/>
      <w:sz w:val="24"/>
      <w:szCs w:val="24"/>
    </w:rPr>
  </w:style>
  <w:style w:type="character" w:customStyle="1" w:styleId="65">
    <w:name w:val="纯文本 字符"/>
    <w:basedOn w:val="38"/>
    <w:link w:val="22"/>
    <w:semiHidden/>
    <w:qFormat/>
    <w:locked/>
    <w:uiPriority w:val="99"/>
    <w:rPr>
      <w:rFonts w:ascii="宋体" w:hAnsi="Courier New" w:cs="Courier New"/>
      <w:sz w:val="21"/>
      <w:szCs w:val="21"/>
    </w:rPr>
  </w:style>
  <w:style w:type="character" w:customStyle="1" w:styleId="66">
    <w:name w:val="日期 字符"/>
    <w:basedOn w:val="38"/>
    <w:link w:val="23"/>
    <w:semiHidden/>
    <w:qFormat/>
    <w:locked/>
    <w:uiPriority w:val="99"/>
    <w:rPr>
      <w:rFonts w:cs="Times New Roman"/>
      <w:sz w:val="24"/>
      <w:szCs w:val="24"/>
    </w:rPr>
  </w:style>
  <w:style w:type="character" w:customStyle="1" w:styleId="67">
    <w:name w:val="正文文本缩进 2 字符"/>
    <w:basedOn w:val="38"/>
    <w:link w:val="25"/>
    <w:semiHidden/>
    <w:qFormat/>
    <w:locked/>
    <w:uiPriority w:val="99"/>
    <w:rPr>
      <w:rFonts w:cs="Times New Roman"/>
      <w:sz w:val="24"/>
      <w:szCs w:val="24"/>
    </w:rPr>
  </w:style>
  <w:style w:type="character" w:customStyle="1" w:styleId="68">
    <w:name w:val="批注框文本 字符"/>
    <w:basedOn w:val="38"/>
    <w:link w:val="26"/>
    <w:qFormat/>
    <w:locked/>
    <w:uiPriority w:val="99"/>
    <w:rPr>
      <w:rFonts w:cs="Times New Roman"/>
      <w:kern w:val="2"/>
      <w:sz w:val="18"/>
      <w:szCs w:val="18"/>
    </w:rPr>
  </w:style>
  <w:style w:type="character" w:customStyle="1" w:styleId="69">
    <w:name w:val="页脚 字符"/>
    <w:basedOn w:val="38"/>
    <w:link w:val="27"/>
    <w:semiHidden/>
    <w:qFormat/>
    <w:locked/>
    <w:uiPriority w:val="99"/>
    <w:rPr>
      <w:rFonts w:cs="Times New Roman"/>
      <w:sz w:val="18"/>
      <w:szCs w:val="18"/>
    </w:rPr>
  </w:style>
  <w:style w:type="character" w:customStyle="1" w:styleId="70">
    <w:name w:val="页眉 字符"/>
    <w:basedOn w:val="38"/>
    <w:link w:val="28"/>
    <w:semiHidden/>
    <w:qFormat/>
    <w:locked/>
    <w:uiPriority w:val="99"/>
    <w:rPr>
      <w:rFonts w:cs="Times New Roman"/>
      <w:sz w:val="18"/>
      <w:szCs w:val="18"/>
    </w:rPr>
  </w:style>
  <w:style w:type="character" w:customStyle="1" w:styleId="71">
    <w:name w:val="正文文本缩进 3 字符"/>
    <w:basedOn w:val="38"/>
    <w:link w:val="31"/>
    <w:semiHidden/>
    <w:qFormat/>
    <w:locked/>
    <w:uiPriority w:val="99"/>
    <w:rPr>
      <w:rFonts w:cs="Times New Roman"/>
      <w:sz w:val="16"/>
      <w:szCs w:val="16"/>
    </w:rPr>
  </w:style>
  <w:style w:type="character" w:customStyle="1" w:styleId="72">
    <w:name w:val="正文文本首行缩进 2 字符"/>
    <w:basedOn w:val="64"/>
    <w:link w:val="35"/>
    <w:semiHidden/>
    <w:qFormat/>
    <w:locked/>
    <w:uiPriority w:val="99"/>
    <w:rPr>
      <w:rFonts w:cs="Times New Roman"/>
      <w:sz w:val="24"/>
      <w:szCs w:val="24"/>
    </w:rPr>
  </w:style>
  <w:style w:type="paragraph" w:customStyle="1" w:styleId="73">
    <w:name w:val="正文首行缩进 21"/>
    <w:basedOn w:val="74"/>
    <w:qFormat/>
    <w:uiPriority w:val="99"/>
    <w:pPr>
      <w:ind w:firstLine="420"/>
    </w:pPr>
    <w:rPr>
      <w:rFonts w:cs="宋体"/>
    </w:rPr>
  </w:style>
  <w:style w:type="paragraph" w:customStyle="1" w:styleId="74">
    <w:name w:val="正文文本缩进1"/>
    <w:basedOn w:val="1"/>
    <w:next w:val="1"/>
    <w:qFormat/>
    <w:uiPriority w:val="99"/>
    <w:pPr>
      <w:ind w:left="420" w:leftChars="200"/>
    </w:pPr>
    <w:rPr>
      <w:color w:val="000000"/>
      <w:szCs w:val="21"/>
    </w:rPr>
  </w:style>
  <w:style w:type="paragraph" w:customStyle="1" w:styleId="75">
    <w:name w:val="表格文字"/>
    <w:basedOn w:val="1"/>
    <w:next w:val="16"/>
    <w:qFormat/>
    <w:uiPriority w:val="99"/>
    <w:pPr>
      <w:adjustRightInd w:val="0"/>
      <w:spacing w:line="420" w:lineRule="atLeast"/>
      <w:jc w:val="left"/>
      <w:textAlignment w:val="baseline"/>
    </w:pPr>
    <w:rPr>
      <w:kern w:val="0"/>
    </w:rPr>
  </w:style>
  <w:style w:type="paragraph" w:customStyle="1" w:styleId="76">
    <w:name w:val="章正文"/>
    <w:basedOn w:val="1"/>
    <w:qFormat/>
    <w:uiPriority w:val="99"/>
    <w:pPr>
      <w:spacing w:beforeLines="50" w:after="120" w:line="300" w:lineRule="auto"/>
      <w:ind w:firstLine="480"/>
    </w:pPr>
    <w:rPr>
      <w:rFonts w:ascii="Helvetica" w:hAnsi="Helvetica"/>
      <w:kern w:val="0"/>
      <w:sz w:val="24"/>
    </w:rPr>
  </w:style>
  <w:style w:type="paragraph" w:customStyle="1" w:styleId="7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8">
    <w:name w:val="_Style 2"/>
    <w:basedOn w:val="1"/>
    <w:qFormat/>
    <w:uiPriority w:val="99"/>
    <w:pPr>
      <w:ind w:left="720"/>
      <w:contextualSpacing/>
    </w:pPr>
  </w:style>
  <w:style w:type="paragraph" w:customStyle="1" w:styleId="79">
    <w:name w:val="List Paragraph1"/>
    <w:basedOn w:val="1"/>
    <w:qFormat/>
    <w:uiPriority w:val="99"/>
    <w:pPr>
      <w:ind w:firstLine="420" w:firstLineChars="200"/>
    </w:pPr>
    <w:rPr>
      <w:rFonts w:ascii="Calibri" w:hAnsi="Calibri"/>
      <w:szCs w:val="22"/>
    </w:rPr>
  </w:style>
  <w:style w:type="paragraph" w:customStyle="1" w:styleId="80">
    <w:name w:val="List Paragraph11"/>
    <w:basedOn w:val="1"/>
    <w:qFormat/>
    <w:uiPriority w:val="99"/>
    <w:pPr>
      <w:ind w:firstLine="420" w:firstLineChars="200"/>
    </w:pPr>
    <w:rPr>
      <w:szCs w:val="21"/>
    </w:rPr>
  </w:style>
  <w:style w:type="paragraph" w:customStyle="1" w:styleId="81">
    <w:name w:val="TOC 标题1"/>
    <w:basedOn w:val="3"/>
    <w:next w:val="1"/>
    <w:qFormat/>
    <w:uiPriority w:val="99"/>
    <w:pPr>
      <w:outlineLvl w:val="9"/>
    </w:pPr>
  </w:style>
  <w:style w:type="paragraph" w:customStyle="1" w:styleId="82">
    <w:name w:val="Table Description"/>
    <w:next w:val="1"/>
    <w:qFormat/>
    <w:uiPriority w:val="99"/>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83">
    <w:name w:val="Plain Text1"/>
    <w:basedOn w:val="84"/>
    <w:qFormat/>
    <w:uiPriority w:val="99"/>
    <w:pPr>
      <w:autoSpaceDE w:val="0"/>
      <w:autoSpaceDN w:val="0"/>
      <w:adjustRightInd w:val="0"/>
      <w:spacing w:line="360" w:lineRule="auto"/>
    </w:pPr>
    <w:rPr>
      <w:rFonts w:ascii="宋体" w:hAnsi="宋体"/>
      <w:sz w:val="24"/>
      <w:szCs w:val="20"/>
    </w:rPr>
  </w:style>
  <w:style w:type="paragraph" w:customStyle="1" w:styleId="8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86">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8">
    <w:name w:val="纯文本1"/>
    <w:basedOn w:val="1"/>
    <w:qFormat/>
    <w:uiPriority w:val="99"/>
    <w:pPr>
      <w:spacing w:beforeLines="50" w:afterLines="50" w:line="400" w:lineRule="exact"/>
    </w:pPr>
    <w:rPr>
      <w:rFonts w:ascii="宋体" w:hAnsi="Courier New" w:eastAsia="仿宋_GB2312"/>
      <w:b/>
      <w:sz w:val="24"/>
    </w:rPr>
  </w:style>
  <w:style w:type="paragraph" w:customStyle="1" w:styleId="89">
    <w:name w:val="Table Paragraph"/>
    <w:basedOn w:val="1"/>
    <w:qFormat/>
    <w:uiPriority w:val="99"/>
    <w:rPr>
      <w:rFonts w:ascii="宋体" w:hAnsi="宋体" w:cs="宋体"/>
      <w:lang w:val="zh-CN"/>
    </w:rPr>
  </w:style>
  <w:style w:type="paragraph" w:customStyle="1" w:styleId="90">
    <w:name w:val="表格样式 2 A"/>
    <w:qFormat/>
    <w:uiPriority w:val="99"/>
    <w:pPr>
      <w:framePr w:wrap="around" w:vAnchor="margin" w:hAnchor="text" w:y="1"/>
      <w:widowControl w:val="0"/>
      <w:jc w:val="both"/>
    </w:pPr>
    <w:rPr>
      <w:rFonts w:ascii="Helvetica Neue" w:hAnsi="Helvetica Neue" w:eastAsia="宋体" w:cs="Arial Unicode MS"/>
      <w:color w:val="000000"/>
      <w:u w:color="000000"/>
      <w:lang w:val="en-US" w:eastAsia="zh-CN" w:bidi="ar-SA"/>
    </w:rPr>
  </w:style>
  <w:style w:type="character" w:customStyle="1" w:styleId="91">
    <w:name w:val="textcontents1"/>
    <w:basedOn w:val="38"/>
    <w:qFormat/>
    <w:uiPriority w:val="99"/>
    <w:rPr>
      <w:rFonts w:cs="Times New Roman"/>
      <w:color w:val="000000"/>
      <w:sz w:val="30"/>
      <w:szCs w:val="30"/>
    </w:rPr>
  </w:style>
  <w:style w:type="character" w:customStyle="1" w:styleId="92">
    <w:name w:val="font01"/>
    <w:basedOn w:val="38"/>
    <w:qFormat/>
    <w:uiPriority w:val="99"/>
    <w:rPr>
      <w:rFonts w:ascii="宋体" w:hAnsi="宋体" w:eastAsia="宋体" w:cs="宋体"/>
      <w:color w:val="000000"/>
      <w:sz w:val="22"/>
      <w:szCs w:val="22"/>
      <w:u w:val="none"/>
    </w:rPr>
  </w:style>
  <w:style w:type="paragraph" w:customStyle="1" w:styleId="93">
    <w:name w:val="二级条标题"/>
    <w:basedOn w:val="94"/>
    <w:next w:val="95"/>
    <w:qFormat/>
    <w:uiPriority w:val="99"/>
    <w:pPr>
      <w:numPr>
        <w:ilvl w:val="3"/>
      </w:numPr>
      <w:tabs>
        <w:tab w:val="left" w:pos="1470"/>
      </w:tabs>
      <w:outlineLvl w:val="3"/>
    </w:pPr>
  </w:style>
  <w:style w:type="paragraph" w:customStyle="1" w:styleId="94">
    <w:name w:val="一级条标题"/>
    <w:next w:val="95"/>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9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样式 三级条标题 + 宋体"/>
    <w:basedOn w:val="97"/>
    <w:qFormat/>
    <w:uiPriority w:val="99"/>
    <w:pPr>
      <w:tabs>
        <w:tab w:val="left" w:pos="1470"/>
      </w:tabs>
    </w:pPr>
    <w:rPr>
      <w:rFonts w:ascii="宋体" w:hAnsi="宋体" w:eastAsia="宋体"/>
    </w:rPr>
  </w:style>
  <w:style w:type="paragraph" w:customStyle="1" w:styleId="97">
    <w:name w:val="三级条标题"/>
    <w:basedOn w:val="93"/>
    <w:next w:val="95"/>
    <w:qFormat/>
    <w:uiPriority w:val="99"/>
    <w:pPr>
      <w:numPr>
        <w:ilvl w:val="4"/>
      </w:numPr>
      <w:outlineLvl w:val="4"/>
    </w:pPr>
  </w:style>
  <w:style w:type="paragraph" w:customStyle="1" w:styleId="98">
    <w:name w:val="样式 正文文本缩进 + 首行缩进:  1.99 字符"/>
    <w:basedOn w:val="1"/>
    <w:qFormat/>
    <w:uiPriority w:val="99"/>
    <w:pPr>
      <w:adjustRightInd w:val="0"/>
      <w:snapToGrid w:val="0"/>
      <w:ind w:firstLine="478" w:firstLineChars="199"/>
    </w:pPr>
    <w:rPr>
      <w:rFonts w:cs="宋体"/>
      <w:color w:val="000000"/>
      <w:sz w:val="24"/>
      <w:szCs w:val="20"/>
    </w:rPr>
  </w:style>
  <w:style w:type="paragraph" w:customStyle="1" w:styleId="99">
    <w:name w:val="标题3"/>
    <w:basedOn w:val="1"/>
    <w:qFormat/>
    <w:uiPriority w:val="99"/>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lain Text2"/>
    <w:basedOn w:val="1"/>
    <w:qFormat/>
    <w:uiPriority w:val="99"/>
    <w:pPr>
      <w:adjustRightInd w:val="0"/>
    </w:pPr>
    <w:rPr>
      <w:rFonts w:ascii="宋体" w:hAnsi="Courier New" w:eastAsia="楷体_GB2312"/>
      <w:sz w:val="28"/>
    </w:rPr>
  </w:style>
  <w:style w:type="character" w:customStyle="1" w:styleId="102">
    <w:name w:val="ca-2"/>
    <w:basedOn w:val="38"/>
    <w:qFormat/>
    <w:uiPriority w:val="99"/>
    <w:rPr>
      <w:rFonts w:cs="Times New Roman"/>
    </w:rPr>
  </w:style>
  <w:style w:type="paragraph" w:customStyle="1" w:styleId="103">
    <w:name w:val="正文_14"/>
    <w:qFormat/>
    <w:uiPriority w:val="99"/>
    <w:rPr>
      <w:rFonts w:ascii="Times New Roman" w:hAnsi="Times New Roman" w:eastAsia="宋体" w:cs="Times New Roman"/>
      <w:sz w:val="21"/>
      <w:szCs w:val="22"/>
      <w:lang w:val="en-US" w:eastAsia="zh-CN" w:bidi="ar-SA"/>
    </w:rPr>
  </w:style>
  <w:style w:type="paragraph" w:customStyle="1" w:styleId="104">
    <w:name w:val="列出段落2"/>
    <w:basedOn w:val="1"/>
    <w:qFormat/>
    <w:uiPriority w:val="34"/>
    <w:pPr>
      <w:ind w:firstLine="420" w:firstLineChars="200"/>
    </w:pPr>
    <w:rPr>
      <w:rFonts w:ascii="Calibri" w:hAnsi="Calibri"/>
      <w:szCs w:val="22"/>
    </w:rPr>
  </w:style>
  <w:style w:type="paragraph" w:customStyle="1" w:styleId="10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图表名"/>
    <w:basedOn w:val="1"/>
    <w:qFormat/>
    <w:uiPriority w:val="0"/>
    <w:pPr>
      <w:spacing w:line="360" w:lineRule="auto"/>
      <w:jc w:val="center"/>
    </w:pPr>
    <w:rPr>
      <w:rFonts w:ascii="黑体" w:hAnsi="黑体" w:eastAsia="黑体"/>
      <w:szCs w:val="21"/>
    </w:rPr>
  </w:style>
  <w:style w:type="character" w:customStyle="1" w:styleId="107">
    <w:name w:val="bsharetext"/>
    <w:basedOn w:val="38"/>
    <w:qFormat/>
    <w:uiPriority w:val="0"/>
  </w:style>
  <w:style w:type="paragraph" w:customStyle="1" w:styleId="108">
    <w:name w:val="表文"/>
    <w:basedOn w:val="1"/>
    <w:qFormat/>
    <w:uiPriority w:val="0"/>
    <w:pPr>
      <w:keepLines/>
      <w:widowControl/>
      <w:tabs>
        <w:tab w:val="right" w:pos="9660"/>
      </w:tabs>
      <w:topLinePunct/>
      <w:jc w:val="center"/>
      <w:textAlignment w:val="center"/>
    </w:pPr>
    <w:rPr>
      <w:rFonts w:ascii="等线" w:hAnsi="Calibri" w:eastAsia="等线"/>
      <w:sz w:val="36"/>
      <w:szCs w:val="21"/>
    </w:rPr>
  </w:style>
  <w:style w:type="paragraph" w:customStyle="1" w:styleId="109">
    <w:name w:val="表名和图名"/>
    <w:basedOn w:val="11"/>
    <w:qFormat/>
    <w:uiPriority w:val="0"/>
    <w:pPr>
      <w:keepNext/>
      <w:spacing w:before="60" w:after="60"/>
      <w:jc w:val="center"/>
    </w:pPr>
    <w:rPr>
      <w:rFonts w:ascii="Times New Roman" w:hAnsi="Times New Roman" w:eastAsia="宋体"/>
      <w:sz w:val="21"/>
      <w:szCs w:val="21"/>
    </w:rPr>
  </w:style>
  <w:style w:type="character" w:customStyle="1" w:styleId="110">
    <w:name w:val="font21"/>
    <w:basedOn w:val="38"/>
    <w:qFormat/>
    <w:uiPriority w:val="0"/>
    <w:rPr>
      <w:rFonts w:hint="eastAsia" w:ascii="宋体" w:hAnsi="宋体" w:eastAsia="宋体" w:cs="宋体"/>
      <w:color w:val="000000"/>
      <w:sz w:val="21"/>
      <w:szCs w:val="21"/>
      <w:u w:val="none"/>
    </w:rPr>
  </w:style>
  <w:style w:type="paragraph" w:customStyle="1" w:styleId="11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2">
    <w:name w:val="列出段落3"/>
    <w:basedOn w:val="1"/>
    <w:autoRedefine/>
    <w:qFormat/>
    <w:uiPriority w:val="34"/>
    <w:pPr>
      <w:ind w:firstLine="420" w:firstLineChars="200"/>
    </w:pPr>
    <w:rPr>
      <w:rFonts w:ascii="Calibri" w:hAnsi="Calibri"/>
      <w:szCs w:val="22"/>
    </w:rPr>
  </w:style>
  <w:style w:type="paragraph" w:customStyle="1" w:styleId="113">
    <w:name w:val="List Paragraph"/>
    <w:basedOn w:val="1"/>
    <w:qFormat/>
    <w:uiPriority w:val="34"/>
    <w:pPr>
      <w:ind w:firstLine="420" w:firstLineChars="200"/>
    </w:pPr>
    <w:rPr>
      <w:rFonts w:ascii="Calibri" w:hAnsi="Calibri"/>
      <w:szCs w:val="22"/>
    </w:rPr>
  </w:style>
  <w:style w:type="paragraph" w:customStyle="1" w:styleId="11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
    <w:name w:val="zbggmain style9"/>
    <w:basedOn w:val="38"/>
    <w:qFormat/>
    <w:uiPriority w:val="0"/>
  </w:style>
  <w:style w:type="paragraph" w:customStyle="1" w:styleId="116">
    <w:name w:val="标题4"/>
    <w:basedOn w:val="1"/>
    <w:qFormat/>
    <w:uiPriority w:val="0"/>
    <w:rPr>
      <w:rFonts w:eastAsia="仿宋_GB2312"/>
      <w:sz w:val="32"/>
      <w:szCs w:val="20"/>
    </w:rPr>
  </w:style>
  <w:style w:type="paragraph" w:customStyle="1" w:styleId="117">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18">
    <w:name w:val="Default"/>
    <w:next w:val="117"/>
    <w:qFormat/>
    <w:uiPriority w:val="99"/>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19">
    <w:name w:val="样式1"/>
    <w:basedOn w:val="1"/>
    <w:autoRedefine/>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68748A-507E-4C2E-8A6C-65BD50F06B6D}">
  <ds:schemaRefs/>
</ds:datastoreItem>
</file>

<file path=docProps/app.xml><?xml version="1.0" encoding="utf-8"?>
<Properties xmlns="http://schemas.openxmlformats.org/officeDocument/2006/extended-properties" xmlns:vt="http://schemas.openxmlformats.org/officeDocument/2006/docPropsVTypes">
  <Template>Normal.dotm</Template>
  <Company>YC.TEC</Company>
  <Pages>100</Pages>
  <Words>13044</Words>
  <Characters>14054</Characters>
  <Lines>298</Lines>
  <Paragraphs>84</Paragraphs>
  <TotalTime>14</TotalTime>
  <ScaleCrop>false</ScaleCrop>
  <LinksUpToDate>false</LinksUpToDate>
  <CharactersWithSpaces>14242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周江莎</cp:lastModifiedBy>
  <cp:lastPrinted>2024-08-07T06:44:00Z</cp:lastPrinted>
  <dcterms:modified xsi:type="dcterms:W3CDTF">2025-03-05T08:13:21Z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F7D7F755AD074A0EBA7A83B8D0FFC82C_13</vt:lpwstr>
  </property>
  <property fmtid="{D5CDD505-2E9C-101B-9397-08002B2CF9AE}" pid="4" name="commondata">
    <vt:lpwstr>eyJoZGlkIjoiNmY0MmUzNjVjMTI4Y2Y4MGI0ZDAwZWFmNzY4NTBhMjIifQ==</vt:lpwstr>
  </property>
  <property fmtid="{D5CDD505-2E9C-101B-9397-08002B2CF9AE}" pid="5" name="KSOTemplateDocerSaveRecord">
    <vt:lpwstr>eyJoZGlkIjoiMzQwZGUxNmRkMzRiODhjZDJkMTM3MmViZGMzYzAwN2MiLCJ1c2VySWQiOiIxNjA2NjQ3NTg1In0=</vt:lpwstr>
  </property>
</Properties>
</file>