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6"/>
        </w:tabs>
        <w:spacing w:line="360" w:lineRule="auto"/>
        <w:ind w:left="420" w:leftChars="200" w:right="420" w:rightChars="200"/>
        <w:jc w:val="center"/>
        <w:rPr>
          <w:rFonts w:ascii="宋体" w:cs="宋体"/>
          <w:b/>
          <w:sz w:val="32"/>
          <w:szCs w:val="32"/>
          <w:highlight w:val="none"/>
        </w:rPr>
      </w:pPr>
    </w:p>
    <w:p>
      <w:pPr>
        <w:tabs>
          <w:tab w:val="left" w:pos="1276"/>
        </w:tabs>
        <w:spacing w:line="720" w:lineRule="auto"/>
        <w:ind w:left="420" w:leftChars="200" w:right="420" w:rightChars="200"/>
        <w:jc w:val="center"/>
        <w:rPr>
          <w:rFonts w:hint="eastAsia" w:ascii="宋体" w:hAnsi="宋体" w:eastAsia="宋体" w:cs="宋体"/>
          <w:b/>
          <w:sz w:val="40"/>
          <w:szCs w:val="40"/>
          <w:highlight w:val="none"/>
          <w:lang w:eastAsia="zh-CN"/>
        </w:rPr>
      </w:pPr>
      <w:bookmarkStart w:id="0" w:name="OLE_LINK4"/>
      <w:r>
        <w:rPr>
          <w:rFonts w:hint="eastAsia" w:ascii="宋体" w:hAnsi="宋体" w:cs="宋体"/>
          <w:b/>
          <w:sz w:val="40"/>
          <w:szCs w:val="40"/>
          <w:highlight w:val="none"/>
          <w:lang w:eastAsia="zh-CN"/>
        </w:rPr>
        <w:t>仙居县力天市政工程有限公司PE管材及配件、PPR管材及配件采购</w:t>
      </w:r>
      <w:bookmarkEnd w:id="0"/>
      <w:r>
        <w:rPr>
          <w:rFonts w:hint="eastAsia" w:ascii="宋体" w:hAnsi="宋体" w:cs="宋体"/>
          <w:b/>
          <w:sz w:val="40"/>
          <w:szCs w:val="40"/>
          <w:highlight w:val="none"/>
          <w:lang w:eastAsia="zh-CN"/>
        </w:rPr>
        <w:t>项目</w:t>
      </w:r>
    </w:p>
    <w:p>
      <w:pPr>
        <w:tabs>
          <w:tab w:val="left" w:pos="1276"/>
        </w:tabs>
        <w:spacing w:line="720" w:lineRule="auto"/>
        <w:ind w:left="420" w:leftChars="200" w:right="420" w:rightChars="200"/>
        <w:jc w:val="center"/>
        <w:rPr>
          <w:rFonts w:ascii="宋体" w:cs="宋体"/>
          <w:b/>
          <w:sz w:val="44"/>
          <w:szCs w:val="44"/>
          <w:highlight w:val="none"/>
        </w:rPr>
      </w:pPr>
      <w:r>
        <w:rPr>
          <w:rFonts w:hint="eastAsia" w:ascii="宋体" w:hAnsi="宋体" w:cs="宋体"/>
          <w:b/>
          <w:sz w:val="44"/>
          <w:szCs w:val="44"/>
          <w:highlight w:val="none"/>
        </w:rPr>
        <w:t>（非政府采购类）</w:t>
      </w:r>
    </w:p>
    <w:p>
      <w:pPr>
        <w:pStyle w:val="4"/>
        <w:rPr>
          <w:highlight w:val="none"/>
        </w:rPr>
      </w:pPr>
      <w:r>
        <w:rPr>
          <w:rFonts w:hint="eastAsia"/>
          <w:highlight w:val="none"/>
        </w:rPr>
        <w:t xml:space="preserve">  </w:t>
      </w:r>
    </w:p>
    <w:p>
      <w:pPr>
        <w:tabs>
          <w:tab w:val="left" w:pos="1276"/>
        </w:tabs>
        <w:rPr>
          <w:rFonts w:ascii="宋体" w:cs="宋体"/>
          <w:b/>
          <w:szCs w:val="21"/>
          <w:highlight w:val="none"/>
        </w:rPr>
      </w:pPr>
    </w:p>
    <w:p>
      <w:pPr>
        <w:tabs>
          <w:tab w:val="left" w:pos="1276"/>
        </w:tabs>
        <w:rPr>
          <w:rFonts w:ascii="宋体" w:cs="宋体"/>
          <w:b/>
          <w:szCs w:val="21"/>
          <w:highlight w:val="none"/>
        </w:rPr>
      </w:pPr>
    </w:p>
    <w:p>
      <w:pPr>
        <w:tabs>
          <w:tab w:val="left" w:pos="1276"/>
        </w:tabs>
        <w:rPr>
          <w:rFonts w:ascii="宋体" w:cs="宋体"/>
          <w:b/>
          <w:szCs w:val="21"/>
          <w:highlight w:val="none"/>
        </w:rPr>
      </w:pPr>
    </w:p>
    <w:p>
      <w:pPr>
        <w:tabs>
          <w:tab w:val="left" w:pos="1276"/>
        </w:tabs>
        <w:rPr>
          <w:rFonts w:ascii="宋体" w:cs="宋体"/>
          <w:b/>
          <w:szCs w:val="21"/>
          <w:highlight w:val="none"/>
        </w:rPr>
      </w:pPr>
    </w:p>
    <w:p>
      <w:pPr>
        <w:tabs>
          <w:tab w:val="left" w:pos="1276"/>
        </w:tabs>
        <w:spacing w:line="360" w:lineRule="auto"/>
        <w:jc w:val="center"/>
        <w:rPr>
          <w:rFonts w:ascii="宋体" w:cs="宋体"/>
          <w:b/>
          <w:spacing w:val="-20"/>
          <w:sz w:val="84"/>
          <w:szCs w:val="84"/>
          <w:highlight w:val="none"/>
        </w:rPr>
      </w:pPr>
      <w:r>
        <w:rPr>
          <w:rFonts w:hint="eastAsia" w:ascii="宋体" w:hAnsi="宋体" w:cs="宋体"/>
          <w:b/>
          <w:spacing w:val="-28"/>
          <w:sz w:val="84"/>
          <w:szCs w:val="84"/>
          <w:highlight w:val="none"/>
        </w:rPr>
        <w:t>公开招标采购文件</w:t>
      </w:r>
    </w:p>
    <w:p>
      <w:pPr>
        <w:jc w:val="center"/>
        <w:rPr>
          <w:rFonts w:ascii="宋体" w:cs="宋体"/>
          <w:b/>
          <w:szCs w:val="21"/>
          <w:highlight w:val="none"/>
        </w:rPr>
      </w:pPr>
    </w:p>
    <w:p>
      <w:pPr>
        <w:rPr>
          <w:rFonts w:ascii="宋体" w:cs="宋体"/>
          <w:b/>
          <w:szCs w:val="21"/>
          <w:highlight w:val="none"/>
        </w:rPr>
      </w:pPr>
    </w:p>
    <w:p>
      <w:pPr>
        <w:jc w:val="center"/>
        <w:rPr>
          <w:rFonts w:ascii="宋体" w:cs="宋体"/>
          <w:b/>
          <w:szCs w:val="21"/>
          <w:highlight w:val="none"/>
        </w:rPr>
      </w:pPr>
    </w:p>
    <w:p>
      <w:pPr>
        <w:jc w:val="center"/>
        <w:rPr>
          <w:rFonts w:ascii="宋体" w:cs="宋体"/>
          <w:b/>
          <w:szCs w:val="21"/>
          <w:highlight w:val="none"/>
        </w:rPr>
      </w:pPr>
    </w:p>
    <w:p>
      <w:pPr>
        <w:rPr>
          <w:rFonts w:ascii="宋体" w:cs="宋体"/>
          <w:b/>
          <w:szCs w:val="21"/>
          <w:highlight w:val="none"/>
        </w:rPr>
      </w:pPr>
    </w:p>
    <w:p>
      <w:pPr>
        <w:rPr>
          <w:rFonts w:ascii="宋体" w:cs="宋体"/>
          <w:b/>
          <w:szCs w:val="21"/>
          <w:highlight w:val="none"/>
        </w:rPr>
      </w:pPr>
    </w:p>
    <w:p>
      <w:pPr>
        <w:pStyle w:val="49"/>
        <w:numPr>
          <w:ilvl w:val="6"/>
          <w:numId w:val="0"/>
        </w:numPr>
        <w:tabs>
          <w:tab w:val="clear" w:pos="3364"/>
        </w:tabs>
        <w:ind w:left="2944"/>
        <w:rPr>
          <w:highlight w:val="none"/>
        </w:rPr>
      </w:pPr>
    </w:p>
    <w:p>
      <w:pPr>
        <w:jc w:val="center"/>
        <w:rPr>
          <w:rFonts w:ascii="宋体" w:cs="宋体"/>
          <w:b/>
          <w:szCs w:val="21"/>
          <w:highlight w:val="none"/>
        </w:rPr>
      </w:pPr>
    </w:p>
    <w:p>
      <w:pPr>
        <w:jc w:val="center"/>
        <w:rPr>
          <w:rFonts w:ascii="宋体" w:cs="宋体"/>
          <w:b/>
          <w:szCs w:val="21"/>
          <w:highlight w:val="none"/>
        </w:rPr>
      </w:pPr>
    </w:p>
    <w:p>
      <w:pPr>
        <w:jc w:val="center"/>
        <w:rPr>
          <w:rFonts w:ascii="宋体" w:cs="宋体"/>
          <w:b/>
          <w:szCs w:val="21"/>
          <w:highlight w:val="none"/>
        </w:rPr>
      </w:pPr>
    </w:p>
    <w:p>
      <w:pPr>
        <w:pStyle w:val="17"/>
        <w:ind w:firstLine="420"/>
        <w:rPr>
          <w:highlight w:val="none"/>
        </w:rPr>
      </w:pPr>
    </w:p>
    <w:p>
      <w:pPr>
        <w:jc w:val="center"/>
        <w:rPr>
          <w:rFonts w:ascii="宋体" w:cs="宋体"/>
          <w:b/>
          <w:szCs w:val="21"/>
          <w:highlight w:val="none"/>
        </w:rPr>
      </w:pPr>
    </w:p>
    <w:p>
      <w:pPr>
        <w:spacing w:before="152" w:beforeLines="50" w:after="152" w:afterLines="50" w:line="720" w:lineRule="auto"/>
        <w:ind w:firstLine="900" w:firstLineChars="300"/>
        <w:jc w:val="center"/>
        <w:rPr>
          <w:rFonts w:ascii="宋体" w:cs="宋体"/>
          <w:spacing w:val="20"/>
          <w:sz w:val="30"/>
          <w:szCs w:val="30"/>
          <w:highlight w:val="none"/>
        </w:rPr>
      </w:pPr>
      <w:r>
        <w:rPr>
          <w:rFonts w:hint="eastAsia" w:ascii="宋体" w:hAnsi="宋体" w:cs="宋体"/>
          <w:sz w:val="30"/>
          <w:szCs w:val="30"/>
          <w:highlight w:val="none"/>
        </w:rPr>
        <w:t>采购单位：</w:t>
      </w:r>
      <w:r>
        <w:rPr>
          <w:rFonts w:hint="eastAsia" w:ascii="宋体" w:hAnsi="宋体" w:cs="宋体"/>
          <w:sz w:val="30"/>
          <w:szCs w:val="30"/>
          <w:highlight w:val="none"/>
          <w:lang w:eastAsia="zh-CN"/>
        </w:rPr>
        <w:t>仙居县力天市政工程有限公司</w:t>
      </w:r>
      <w:r>
        <w:rPr>
          <w:rFonts w:hint="eastAsia" w:ascii="宋体" w:hAnsi="宋体" w:cs="宋体"/>
          <w:spacing w:val="20"/>
          <w:sz w:val="30"/>
          <w:szCs w:val="30"/>
          <w:highlight w:val="none"/>
        </w:rPr>
        <w:t>（盖章）</w:t>
      </w:r>
    </w:p>
    <w:p>
      <w:pPr>
        <w:spacing w:before="152" w:beforeLines="50" w:after="152" w:afterLines="50" w:line="720" w:lineRule="auto"/>
        <w:ind w:firstLine="2400" w:firstLineChars="800"/>
        <w:rPr>
          <w:rFonts w:ascii="宋体" w:cs="宋体"/>
          <w:sz w:val="30"/>
          <w:szCs w:val="30"/>
          <w:highlight w:val="none"/>
        </w:rPr>
      </w:pPr>
      <w:r>
        <w:rPr>
          <w:rFonts w:hint="eastAsia" w:ascii="宋体" w:hAnsi="宋体" w:cs="宋体"/>
          <w:sz w:val="30"/>
          <w:szCs w:val="30"/>
          <w:highlight w:val="none"/>
        </w:rPr>
        <w:t>代理机构：浙江聚信工程管理有限公司（盖章）</w:t>
      </w:r>
    </w:p>
    <w:p>
      <w:pPr>
        <w:spacing w:before="152" w:beforeLines="50" w:after="152" w:afterLines="50" w:line="480" w:lineRule="auto"/>
        <w:jc w:val="center"/>
        <w:rPr>
          <w:rFonts w:ascii="宋体" w:cs="宋体"/>
          <w:sz w:val="30"/>
          <w:szCs w:val="30"/>
          <w:highlight w:val="none"/>
        </w:rPr>
      </w:pPr>
      <w:r>
        <w:rPr>
          <w:rFonts w:hint="eastAsia" w:ascii="宋体" w:hAnsi="宋体" w:cs="宋体"/>
          <w:sz w:val="30"/>
          <w:szCs w:val="30"/>
          <w:highlight w:val="none"/>
          <w:lang w:eastAsia="zh-CN"/>
        </w:rPr>
        <w:t>二〇二五年</w:t>
      </w:r>
      <w:r>
        <w:rPr>
          <w:rFonts w:hint="eastAsia" w:ascii="宋体" w:hAnsi="宋体" w:cs="宋体"/>
          <w:sz w:val="30"/>
          <w:szCs w:val="30"/>
          <w:highlight w:val="none"/>
          <w:lang w:val="en-US" w:eastAsia="zh-CN"/>
        </w:rPr>
        <w:t>二</w:t>
      </w:r>
      <w:r>
        <w:rPr>
          <w:rFonts w:hint="eastAsia" w:ascii="宋体" w:hAnsi="宋体" w:cs="宋体"/>
          <w:sz w:val="30"/>
          <w:szCs w:val="30"/>
          <w:highlight w:val="none"/>
          <w:lang w:eastAsia="zh-CN"/>
        </w:rPr>
        <w:t>月</w:t>
      </w:r>
      <w:r>
        <w:rPr>
          <w:rFonts w:ascii="宋体" w:hAnsi="宋体" w:cs="宋体"/>
          <w:sz w:val="30"/>
          <w:szCs w:val="30"/>
          <w:highlight w:val="none"/>
        </w:rPr>
        <w:t xml:space="preserve"> </w:t>
      </w:r>
    </w:p>
    <w:p>
      <w:pPr>
        <w:tabs>
          <w:tab w:val="center" w:pos="4422"/>
          <w:tab w:val="left" w:pos="5310"/>
        </w:tabs>
        <w:spacing w:line="360" w:lineRule="auto"/>
        <w:jc w:val="center"/>
        <w:rPr>
          <w:rFonts w:ascii="宋体" w:cs="宋体"/>
          <w:b/>
          <w:sz w:val="44"/>
          <w:szCs w:val="44"/>
          <w:highlight w:val="none"/>
        </w:rPr>
        <w:sectPr>
          <w:headerReference r:id="rId5" w:type="first"/>
          <w:headerReference r:id="rId3" w:type="default"/>
          <w:footerReference r:id="rId6" w:type="default"/>
          <w:headerReference r:id="rId4" w:type="even"/>
          <w:footerReference r:id="rId7" w:type="even"/>
          <w:pgSz w:w="11905" w:h="16838"/>
          <w:pgMar w:top="720" w:right="720" w:bottom="720" w:left="720" w:header="907" w:footer="924" w:gutter="0"/>
          <w:cols w:space="0" w:num="1"/>
          <w:titlePg/>
          <w:docGrid w:type="lines" w:linePitch="304" w:charSpace="0"/>
        </w:sectPr>
      </w:pPr>
    </w:p>
    <w:p>
      <w:pPr>
        <w:spacing w:line="480" w:lineRule="auto"/>
        <w:jc w:val="center"/>
        <w:rPr>
          <w:rFonts w:ascii="宋体" w:cs="宋体"/>
          <w:b/>
          <w:sz w:val="32"/>
          <w:szCs w:val="32"/>
          <w:highlight w:val="none"/>
        </w:rPr>
      </w:pPr>
      <w:r>
        <w:rPr>
          <w:rFonts w:hint="eastAsia" w:ascii="宋体" w:hAnsi="宋体" w:cs="宋体"/>
          <w:b/>
          <w:sz w:val="32"/>
          <w:szCs w:val="32"/>
          <w:highlight w:val="none"/>
        </w:rPr>
        <w:t>目</w:t>
      </w:r>
      <w:r>
        <w:rPr>
          <w:rFonts w:ascii="宋体" w:hAnsi="宋体" w:cs="宋体"/>
          <w:b/>
          <w:sz w:val="32"/>
          <w:szCs w:val="32"/>
          <w:highlight w:val="none"/>
        </w:rPr>
        <w:t xml:space="preserve">   </w:t>
      </w:r>
      <w:r>
        <w:rPr>
          <w:rFonts w:hint="eastAsia" w:ascii="宋体" w:hAnsi="宋体" w:cs="宋体"/>
          <w:b/>
          <w:sz w:val="32"/>
          <w:szCs w:val="32"/>
          <w:highlight w:val="none"/>
        </w:rPr>
        <w:t>录</w:t>
      </w:r>
    </w:p>
    <w:p>
      <w:pPr>
        <w:pStyle w:val="28"/>
        <w:tabs>
          <w:tab w:val="right" w:leader="dot" w:pos="8731"/>
          <w:tab w:val="clear" w:pos="8494"/>
        </w:tabs>
        <w:rPr>
          <w:rFonts w:hint="eastAsia" w:asciiTheme="minorEastAsia" w:hAnsiTheme="minorEastAsia" w:eastAsiaTheme="minorEastAsia" w:cstheme="minorEastAsia"/>
          <w:sz w:val="24"/>
          <w:highlight w:val="none"/>
        </w:rPr>
      </w:pPr>
      <w:r>
        <w:rPr>
          <w:rFonts w:ascii="Arial" w:hAnsi="Arial" w:cs="Arial"/>
          <w:sz w:val="21"/>
          <w:szCs w:val="21"/>
          <w:highlight w:val="none"/>
        </w:rPr>
        <w:fldChar w:fldCharType="begin"/>
      </w:r>
      <w:r>
        <w:rPr>
          <w:rFonts w:ascii="Arial" w:hAnsi="Arial" w:cs="Arial"/>
          <w:sz w:val="21"/>
          <w:szCs w:val="21"/>
          <w:highlight w:val="none"/>
        </w:rPr>
        <w:instrText xml:space="preserve"> TOC \o "1-2" \h \z \u </w:instrText>
      </w:r>
      <w:r>
        <w:rPr>
          <w:rFonts w:ascii="Arial" w:hAnsi="Arial" w:cs="Arial"/>
          <w:sz w:val="21"/>
          <w:szCs w:val="21"/>
          <w:highlight w:val="none"/>
        </w:rPr>
        <w:fldChar w:fldCharType="separate"/>
      </w:r>
      <w:r>
        <w:rPr>
          <w:highlight w:val="none"/>
        </w:rPr>
        <w:fldChar w:fldCharType="begin"/>
      </w:r>
      <w:r>
        <w:rPr>
          <w:highlight w:val="none"/>
        </w:rPr>
        <w:instrText xml:space="preserve"> HYPERLINK \l "_Toc23384" </w:instrText>
      </w:r>
      <w:r>
        <w:rPr>
          <w:highlight w:val="none"/>
        </w:rPr>
        <w:fldChar w:fldCharType="separate"/>
      </w:r>
      <w:r>
        <w:rPr>
          <w:rFonts w:hint="eastAsia" w:asciiTheme="minorEastAsia" w:hAnsiTheme="minorEastAsia" w:eastAsiaTheme="minorEastAsia" w:cstheme="minorEastAsia"/>
          <w:sz w:val="24"/>
          <w:highlight w:val="none"/>
        </w:rPr>
        <w:t>第一章  招标公告</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_Toc23384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pPr>
        <w:pStyle w:val="28"/>
        <w:tabs>
          <w:tab w:val="right" w:leader="dot" w:pos="8731"/>
          <w:tab w:val="clear" w:pos="8494"/>
        </w:tabs>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"_Toc8834" </w:instrText>
      </w:r>
      <w:r>
        <w:rPr>
          <w:highlight w:val="none"/>
        </w:rPr>
        <w:fldChar w:fldCharType="separate"/>
      </w:r>
      <w:r>
        <w:rPr>
          <w:rFonts w:hint="eastAsia" w:asciiTheme="minorEastAsia" w:hAnsiTheme="minorEastAsia" w:eastAsiaTheme="minorEastAsia" w:cstheme="minorEastAsia"/>
          <w:sz w:val="24"/>
          <w:highlight w:val="none"/>
        </w:rPr>
        <w:t>第二章  采购需求</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_Toc8834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6</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pPr>
        <w:pStyle w:val="28"/>
        <w:tabs>
          <w:tab w:val="right" w:leader="dot" w:pos="8731"/>
          <w:tab w:val="clear" w:pos="8494"/>
        </w:tabs>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"_Toc23973" </w:instrText>
      </w:r>
      <w:r>
        <w:rPr>
          <w:highlight w:val="none"/>
        </w:rPr>
        <w:fldChar w:fldCharType="separate"/>
      </w:r>
      <w:r>
        <w:rPr>
          <w:rFonts w:hint="eastAsia" w:asciiTheme="minorEastAsia" w:hAnsiTheme="minorEastAsia" w:eastAsiaTheme="minorEastAsia" w:cstheme="minorEastAsia"/>
          <w:sz w:val="24"/>
          <w:highlight w:val="none"/>
        </w:rPr>
        <w:t>第三章  投标人须知</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t>6</w:t>
      </w:r>
    </w:p>
    <w:p>
      <w:pPr>
        <w:pStyle w:val="28"/>
        <w:tabs>
          <w:tab w:val="right" w:leader="dot" w:pos="8731"/>
          <w:tab w:val="clear" w:pos="8494"/>
        </w:tabs>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"_Toc27647" </w:instrText>
      </w:r>
      <w:r>
        <w:rPr>
          <w:highlight w:val="none"/>
        </w:rPr>
        <w:fldChar w:fldCharType="separate"/>
      </w:r>
      <w:r>
        <w:rPr>
          <w:rFonts w:hint="eastAsia" w:asciiTheme="minorEastAsia" w:hAnsiTheme="minorEastAsia" w:eastAsiaTheme="minorEastAsia" w:cstheme="minorEastAsia"/>
          <w:sz w:val="24"/>
          <w:highlight w:val="none"/>
        </w:rPr>
        <w:t>第四章  评审办法</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_Toc27647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31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pPr>
        <w:pStyle w:val="28"/>
        <w:tabs>
          <w:tab w:val="right" w:leader="dot" w:pos="8731"/>
          <w:tab w:val="clear" w:pos="8494"/>
        </w:tabs>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Theme="minorEastAsia" w:hAnsiTheme="minorEastAsia" w:eastAsiaTheme="minorEastAsia" w:cstheme="minorEastAsia"/>
          <w:sz w:val="24"/>
          <w:highlight w:val="none"/>
        </w:rPr>
        <w:t>第五章  合同条款及格式</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_Toc1386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33</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pPr>
        <w:pStyle w:val="28"/>
        <w:tabs>
          <w:tab w:val="right" w:leader="dot" w:pos="8731"/>
          <w:tab w:val="clear" w:pos="8494"/>
        </w:tabs>
        <w:rPr>
          <w:rFonts w:hint="eastAsia"/>
          <w:highlight w:val="none"/>
        </w:rPr>
      </w:pPr>
      <w:r>
        <w:rPr>
          <w:highlight w:val="none"/>
        </w:rPr>
        <w:fldChar w:fldCharType="begin"/>
      </w:r>
      <w:r>
        <w:rPr>
          <w:highlight w:val="none"/>
        </w:rPr>
        <w:instrText xml:space="preserve"> HYPERLINK \l "_Toc27016" </w:instrText>
      </w:r>
      <w:r>
        <w:rPr>
          <w:highlight w:val="none"/>
        </w:rPr>
        <w:fldChar w:fldCharType="separate"/>
      </w:r>
      <w:r>
        <w:rPr>
          <w:rFonts w:hint="eastAsia" w:asciiTheme="minorEastAsia" w:hAnsiTheme="minorEastAsia" w:eastAsiaTheme="minorEastAsia" w:cstheme="minorEastAsia"/>
          <w:sz w:val="24"/>
          <w:highlight w:val="none"/>
        </w:rPr>
        <w:t>第六章  投标文件格式</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_Toc27016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42</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pPr>
        <w:pStyle w:val="28"/>
        <w:tabs>
          <w:tab w:val="right" w:leader="dot" w:pos="8731"/>
          <w:tab w:val="clear" w:pos="8494"/>
        </w:tabs>
        <w:rPr>
          <w:rFonts w:hint="eastAsia"/>
          <w:highlight w:val="none"/>
        </w:rPr>
      </w:pPr>
    </w:p>
    <w:p>
      <w:pPr>
        <w:pStyle w:val="4"/>
        <w:spacing w:before="304" w:beforeLines="100" w:after="304" w:afterLines="100" w:line="480" w:lineRule="auto"/>
        <w:jc w:val="center"/>
        <w:rPr>
          <w:rFonts w:ascii="宋体" w:cs="宋体"/>
          <w:sz w:val="32"/>
          <w:szCs w:val="32"/>
          <w:highlight w:val="none"/>
        </w:rPr>
        <w:sectPr>
          <w:pgSz w:w="11905" w:h="16838"/>
          <w:pgMar w:top="1417" w:right="1587" w:bottom="1417" w:left="1587" w:header="907" w:footer="924" w:gutter="0"/>
          <w:pgNumType w:start="1"/>
          <w:cols w:space="0" w:num="1"/>
          <w:docGrid w:type="lines" w:linePitch="304" w:charSpace="0"/>
        </w:sectPr>
      </w:pPr>
      <w:r>
        <w:rPr>
          <w:rFonts w:ascii="Arial" w:hAnsi="Arial" w:cs="Arial"/>
          <w:szCs w:val="21"/>
          <w:highlight w:val="none"/>
        </w:rPr>
        <w:fldChar w:fldCharType="end"/>
      </w:r>
    </w:p>
    <w:p>
      <w:pPr>
        <w:pStyle w:val="4"/>
        <w:spacing w:line="240" w:lineRule="auto"/>
        <w:jc w:val="center"/>
        <w:rPr>
          <w:rFonts w:hint="default" w:ascii="宋体" w:eastAsia="宋体" w:cs="宋体"/>
          <w:sz w:val="32"/>
          <w:szCs w:val="32"/>
          <w:highlight w:val="none"/>
          <w:lang w:val="en-US" w:eastAsia="zh-CN"/>
        </w:rPr>
        <w:sectPr>
          <w:type w:val="continuous"/>
          <w:pgSz w:w="11905" w:h="16838"/>
          <w:pgMar w:top="1417" w:right="1587" w:bottom="1417" w:left="1587" w:header="907" w:footer="924" w:gutter="0"/>
          <w:cols w:space="0" w:num="1"/>
          <w:docGrid w:type="lines" w:linePitch="304" w:charSpace="0"/>
        </w:sectPr>
      </w:pPr>
      <w:r>
        <w:rPr>
          <w:rFonts w:hint="eastAsia" w:ascii="宋体" w:cs="宋体"/>
          <w:sz w:val="32"/>
          <w:szCs w:val="32"/>
          <w:highlight w:val="none"/>
          <w:lang w:val="en-US" w:eastAsia="zh-CN"/>
        </w:rPr>
        <w:t xml:space="preserve">    </w:t>
      </w:r>
    </w:p>
    <w:p>
      <w:pPr>
        <w:pStyle w:val="4"/>
        <w:spacing w:before="0" w:after="0" w:line="360" w:lineRule="auto"/>
        <w:jc w:val="center"/>
        <w:rPr>
          <w:rFonts w:ascii="宋体" w:cs="宋体"/>
          <w:sz w:val="32"/>
          <w:szCs w:val="32"/>
          <w:highlight w:val="none"/>
        </w:rPr>
      </w:pPr>
      <w:bookmarkStart w:id="1" w:name="_Toc23384"/>
      <w:r>
        <w:rPr>
          <w:rFonts w:hint="eastAsia" w:ascii="宋体" w:hAnsi="宋体" w:cs="宋体"/>
          <w:sz w:val="32"/>
          <w:szCs w:val="32"/>
          <w:highlight w:val="none"/>
        </w:rPr>
        <w:t xml:space="preserve">第一章 </w:t>
      </w:r>
      <w:r>
        <w:rPr>
          <w:rFonts w:ascii="宋体" w:hAnsi="宋体" w:cs="宋体"/>
          <w:sz w:val="32"/>
          <w:szCs w:val="32"/>
          <w:highlight w:val="none"/>
        </w:rPr>
        <w:t xml:space="preserve"> </w:t>
      </w:r>
      <w:r>
        <w:rPr>
          <w:rFonts w:hint="eastAsia" w:ascii="宋体" w:hAnsi="宋体" w:cs="宋体"/>
          <w:sz w:val="32"/>
          <w:szCs w:val="32"/>
          <w:highlight w:val="none"/>
        </w:rPr>
        <w:t>招标公告</w:t>
      </w:r>
      <w:bookmarkEnd w:id="1"/>
    </w:p>
    <w:p>
      <w:pPr>
        <w:rPr>
          <w:rFonts w:ascii="宋体" w:cs="宋体"/>
          <w:kern w:val="0"/>
          <w:szCs w:val="21"/>
          <w:highlight w:val="none"/>
        </w:rPr>
      </w:pPr>
      <w:bookmarkStart w:id="2" w:name="_Toc508888794"/>
    </w:p>
    <w:tbl>
      <w:tblPr>
        <w:tblStyle w:val="37"/>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8855" w:type="dxa"/>
          </w:tcPr>
          <w:p>
            <w:pPr>
              <w:pStyle w:val="32"/>
              <w:spacing w:before="0" w:beforeAutospacing="0" w:after="0" w:afterAutospacing="0" w:line="360" w:lineRule="auto"/>
              <w:rPr>
                <w:rFonts w:hint="eastAsia" w:cs="宋体"/>
                <w:color w:val="auto"/>
                <w:sz w:val="21"/>
                <w:szCs w:val="21"/>
                <w:highlight w:val="none"/>
              </w:rPr>
            </w:pPr>
            <w:r>
              <w:rPr>
                <w:rFonts w:hint="eastAsia" w:cs="宋体"/>
                <w:color w:val="auto"/>
                <w:sz w:val="21"/>
                <w:szCs w:val="21"/>
                <w:highlight w:val="none"/>
              </w:rPr>
              <w:t>项目概况：</w:t>
            </w:r>
          </w:p>
          <w:p>
            <w:pPr>
              <w:spacing w:line="360" w:lineRule="auto"/>
              <w:ind w:firstLine="420" w:firstLineChars="200"/>
              <w:rPr>
                <w:rFonts w:hint="eastAsia" w:ascii="宋体" w:hAnsi="宋体" w:cs="宋体"/>
                <w:b/>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eastAsia="zh-CN"/>
              </w:rPr>
              <w:t>仙居县力天市政工程有限公司PE管材及配件、PPR管材及配件采购项目</w:t>
            </w:r>
            <w:r>
              <w:rPr>
                <w:rFonts w:hint="eastAsia" w:ascii="宋体" w:hAnsi="宋体" w:cs="宋体"/>
                <w:color w:val="000000"/>
                <w:szCs w:val="21"/>
                <w:highlight w:val="none"/>
                <w:u w:val="single"/>
              </w:rPr>
              <w:t xml:space="preserve"> 的</w:t>
            </w:r>
            <w:r>
              <w:rPr>
                <w:rFonts w:hint="eastAsia" w:ascii="宋体" w:hAnsi="宋体" w:cs="宋体"/>
                <w:color w:val="000000"/>
                <w:szCs w:val="21"/>
                <w:highlight w:val="none"/>
              </w:rPr>
              <w:t>潜在供应商应在</w:t>
            </w:r>
            <w:r>
              <w:rPr>
                <w:rFonts w:hint="eastAsia" w:ascii="宋体" w:hAnsi="宋体" w:cs="宋体"/>
                <w:color w:val="000000"/>
                <w:szCs w:val="21"/>
                <w:highlight w:val="none"/>
                <w:u w:val="single"/>
              </w:rPr>
              <w:t xml:space="preserve"> 线上获取 </w:t>
            </w:r>
            <w:r>
              <w:rPr>
                <w:rFonts w:hint="eastAsia" w:ascii="宋体" w:hAnsi="宋体" w:cs="宋体"/>
                <w:color w:val="000000"/>
                <w:szCs w:val="21"/>
                <w:highlight w:val="none"/>
              </w:rPr>
              <w:t>获取（下载）采购文件，并于</w:t>
            </w:r>
            <w:r>
              <w:rPr>
                <w:rFonts w:hint="eastAsia" w:ascii="宋体" w:hAnsi="宋体" w:cs="宋体"/>
                <w:color w:val="0000FF"/>
                <w:szCs w:val="21"/>
                <w:highlight w:val="none"/>
                <w:u w:val="single"/>
              </w:rPr>
              <w:t xml:space="preserve"> </w:t>
            </w:r>
            <w:r>
              <w:rPr>
                <w:rFonts w:hint="eastAsia" w:ascii="宋体" w:hAnsi="宋体" w:cs="宋体"/>
                <w:color w:val="0000FF"/>
                <w:szCs w:val="21"/>
                <w:highlight w:val="none"/>
                <w:u w:val="single"/>
                <w:lang w:eastAsia="zh-CN"/>
              </w:rPr>
              <w:t>2025年03月11日</w:t>
            </w:r>
            <w:r>
              <w:rPr>
                <w:rFonts w:hint="eastAsia" w:ascii="宋体" w:hAnsi="宋体" w:cs="宋体"/>
                <w:color w:val="0000FF"/>
                <w:szCs w:val="21"/>
                <w:highlight w:val="none"/>
                <w:u w:val="single"/>
              </w:rPr>
              <w:t xml:space="preserve"> 09：00</w:t>
            </w:r>
            <w:r>
              <w:rPr>
                <w:rFonts w:hint="eastAsia" w:ascii="宋体" w:hAnsi="宋体" w:cs="宋体"/>
                <w:color w:val="000000"/>
                <w:szCs w:val="21"/>
                <w:highlight w:val="none"/>
                <w:u w:val="single"/>
              </w:rPr>
              <w:t>（北京时间）前提交（上传）响应文件。</w:t>
            </w:r>
          </w:p>
        </w:tc>
      </w:tr>
    </w:tbl>
    <w:p>
      <w:pPr>
        <w:pStyle w:val="32"/>
        <w:widowControl w:val="0"/>
        <w:numPr>
          <w:ilvl w:val="0"/>
          <w:numId w:val="3"/>
        </w:numPr>
        <w:spacing w:before="152" w:beforeLines="5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项目基本情况</w:t>
      </w:r>
    </w:p>
    <w:p>
      <w:pPr>
        <w:spacing w:line="360" w:lineRule="auto"/>
        <w:ind w:firstLine="420" w:firstLineChars="200"/>
        <w:rPr>
          <w:rFonts w:hint="eastAsia" w:ascii="宋体" w:hAnsi="宋体" w:eastAsia="宋体" w:cs="宋体"/>
          <w:b/>
          <w:bCs/>
          <w:kern w:val="0"/>
          <w:szCs w:val="21"/>
          <w:highlight w:val="none"/>
          <w:lang w:eastAsia="zh-CN"/>
        </w:rPr>
      </w:pPr>
      <w:r>
        <w:rPr>
          <w:rFonts w:hint="eastAsia" w:ascii="宋体" w:hAnsi="宋体" w:cs="宋体"/>
          <w:kern w:val="0"/>
          <w:szCs w:val="21"/>
          <w:highlight w:val="none"/>
        </w:rPr>
        <w:t>1.项目编号：</w:t>
      </w:r>
      <w:r>
        <w:rPr>
          <w:rFonts w:hint="eastAsia" w:ascii="宋体" w:hAnsi="宋体" w:cs="宋体"/>
          <w:kern w:val="0"/>
          <w:szCs w:val="21"/>
          <w:highlight w:val="none"/>
          <w:lang w:eastAsia="zh-CN"/>
        </w:rPr>
        <w:t>ZJJX-25CG-002</w:t>
      </w:r>
    </w:p>
    <w:p>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rPr>
        <w:t>2.项目名称：</w:t>
      </w:r>
      <w:bookmarkStart w:id="3" w:name="OLE_LINK6"/>
      <w:r>
        <w:rPr>
          <w:rFonts w:hint="eastAsia" w:ascii="宋体" w:hAnsi="宋体" w:cs="宋体"/>
          <w:kern w:val="0"/>
          <w:szCs w:val="21"/>
          <w:highlight w:val="none"/>
          <w:lang w:eastAsia="zh-CN"/>
        </w:rPr>
        <w:t>仙居县力天市政工程有限公司</w:t>
      </w:r>
      <w:bookmarkEnd w:id="3"/>
      <w:r>
        <w:rPr>
          <w:rFonts w:hint="eastAsia" w:ascii="宋体" w:hAnsi="宋体" w:cs="宋体"/>
          <w:kern w:val="0"/>
          <w:szCs w:val="21"/>
          <w:highlight w:val="none"/>
          <w:lang w:eastAsia="zh-CN"/>
        </w:rPr>
        <w:t>PE管材及配件、PPR管材及配件采购项目</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3.采购方式：公开招标</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4.采购需求：</w:t>
      </w:r>
    </w:p>
    <w:tbl>
      <w:tblPr>
        <w:tblStyle w:val="37"/>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800"/>
        <w:gridCol w:w="717"/>
        <w:gridCol w:w="658"/>
        <w:gridCol w:w="1333"/>
        <w:gridCol w:w="1308"/>
        <w:gridCol w:w="1749"/>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83" w:type="dxa"/>
            <w:vAlign w:val="center"/>
          </w:tcPr>
          <w:p>
            <w:pPr>
              <w:adjustRightInd w:val="0"/>
              <w:spacing w:line="336" w:lineRule="auto"/>
              <w:jc w:val="center"/>
              <w:rPr>
                <w:rFonts w:hint="eastAsia" w:ascii="宋体" w:hAnsi="宋体" w:cs="宋体"/>
                <w:szCs w:val="21"/>
                <w:highlight w:val="none"/>
              </w:rPr>
            </w:pPr>
            <w:r>
              <w:rPr>
                <w:rFonts w:hint="eastAsia" w:ascii="宋体" w:hAnsi="宋体" w:cs="宋体"/>
                <w:szCs w:val="21"/>
                <w:highlight w:val="none"/>
              </w:rPr>
              <w:t>序号</w:t>
            </w:r>
          </w:p>
        </w:tc>
        <w:tc>
          <w:tcPr>
            <w:tcW w:w="1800" w:type="dxa"/>
            <w:vAlign w:val="center"/>
          </w:tcPr>
          <w:p>
            <w:pPr>
              <w:adjustRightInd w:val="0"/>
              <w:spacing w:line="336" w:lineRule="auto"/>
              <w:jc w:val="center"/>
              <w:rPr>
                <w:rFonts w:hint="eastAsia" w:ascii="宋体" w:hAnsi="宋体" w:cs="宋体"/>
                <w:szCs w:val="21"/>
                <w:highlight w:val="none"/>
              </w:rPr>
            </w:pPr>
            <w:r>
              <w:rPr>
                <w:rFonts w:hint="eastAsia" w:ascii="宋体" w:hAnsi="宋体" w:cs="宋体"/>
                <w:szCs w:val="21"/>
                <w:highlight w:val="none"/>
              </w:rPr>
              <w:t>项目名称</w:t>
            </w:r>
          </w:p>
        </w:tc>
        <w:tc>
          <w:tcPr>
            <w:tcW w:w="717" w:type="dxa"/>
            <w:vAlign w:val="center"/>
          </w:tcPr>
          <w:p>
            <w:pPr>
              <w:adjustRightInd w:val="0"/>
              <w:spacing w:line="336" w:lineRule="auto"/>
              <w:jc w:val="center"/>
              <w:rPr>
                <w:rFonts w:hint="eastAsia" w:ascii="宋体" w:hAnsi="宋体" w:cs="宋体"/>
                <w:szCs w:val="21"/>
                <w:highlight w:val="none"/>
              </w:rPr>
            </w:pPr>
            <w:r>
              <w:rPr>
                <w:rFonts w:hint="eastAsia" w:ascii="宋体" w:hAnsi="宋体" w:cs="宋体"/>
                <w:szCs w:val="21"/>
                <w:highlight w:val="none"/>
              </w:rPr>
              <w:t>数量</w:t>
            </w:r>
          </w:p>
        </w:tc>
        <w:tc>
          <w:tcPr>
            <w:tcW w:w="658" w:type="dxa"/>
            <w:vAlign w:val="center"/>
          </w:tcPr>
          <w:p>
            <w:pPr>
              <w:adjustRightInd w:val="0"/>
              <w:spacing w:line="336" w:lineRule="auto"/>
              <w:jc w:val="center"/>
              <w:rPr>
                <w:rFonts w:hint="eastAsia" w:ascii="宋体" w:hAnsi="宋体" w:cs="宋体"/>
                <w:szCs w:val="21"/>
                <w:highlight w:val="none"/>
              </w:rPr>
            </w:pPr>
            <w:r>
              <w:rPr>
                <w:rFonts w:hint="eastAsia" w:ascii="宋体" w:hAnsi="宋体" w:cs="宋体"/>
                <w:szCs w:val="21"/>
                <w:highlight w:val="none"/>
              </w:rPr>
              <w:t>单位</w:t>
            </w:r>
          </w:p>
        </w:tc>
        <w:tc>
          <w:tcPr>
            <w:tcW w:w="1333" w:type="dxa"/>
            <w:vAlign w:val="center"/>
          </w:tcPr>
          <w:p>
            <w:pPr>
              <w:tabs>
                <w:tab w:val="left" w:pos="8280"/>
              </w:tabs>
              <w:autoSpaceDE w:val="0"/>
              <w:autoSpaceDN w:val="0"/>
              <w:adjustRightInd w:val="0"/>
              <w:spacing w:line="320" w:lineRule="exact"/>
              <w:ind w:right="23"/>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预算金额</w:t>
            </w:r>
          </w:p>
          <w:p>
            <w:pPr>
              <w:tabs>
                <w:tab w:val="left" w:pos="8280"/>
              </w:tabs>
              <w:autoSpaceDE w:val="0"/>
              <w:autoSpaceDN w:val="0"/>
              <w:adjustRightInd w:val="0"/>
              <w:spacing w:line="320" w:lineRule="exact"/>
              <w:ind w:right="23" w:rightChars="0"/>
              <w:jc w:val="center"/>
              <w:rPr>
                <w:rFonts w:hint="eastAsia" w:ascii="宋体" w:hAnsi="宋体" w:cs="宋体"/>
                <w:szCs w:val="21"/>
                <w:highlight w:val="none"/>
              </w:rPr>
            </w:pPr>
            <w:r>
              <w:rPr>
                <w:rFonts w:hint="eastAsia" w:ascii="宋体"/>
                <w:b/>
                <w:color w:val="000000" w:themeColor="text1"/>
                <w:szCs w:val="21"/>
                <w:highlight w:val="none"/>
                <w14:textFill>
                  <w14:solidFill>
                    <w14:schemeClr w14:val="tx1"/>
                  </w14:solidFill>
                </w14:textFill>
              </w:rPr>
              <w:t>（万元）</w:t>
            </w:r>
          </w:p>
        </w:tc>
        <w:tc>
          <w:tcPr>
            <w:tcW w:w="1308" w:type="dxa"/>
            <w:vAlign w:val="center"/>
          </w:tcPr>
          <w:p>
            <w:pPr>
              <w:tabs>
                <w:tab w:val="left" w:pos="8280"/>
              </w:tabs>
              <w:autoSpaceDE w:val="0"/>
              <w:autoSpaceDN w:val="0"/>
              <w:adjustRightInd w:val="0"/>
              <w:spacing w:line="280" w:lineRule="exact"/>
              <w:ind w:right="23"/>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最高限价</w:t>
            </w:r>
          </w:p>
          <w:p>
            <w:pPr>
              <w:tabs>
                <w:tab w:val="left" w:pos="8280"/>
              </w:tabs>
              <w:autoSpaceDE w:val="0"/>
              <w:autoSpaceDN w:val="0"/>
              <w:adjustRightInd w:val="0"/>
              <w:spacing w:line="280" w:lineRule="exact"/>
              <w:ind w:right="23" w:rightChars="0"/>
              <w:jc w:val="center"/>
              <w:rPr>
                <w:rFonts w:hint="eastAsia" w:ascii="宋体" w:hAnsi="宋体" w:cs="宋体"/>
                <w:szCs w:val="21"/>
                <w:highlight w:val="none"/>
              </w:rPr>
            </w:pPr>
            <w:r>
              <w:rPr>
                <w:rFonts w:hint="eastAsia" w:ascii="宋体"/>
                <w:b/>
                <w:color w:val="000000" w:themeColor="text1"/>
                <w:szCs w:val="21"/>
                <w:highlight w:val="none"/>
                <w14:textFill>
                  <w14:solidFill>
                    <w14:schemeClr w14:val="tx1"/>
                  </w14:solidFill>
                </w14:textFill>
              </w:rPr>
              <w:t>（万元）</w:t>
            </w:r>
          </w:p>
        </w:tc>
        <w:tc>
          <w:tcPr>
            <w:tcW w:w="1749" w:type="dxa"/>
            <w:vAlign w:val="center"/>
          </w:tcPr>
          <w:p>
            <w:pPr>
              <w:adjustRightInd w:val="0"/>
              <w:spacing w:line="336" w:lineRule="auto"/>
              <w:jc w:val="center"/>
              <w:rPr>
                <w:rFonts w:hint="eastAsia" w:ascii="宋体" w:hAnsi="宋体" w:cs="宋体"/>
                <w:szCs w:val="21"/>
                <w:highlight w:val="none"/>
              </w:rPr>
            </w:pPr>
            <w:r>
              <w:rPr>
                <w:rFonts w:hint="eastAsia" w:ascii="宋体" w:hAnsi="宋体" w:cs="宋体"/>
                <w:szCs w:val="21"/>
                <w:highlight w:val="none"/>
              </w:rPr>
              <w:t>标项基本概况介绍</w:t>
            </w:r>
          </w:p>
        </w:tc>
        <w:tc>
          <w:tcPr>
            <w:tcW w:w="885" w:type="dxa"/>
            <w:vAlign w:val="center"/>
          </w:tcPr>
          <w:p>
            <w:pPr>
              <w:adjustRightInd w:val="0"/>
              <w:spacing w:line="336" w:lineRule="auto"/>
              <w:jc w:val="center"/>
              <w:rPr>
                <w:rFonts w:hint="eastAsia" w:ascii="宋体" w:hAnsi="宋体" w:cs="宋体"/>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783" w:type="dxa"/>
            <w:vAlign w:val="center"/>
          </w:tcPr>
          <w:p>
            <w:pPr>
              <w:widowControl/>
              <w:spacing w:before="100" w:after="100" w:line="336" w:lineRule="auto"/>
              <w:jc w:val="center"/>
              <w:rPr>
                <w:rFonts w:hint="eastAsia" w:ascii="宋体" w:hAnsi="宋体" w:cs="宋体"/>
                <w:szCs w:val="21"/>
                <w:highlight w:val="none"/>
              </w:rPr>
            </w:pPr>
            <w:r>
              <w:rPr>
                <w:rFonts w:hint="eastAsia" w:ascii="宋体" w:hAnsi="宋体" w:cs="宋体"/>
                <w:kern w:val="0"/>
                <w:szCs w:val="21"/>
                <w:highlight w:val="none"/>
              </w:rPr>
              <w:t>1</w:t>
            </w:r>
          </w:p>
        </w:tc>
        <w:tc>
          <w:tcPr>
            <w:tcW w:w="1800" w:type="dxa"/>
            <w:vAlign w:val="center"/>
          </w:tcPr>
          <w:p>
            <w:pPr>
              <w:widowControl/>
              <w:spacing w:line="336" w:lineRule="auto"/>
              <w:jc w:val="center"/>
              <w:rPr>
                <w:rFonts w:hint="eastAsia" w:ascii="宋体" w:hAnsi="宋体" w:eastAsia="宋体" w:cs="宋体"/>
                <w:szCs w:val="21"/>
                <w:highlight w:val="none"/>
                <w:lang w:eastAsia="zh-CN"/>
              </w:rPr>
            </w:pPr>
            <w:r>
              <w:rPr>
                <w:rFonts w:hint="eastAsia" w:ascii="宋体" w:hAnsi="宋体" w:cs="宋体"/>
                <w:kern w:val="0"/>
                <w:szCs w:val="21"/>
                <w:highlight w:val="none"/>
                <w:lang w:eastAsia="zh-CN"/>
              </w:rPr>
              <w:t>仙居县力天市政工程有限公司PE管材及配件、PPR管材及配件采购项目</w:t>
            </w:r>
          </w:p>
        </w:tc>
        <w:tc>
          <w:tcPr>
            <w:tcW w:w="717" w:type="dxa"/>
            <w:vAlign w:val="center"/>
          </w:tcPr>
          <w:p>
            <w:pPr>
              <w:widowControl/>
              <w:spacing w:before="100" w:after="100" w:line="336" w:lineRule="auto"/>
              <w:jc w:val="center"/>
              <w:rPr>
                <w:rFonts w:hint="eastAsia" w:ascii="宋体" w:hAnsi="宋体" w:eastAsia="宋体" w:cs="宋体"/>
                <w:szCs w:val="21"/>
                <w:highlight w:val="none"/>
                <w:lang w:eastAsia="zh-CN"/>
              </w:rPr>
            </w:pPr>
            <w:r>
              <w:rPr>
                <w:rFonts w:hint="eastAsia" w:ascii="宋体" w:hAnsi="宋体" w:cs="宋体"/>
                <w:kern w:val="0"/>
                <w:szCs w:val="21"/>
                <w:highlight w:val="none"/>
                <w:lang w:val="en-US" w:eastAsia="zh-CN"/>
              </w:rPr>
              <w:t>1</w:t>
            </w:r>
          </w:p>
        </w:tc>
        <w:tc>
          <w:tcPr>
            <w:tcW w:w="658" w:type="dxa"/>
            <w:vAlign w:val="center"/>
          </w:tcPr>
          <w:p>
            <w:pPr>
              <w:widowControl/>
              <w:spacing w:before="100" w:after="100" w:line="336"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w:t>
            </w:r>
          </w:p>
        </w:tc>
        <w:tc>
          <w:tcPr>
            <w:tcW w:w="1333" w:type="dxa"/>
            <w:vAlign w:val="center"/>
          </w:tcPr>
          <w:p>
            <w:pPr>
              <w:tabs>
                <w:tab w:val="left" w:pos="1689"/>
                <w:tab w:val="left" w:pos="8280"/>
              </w:tabs>
              <w:autoSpaceDE w:val="0"/>
              <w:autoSpaceDN w:val="0"/>
              <w:adjustRightInd w:val="0"/>
              <w:spacing w:line="300" w:lineRule="exact"/>
              <w:ind w:right="-80" w:rightChars="0"/>
              <w:jc w:val="center"/>
              <w:rPr>
                <w:rFonts w:hint="eastAsia" w:ascii="宋体" w:hAnsi="宋体" w:cs="宋体"/>
                <w:szCs w:val="21"/>
                <w:highlight w:val="none"/>
              </w:rPr>
            </w:pPr>
            <w:bookmarkStart w:id="4" w:name="OLE_LINK8"/>
            <w:r>
              <w:rPr>
                <w:rFonts w:hint="eastAsia" w:ascii="宋体" w:hAnsi="宋体" w:cs="宋体"/>
                <w:color w:val="000000" w:themeColor="text1"/>
                <w:szCs w:val="21"/>
                <w:highlight w:val="none"/>
                <w:lang w:val="en-US" w:eastAsia="zh-CN"/>
                <w14:textFill>
                  <w14:solidFill>
                    <w14:schemeClr w14:val="tx1"/>
                  </w14:solidFill>
                </w14:textFill>
              </w:rPr>
              <w:t>394.2424</w:t>
            </w:r>
            <w:bookmarkEnd w:id="4"/>
          </w:p>
        </w:tc>
        <w:tc>
          <w:tcPr>
            <w:tcW w:w="1308" w:type="dxa"/>
            <w:vAlign w:val="center"/>
          </w:tcPr>
          <w:p>
            <w:pPr>
              <w:tabs>
                <w:tab w:val="left" w:pos="1689"/>
                <w:tab w:val="left" w:pos="8280"/>
              </w:tabs>
              <w:autoSpaceDE w:val="0"/>
              <w:autoSpaceDN w:val="0"/>
              <w:adjustRightInd w:val="0"/>
              <w:spacing w:line="300" w:lineRule="exact"/>
              <w:ind w:right="47" w:rightChars="0"/>
              <w:jc w:val="center"/>
              <w:rPr>
                <w:rFonts w:hint="eastAsia" w:ascii="宋体" w:hAnsi="宋体" w:cs="宋体"/>
                <w:szCs w:val="21"/>
                <w:highlight w:val="none"/>
              </w:rPr>
            </w:pPr>
            <w:r>
              <w:rPr>
                <w:rFonts w:hint="eastAsia" w:ascii="宋体" w:hAnsi="宋体" w:eastAsia="宋体" w:cs="宋体"/>
                <w:color w:val="000000" w:themeColor="text1"/>
                <w:szCs w:val="21"/>
                <w:highlight w:val="none"/>
                <w14:textFill>
                  <w14:solidFill>
                    <w14:schemeClr w14:val="tx1"/>
                  </w14:solidFill>
                </w14:textFill>
              </w:rPr>
              <w:t>362.703</w:t>
            </w:r>
          </w:p>
        </w:tc>
        <w:tc>
          <w:tcPr>
            <w:tcW w:w="1749" w:type="dxa"/>
            <w:vAlign w:val="center"/>
          </w:tcPr>
          <w:p>
            <w:pPr>
              <w:adjustRightInd w:val="0"/>
              <w:spacing w:line="336" w:lineRule="auto"/>
              <w:jc w:val="center"/>
              <w:rPr>
                <w:rFonts w:hint="eastAsia" w:ascii="宋体" w:hAnsi="宋体" w:cs="宋体"/>
                <w:szCs w:val="21"/>
                <w:highlight w:val="none"/>
              </w:rPr>
            </w:pPr>
            <w:r>
              <w:rPr>
                <w:rFonts w:hint="eastAsia" w:ascii="宋体" w:hAnsi="宋体" w:cs="宋体"/>
                <w:szCs w:val="21"/>
                <w:highlight w:val="none"/>
              </w:rPr>
              <w:t>详见招标文件采购需求内容。</w:t>
            </w:r>
          </w:p>
        </w:tc>
        <w:tc>
          <w:tcPr>
            <w:tcW w:w="885" w:type="dxa"/>
            <w:vAlign w:val="center"/>
          </w:tcPr>
          <w:p>
            <w:pPr>
              <w:adjustRightInd w:val="0"/>
              <w:spacing w:line="336" w:lineRule="auto"/>
              <w:jc w:val="center"/>
              <w:rPr>
                <w:rFonts w:hint="eastAsia" w:ascii="宋体" w:hAnsi="宋体" w:cs="宋体"/>
                <w:szCs w:val="21"/>
                <w:highlight w:val="none"/>
              </w:rPr>
            </w:pPr>
          </w:p>
        </w:tc>
      </w:tr>
    </w:tbl>
    <w:p>
      <w:pPr>
        <w:pStyle w:val="16"/>
        <w:spacing w:after="0" w:line="400" w:lineRule="exact"/>
        <w:ind w:firstLine="420" w:firstLineChars="200"/>
        <w:rPr>
          <w:rFonts w:hint="eastAsia" w:ascii="宋体" w:hAnsi="宋体" w:cs="宋体"/>
          <w:highlight w:val="none"/>
        </w:rPr>
      </w:pPr>
      <w:r>
        <w:rPr>
          <w:rFonts w:hint="eastAsia" w:ascii="宋体" w:hAnsi="宋体" w:cs="宋体"/>
          <w:kern w:val="0"/>
          <w:szCs w:val="21"/>
          <w:highlight w:val="none"/>
        </w:rPr>
        <w:t>5.合同履行期限：标1，</w:t>
      </w:r>
      <w:r>
        <w:rPr>
          <w:rFonts w:hint="eastAsia" w:ascii="宋体" w:hAnsi="宋体"/>
          <w:szCs w:val="21"/>
          <w:highlight w:val="none"/>
        </w:rPr>
        <w:t>详见</w:t>
      </w:r>
      <w:r>
        <w:rPr>
          <w:rFonts w:hint="eastAsia" w:ascii="宋体" w:hAnsi="宋体"/>
          <w:kern w:val="0"/>
          <w:highlight w:val="none"/>
        </w:rPr>
        <w:t>采购文件。 </w:t>
      </w:r>
    </w:p>
    <w:p>
      <w:pPr>
        <w:pStyle w:val="32"/>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申请人的资格要求</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满足《中华人民共和国政府采购法》第二十二条规定的供应商资格条件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2.本项目的特定资格要求：</w:t>
      </w:r>
    </w:p>
    <w:p>
      <w:pPr>
        <w:widowControl/>
        <w:spacing w:line="38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（1）投标人须为具备独立法人资格的制造商或代理商；若投标人为代理商，需获得有代理产品的制造商出具的针对本项目的唯一授权书； </w:t>
      </w:r>
    </w:p>
    <w:p>
      <w:pPr>
        <w:widowControl/>
        <w:spacing w:line="38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（2）投标人所投产品须取得省级及以上卫生部门颁发的《</w:t>
      </w:r>
      <w:bookmarkStart w:id="5" w:name="OLE_LINK1"/>
      <w:r>
        <w:rPr>
          <w:rFonts w:hint="eastAsia" w:ascii="宋体" w:hAnsi="宋体" w:cs="宋体"/>
          <w:color w:val="000000" w:themeColor="text1"/>
          <w:kern w:val="0"/>
          <w:szCs w:val="21"/>
          <w:highlight w:val="none"/>
          <w14:textFill>
            <w14:solidFill>
              <w14:schemeClr w14:val="tx1"/>
            </w14:solidFill>
          </w14:textFill>
        </w:rPr>
        <w:t>涉及饮用水卫生安全产品卫生许可批件</w:t>
      </w:r>
      <w:bookmarkEnd w:id="5"/>
      <w:r>
        <w:rPr>
          <w:rFonts w:hint="eastAsia" w:ascii="宋体" w:hAnsi="宋体" w:cs="宋体"/>
          <w:color w:val="000000" w:themeColor="text1"/>
          <w:kern w:val="0"/>
          <w:szCs w:val="21"/>
          <w:highlight w:val="none"/>
          <w14:textFill>
            <w14:solidFill>
              <w14:schemeClr w14:val="tx1"/>
            </w14:solidFill>
          </w14:textFill>
        </w:rPr>
        <w:t>》。如部分省份因省级及以上卫生部门下放了“部分涉及饮用水卫生安全产品行政审批项目权限”的，允许投标人提供符合下放职能文件要求的“涉及饮用水卫生安全产品卫生许可批件”，同时还需提供下放职能文件的复印件（扫描件）或提供卫生部门系统官网的文件截图。</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3.本项目不接受联合体投标。</w:t>
      </w:r>
    </w:p>
    <w:p>
      <w:pPr>
        <w:pStyle w:val="16"/>
        <w:ind w:firstLine="420" w:firstLineChars="200"/>
        <w:rPr>
          <w:rFonts w:hint="eastAsia" w:ascii="宋体" w:hAnsi="宋体" w:cs="宋体"/>
          <w:szCs w:val="21"/>
          <w:highlight w:val="none"/>
        </w:rPr>
      </w:pPr>
      <w:r>
        <w:rPr>
          <w:rFonts w:hint="eastAsia" w:ascii="宋体" w:hAnsi="宋体" w:cs="宋体"/>
          <w:szCs w:val="21"/>
          <w:highlight w:val="none"/>
        </w:rPr>
        <w:t>注：本项目在评标时进行资格审查，请投标人仔细阅读以上资格条件要求并自查，投标时投标文件中请附招标文件要求的所有资格证明资料。</w:t>
      </w:r>
    </w:p>
    <w:p>
      <w:pPr>
        <w:pStyle w:val="32"/>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获取采购文件</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1.时间： / 至</w:t>
      </w:r>
      <w:r>
        <w:rPr>
          <w:rFonts w:hint="eastAsia" w:ascii="宋体" w:hAnsi="宋体" w:cs="宋体"/>
          <w:color w:val="0000FF"/>
          <w:kern w:val="0"/>
          <w:szCs w:val="21"/>
          <w:highlight w:val="none"/>
          <w:lang w:eastAsia="zh-CN"/>
        </w:rPr>
        <w:t>2025年03月11日</w:t>
      </w:r>
      <w:r>
        <w:rPr>
          <w:rFonts w:hint="eastAsia" w:ascii="宋体" w:hAnsi="宋体" w:cs="宋体"/>
          <w:kern w:val="0"/>
          <w:szCs w:val="21"/>
          <w:highlight w:val="none"/>
        </w:rPr>
        <w:t>09：00（上午8：00-11：30 ，下午2：00-5：00，节假日除外）</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2.地点（网址）：乐采云平台（https：//www.lecaiyun.com）</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3.方式：供应商登录乐采云平台（https：//www.lecaiyun.com）在线申请获取采购文件（进入“项目采购”应用，在获取采购文件菜单中选择项目，申请获取采购文件）。 </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4.售价（元）：</w:t>
      </w:r>
      <w:r>
        <w:rPr>
          <w:rFonts w:hint="eastAsia" w:ascii="宋体" w:hAnsi="宋体" w:cs="宋体"/>
          <w:bCs/>
          <w:kern w:val="0"/>
          <w:szCs w:val="21"/>
          <w:highlight w:val="none"/>
        </w:rPr>
        <w:t>0元</w:t>
      </w:r>
    </w:p>
    <w:p>
      <w:pPr>
        <w:pStyle w:val="32"/>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响应文件提交</w:t>
      </w:r>
    </w:p>
    <w:p>
      <w:pPr>
        <w:pStyle w:val="32"/>
        <w:widowControl w:val="0"/>
        <w:spacing w:before="0" w:beforeAutospacing="0" w:after="0" w:afterAutospacing="0" w:line="360" w:lineRule="auto"/>
        <w:ind w:left="420"/>
        <w:jc w:val="both"/>
        <w:rPr>
          <w:rFonts w:hint="eastAsia" w:cs="宋体"/>
          <w:color w:val="auto"/>
          <w:sz w:val="21"/>
          <w:szCs w:val="21"/>
          <w:highlight w:val="none"/>
        </w:rPr>
      </w:pPr>
      <w:r>
        <w:rPr>
          <w:rFonts w:hint="eastAsia" w:cs="宋体"/>
          <w:color w:val="auto"/>
          <w:sz w:val="21"/>
          <w:szCs w:val="21"/>
          <w:highlight w:val="none"/>
        </w:rPr>
        <w:t>1.开标时间：</w:t>
      </w:r>
      <w:r>
        <w:rPr>
          <w:rFonts w:hint="eastAsia" w:cs="宋体"/>
          <w:color w:val="0000FF"/>
          <w:sz w:val="21"/>
          <w:szCs w:val="21"/>
          <w:highlight w:val="none"/>
          <w:lang w:eastAsia="zh-CN"/>
        </w:rPr>
        <w:t>2025年03月11日</w:t>
      </w:r>
      <w:r>
        <w:rPr>
          <w:rFonts w:hint="eastAsia" w:cs="宋体"/>
          <w:color w:val="auto"/>
          <w:sz w:val="21"/>
          <w:szCs w:val="21"/>
          <w:highlight w:val="none"/>
        </w:rPr>
        <w:t>09：00（北京时间）</w:t>
      </w:r>
    </w:p>
    <w:p>
      <w:pPr>
        <w:autoSpaceDE w:val="0"/>
        <w:autoSpaceDN w:val="0"/>
        <w:adjustRightInd w:val="0"/>
        <w:snapToGrid w:val="0"/>
        <w:spacing w:line="312" w:lineRule="auto"/>
        <w:ind w:firstLine="480"/>
        <w:rPr>
          <w:rFonts w:hint="eastAsia" w:ascii="宋体" w:hAnsi="宋体" w:cs="宋体"/>
          <w:kern w:val="0"/>
          <w:szCs w:val="21"/>
          <w:highlight w:val="none"/>
        </w:rPr>
      </w:pPr>
      <w:r>
        <w:rPr>
          <w:rFonts w:hint="eastAsia" w:ascii="宋体" w:hAnsi="宋体" w:cs="宋体"/>
          <w:kern w:val="0"/>
          <w:szCs w:val="21"/>
          <w:highlight w:val="none"/>
        </w:rPr>
        <w:t>2.投标地点（网址）：</w:t>
      </w:r>
    </w:p>
    <w:p>
      <w:pPr>
        <w:autoSpaceDE w:val="0"/>
        <w:autoSpaceDN w:val="0"/>
        <w:adjustRightInd w:val="0"/>
        <w:snapToGrid w:val="0"/>
        <w:spacing w:line="312" w:lineRule="auto"/>
        <w:ind w:firstLine="480"/>
        <w:rPr>
          <w:rFonts w:hint="eastAsia" w:ascii="宋体" w:hAnsi="宋体" w:cs="宋体"/>
          <w:kern w:val="0"/>
          <w:szCs w:val="21"/>
          <w:highlight w:val="none"/>
        </w:rPr>
      </w:pPr>
      <w:r>
        <w:rPr>
          <w:rFonts w:hint="eastAsia" w:ascii="宋体" w:hAnsi="宋体" w:cs="宋体"/>
          <w:kern w:val="0"/>
          <w:szCs w:val="21"/>
          <w:highlight w:val="none"/>
        </w:rPr>
        <w:t>（1）电子响应文件：乐采云平台（https：//www.lecaiyun.com）在线递交。</w:t>
      </w:r>
    </w:p>
    <w:p>
      <w:pPr>
        <w:autoSpaceDE w:val="0"/>
        <w:autoSpaceDN w:val="0"/>
        <w:adjustRightInd w:val="0"/>
        <w:snapToGrid w:val="0"/>
        <w:spacing w:line="312" w:lineRule="auto"/>
        <w:ind w:firstLine="480"/>
        <w:rPr>
          <w:rFonts w:hint="eastAsia" w:ascii="宋体" w:hAnsi="宋体" w:cs="宋体"/>
          <w:kern w:val="0"/>
          <w:szCs w:val="21"/>
          <w:highlight w:val="none"/>
        </w:rPr>
      </w:pPr>
      <w:r>
        <w:rPr>
          <w:rFonts w:hint="eastAsia" w:ascii="宋体" w:hAnsi="宋体" w:cs="宋体"/>
          <w:kern w:val="0"/>
          <w:szCs w:val="21"/>
          <w:highlight w:val="none"/>
        </w:rPr>
        <w:t>（2）备份电子响应文件：</w:t>
      </w:r>
      <w:r>
        <w:rPr>
          <w:highlight w:val="none"/>
        </w:rPr>
        <w:fldChar w:fldCharType="begin"/>
      </w:r>
      <w:r>
        <w:rPr>
          <w:highlight w:val="none"/>
        </w:rPr>
        <w:instrText xml:space="preserve">HYPERLINK "mailto:供应商自行确定是否提交；若提交请将备份电子投标文件打包压缩加密（未加密造成泄密的由供应商自行承担）后以电子邮件的形式发送至3565238819@qq.com。"</w:instrText>
      </w:r>
      <w:r>
        <w:rPr>
          <w:highlight w:val="none"/>
        </w:rPr>
        <w:fldChar w:fldCharType="separate"/>
      </w:r>
      <w:r>
        <w:rPr>
          <w:rStyle w:val="44"/>
          <w:rFonts w:hint="eastAsia" w:ascii="宋体" w:hAnsi="宋体" w:cs="宋体"/>
          <w:color w:val="auto"/>
          <w:kern w:val="0"/>
          <w:szCs w:val="21"/>
          <w:highlight w:val="none"/>
        </w:rPr>
        <w:t>供应商自行确定是否提交；若提交请将备份电子投标文件打包压缩加密（未加密造成泄密的由供应商自行承担）后以电子邮件的形式发送至</w:t>
      </w:r>
      <w:r>
        <w:rPr>
          <w:rStyle w:val="44"/>
          <w:rFonts w:hint="eastAsia" w:ascii="宋体" w:hAnsi="宋体" w:cs="宋体"/>
          <w:color w:val="auto"/>
          <w:kern w:val="0"/>
          <w:szCs w:val="21"/>
          <w:highlight w:val="none"/>
          <w:lang w:eastAsia="zh-CN"/>
        </w:rPr>
        <w:t>sha7479@qq.com</w:t>
      </w:r>
      <w:r>
        <w:rPr>
          <w:rStyle w:val="44"/>
          <w:rFonts w:hint="eastAsia" w:ascii="宋体" w:hAnsi="宋体" w:cs="宋体"/>
          <w:color w:val="auto"/>
          <w:kern w:val="0"/>
          <w:szCs w:val="21"/>
          <w:highlight w:val="none"/>
        </w:rPr>
        <w:t>。</w:t>
      </w:r>
      <w:r>
        <w:rPr>
          <w:rStyle w:val="44"/>
          <w:rFonts w:ascii="宋体" w:hAnsi="宋体" w:cs="宋体"/>
          <w:color w:val="auto"/>
          <w:kern w:val="0"/>
          <w:szCs w:val="21"/>
          <w:highlight w:val="none"/>
        </w:rPr>
        <w:fldChar w:fldCharType="end"/>
      </w:r>
      <w:r>
        <w:rPr>
          <w:rFonts w:hint="eastAsia" w:ascii="宋体" w:hAnsi="宋体" w:cs="宋体"/>
          <w:kern w:val="0"/>
          <w:szCs w:val="21"/>
          <w:highlight w:val="none"/>
          <w:u w:val="single"/>
        </w:rPr>
        <w:t>逾期发送的将被视为未提交。</w:t>
      </w:r>
    </w:p>
    <w:p>
      <w:pPr>
        <w:pStyle w:val="32"/>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响应文件开启</w:t>
      </w:r>
    </w:p>
    <w:p>
      <w:pPr>
        <w:pStyle w:val="32"/>
        <w:spacing w:before="0" w:beforeAutospacing="0" w:after="0" w:afterAutospacing="0" w:line="360" w:lineRule="auto"/>
        <w:ind w:firstLine="420" w:firstLineChars="200"/>
        <w:rPr>
          <w:rFonts w:hint="eastAsia" w:cs="宋体"/>
          <w:color w:val="auto"/>
          <w:sz w:val="21"/>
          <w:szCs w:val="21"/>
          <w:highlight w:val="none"/>
        </w:rPr>
      </w:pPr>
      <w:r>
        <w:rPr>
          <w:rFonts w:hint="eastAsia" w:cs="宋体"/>
          <w:color w:val="auto"/>
          <w:sz w:val="21"/>
          <w:szCs w:val="21"/>
          <w:highlight w:val="none"/>
        </w:rPr>
        <w:t>1.开启时间：</w:t>
      </w:r>
      <w:r>
        <w:rPr>
          <w:rFonts w:hint="eastAsia" w:cs="宋体"/>
          <w:color w:val="0000FF"/>
          <w:sz w:val="21"/>
          <w:szCs w:val="21"/>
          <w:highlight w:val="none"/>
          <w:u w:val="single"/>
          <w:lang w:eastAsia="zh-CN"/>
        </w:rPr>
        <w:t>2025年03月11日</w:t>
      </w:r>
      <w:r>
        <w:rPr>
          <w:rFonts w:hint="eastAsia" w:cs="宋体"/>
          <w:color w:val="auto"/>
          <w:sz w:val="21"/>
          <w:szCs w:val="21"/>
          <w:highlight w:val="none"/>
          <w:u w:val="single"/>
        </w:rPr>
        <w:t>09：00   </w:t>
      </w:r>
      <w:r>
        <w:rPr>
          <w:rFonts w:hint="eastAsia" w:cs="宋体"/>
          <w:color w:val="auto"/>
          <w:sz w:val="21"/>
          <w:szCs w:val="21"/>
          <w:highlight w:val="none"/>
        </w:rPr>
        <w:t>（北京时间）</w:t>
      </w:r>
    </w:p>
    <w:p>
      <w:pPr>
        <w:pStyle w:val="32"/>
        <w:spacing w:before="0" w:beforeAutospacing="0" w:after="0" w:afterAutospacing="0" w:line="360" w:lineRule="auto"/>
        <w:ind w:firstLine="420" w:firstLineChars="200"/>
        <w:rPr>
          <w:rFonts w:hint="eastAsia" w:cs="宋体"/>
          <w:color w:val="auto"/>
          <w:sz w:val="21"/>
          <w:szCs w:val="21"/>
          <w:highlight w:val="none"/>
          <w:u w:val="single"/>
        </w:rPr>
      </w:pPr>
      <w:r>
        <w:rPr>
          <w:rFonts w:hint="eastAsia" w:cs="宋体"/>
          <w:color w:val="auto"/>
          <w:sz w:val="21"/>
          <w:szCs w:val="21"/>
          <w:highlight w:val="none"/>
        </w:rPr>
        <w:t>2.地点：</w:t>
      </w:r>
      <w:r>
        <w:rPr>
          <w:rFonts w:hint="eastAsia" w:cs="宋体"/>
          <w:color w:val="auto"/>
          <w:sz w:val="21"/>
          <w:szCs w:val="21"/>
          <w:highlight w:val="none"/>
          <w:u w:val="single"/>
        </w:rPr>
        <w:t>在乐采云平台（https：//www.lecaiyun.com）上开启响应文件，投标人无需在开标当天到达开标现场，但须准时在线参加，直至项目开评标结束。</w:t>
      </w:r>
    </w:p>
    <w:p>
      <w:pPr>
        <w:pStyle w:val="32"/>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投标保证金缴纳形式：</w:t>
      </w:r>
    </w:p>
    <w:p>
      <w:pPr>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1.投标保证金：人民币</w:t>
      </w:r>
      <w:r>
        <w:rPr>
          <w:rFonts w:hint="eastAsia" w:ascii="宋体" w:hAnsi="宋体" w:cs="宋体"/>
          <w:b/>
          <w:bCs/>
          <w:kern w:val="0"/>
          <w:szCs w:val="21"/>
          <w:highlight w:val="none"/>
          <w:lang w:val="en-US" w:eastAsia="zh-CN"/>
        </w:rPr>
        <w:t>5</w:t>
      </w:r>
      <w:r>
        <w:rPr>
          <w:rFonts w:hint="eastAsia" w:ascii="宋体" w:hAnsi="宋体" w:cs="宋体"/>
          <w:b/>
          <w:bCs/>
          <w:kern w:val="0"/>
          <w:szCs w:val="21"/>
          <w:highlight w:val="none"/>
        </w:rPr>
        <w:t>0000元。</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缴纳形式：银行汇票、电汇、转账、保函。投标人采用银行汇票、电汇、转账的保证金必须在投标截止时间前以投标单位名义从其账户汇入浙江聚信工程管理有限公司指定账户，并注明项目名称。否则将视为未响应招标文件提交投标保证金要求而拒绝其投标。</w:t>
      </w:r>
    </w:p>
    <w:p>
      <w:pPr>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账户名称：浙江聚信工程管理有限公司</w:t>
      </w:r>
    </w:p>
    <w:p>
      <w:pPr>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开户银行：中国工商银行仙居县城南支行</w:t>
      </w:r>
    </w:p>
    <w:p>
      <w:pPr>
        <w:spacing w:line="360" w:lineRule="auto"/>
        <w:ind w:firstLine="422" w:firstLineChars="200"/>
        <w:rPr>
          <w:rFonts w:hint="eastAsia" w:ascii="宋体" w:hAnsi="宋体" w:cs="宋体"/>
          <w:szCs w:val="21"/>
          <w:highlight w:val="none"/>
          <w:u w:val="single"/>
        </w:rPr>
      </w:pPr>
      <w:r>
        <w:rPr>
          <w:rFonts w:hint="eastAsia" w:ascii="宋体" w:hAnsi="宋体" w:cs="宋体"/>
          <w:b/>
          <w:bCs/>
          <w:kern w:val="0"/>
          <w:szCs w:val="21"/>
          <w:highlight w:val="none"/>
        </w:rPr>
        <w:t>账    号：1207 0521 0920 0024 692</w:t>
      </w:r>
    </w:p>
    <w:p>
      <w:pPr>
        <w:pStyle w:val="32"/>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公告期限</w:t>
      </w:r>
    </w:p>
    <w:p>
      <w:pPr>
        <w:pStyle w:val="32"/>
        <w:spacing w:before="0" w:beforeAutospacing="0" w:after="0" w:afterAutospacing="0" w:line="360" w:lineRule="auto"/>
        <w:ind w:firstLine="420" w:firstLineChars="200"/>
        <w:rPr>
          <w:rFonts w:hint="eastAsia" w:cs="宋体"/>
          <w:color w:val="auto"/>
          <w:sz w:val="21"/>
          <w:szCs w:val="21"/>
          <w:highlight w:val="none"/>
        </w:rPr>
      </w:pPr>
      <w:r>
        <w:rPr>
          <w:rFonts w:hint="eastAsia" w:cs="宋体"/>
          <w:color w:val="auto"/>
          <w:sz w:val="21"/>
          <w:szCs w:val="21"/>
          <w:highlight w:val="none"/>
        </w:rPr>
        <w:t>自本公告发布之日起5个工作日。</w:t>
      </w:r>
    </w:p>
    <w:p>
      <w:pPr>
        <w:pStyle w:val="32"/>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其他补充事宜</w:t>
      </w:r>
    </w:p>
    <w:p>
      <w:pPr>
        <w:numPr>
          <w:ilvl w:val="0"/>
          <w:numId w:val="4"/>
        </w:numPr>
        <w:spacing w:line="360" w:lineRule="auto"/>
        <w:ind w:left="0" w:firstLine="210" w:firstLineChars="100"/>
        <w:rPr>
          <w:rFonts w:hint="eastAsia" w:ascii="宋体" w:hAnsi="宋体" w:cs="宋体"/>
          <w:kern w:val="0"/>
          <w:szCs w:val="21"/>
          <w:highlight w:val="none"/>
        </w:rPr>
      </w:pPr>
      <w:r>
        <w:rPr>
          <w:rFonts w:hint="eastAsia" w:ascii="宋体" w:hAnsi="宋体" w:cs="宋体"/>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pPr>
        <w:numPr>
          <w:ilvl w:val="0"/>
          <w:numId w:val="4"/>
        </w:numPr>
        <w:spacing w:line="360" w:lineRule="auto"/>
        <w:ind w:left="0" w:firstLine="210" w:firstLineChars="100"/>
        <w:rPr>
          <w:rFonts w:hint="eastAsia" w:ascii="宋体" w:hAnsi="宋体" w:cs="宋体"/>
          <w:b/>
          <w:szCs w:val="21"/>
          <w:highlight w:val="none"/>
        </w:rPr>
      </w:pPr>
      <w:r>
        <w:rPr>
          <w:rFonts w:hint="eastAsia" w:ascii="宋体" w:hAnsi="宋体" w:cs="宋体"/>
          <w:kern w:val="0"/>
          <w:szCs w:val="21"/>
          <w:highlight w:val="none"/>
        </w:rPr>
        <w:t>其他事项：在线响应（电子交易）说明</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本项目实行电子交易，电子交易具体流程详见操作指南：登录乐采云平台（www.lecaiyun.com），从首页-服务中心-帮助文档-项目采购-电子招投标，查看文档和视频。供应商在使用系统进行投标的过程中遇到涉及平台使用的任何问题，可致电政采云平台技术支持热线咨询，联系方式：400-881-7190。</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供应商应在开标前完成CA数字证书办理（已经办理CA锁的须注意有效期限，办理流程详见http：//zfcg.czt.zj.gov.cn/bidClientTemplate/2019-05-27/12945.html）。完成CA数字证书办理预计一周左右，建议各供应商抓紧时间办理，如有CA锁办理问题可联系客服400-881-7190。</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（3）供应商通过乐采云平台电子投标工具（政采云电子交易客户端）编制响应文件，电子投标工具请投标供应商自行前往浙江省政府采购网下载并安装（下载网址：</w:t>
      </w:r>
      <w:r>
        <w:rPr>
          <w:highlight w:val="none"/>
        </w:rPr>
        <w:fldChar w:fldCharType="begin"/>
      </w:r>
      <w:r>
        <w:rPr>
          <w:highlight w:val="none"/>
        </w:rPr>
        <w:instrText xml:space="preserve"> HYPERLINK "http://zfcg.czt.zj.gov.cn/bidClientTemplate/2019-09-24/12975.html）。" </w:instrText>
      </w:r>
      <w:r>
        <w:rPr>
          <w:highlight w:val="none"/>
        </w:rPr>
        <w:fldChar w:fldCharType="separate"/>
      </w:r>
      <w:r>
        <w:rPr>
          <w:rStyle w:val="44"/>
          <w:rFonts w:hint="eastAsia" w:ascii="宋体" w:hAnsi="宋体" w:cs="宋体"/>
          <w:color w:val="auto"/>
          <w:kern w:val="0"/>
          <w:szCs w:val="21"/>
          <w:highlight w:val="none"/>
        </w:rPr>
        <w:t>http：//zfcg.czt.zj.gov.cn/bidClientTemplate/2019-09-24/12975.html）。</w:t>
      </w:r>
      <w:r>
        <w:rPr>
          <w:rStyle w:val="44"/>
          <w:rFonts w:hint="eastAsia" w:ascii="宋体" w:hAnsi="宋体" w:cs="宋体"/>
          <w:color w:val="auto"/>
          <w:kern w:val="0"/>
          <w:szCs w:val="21"/>
          <w:highlight w:val="none"/>
        </w:rPr>
        <w:fldChar w:fldCharType="end"/>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供应商应当在投标截止时间前完成电子响应文件的在线提交，投标截止时间前可以补充、修改或者撤回电子响应文件。补充或者修改电子响应文件的，应当先行撤回原文件，补充、修改后重新上传提交。投标截止时间前未完成提交的，视为撤回响应文件。逾期递交的电子响应文件，将被政采云平台拒收。</w:t>
      </w:r>
    </w:p>
    <w:p>
      <w:pPr>
        <w:numPr>
          <w:ilvl w:val="0"/>
          <w:numId w:val="4"/>
        </w:numPr>
        <w:spacing w:line="360" w:lineRule="auto"/>
        <w:ind w:left="0" w:firstLine="211" w:firstLineChars="100"/>
        <w:rPr>
          <w:rFonts w:hint="eastAsia" w:ascii="宋体" w:hAnsi="宋体" w:cs="宋体"/>
          <w:b/>
          <w:bCs/>
          <w:kern w:val="0"/>
          <w:szCs w:val="21"/>
          <w:highlight w:val="none"/>
        </w:rPr>
      </w:pPr>
      <w:r>
        <w:rPr>
          <w:rFonts w:hint="eastAsia" w:ascii="宋体" w:hAnsi="宋体" w:cs="宋体"/>
          <w:b/>
          <w:bCs/>
          <w:kern w:val="0"/>
          <w:szCs w:val="21"/>
          <w:highlight w:val="none"/>
        </w:rPr>
        <w:t>其他事项有关说明 </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成交供应商应在合同签订前完成乐采云平台全部注册步骤并成为正式注册入库供应商，否则将导致合同款无法正常支付，责任由成交供应商承担。“浙江省政府采购供应商”注册事宜详见浙江省政府采购网官网介绍，客服、技术支持：400-881-7190。</w:t>
      </w:r>
    </w:p>
    <w:p>
      <w:pPr>
        <w:widowControl/>
        <w:adjustRightInd w:val="0"/>
        <w:snapToGrid w:val="0"/>
        <w:spacing w:line="360" w:lineRule="auto"/>
        <w:ind w:firstLine="420" w:firstLineChars="200"/>
        <w:jc w:val="left"/>
        <w:rPr>
          <w:rFonts w:hint="eastAsia" w:ascii="宋体" w:hAnsi="宋体" w:cs="宋体"/>
          <w:szCs w:val="21"/>
          <w:highlight w:val="none"/>
        </w:rPr>
      </w:pPr>
      <w:r>
        <w:rPr>
          <w:rFonts w:hint="eastAsia" w:ascii="宋体" w:hAnsi="宋体" w:cs="宋体"/>
          <w:kern w:val="0"/>
          <w:szCs w:val="21"/>
          <w:highlight w:val="none"/>
        </w:rPr>
        <w:t>（2）本项目相关公告发布网站：</w:t>
      </w:r>
      <w:r>
        <w:rPr>
          <w:rFonts w:hint="eastAsia" w:ascii="宋体" w:hAnsi="宋体" w:cs="宋体"/>
          <w:szCs w:val="21"/>
          <w:highlight w:val="none"/>
        </w:rPr>
        <w:t>“浙江政府采购网”（http：//www.zjzfcg.gov.cn）和“仙居县公共资源交易网”</w:t>
      </w:r>
      <w:r>
        <w:rPr>
          <w:highlight w:val="none"/>
        </w:rPr>
        <w:fldChar w:fldCharType="begin"/>
      </w:r>
      <w:r>
        <w:rPr>
          <w:highlight w:val="none"/>
        </w:rPr>
        <w:instrText xml:space="preserve"> HYPERLINK "http://www.xjztb.cn）。项目如有更正或澄清公告，请各供应商自行及时登陆上述网站查看，采购代理机构不再作出书面通知。" </w:instrText>
      </w:r>
      <w:r>
        <w:rPr>
          <w:highlight w:val="none"/>
        </w:rPr>
        <w:fldChar w:fldCharType="separate"/>
      </w:r>
      <w:r>
        <w:rPr>
          <w:rFonts w:hint="eastAsia" w:ascii="宋体" w:hAnsi="宋体" w:cs="宋体"/>
          <w:szCs w:val="21"/>
          <w:highlight w:val="none"/>
          <w:u w:val="single"/>
        </w:rPr>
        <w:t>http：//www.zjxj.gov.cn/col/col1229347417/index.html）。项目如有更正或澄清公告，请各供应商自行及时登录上述网站查看，采购代理机构不再作出书面通知。</w:t>
      </w:r>
      <w:r>
        <w:rPr>
          <w:rFonts w:hint="eastAsia" w:ascii="宋体" w:hAnsi="宋体" w:cs="宋体"/>
          <w:szCs w:val="21"/>
          <w:highlight w:val="none"/>
          <w:u w:val="single"/>
        </w:rPr>
        <w:fldChar w:fldCharType="end"/>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（3）供应商如在采购代理机构发布本项目更正、补充或澄清公告前获取采购文件的，请自行登录相关网站查看更正、补充或澄清公告内容，采购代理机构不再就上述内容作出书面通知。</w:t>
      </w:r>
    </w:p>
    <w:p>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（4）中标结果公告发出后，采购监管部门如发现供应商出现投标硬件异常的，若查证后存在违法事实的，将取消该供应</w:t>
      </w:r>
      <w:bookmarkStart w:id="241" w:name="_GoBack"/>
      <w:bookmarkEnd w:id="241"/>
      <w:r>
        <w:rPr>
          <w:rFonts w:hint="eastAsia" w:ascii="宋体" w:hAnsi="宋体" w:cs="宋体"/>
          <w:kern w:val="0"/>
          <w:szCs w:val="21"/>
          <w:highlight w:val="none"/>
        </w:rPr>
        <w:t>商的中标资格，剩余供应商达3家及以上的，由采购人决定是否按中标顺位替补；不足3家的，该项目作废标处理。</w:t>
      </w:r>
    </w:p>
    <w:p>
      <w:pPr>
        <w:pStyle w:val="32"/>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对本次采购提出询问、质疑，请按以下方式联系</w:t>
      </w:r>
    </w:p>
    <w:p>
      <w:pPr>
        <w:pStyle w:val="32"/>
        <w:spacing w:before="0" w:beforeAutospacing="0" w:after="0" w:afterAutospacing="0" w:line="336" w:lineRule="auto"/>
        <w:ind w:firstLine="420" w:firstLineChars="200"/>
        <w:rPr>
          <w:rFonts w:hint="eastAsia" w:cs="宋体"/>
          <w:color w:val="auto"/>
          <w:sz w:val="21"/>
          <w:szCs w:val="21"/>
          <w:highlight w:val="none"/>
        </w:rPr>
      </w:pPr>
      <w:r>
        <w:rPr>
          <w:rFonts w:hint="eastAsia" w:cs="宋体"/>
          <w:color w:val="auto"/>
          <w:sz w:val="21"/>
          <w:szCs w:val="21"/>
          <w:highlight w:val="none"/>
        </w:rPr>
        <w:t>1.采购人信息</w:t>
      </w:r>
    </w:p>
    <w:p>
      <w:pPr>
        <w:pStyle w:val="32"/>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名   称：</w:t>
      </w:r>
      <w:r>
        <w:rPr>
          <w:rFonts w:hint="eastAsia" w:cs="宋体"/>
          <w:color w:val="auto"/>
          <w:sz w:val="21"/>
          <w:szCs w:val="21"/>
          <w:highlight w:val="none"/>
          <w:lang w:eastAsia="zh-CN"/>
        </w:rPr>
        <w:t>仙居县力天市政工程有限公司</w:t>
      </w:r>
      <w:r>
        <w:rPr>
          <w:rFonts w:hint="eastAsia" w:cs="宋体"/>
          <w:color w:val="auto"/>
          <w:sz w:val="21"/>
          <w:szCs w:val="21"/>
          <w:highlight w:val="none"/>
        </w:rPr>
        <w:t xml:space="preserve">  </w:t>
      </w:r>
    </w:p>
    <w:p>
      <w:pPr>
        <w:pStyle w:val="32"/>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地   址：仙居县商城西路111号 </w:t>
      </w:r>
    </w:p>
    <w:p>
      <w:pPr>
        <w:pStyle w:val="32"/>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项目联系人：蒋</w:t>
      </w:r>
      <w:r>
        <w:rPr>
          <w:rFonts w:hint="eastAsia" w:cs="宋体"/>
          <w:color w:val="auto"/>
          <w:sz w:val="21"/>
          <w:szCs w:val="21"/>
          <w:highlight w:val="none"/>
          <w:lang w:val="en-US" w:eastAsia="zh-CN"/>
        </w:rPr>
        <w:t>先生</w:t>
      </w:r>
      <w:r>
        <w:rPr>
          <w:rFonts w:hint="eastAsia" w:cs="宋体"/>
          <w:sz w:val="21"/>
          <w:szCs w:val="21"/>
          <w:highlight w:val="none"/>
          <w:u w:val="none"/>
          <w:lang w:val="en-US" w:eastAsia="zh-CN"/>
        </w:rPr>
        <w:t>、</w:t>
      </w:r>
      <w:r>
        <w:rPr>
          <w:rFonts w:hint="eastAsia" w:cs="宋体"/>
          <w:sz w:val="21"/>
          <w:szCs w:val="21"/>
          <w:highlight w:val="none"/>
          <w:u w:val="none"/>
          <w:lang w:eastAsia="zh-CN"/>
        </w:rPr>
        <w:t>李女士</w:t>
      </w:r>
      <w:r>
        <w:rPr>
          <w:rFonts w:hint="eastAsia" w:cs="宋体"/>
          <w:sz w:val="21"/>
          <w:szCs w:val="21"/>
          <w:highlight w:val="none"/>
          <w:u w:val="none"/>
        </w:rPr>
        <w:t> </w:t>
      </w:r>
      <w:r>
        <w:rPr>
          <w:rFonts w:hint="eastAsia" w:cs="宋体"/>
          <w:color w:val="auto"/>
          <w:sz w:val="21"/>
          <w:szCs w:val="21"/>
          <w:highlight w:val="none"/>
        </w:rPr>
        <w:t>　　　　　　　</w:t>
      </w:r>
    </w:p>
    <w:p>
      <w:pPr>
        <w:pStyle w:val="32"/>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项目联系方式：</w:t>
      </w:r>
      <w:bookmarkStart w:id="6" w:name="OLE_LINK7"/>
      <w:r>
        <w:rPr>
          <w:rFonts w:hint="eastAsia" w:cs="宋体"/>
          <w:color w:val="auto"/>
          <w:sz w:val="21"/>
          <w:szCs w:val="21"/>
          <w:highlight w:val="none"/>
        </w:rPr>
        <w:t>0576-89379932</w:t>
      </w:r>
      <w:bookmarkEnd w:id="6"/>
    </w:p>
    <w:p>
      <w:pPr>
        <w:pStyle w:val="32"/>
        <w:spacing w:before="0" w:beforeAutospacing="0" w:after="0" w:afterAutospacing="0" w:line="336" w:lineRule="auto"/>
        <w:ind w:left="420" w:leftChars="200"/>
        <w:rPr>
          <w:rFonts w:hint="eastAsia" w:cs="宋体"/>
          <w:color w:val="auto"/>
          <w:sz w:val="21"/>
          <w:szCs w:val="21"/>
          <w:highlight w:val="none"/>
        </w:rPr>
      </w:pPr>
      <w:r>
        <w:rPr>
          <w:rFonts w:hint="eastAsia" w:cs="宋体"/>
          <w:color w:val="auto"/>
          <w:sz w:val="21"/>
          <w:szCs w:val="21"/>
          <w:highlight w:val="none"/>
        </w:rPr>
        <w:t>2.采购代理机构信息</w:t>
      </w:r>
    </w:p>
    <w:p>
      <w:pPr>
        <w:pStyle w:val="32"/>
        <w:spacing w:before="0" w:beforeAutospacing="0" w:after="0" w:afterAutospacing="0" w:line="336" w:lineRule="auto"/>
        <w:ind w:firstLine="630" w:firstLineChars="300"/>
        <w:rPr>
          <w:rFonts w:hint="eastAsia" w:cs="宋体"/>
          <w:color w:val="auto"/>
          <w:sz w:val="21"/>
          <w:szCs w:val="21"/>
          <w:highlight w:val="none"/>
        </w:rPr>
      </w:pPr>
      <w:r>
        <w:rPr>
          <w:rFonts w:hint="eastAsia" w:cs="宋体"/>
          <w:color w:val="auto"/>
          <w:sz w:val="21"/>
          <w:szCs w:val="21"/>
          <w:highlight w:val="none"/>
        </w:rPr>
        <w:t>名  称：浙江聚信工程管理有限公司 </w:t>
      </w:r>
    </w:p>
    <w:p>
      <w:pPr>
        <w:pStyle w:val="32"/>
        <w:spacing w:before="0" w:beforeAutospacing="0" w:after="0" w:afterAutospacing="0" w:line="336" w:lineRule="auto"/>
        <w:ind w:firstLine="630" w:firstLineChars="300"/>
        <w:rPr>
          <w:rFonts w:hint="eastAsia" w:cs="宋体"/>
          <w:color w:val="auto"/>
          <w:sz w:val="21"/>
          <w:szCs w:val="21"/>
          <w:highlight w:val="none"/>
        </w:rPr>
      </w:pPr>
      <w:r>
        <w:rPr>
          <w:rFonts w:hint="eastAsia" w:cs="宋体"/>
          <w:color w:val="auto"/>
          <w:sz w:val="21"/>
          <w:szCs w:val="21"/>
          <w:highlight w:val="none"/>
        </w:rPr>
        <w:t>地  址：仙居县光明西路434号 </w:t>
      </w:r>
    </w:p>
    <w:p>
      <w:pPr>
        <w:pStyle w:val="32"/>
        <w:spacing w:before="0" w:beforeAutospacing="0" w:after="0" w:afterAutospacing="0" w:line="336" w:lineRule="auto"/>
        <w:ind w:firstLine="630" w:firstLineChars="300"/>
        <w:rPr>
          <w:rFonts w:hint="eastAsia" w:cs="宋体"/>
          <w:color w:val="auto"/>
          <w:sz w:val="21"/>
          <w:szCs w:val="21"/>
          <w:highlight w:val="none"/>
        </w:rPr>
      </w:pPr>
      <w:r>
        <w:rPr>
          <w:rFonts w:hint="eastAsia" w:cs="宋体"/>
          <w:color w:val="auto"/>
          <w:sz w:val="21"/>
          <w:szCs w:val="21"/>
          <w:highlight w:val="none"/>
        </w:rPr>
        <w:t>联 系 人：</w:t>
      </w:r>
      <w:r>
        <w:rPr>
          <w:rFonts w:hint="eastAsia" w:cs="宋体"/>
          <w:color w:val="auto"/>
          <w:sz w:val="21"/>
          <w:szCs w:val="21"/>
          <w:highlight w:val="none"/>
          <w:lang w:val="en-US" w:eastAsia="zh-CN"/>
        </w:rPr>
        <w:t>周</w:t>
      </w:r>
      <w:r>
        <w:rPr>
          <w:rFonts w:hint="eastAsia" w:cs="宋体"/>
          <w:color w:val="auto"/>
          <w:sz w:val="21"/>
          <w:szCs w:val="21"/>
          <w:highlight w:val="none"/>
        </w:rPr>
        <w:t>女士</w:t>
      </w:r>
    </w:p>
    <w:p>
      <w:pPr>
        <w:pStyle w:val="32"/>
        <w:spacing w:before="0" w:beforeAutospacing="0" w:after="0" w:afterAutospacing="0" w:line="336" w:lineRule="auto"/>
        <w:ind w:firstLine="420" w:firstLineChars="200"/>
        <w:rPr>
          <w:rFonts w:hint="eastAsia" w:cs="宋体"/>
          <w:color w:val="auto"/>
          <w:sz w:val="21"/>
          <w:szCs w:val="21"/>
          <w:highlight w:val="none"/>
        </w:rPr>
      </w:pPr>
      <w:r>
        <w:rPr>
          <w:rFonts w:hint="eastAsia" w:cs="宋体"/>
          <w:color w:val="auto"/>
          <w:sz w:val="21"/>
          <w:szCs w:val="21"/>
          <w:highlight w:val="none"/>
        </w:rPr>
        <w:t> 联系方式：0576-87785155</w:t>
      </w:r>
    </w:p>
    <w:p>
      <w:pPr>
        <w:pStyle w:val="32"/>
        <w:spacing w:before="0" w:beforeAutospacing="0" w:after="0" w:afterAutospacing="0" w:line="336" w:lineRule="auto"/>
        <w:ind w:left="630" w:leftChars="200" w:hanging="210" w:hangingChars="100"/>
        <w:rPr>
          <w:rFonts w:hint="eastAsia" w:cs="宋体"/>
          <w:color w:val="auto"/>
          <w:sz w:val="21"/>
          <w:szCs w:val="21"/>
          <w:highlight w:val="none"/>
        </w:rPr>
      </w:pPr>
      <w:r>
        <w:rPr>
          <w:rFonts w:hint="eastAsia" w:cs="宋体"/>
          <w:color w:val="auto"/>
          <w:sz w:val="21"/>
          <w:szCs w:val="21"/>
          <w:highlight w:val="none"/>
        </w:rPr>
        <w:t>3.监督机构信息</w:t>
      </w:r>
    </w:p>
    <w:p>
      <w:pPr>
        <w:pStyle w:val="32"/>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名   称：仙居县国资工作中心 </w:t>
      </w:r>
    </w:p>
    <w:p>
      <w:pPr>
        <w:pStyle w:val="32"/>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地    址：仙居县南峰街道环城南路500号</w:t>
      </w:r>
    </w:p>
    <w:p>
      <w:pPr>
        <w:pStyle w:val="32"/>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联 系 人：</w:t>
      </w:r>
      <w:r>
        <w:rPr>
          <w:rFonts w:hint="eastAsia" w:cs="宋体"/>
          <w:color w:val="auto"/>
          <w:sz w:val="21"/>
          <w:szCs w:val="21"/>
          <w:highlight w:val="none"/>
          <w:lang w:val="en-US" w:eastAsia="zh-CN"/>
        </w:rPr>
        <w:t>徐女士</w:t>
      </w:r>
      <w:r>
        <w:rPr>
          <w:rFonts w:hint="eastAsia" w:cs="宋体"/>
          <w:color w:val="auto"/>
          <w:sz w:val="21"/>
          <w:szCs w:val="21"/>
          <w:highlight w:val="none"/>
        </w:rPr>
        <w:t> </w:t>
      </w:r>
    </w:p>
    <w:p>
      <w:pPr>
        <w:pStyle w:val="32"/>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联系电话：0576-87772238 </w:t>
      </w:r>
    </w:p>
    <w:p>
      <w:pPr>
        <w:pStyle w:val="4"/>
        <w:spacing w:before="0" w:after="0" w:line="336" w:lineRule="auto"/>
        <w:jc w:val="center"/>
        <w:rPr>
          <w:rFonts w:ascii="宋体" w:cs="宋体"/>
          <w:sz w:val="32"/>
          <w:szCs w:val="32"/>
          <w:highlight w:val="none"/>
        </w:rPr>
        <w:sectPr>
          <w:pgSz w:w="11905" w:h="16838"/>
          <w:pgMar w:top="1417" w:right="1587" w:bottom="1417" w:left="1587" w:header="907" w:footer="924" w:gutter="0"/>
          <w:cols w:space="0" w:num="1"/>
          <w:docGrid w:type="lines" w:linePitch="304" w:charSpace="0"/>
        </w:sectPr>
      </w:pPr>
    </w:p>
    <w:bookmarkEnd w:id="2"/>
    <w:p>
      <w:pPr>
        <w:pStyle w:val="4"/>
        <w:spacing w:before="0" w:after="0" w:line="360" w:lineRule="auto"/>
        <w:jc w:val="center"/>
        <w:rPr>
          <w:rFonts w:hint="eastAsia" w:ascii="宋体" w:hAnsi="宋体" w:cs="宋体"/>
          <w:sz w:val="32"/>
          <w:szCs w:val="32"/>
          <w:highlight w:val="none"/>
        </w:rPr>
      </w:pPr>
      <w:bookmarkStart w:id="7" w:name="_Toc8834"/>
      <w:r>
        <w:rPr>
          <w:rFonts w:hint="eastAsia" w:ascii="宋体" w:hAnsi="宋体" w:cs="宋体"/>
          <w:sz w:val="32"/>
          <w:szCs w:val="32"/>
          <w:highlight w:val="none"/>
        </w:rPr>
        <w:t>第二章  采购需求</w:t>
      </w:r>
      <w:bookmarkEnd w:id="7"/>
    </w:p>
    <w:p>
      <w:pPr>
        <w:pStyle w:val="4"/>
        <w:keepNext w:val="0"/>
        <w:keepLines w:val="0"/>
        <w:pageBreakBefore w:val="0"/>
        <w:widowControl w:val="0"/>
        <w:kinsoku/>
        <w:wordWrap/>
        <w:overflowPunct/>
        <w:topLinePunct w:val="0"/>
        <w:autoSpaceDE/>
        <w:autoSpaceDN/>
        <w:bidi w:val="0"/>
        <w:adjustRightInd/>
        <w:snapToGrid/>
        <w:spacing w:before="0" w:after="0" w:line="360" w:lineRule="auto"/>
        <w:ind w:firstLine="422" w:firstLineChars="200"/>
        <w:jc w:val="left"/>
        <w:textAlignment w:val="auto"/>
        <w:rPr>
          <w:rFonts w:hint="eastAsia" w:ascii="宋体" w:hAnsi="宋体" w:eastAsia="宋体" w:cs="宋体"/>
          <w:color w:val="000000"/>
          <w:sz w:val="21"/>
          <w:szCs w:val="21"/>
          <w:highlight w:val="none"/>
          <w:u w:val="single"/>
          <w:lang w:val="zh-CN"/>
        </w:rPr>
      </w:pPr>
      <w:bookmarkStart w:id="8" w:name="_Toc19767"/>
      <w:bookmarkStart w:id="9" w:name="_Toc20101"/>
      <w:bookmarkStart w:id="10" w:name="_Toc28722"/>
      <w:bookmarkStart w:id="11" w:name="_Toc10859"/>
      <w:bookmarkStart w:id="12" w:name="_Toc13823"/>
      <w:bookmarkStart w:id="13" w:name="_Toc324836660"/>
      <w:bookmarkStart w:id="14" w:name="_Toc359860065"/>
      <w:bookmarkStart w:id="15" w:name="_Toc30830"/>
      <w:bookmarkStart w:id="16" w:name="_Toc18363"/>
      <w:bookmarkStart w:id="17" w:name="_Toc11082"/>
      <w:bookmarkStart w:id="18" w:name="_Toc8240"/>
      <w:r>
        <w:rPr>
          <w:rFonts w:hint="eastAsia" w:ascii="宋体" w:hAnsi="宋体" w:eastAsia="宋体" w:cs="宋体"/>
          <w:sz w:val="21"/>
          <w:szCs w:val="21"/>
          <w:highlight w:val="none"/>
          <w:u w:val="single"/>
        </w:rPr>
        <w:t>重要提</w:t>
      </w:r>
      <w:r>
        <w:rPr>
          <w:rFonts w:hint="eastAsia" w:ascii="宋体" w:hAnsi="宋体" w:eastAsia="宋体" w:cs="宋体"/>
          <w:color w:val="000000"/>
          <w:sz w:val="21"/>
          <w:szCs w:val="21"/>
          <w:highlight w:val="none"/>
          <w:u w:val="single"/>
        </w:rPr>
        <w:t>示</w:t>
      </w:r>
      <w:r>
        <w:rPr>
          <w:rFonts w:hint="eastAsia" w:ascii="宋体" w:hAnsi="宋体" w:eastAsia="宋体" w:cs="宋体"/>
          <w:color w:val="000000"/>
          <w:sz w:val="21"/>
          <w:szCs w:val="21"/>
          <w:highlight w:val="none"/>
          <w:u w:val="single"/>
          <w:lang w:val="zh-CN"/>
        </w:rPr>
        <w:t>：</w:t>
      </w:r>
      <w:bookmarkEnd w:id="8"/>
      <w:bookmarkEnd w:id="9"/>
      <w:bookmarkEnd w:id="10"/>
      <w:bookmarkEnd w:id="11"/>
    </w:p>
    <w:p>
      <w:pPr>
        <w:spacing w:line="400" w:lineRule="exact"/>
        <w:ind w:firstLine="403"/>
        <w:rPr>
          <w:rFonts w:hint="eastAsia" w:ascii="宋体" w:hAnsi="宋体" w:eastAsia="宋体" w:cs="宋体"/>
          <w:b/>
          <w:color w:val="000000" w:themeColor="text1"/>
          <w:highlight w:val="none"/>
          <w:u w:val="singl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w:t>
      </w:r>
      <w:r>
        <w:rPr>
          <w:rFonts w:hint="eastAsia" w:ascii="宋体" w:hAnsi="宋体" w:eastAsia="宋体" w:cs="宋体"/>
          <w:b/>
          <w:color w:val="000000" w:themeColor="text1"/>
          <w:highlight w:val="none"/>
          <w:u w:val="single"/>
          <w14:textFill>
            <w14:solidFill>
              <w14:schemeClr w14:val="tx1"/>
            </w14:solidFill>
          </w14:textFill>
        </w:rPr>
        <w:t>中标单位在签订合同时，若坚持提出附加条件和不合理要求，成交资格将被取消，该中标人对由此产生的一切后果负责</w:t>
      </w:r>
      <w:r>
        <w:rPr>
          <w:rFonts w:hint="eastAsia" w:ascii="宋体" w:hAnsi="宋体" w:eastAsia="宋体" w:cs="宋体"/>
          <w:b/>
          <w:color w:val="000000" w:themeColor="text1"/>
          <w:highlight w:val="none"/>
          <w14:textFill>
            <w14:solidFill>
              <w14:schemeClr w14:val="tx1"/>
            </w14:solidFill>
          </w14:textFill>
        </w:rPr>
        <w:t>。</w:t>
      </w:r>
    </w:p>
    <w:p>
      <w:pPr>
        <w:spacing w:line="400" w:lineRule="exact"/>
        <w:ind w:firstLine="403"/>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w:t>
      </w:r>
      <w:r>
        <w:rPr>
          <w:rFonts w:hint="eastAsia" w:ascii="宋体" w:hAnsi="宋体" w:eastAsia="宋体" w:cs="宋体"/>
          <w:b/>
          <w:color w:val="000000" w:themeColor="text1"/>
          <w:highlight w:val="none"/>
          <w:u w:val="single"/>
          <w14:textFill>
            <w14:solidFill>
              <w14:schemeClr w14:val="tx1"/>
            </w14:solidFill>
          </w14:textFill>
        </w:rPr>
        <w:t>加“▲”的参数指标功能（或服务要求）或商务需求为实质性要求，投标人应特别注意，所提供的产品参数指标功能（或服务承诺）必须完全满足或优于这些要求，否则视为不满足实质性要求。不满足实质性要求的投标文件将按无效标处理</w:t>
      </w:r>
      <w:r>
        <w:rPr>
          <w:rFonts w:hint="eastAsia" w:ascii="宋体" w:hAnsi="宋体" w:eastAsia="宋体" w:cs="宋体"/>
          <w:b/>
          <w:color w:val="000000" w:themeColor="text1"/>
          <w:highlight w:val="none"/>
          <w14:textFill>
            <w14:solidFill>
              <w14:schemeClr w14:val="tx1"/>
            </w14:solidFill>
          </w14:textFill>
        </w:rPr>
        <w:t>。</w:t>
      </w:r>
    </w:p>
    <w:bookmarkEnd w:id="12"/>
    <w:bookmarkEnd w:id="13"/>
    <w:bookmarkEnd w:id="14"/>
    <w:bookmarkEnd w:id="15"/>
    <w:bookmarkEnd w:id="16"/>
    <w:bookmarkEnd w:id="17"/>
    <w:bookmarkEnd w:id="18"/>
    <w:p>
      <w:pPr>
        <w:pStyle w:val="113"/>
        <w:spacing w:beforeLines="50" w:afterLines="50" w:line="420" w:lineRule="exact"/>
        <w:ind w:firstLine="422" w:firstLineChars="200"/>
        <w:rPr>
          <w:rFonts w:hint="eastAsia" w:ascii="宋体" w:hAnsi="宋体" w:eastAsia="宋体" w:cs="宋体"/>
          <w:b/>
          <w:color w:val="000000" w:themeColor="text1"/>
          <w:highlight w:val="none"/>
          <w:lang w:val="zh-CN"/>
          <w14:textFill>
            <w14:solidFill>
              <w14:schemeClr w14:val="tx1"/>
            </w14:solidFill>
          </w14:textFill>
        </w:rPr>
      </w:pPr>
      <w:bookmarkStart w:id="19" w:name="_Toc23973"/>
      <w:r>
        <w:rPr>
          <w:rFonts w:hint="eastAsia" w:ascii="宋体" w:hAnsi="宋体" w:eastAsia="宋体" w:cs="宋体"/>
          <w:b/>
          <w:color w:val="000000" w:themeColor="text1"/>
          <w:highlight w:val="none"/>
          <w:lang w:val="zh-CN"/>
          <w14:textFill>
            <w14:solidFill>
              <w14:schemeClr w14:val="tx1"/>
            </w14:solidFill>
          </w14:textFill>
        </w:rPr>
        <w:t>一、招标项目一览表</w:t>
      </w:r>
    </w:p>
    <w:p>
      <w:pPr>
        <w:pStyle w:val="113"/>
        <w:spacing w:afterLines="50" w:line="420" w:lineRule="exact"/>
        <w:ind w:firstLine="420" w:firstLineChars="20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本次招标共</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1</w:t>
      </w:r>
      <w:r>
        <w:rPr>
          <w:rFonts w:hint="eastAsia" w:ascii="宋体" w:hAnsi="宋体" w:eastAsia="宋体" w:cs="宋体"/>
          <w:color w:val="000000" w:themeColor="text1"/>
          <w:highlight w:val="none"/>
          <w:u w:val="single"/>
          <w:lang w:val="zh-CN"/>
          <w14:textFill>
            <w14:solidFill>
              <w14:schemeClr w14:val="tx1"/>
            </w14:solidFill>
          </w14:textFill>
        </w:rPr>
        <w:t xml:space="preserve"> </w:t>
      </w:r>
      <w:r>
        <w:rPr>
          <w:rFonts w:hint="eastAsia" w:ascii="宋体" w:hAnsi="宋体" w:eastAsia="宋体" w:cs="宋体"/>
          <w:color w:val="000000" w:themeColor="text1"/>
          <w:highlight w:val="none"/>
          <w:lang w:val="zh-CN"/>
          <w14:textFill>
            <w14:solidFill>
              <w14:schemeClr w14:val="tx1"/>
            </w14:solidFill>
          </w14:textFill>
        </w:rPr>
        <w:t>个标项，具体</w:t>
      </w:r>
      <w:r>
        <w:rPr>
          <w:rFonts w:hint="eastAsia" w:ascii="宋体" w:hAnsi="宋体" w:eastAsia="宋体" w:cs="宋体"/>
          <w:color w:val="000000" w:themeColor="text1"/>
          <w:highlight w:val="none"/>
          <w14:textFill>
            <w14:solidFill>
              <w14:schemeClr w14:val="tx1"/>
            </w14:solidFill>
          </w14:textFill>
        </w:rPr>
        <w:t>标项</w:t>
      </w:r>
      <w:r>
        <w:rPr>
          <w:rFonts w:hint="eastAsia" w:ascii="宋体" w:hAnsi="宋体" w:eastAsia="宋体" w:cs="宋体"/>
          <w:color w:val="000000" w:themeColor="text1"/>
          <w:highlight w:val="none"/>
          <w:lang w:val="zh-CN"/>
          <w14:textFill>
            <w14:solidFill>
              <w14:schemeClr w14:val="tx1"/>
            </w14:solidFill>
          </w14:textFill>
        </w:rPr>
        <w:t>内容如下表：</w:t>
      </w:r>
    </w:p>
    <w:tbl>
      <w:tblPr>
        <w:tblStyle w:val="37"/>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2"/>
        <w:gridCol w:w="4522"/>
        <w:gridCol w:w="833"/>
        <w:gridCol w:w="834"/>
        <w:gridCol w:w="115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702" w:type="dxa"/>
            <w:vAlign w:val="center"/>
          </w:tcPr>
          <w:p>
            <w:pPr>
              <w:tabs>
                <w:tab w:val="left" w:pos="8280"/>
              </w:tabs>
              <w:autoSpaceDE w:val="0"/>
              <w:autoSpaceDN w:val="0"/>
              <w:adjustRightInd w:val="0"/>
              <w:ind w:right="23"/>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4522" w:type="dxa"/>
            <w:vAlign w:val="center"/>
          </w:tcPr>
          <w:p>
            <w:pPr>
              <w:tabs>
                <w:tab w:val="left" w:pos="8280"/>
              </w:tabs>
              <w:autoSpaceDE w:val="0"/>
              <w:autoSpaceDN w:val="0"/>
              <w:adjustRightInd w:val="0"/>
              <w:spacing w:line="440" w:lineRule="exact"/>
              <w:ind w:right="25" w:firstLine="105" w:firstLineChars="5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标项名称或内容</w:t>
            </w:r>
          </w:p>
        </w:tc>
        <w:tc>
          <w:tcPr>
            <w:tcW w:w="833" w:type="dxa"/>
            <w:vAlign w:val="center"/>
          </w:tcPr>
          <w:p>
            <w:pPr>
              <w:tabs>
                <w:tab w:val="left" w:pos="8280"/>
              </w:tabs>
              <w:autoSpaceDE w:val="0"/>
              <w:autoSpaceDN w:val="0"/>
              <w:adjustRightInd w:val="0"/>
              <w:spacing w:line="440" w:lineRule="exact"/>
              <w:ind w:right="25"/>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数量</w:t>
            </w:r>
          </w:p>
        </w:tc>
        <w:tc>
          <w:tcPr>
            <w:tcW w:w="834" w:type="dxa"/>
            <w:vAlign w:val="center"/>
          </w:tcPr>
          <w:p>
            <w:pPr>
              <w:tabs>
                <w:tab w:val="left" w:pos="8280"/>
              </w:tabs>
              <w:autoSpaceDE w:val="0"/>
              <w:autoSpaceDN w:val="0"/>
              <w:adjustRightInd w:val="0"/>
              <w:spacing w:line="440" w:lineRule="exact"/>
              <w:ind w:right="25"/>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单位</w:t>
            </w:r>
          </w:p>
        </w:tc>
        <w:tc>
          <w:tcPr>
            <w:tcW w:w="1150" w:type="dxa"/>
            <w:vAlign w:val="center"/>
          </w:tcPr>
          <w:p>
            <w:pPr>
              <w:tabs>
                <w:tab w:val="left" w:pos="8280"/>
              </w:tabs>
              <w:autoSpaceDE w:val="0"/>
              <w:autoSpaceDN w:val="0"/>
              <w:adjustRightInd w:val="0"/>
              <w:spacing w:line="320" w:lineRule="exact"/>
              <w:ind w:right="23"/>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预算金额</w:t>
            </w:r>
          </w:p>
          <w:p>
            <w:pPr>
              <w:tabs>
                <w:tab w:val="left" w:pos="8280"/>
              </w:tabs>
              <w:autoSpaceDE w:val="0"/>
              <w:autoSpaceDN w:val="0"/>
              <w:adjustRightInd w:val="0"/>
              <w:spacing w:line="320" w:lineRule="exact"/>
              <w:ind w:right="23"/>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（万元）</w:t>
            </w:r>
          </w:p>
        </w:tc>
        <w:tc>
          <w:tcPr>
            <w:tcW w:w="1176" w:type="dxa"/>
            <w:vAlign w:val="center"/>
          </w:tcPr>
          <w:p>
            <w:pPr>
              <w:tabs>
                <w:tab w:val="left" w:pos="8280"/>
              </w:tabs>
              <w:autoSpaceDE w:val="0"/>
              <w:autoSpaceDN w:val="0"/>
              <w:adjustRightInd w:val="0"/>
              <w:spacing w:line="280" w:lineRule="exact"/>
              <w:ind w:right="23"/>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最高限价</w:t>
            </w:r>
          </w:p>
          <w:p>
            <w:pPr>
              <w:tabs>
                <w:tab w:val="left" w:pos="8280"/>
              </w:tabs>
              <w:autoSpaceDE w:val="0"/>
              <w:autoSpaceDN w:val="0"/>
              <w:adjustRightInd w:val="0"/>
              <w:spacing w:line="280" w:lineRule="exact"/>
              <w:ind w:right="23"/>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702" w:type="dxa"/>
            <w:vAlign w:val="center"/>
          </w:tcPr>
          <w:p>
            <w:pPr>
              <w:tabs>
                <w:tab w:val="left" w:pos="8280"/>
              </w:tabs>
              <w:autoSpaceDE w:val="0"/>
              <w:autoSpaceDN w:val="0"/>
              <w:adjustRightInd w:val="0"/>
              <w:spacing w:line="440" w:lineRule="exact"/>
              <w:ind w:right="-18"/>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4522" w:type="dxa"/>
            <w:vAlign w:val="center"/>
          </w:tcPr>
          <w:p>
            <w:pPr>
              <w:tabs>
                <w:tab w:val="left" w:pos="8280"/>
              </w:tabs>
              <w:autoSpaceDE w:val="0"/>
              <w:autoSpaceDN w:val="0"/>
              <w:adjustRightInd w:val="0"/>
              <w:spacing w:line="320" w:lineRule="exact"/>
              <w:ind w:left="143" w:leftChars="68" w:right="134" w:rightChars="64"/>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仙居县力天市政工程有限公司PE管材及配件、PPR管材及配件采购项目</w:t>
            </w:r>
          </w:p>
        </w:tc>
        <w:tc>
          <w:tcPr>
            <w:tcW w:w="833" w:type="dxa"/>
            <w:vAlign w:val="center"/>
          </w:tcPr>
          <w:p>
            <w:pPr>
              <w:tabs>
                <w:tab w:val="left" w:pos="8280"/>
              </w:tabs>
              <w:autoSpaceDE w:val="0"/>
              <w:autoSpaceDN w:val="0"/>
              <w:adjustRightInd w:val="0"/>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834" w:type="dxa"/>
            <w:vAlign w:val="center"/>
          </w:tcPr>
          <w:p>
            <w:pPr>
              <w:tabs>
                <w:tab w:val="left" w:pos="1689"/>
                <w:tab w:val="left" w:pos="8280"/>
              </w:tabs>
              <w:autoSpaceDE w:val="0"/>
              <w:autoSpaceDN w:val="0"/>
              <w:adjustRightInd w:val="0"/>
              <w:spacing w:line="440" w:lineRule="exact"/>
              <w:ind w:right="-8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w:t>
            </w:r>
          </w:p>
        </w:tc>
        <w:tc>
          <w:tcPr>
            <w:tcW w:w="1150" w:type="dxa"/>
            <w:vAlign w:val="center"/>
          </w:tcPr>
          <w:p>
            <w:pPr>
              <w:tabs>
                <w:tab w:val="left" w:pos="1689"/>
                <w:tab w:val="left" w:pos="8280"/>
              </w:tabs>
              <w:autoSpaceDE w:val="0"/>
              <w:autoSpaceDN w:val="0"/>
              <w:adjustRightInd w:val="0"/>
              <w:spacing w:line="300" w:lineRule="exact"/>
              <w:ind w:right="-80"/>
              <w:jc w:val="center"/>
              <w:rPr>
                <w:rFonts w:hint="default" w:ascii="宋体" w:hAnsi="宋体" w:eastAsia="宋体" w:cs="宋体"/>
                <w:color w:val="000000" w:themeColor="text1"/>
                <w:szCs w:val="21"/>
                <w:highlight w:val="none"/>
                <w:lang w:val="en-US" w:eastAsia="zh-CN"/>
                <w14:textFill>
                  <w14:solidFill>
                    <w14:schemeClr w14:val="tx1"/>
                  </w14:solidFill>
                </w14:textFill>
              </w:rPr>
            </w:pPr>
            <w:bookmarkStart w:id="20" w:name="OLE_LINK3"/>
            <w:r>
              <w:rPr>
                <w:rFonts w:hint="eastAsia" w:ascii="宋体" w:hAnsi="宋体" w:cs="宋体"/>
                <w:color w:val="000000" w:themeColor="text1"/>
                <w:szCs w:val="21"/>
                <w:highlight w:val="none"/>
                <w:lang w:val="en-US" w:eastAsia="zh-CN"/>
                <w14:textFill>
                  <w14:solidFill>
                    <w14:schemeClr w14:val="tx1"/>
                  </w14:solidFill>
                </w14:textFill>
              </w:rPr>
              <w:t>394.2424</w:t>
            </w:r>
            <w:bookmarkEnd w:id="20"/>
          </w:p>
        </w:tc>
        <w:tc>
          <w:tcPr>
            <w:tcW w:w="1176" w:type="dxa"/>
            <w:vAlign w:val="center"/>
          </w:tcPr>
          <w:p>
            <w:pPr>
              <w:tabs>
                <w:tab w:val="left" w:pos="1689"/>
                <w:tab w:val="left" w:pos="8280"/>
              </w:tabs>
              <w:autoSpaceDE w:val="0"/>
              <w:autoSpaceDN w:val="0"/>
              <w:adjustRightInd w:val="0"/>
              <w:spacing w:line="300" w:lineRule="exact"/>
              <w:ind w:right="47"/>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362.703</w:t>
            </w:r>
          </w:p>
        </w:tc>
      </w:tr>
    </w:tbl>
    <w:p>
      <w:pPr>
        <w:pStyle w:val="113"/>
        <w:spacing w:beforeLines="50" w:afterLines="50" w:line="420" w:lineRule="exact"/>
        <w:ind w:firstLine="420" w:firstLineChars="20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本项目招标内容为PE管材及配件、PPR管材及配件采购，包括项目的材料、运输、保险、装货、卸货、税金、验收及售后服务等。</w:t>
      </w:r>
    </w:p>
    <w:p>
      <w:pPr>
        <w:pStyle w:val="113"/>
        <w:spacing w:beforeLines="50" w:afterLines="50" w:line="420" w:lineRule="exact"/>
        <w:ind w:firstLine="422" w:firstLineChars="200"/>
        <w:rPr>
          <w:rFonts w:hint="eastAsia" w:ascii="宋体" w:hAnsi="宋体" w:eastAsia="宋体" w:cs="宋体"/>
          <w:b/>
          <w:color w:val="000000" w:themeColor="text1"/>
          <w:highlight w:val="none"/>
          <w:lang w:val="zh-CN"/>
          <w14:textFill>
            <w14:solidFill>
              <w14:schemeClr w14:val="tx1"/>
            </w14:solidFill>
          </w14:textFill>
        </w:rPr>
      </w:pPr>
      <w:r>
        <w:rPr>
          <w:rFonts w:hint="eastAsia" w:ascii="宋体" w:hAnsi="宋体" w:eastAsia="宋体" w:cs="宋体"/>
          <w:b/>
          <w:color w:val="000000" w:themeColor="text1"/>
          <w:highlight w:val="none"/>
          <w:lang w:val="zh-CN"/>
          <w14:textFill>
            <w14:solidFill>
              <w14:schemeClr w14:val="tx1"/>
            </w14:solidFill>
          </w14:textFill>
        </w:rPr>
        <w:t>二、概述</w:t>
      </w:r>
    </w:p>
    <w:p>
      <w:pPr>
        <w:pStyle w:val="113"/>
        <w:spacing w:line="420" w:lineRule="exact"/>
        <w:ind w:firstLine="420" w:firstLineChars="20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1. 此份采购内容及技术要求是采购文件的一部分，包括所有条款的具体说明及技术要求，投标人需在各自技术和商务占优势的基础上对本次采购的服务（货物或工程）进行报价。</w:t>
      </w:r>
    </w:p>
    <w:p>
      <w:pPr>
        <w:pStyle w:val="113"/>
        <w:spacing w:line="420" w:lineRule="exact"/>
        <w:ind w:firstLine="420" w:firstLineChars="20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2. 现场踏勘：建议各投标人于投标截止时间前自行到现场进行踏勘，以获取本次投标所需的现场资料及数据，投标人若未到现场踏勘，引起的一切后果均由其自行负责，由此造成报价的偏差均不予调整。</w:t>
      </w:r>
    </w:p>
    <w:p>
      <w:pPr>
        <w:pStyle w:val="113"/>
        <w:spacing w:line="420" w:lineRule="exact"/>
        <w:ind w:firstLine="420" w:firstLineChars="20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3. 本次采购设一个标项，投标供应商须对标项范围内的全部内容进行报价，而不允许只对其中部分内容进行报价，否则报价将被否决，谢绝联合体投标。</w:t>
      </w:r>
    </w:p>
    <w:p>
      <w:pPr>
        <w:pStyle w:val="113"/>
        <w:spacing w:line="420" w:lineRule="exact"/>
        <w:ind w:firstLine="420" w:firstLineChars="20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 本次项目服务的标准、规范，应符合国家有关条例及规范。</w:t>
      </w:r>
    </w:p>
    <w:p>
      <w:pPr>
        <w:pStyle w:val="113"/>
        <w:spacing w:line="420" w:lineRule="exact"/>
        <w:ind w:firstLine="420" w:firstLineChars="20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5. 在报价之前，投标人须仔细阅读采购文件，如发现有任何疑问、冲突或技术问题，投标供应商须在答疑截止时间前以书面形式向采购代理机构提出。逾期招标人不再作答复，有关风险及责任由投标供应商自行承担。</w:t>
      </w:r>
    </w:p>
    <w:p>
      <w:pPr>
        <w:pStyle w:val="113"/>
        <w:spacing w:beforeLines="100" w:afterLines="50" w:line="420" w:lineRule="exact"/>
        <w:ind w:firstLine="422" w:firstLineChars="200"/>
        <w:rPr>
          <w:rFonts w:hint="eastAsia" w:ascii="宋体" w:hAnsi="宋体" w:eastAsia="宋体" w:cs="宋体"/>
          <w:b/>
          <w:color w:val="000000" w:themeColor="text1"/>
          <w:highlight w:val="none"/>
          <w:lang w:val="zh-CN"/>
          <w14:textFill>
            <w14:solidFill>
              <w14:schemeClr w14:val="tx1"/>
            </w14:solidFill>
          </w14:textFill>
        </w:rPr>
      </w:pPr>
      <w:r>
        <w:rPr>
          <w:rFonts w:hint="eastAsia" w:ascii="宋体" w:hAnsi="宋体" w:eastAsia="宋体" w:cs="宋体"/>
          <w:b/>
          <w:color w:val="000000" w:themeColor="text1"/>
          <w:highlight w:val="none"/>
          <w:lang w:val="zh-CN"/>
          <w14:textFill>
            <w14:solidFill>
              <w14:schemeClr w14:val="tx1"/>
            </w14:solidFill>
          </w14:textFill>
        </w:rPr>
        <w:t>三、采购货物内容及相关技术要求</w:t>
      </w:r>
    </w:p>
    <w:p>
      <w:pPr>
        <w:pStyle w:val="16"/>
        <w:spacing w:afterLines="50" w:line="42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一</w:t>
      </w:r>
      <w:r>
        <w:rPr>
          <w:rFonts w:hint="eastAsia" w:ascii="宋体" w:hAnsi="宋体" w:eastAsia="宋体" w:cs="宋体"/>
          <w:b/>
          <w:bCs/>
          <w:color w:val="000000" w:themeColor="text1"/>
          <w:sz w:val="21"/>
          <w:szCs w:val="21"/>
          <w:highlight w:val="none"/>
          <w:lang w:val="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采购货物清单</w:t>
      </w:r>
    </w:p>
    <w:p>
      <w:pPr>
        <w:pStyle w:val="1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1、PE管材及配件</w:t>
      </w:r>
    </w:p>
    <w:tbl>
      <w:tblPr>
        <w:tblStyle w:val="37"/>
        <w:tblW w:w="8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9"/>
        <w:gridCol w:w="3368"/>
        <w:gridCol w:w="2292"/>
        <w:gridCol w:w="1065"/>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blHeader/>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规格及型号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PE100级PN1.6MPa(SDR11)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PE100级PN1.6MPa(SDR11)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PE100级PN1.6MPa(SDR11)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PE100级PN1.6MPa(SDR11)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PE100级PN1.25MPa(SDR13.6)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PE100级PN1.25MPa(SDR13.6)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PE100级PN1.25MPa(SDR13.6)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PE100级PN1.0MPa(SDR17)</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PE100级管材1.25MPa(SDR13.6)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PE100级管材1.6MPa(SDR11)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PE100级管材1.0MPa(SDR17)</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PE100级管材1.25MPa(SDR13.6)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PE100级管材1.6MPa(SDR11)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PE100级管材1.0MPa(SDR17)</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PE100级管材1.25MPa(SDR13.6)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PE100级管材1.6MPa(SDR11)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PE100级管材1.0MPa(SDR17)</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PE100级管材1.25MPa(SDR13.6)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PE100级管材1.6MPa(SDR11)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PE100级管材1.0MPa(SDR17)</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PE100级管材1.25MPa(SDR13.6)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PE100级管材1.6MPa(SDR11)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PE100级管材1.0MPa(SDR17)</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PE100级管材1.25MPa(SDR13.6)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PE100级管材1.6MPa(SDR11)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PE100级管材1.0MPa(SDR17)</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PE100级管材1.25MPa(SDR13.6)</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PE100级管材1.6MPa(SDR11)</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PE弯头</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D630*45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PE异径管</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D125*110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D160*75（可转换）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D200*63（可熔接）</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D200*75（可熔接）</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D200*90（可熔接）</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D200*160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D250*160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D315*160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D400*110（可转换）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D400*160（可转换）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D400*315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97</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PE等径三通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PE异径三通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D200*160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D315*160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D400*160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D400*315（可转换）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151</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PE法兰头</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163</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PE法兰片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175</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PE阳螺纹三通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179</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PE阴螺纹三通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183</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PE阳螺纹接头</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D40*1-1/4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D50*1-1/2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D75*2-1/2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191</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PE阴螺纹接头</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D40*1-1/4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D50*1-1/2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198</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PE阳螺纹弯头</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PE阴螺纹弯头</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206</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PE截止阀</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211</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PE直通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219</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PE管帽</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231</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PE组合式活接</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233</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PE承插弯头90*90</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bl>
    <w:p>
      <w:pPr>
        <w:pStyle w:val="1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2、PPR管材及配件</w:t>
      </w:r>
    </w:p>
    <w:tbl>
      <w:tblPr>
        <w:tblStyle w:val="37"/>
        <w:tblW w:w="8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9"/>
        <w:gridCol w:w="3368"/>
        <w:gridCol w:w="2292"/>
        <w:gridCol w:w="1065"/>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blHeader/>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规格及型号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PPR1.6冷水管</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D20*2.3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D25*2.8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D32*3.6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PPR1.25冷水管</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D40*3.7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D50*4.6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D63*5.8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D75*6.8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D90*8.2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PPR异径管</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PPR阳螺纹三通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PPR阴螺纹三通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PPR阴螺纹弯头</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PPR阳螺纹弯头</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PPR管帽</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PPR组合式活接</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D40*11/4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D50*11/2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PPR金属管卡</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71</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PPR等径三通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PPR异径三通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PPR弯头</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D110*45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118</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PPR直通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PPR阳螺纹接头</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D40*1-1/4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D50*1-1/2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135</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PPR阴螺纹接头</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D40*1-1/4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D50*1-1/2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143</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PPR法兰片</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145</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149</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PPR法兰头</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152</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154</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155</w:t>
            </w:r>
          </w:p>
        </w:tc>
        <w:tc>
          <w:tcPr>
            <w:tcW w:w="3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PPR截止阀</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156</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157</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158</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159</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161</w:t>
            </w:r>
          </w:p>
        </w:tc>
        <w:tc>
          <w:tcPr>
            <w:tcW w:w="3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bl>
    <w:p>
      <w:pPr>
        <w:pStyle w:val="113"/>
        <w:spacing w:line="420" w:lineRule="exact"/>
        <w:ind w:firstLine="422" w:firstLineChars="200"/>
        <w:rPr>
          <w:rFonts w:hint="eastAsia" w:ascii="宋体" w:hAnsi="宋体" w:eastAsia="宋体" w:cs="宋体"/>
          <w:b/>
          <w:color w:val="000000" w:themeColor="text1"/>
          <w:szCs w:val="22"/>
          <w:highlight w:val="none"/>
          <w:lang w:val="zh-CN"/>
          <w14:textFill>
            <w14:solidFill>
              <w14:schemeClr w14:val="tx1"/>
            </w14:solidFill>
          </w14:textFill>
        </w:rPr>
      </w:pPr>
      <w:r>
        <w:rPr>
          <w:rFonts w:hint="eastAsia" w:ascii="宋体" w:hAnsi="宋体" w:eastAsia="宋体" w:cs="宋体"/>
          <w:b/>
          <w:color w:val="000000" w:themeColor="text1"/>
          <w:szCs w:val="22"/>
          <w:highlight w:val="none"/>
          <w:lang w:val="zh-CN"/>
          <w14:textFill>
            <w14:solidFill>
              <w14:schemeClr w14:val="tx1"/>
            </w14:solidFill>
          </w14:textFill>
        </w:rPr>
        <w:t>注：1、以上数量为暂定数量，具体供货以采购人实际需求为准，在采购期内按实结算。</w:t>
      </w:r>
    </w:p>
    <w:p>
      <w:pPr>
        <w:pStyle w:val="113"/>
        <w:spacing w:line="420" w:lineRule="exact"/>
        <w:ind w:firstLine="843" w:firstLineChars="400"/>
        <w:rPr>
          <w:rFonts w:hint="eastAsia" w:ascii="宋体" w:hAnsi="宋体" w:eastAsia="宋体" w:cs="宋体"/>
          <w:b/>
          <w:color w:val="000000" w:themeColor="text1"/>
          <w:szCs w:val="22"/>
          <w:highlight w:val="none"/>
          <w:lang w:val="zh-CN"/>
          <w14:textFill>
            <w14:solidFill>
              <w14:schemeClr w14:val="tx1"/>
            </w14:solidFill>
          </w14:textFill>
        </w:rPr>
      </w:pPr>
      <w:r>
        <w:rPr>
          <w:rFonts w:hint="eastAsia" w:ascii="宋体" w:hAnsi="宋体" w:eastAsia="宋体" w:cs="宋体"/>
          <w:b/>
          <w:color w:val="000000" w:themeColor="text1"/>
          <w:szCs w:val="22"/>
          <w:highlight w:val="none"/>
          <w:lang w:val="zh-CN"/>
          <w14:textFill>
            <w14:solidFill>
              <w14:schemeClr w14:val="tx1"/>
            </w14:solidFill>
          </w14:textFill>
        </w:rPr>
        <w:t>2、管材长度按采购人需求提供。</w:t>
      </w:r>
    </w:p>
    <w:p>
      <w:pPr>
        <w:pStyle w:val="113"/>
        <w:spacing w:beforeLines="50" w:afterLines="50" w:line="420" w:lineRule="exact"/>
        <w:ind w:firstLine="211" w:firstLineChars="100"/>
        <w:rPr>
          <w:rFonts w:hint="eastAsia" w:ascii="宋体" w:hAnsi="宋体" w:eastAsia="宋体" w:cs="宋体"/>
          <w:b/>
          <w:color w:val="000000" w:themeColor="text1"/>
          <w:szCs w:val="22"/>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二</w:t>
      </w:r>
      <w:r>
        <w:rPr>
          <w:rFonts w:hint="eastAsia" w:ascii="宋体" w:hAnsi="宋体" w:eastAsia="宋体" w:cs="宋体"/>
          <w:b/>
          <w:bCs/>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2"/>
          <w:highlight w:val="none"/>
          <w:lang w:val="zh-CN"/>
          <w14:textFill>
            <w14:solidFill>
              <w14:schemeClr w14:val="tx1"/>
            </w14:solidFill>
          </w14:textFill>
        </w:rPr>
        <w:t>技术要求</w:t>
      </w:r>
    </w:p>
    <w:p>
      <w:pPr>
        <w:pStyle w:val="16"/>
        <w:spacing w:after="0" w:line="420" w:lineRule="exact"/>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1、PE管材及管件对产品质量要求：产品外观、各项性能指标符合国家标准GB/T13663.2-2018、管件质量符合国家GB/T 13663.3-2018标准的各项要求。如国家标准更新，则所投产品须符合更新后的国家标准。</w:t>
      </w:r>
    </w:p>
    <w:p>
      <w:pPr>
        <w:pStyle w:val="16"/>
        <w:spacing w:after="0" w:line="420" w:lineRule="exact"/>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2、PPR管材及管件对产品质量要求：产品外观、各项性能指标符合国家标准GB/T18742.2-2017、管件质量符合国家GB/T 18742.3-2017标准的各项要求。如国家标准更新，则所投产品须符合更新后的国家标准。</w:t>
      </w:r>
    </w:p>
    <w:p>
      <w:pPr>
        <w:pStyle w:val="16"/>
        <w:spacing w:after="0" w:line="420" w:lineRule="exact"/>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3、卫生性能符合</w:t>
      </w:r>
      <w:bookmarkStart w:id="21" w:name="OLE_LINK2"/>
      <w:r>
        <w:rPr>
          <w:rFonts w:hint="eastAsia" w:ascii="宋体" w:hAnsi="宋体" w:eastAsia="宋体" w:cs="宋体"/>
          <w:color w:val="000000" w:themeColor="text1"/>
          <w:sz w:val="21"/>
          <w:szCs w:val="21"/>
          <w:highlight w:val="none"/>
          <w:lang w:val="zh-CN"/>
          <w14:textFill>
            <w14:solidFill>
              <w14:schemeClr w14:val="tx1"/>
            </w14:solidFill>
          </w14:textFill>
        </w:rPr>
        <w:t>GB/T 17219-1998</w:t>
      </w:r>
      <w:bookmarkEnd w:id="21"/>
      <w:r>
        <w:rPr>
          <w:rFonts w:hint="eastAsia" w:ascii="宋体" w:hAnsi="宋体" w:eastAsia="宋体" w:cs="宋体"/>
          <w:color w:val="000000" w:themeColor="text1"/>
          <w:sz w:val="21"/>
          <w:szCs w:val="21"/>
          <w:highlight w:val="none"/>
          <w:lang w:val="zh-CN"/>
          <w14:textFill>
            <w14:solidFill>
              <w14:schemeClr w14:val="tx1"/>
            </w14:solidFill>
          </w14:textFill>
        </w:rPr>
        <w:t>要求。如国家标准更新，则所投产品须符合更新后的国家标准。</w:t>
      </w:r>
    </w:p>
    <w:p>
      <w:pPr>
        <w:pStyle w:val="16"/>
        <w:spacing w:after="0" w:line="420" w:lineRule="exact"/>
        <w:ind w:firstLine="420" w:firstLineChars="200"/>
        <w:rPr>
          <w:rFonts w:hint="eastAsia" w:ascii="宋体" w:hAnsi="宋体" w:eastAsia="宋体" w:cs="宋体"/>
          <w:b/>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4、PE管材及管件、PPR管材及管件原料为给水专用新料，</w:t>
      </w:r>
      <w:r>
        <w:rPr>
          <w:rFonts w:hint="eastAsia" w:ascii="宋体" w:hAnsi="宋体" w:eastAsia="宋体" w:cs="宋体"/>
          <w:b/>
          <w:color w:val="000000" w:themeColor="text1"/>
          <w:sz w:val="21"/>
          <w:szCs w:val="21"/>
          <w:highlight w:val="none"/>
          <w:lang w:val="zh-CN"/>
          <w14:textFill>
            <w14:solidFill>
              <w14:schemeClr w14:val="tx1"/>
            </w14:solidFill>
          </w14:textFill>
        </w:rPr>
        <w:t>要求投标单位在投标中必须提供原材料证明文件。</w:t>
      </w:r>
    </w:p>
    <w:p>
      <w:pPr>
        <w:pStyle w:val="16"/>
        <w:spacing w:after="0" w:line="420" w:lineRule="exact"/>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5、生产、干燥设备要求：国外进口生产线，要求生产设备带有超声波在线壁厚检测系统，重力自动称量系统和进口的原料干燥系统，</w:t>
      </w:r>
      <w:r>
        <w:rPr>
          <w:rFonts w:hint="eastAsia" w:ascii="宋体" w:hAnsi="宋体" w:eastAsia="宋体" w:cs="宋体"/>
          <w:b/>
          <w:color w:val="000000" w:themeColor="text1"/>
          <w:sz w:val="21"/>
          <w:szCs w:val="21"/>
          <w:highlight w:val="none"/>
          <w:lang w:val="zh-CN"/>
          <w14:textFill>
            <w14:solidFill>
              <w14:schemeClr w14:val="tx1"/>
            </w14:solidFill>
          </w14:textFill>
        </w:rPr>
        <w:t>要求投标单位在投标文件中必须提供设备的进口报关单等证明材料。</w:t>
      </w:r>
    </w:p>
    <w:p>
      <w:pPr>
        <w:pStyle w:val="16"/>
        <w:spacing w:after="0" w:line="420" w:lineRule="exact"/>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6、其它要求：</w:t>
      </w:r>
      <w:r>
        <w:rPr>
          <w:rFonts w:hint="eastAsia" w:ascii="宋体" w:hAnsi="宋体" w:eastAsia="宋体" w:cs="宋体"/>
          <w:b/>
          <w:color w:val="000000" w:themeColor="text1"/>
          <w:sz w:val="21"/>
          <w:szCs w:val="21"/>
          <w:highlight w:val="none"/>
          <w:lang w:val="zh-CN"/>
          <w14:textFill>
            <w14:solidFill>
              <w14:schemeClr w14:val="tx1"/>
            </w14:solidFill>
          </w14:textFill>
        </w:rPr>
        <w:t>各投标单位生产的PE管材和管件、PPR管材和管件必须为同一品牌和同一种颜色。</w:t>
      </w:r>
    </w:p>
    <w:p>
      <w:pPr>
        <w:pStyle w:val="113"/>
        <w:spacing w:beforeLines="50" w:afterLines="50" w:line="420" w:lineRule="exact"/>
        <w:ind w:firstLine="211" w:firstLineChars="100"/>
        <w:rPr>
          <w:rFonts w:hint="eastAsia" w:ascii="宋体" w:hAnsi="宋体" w:eastAsia="宋体" w:cs="宋体"/>
          <w:b/>
          <w:color w:val="000000" w:themeColor="text1"/>
          <w:szCs w:val="22"/>
          <w:highlight w:val="none"/>
          <w:lang w:val="zh-CN"/>
          <w14:textFill>
            <w14:solidFill>
              <w14:schemeClr w14:val="tx1"/>
            </w14:solidFill>
          </w14:textFill>
        </w:rPr>
      </w:pPr>
      <w:r>
        <w:rPr>
          <w:rFonts w:hint="eastAsia" w:ascii="宋体" w:hAnsi="宋体" w:eastAsia="宋体" w:cs="宋体"/>
          <w:b/>
          <w:color w:val="000000" w:themeColor="text1"/>
          <w:szCs w:val="22"/>
          <w:highlight w:val="none"/>
          <w:lang w:val="zh-CN"/>
          <w14:textFill>
            <w14:solidFill>
              <w14:schemeClr w14:val="tx1"/>
            </w14:solidFill>
          </w14:textFill>
        </w:rPr>
        <w:t>▲四、商务要求</w:t>
      </w:r>
    </w:p>
    <w:tbl>
      <w:tblPr>
        <w:tblStyle w:val="3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zh-CN"/>
                <w14:textFill>
                  <w14:solidFill>
                    <w14:schemeClr w14:val="tx1"/>
                  </w14:solidFill>
                </w14:textFill>
              </w:rPr>
              <w:t>供货有效期</w:t>
            </w:r>
          </w:p>
        </w:tc>
        <w:tc>
          <w:tcPr>
            <w:tcW w:w="7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合同供货期限暂定一年（自合同签订时开始计算）。若暂定供货期内采购人提前完成采购金额的合同即刻终止；若暂定供货期内实际采购金额未达到合同总额的60%，经双方协商后，合同期限可延长供货期6个月（合同期内的供货不得超过中标总金额），到期后即刻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交货时间及地点</w:t>
            </w:r>
          </w:p>
        </w:tc>
        <w:tc>
          <w:tcPr>
            <w:tcW w:w="735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（1）交货时间：中标人在合同期内接到采购人的供货通知后，在</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10 </w:t>
            </w:r>
            <w:r>
              <w:rPr>
                <w:rFonts w:hint="eastAsia" w:ascii="宋体" w:hAnsi="宋体" w:eastAsia="宋体" w:cs="宋体"/>
                <w:color w:val="000000" w:themeColor="text1"/>
                <w:kern w:val="0"/>
                <w:sz w:val="21"/>
                <w:szCs w:val="21"/>
                <w:highlight w:val="none"/>
                <w14:textFill>
                  <w14:solidFill>
                    <w14:schemeClr w14:val="tx1"/>
                  </w14:solidFill>
                </w14:textFill>
              </w:rPr>
              <w:t>天内按采购人要求的规格、尺寸，把货物送至指定地点并堆放整齐。</w:t>
            </w:r>
            <w:r>
              <w:rPr>
                <w:rFonts w:hint="eastAsia" w:ascii="宋体" w:hAnsi="宋体" w:eastAsia="宋体" w:cs="宋体"/>
                <w:b/>
                <w:color w:val="000000" w:themeColor="text1"/>
                <w:kern w:val="0"/>
                <w:sz w:val="21"/>
                <w:szCs w:val="21"/>
                <w:highlight w:val="none"/>
                <w14:textFill>
                  <w14:solidFill>
                    <w14:schemeClr w14:val="tx1"/>
                  </w14:solidFill>
                </w14:textFill>
              </w:rPr>
              <w:t>（供应商可以提供更快更优交货承诺）</w:t>
            </w:r>
          </w:p>
          <w:p>
            <w:pPr>
              <w:pStyle w:val="35"/>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（2）交货地点：根据采购人每批次送货地点执行。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质保期</w:t>
            </w:r>
          </w:p>
        </w:tc>
        <w:tc>
          <w:tcPr>
            <w:tcW w:w="735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本项目的质保期要求至少2年，以最后一批货物验收合格之日起计算。质保期内，非因操作不当造成要更换的零配件及货物由中标人负责包修、包换。</w:t>
            </w:r>
            <w:r>
              <w:rPr>
                <w:rFonts w:hint="eastAsia" w:ascii="宋体" w:hAnsi="宋体" w:eastAsia="宋体" w:cs="宋体"/>
                <w:b/>
                <w:bCs/>
                <w:color w:val="000000" w:themeColor="text1"/>
                <w:kern w:val="0"/>
                <w:sz w:val="21"/>
                <w:szCs w:val="21"/>
                <w:highlight w:val="none"/>
                <w14:textFill>
                  <w14:solidFill>
                    <w14:schemeClr w14:val="tx1"/>
                  </w14:solidFill>
                </w14:textFill>
              </w:rPr>
              <w:t>供货期内可对所送货物（仓库抽检）进行二次质量检验。</w:t>
            </w:r>
            <w:r>
              <w:rPr>
                <w:rFonts w:hint="eastAsia" w:ascii="宋体" w:hAnsi="宋体" w:eastAsia="宋体" w:cs="宋体"/>
                <w:b/>
                <w:color w:val="000000" w:themeColor="text1"/>
                <w:kern w:val="0"/>
                <w:sz w:val="21"/>
                <w:szCs w:val="21"/>
                <w:highlight w:val="none"/>
                <w14:textFill>
                  <w14:solidFill>
                    <w14:schemeClr w14:val="tx1"/>
                  </w14:solidFill>
                </w14:textFill>
              </w:rPr>
              <w:t>（供应商可以提供更优惠的承诺）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付款方式</w:t>
            </w:r>
          </w:p>
        </w:tc>
        <w:tc>
          <w:tcPr>
            <w:tcW w:w="735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（1）货物价格应按中标</w:t>
            </w:r>
            <w:r>
              <w:rPr>
                <w:rFonts w:hint="eastAsia" w:ascii="宋体" w:hAnsi="宋体" w:eastAsia="宋体" w:cs="宋体"/>
                <w:bCs/>
                <w:color w:val="000000" w:themeColor="text1"/>
                <w:kern w:val="0"/>
                <w:sz w:val="21"/>
                <w:szCs w:val="21"/>
                <w:highlight w:val="none"/>
                <w14:textFill>
                  <w14:solidFill>
                    <w14:schemeClr w14:val="tx1"/>
                  </w14:solidFill>
                </w14:textFill>
              </w:rPr>
              <w:t>单价</w:t>
            </w:r>
            <w:r>
              <w:rPr>
                <w:rFonts w:hint="eastAsia" w:ascii="宋体" w:hAnsi="宋体" w:eastAsia="宋体" w:cs="宋体"/>
                <w:color w:val="000000" w:themeColor="text1"/>
                <w:kern w:val="0"/>
                <w:sz w:val="21"/>
                <w:szCs w:val="21"/>
                <w:highlight w:val="none"/>
                <w14:textFill>
                  <w14:solidFill>
                    <w14:schemeClr w14:val="tx1"/>
                  </w14:solidFill>
                </w14:textFill>
              </w:rPr>
              <w:t>（原材料上涨或下跌，本价格保持不变）执行。</w:t>
            </w:r>
          </w:p>
          <w:p>
            <w:pPr>
              <w:pStyle w:val="35"/>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（2）付款方式：每批货到仓库或采购人指定地点后，由采购人对该批货物进行验收，待验收合格后的一个月内支付该批次货款的97%，余下的3%货款在质保期满后一周内付清（不计息）。</w:t>
            </w:r>
          </w:p>
          <w:p>
            <w:pPr>
              <w:pStyle w:val="35"/>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（3）中标人应按采购人要求开具相应金额的增值税专用发票。</w:t>
            </w:r>
          </w:p>
          <w:p>
            <w:pPr>
              <w:pStyle w:val="35"/>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（4）当采购数量与实际使用数量不一致时，由中标人根据实际使用量供货，合同的最终结算金额按实际使用量乘以成交单价进行计算。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售后服务</w:t>
            </w:r>
          </w:p>
        </w:tc>
        <w:tc>
          <w:tcPr>
            <w:tcW w:w="735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投标人必须有可靠的售后服务保障，包括有固定的维修服务点，能提供正常的技术、备品备件服务。当发生故障时，中标人在接到采购单位通知后，2小时内予以答复，在采购人要求时，中标人的技术人员在收到采购人通知后12小时之内到现场进行修理。</w:t>
            </w:r>
          </w:p>
          <w:p>
            <w:pPr>
              <w:pStyle w:val="35"/>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（2）中标人服务维修人员均经过良好的系统技术培训，并有丰富的现场维修经验。</w:t>
            </w:r>
          </w:p>
          <w:p>
            <w:pPr>
              <w:pStyle w:val="35"/>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（3）若中标人未能满足上述售后服务要求中的任何一条，采购单位有权委托第三方单位提供售后服务，由此产生的一切费用由中标人承担。</w:t>
            </w:r>
          </w:p>
        </w:tc>
      </w:tr>
    </w:tbl>
    <w:p>
      <w:pPr>
        <w:rPr>
          <w:rFonts w:hint="eastAsia" w:ascii="宋体" w:hAnsi="宋体" w:eastAsia="宋体" w:cs="宋体"/>
          <w:b/>
          <w:color w:val="000000" w:themeColor="text1"/>
          <w:szCs w:val="22"/>
          <w:highlight w:val="none"/>
          <w14:textFill>
            <w14:solidFill>
              <w14:schemeClr w14:val="tx1"/>
            </w14:solidFill>
          </w14:textFill>
        </w:rPr>
      </w:pPr>
      <w:r>
        <w:rPr>
          <w:rFonts w:hint="eastAsia" w:ascii="宋体" w:hAnsi="宋体" w:eastAsia="宋体" w:cs="宋体"/>
          <w:b/>
          <w:color w:val="000000" w:themeColor="text1"/>
          <w:szCs w:val="22"/>
          <w:highlight w:val="none"/>
          <w14:textFill>
            <w14:solidFill>
              <w14:schemeClr w14:val="tx1"/>
            </w14:solidFill>
          </w14:textFill>
        </w:rPr>
        <w:br w:type="page"/>
      </w:r>
    </w:p>
    <w:p>
      <w:pPr>
        <w:pStyle w:val="113"/>
        <w:spacing w:beforeLines="50" w:afterLines="50" w:line="420" w:lineRule="exact"/>
        <w:ind w:firstLine="422" w:firstLineChars="200"/>
        <w:rPr>
          <w:rFonts w:hint="eastAsia" w:ascii="宋体" w:hAnsi="宋体" w:eastAsia="宋体" w:cs="宋体"/>
          <w:b/>
          <w:color w:val="000000" w:themeColor="text1"/>
          <w:szCs w:val="22"/>
          <w:highlight w:val="none"/>
          <w:lang w:val="zh-CN"/>
          <w14:textFill>
            <w14:solidFill>
              <w14:schemeClr w14:val="tx1"/>
            </w14:solidFill>
          </w14:textFill>
        </w:rPr>
      </w:pPr>
      <w:r>
        <w:rPr>
          <w:rFonts w:hint="eastAsia" w:ascii="宋体" w:hAnsi="宋体" w:eastAsia="宋体" w:cs="宋体"/>
          <w:b/>
          <w:color w:val="000000" w:themeColor="text1"/>
          <w:szCs w:val="22"/>
          <w:highlight w:val="none"/>
          <w14:textFill>
            <w14:solidFill>
              <w14:schemeClr w14:val="tx1"/>
            </w14:solidFill>
          </w14:textFill>
        </w:rPr>
        <w:t>五</w:t>
      </w:r>
      <w:r>
        <w:rPr>
          <w:rFonts w:hint="eastAsia" w:ascii="宋体" w:hAnsi="宋体" w:eastAsia="宋体" w:cs="宋体"/>
          <w:b/>
          <w:color w:val="000000" w:themeColor="text1"/>
          <w:szCs w:val="22"/>
          <w:highlight w:val="none"/>
          <w:lang w:val="zh-CN"/>
          <w14:textFill>
            <w14:solidFill>
              <w14:schemeClr w14:val="tx1"/>
            </w14:solidFill>
          </w14:textFill>
        </w:rPr>
        <w:t>、样品提供清单</w:t>
      </w:r>
    </w:p>
    <w:tbl>
      <w:tblPr>
        <w:tblStyle w:val="38"/>
        <w:tblW w:w="89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620"/>
        <w:gridCol w:w="1105"/>
        <w:gridCol w:w="3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3620" w:type="dxa"/>
            <w:vAlign w:val="center"/>
          </w:tcPr>
          <w:p>
            <w:pPr>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样品名称</w:t>
            </w:r>
          </w:p>
        </w:tc>
        <w:tc>
          <w:tcPr>
            <w:tcW w:w="1105" w:type="dxa"/>
            <w:vAlign w:val="center"/>
          </w:tcPr>
          <w:p>
            <w:pPr>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数量</w:t>
            </w:r>
          </w:p>
        </w:tc>
        <w:tc>
          <w:tcPr>
            <w:tcW w:w="3429" w:type="dxa"/>
            <w:vAlign w:val="center"/>
          </w:tcPr>
          <w:p>
            <w:pPr>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17"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3620" w:type="dxa"/>
            <w:vAlign w:val="center"/>
          </w:tcPr>
          <w:p>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PE管材D110（1.0MPa）</w:t>
            </w:r>
          </w:p>
        </w:tc>
        <w:tc>
          <w:tcPr>
            <w:tcW w:w="1105"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100cm</w:t>
            </w:r>
          </w:p>
        </w:tc>
        <w:tc>
          <w:tcPr>
            <w:tcW w:w="3429" w:type="dxa"/>
            <w:vMerge w:val="restart"/>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提供样品应与投标文件中响应产品保持一致，否则样品不得分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17" w:type="dxa"/>
            <w:vAlign w:val="center"/>
          </w:tcPr>
          <w:p>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3620" w:type="dxa"/>
            <w:vAlign w:val="center"/>
          </w:tcPr>
          <w:p>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PE管材D160（1.0MPa）</w:t>
            </w:r>
          </w:p>
        </w:tc>
        <w:tc>
          <w:tcPr>
            <w:tcW w:w="1105"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100cm</w:t>
            </w:r>
          </w:p>
        </w:tc>
        <w:tc>
          <w:tcPr>
            <w:tcW w:w="3429" w:type="dxa"/>
            <w:vMerge w:val="continue"/>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17" w:type="dxa"/>
            <w:vAlign w:val="center"/>
          </w:tcPr>
          <w:p>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3620" w:type="dxa"/>
            <w:vAlign w:val="center"/>
          </w:tcPr>
          <w:p>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PE异径三通D160*110</w:t>
            </w:r>
          </w:p>
        </w:tc>
        <w:tc>
          <w:tcPr>
            <w:tcW w:w="1105"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1只</w:t>
            </w:r>
          </w:p>
        </w:tc>
        <w:tc>
          <w:tcPr>
            <w:tcW w:w="3429" w:type="dxa"/>
            <w:vMerge w:val="continue"/>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17" w:type="dxa"/>
            <w:vAlign w:val="center"/>
          </w:tcPr>
          <w:p>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3620" w:type="dxa"/>
            <w:vAlign w:val="center"/>
          </w:tcPr>
          <w:p>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PE截止阀D63</w:t>
            </w:r>
          </w:p>
        </w:tc>
        <w:tc>
          <w:tcPr>
            <w:tcW w:w="1105"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1只</w:t>
            </w:r>
          </w:p>
        </w:tc>
        <w:tc>
          <w:tcPr>
            <w:tcW w:w="3429" w:type="dxa"/>
            <w:vMerge w:val="continue"/>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17" w:type="dxa"/>
            <w:vAlign w:val="center"/>
          </w:tcPr>
          <w:p>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3620" w:type="dxa"/>
            <w:vAlign w:val="center"/>
          </w:tcPr>
          <w:p>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PE弯头D110*90度</w:t>
            </w:r>
          </w:p>
        </w:tc>
        <w:tc>
          <w:tcPr>
            <w:tcW w:w="1105"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1只</w:t>
            </w:r>
          </w:p>
        </w:tc>
        <w:tc>
          <w:tcPr>
            <w:tcW w:w="3429" w:type="dxa"/>
            <w:vMerge w:val="continue"/>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17" w:type="dxa"/>
            <w:vAlign w:val="center"/>
          </w:tcPr>
          <w:p>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3620" w:type="dxa"/>
            <w:vAlign w:val="center"/>
          </w:tcPr>
          <w:p>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PE弯头D160*90度</w:t>
            </w:r>
          </w:p>
        </w:tc>
        <w:tc>
          <w:tcPr>
            <w:tcW w:w="1105"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1只</w:t>
            </w:r>
          </w:p>
        </w:tc>
        <w:tc>
          <w:tcPr>
            <w:tcW w:w="3429" w:type="dxa"/>
            <w:vMerge w:val="continue"/>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17" w:type="dxa"/>
            <w:vAlign w:val="center"/>
          </w:tcPr>
          <w:p>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3620" w:type="dxa"/>
            <w:vAlign w:val="center"/>
          </w:tcPr>
          <w:p>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PE异径三通D110*63</w:t>
            </w:r>
          </w:p>
        </w:tc>
        <w:tc>
          <w:tcPr>
            <w:tcW w:w="1105"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1只</w:t>
            </w:r>
          </w:p>
        </w:tc>
        <w:tc>
          <w:tcPr>
            <w:tcW w:w="3429" w:type="dxa"/>
            <w:vMerge w:val="continue"/>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17" w:type="dxa"/>
            <w:vAlign w:val="center"/>
          </w:tcPr>
          <w:p>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3620" w:type="dxa"/>
            <w:vAlign w:val="center"/>
          </w:tcPr>
          <w:p>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PE法兰头D200</w:t>
            </w:r>
          </w:p>
        </w:tc>
        <w:tc>
          <w:tcPr>
            <w:tcW w:w="1105"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1只</w:t>
            </w:r>
          </w:p>
        </w:tc>
        <w:tc>
          <w:tcPr>
            <w:tcW w:w="3429" w:type="dxa"/>
            <w:vMerge w:val="continue"/>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17" w:type="dxa"/>
            <w:vAlign w:val="center"/>
          </w:tcPr>
          <w:p>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3620" w:type="dxa"/>
            <w:vAlign w:val="center"/>
          </w:tcPr>
          <w:p>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PE阳螺纹接头D25*3/4</w:t>
            </w:r>
          </w:p>
        </w:tc>
        <w:tc>
          <w:tcPr>
            <w:tcW w:w="1105"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1只</w:t>
            </w:r>
          </w:p>
        </w:tc>
        <w:tc>
          <w:tcPr>
            <w:tcW w:w="3429" w:type="dxa"/>
            <w:vMerge w:val="continue"/>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17" w:type="dxa"/>
            <w:vAlign w:val="center"/>
          </w:tcPr>
          <w:p>
            <w:pPr>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3620" w:type="dxa"/>
            <w:vAlign w:val="center"/>
          </w:tcPr>
          <w:p>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PPR阳螺纹接头D25*3/4</w:t>
            </w:r>
          </w:p>
        </w:tc>
        <w:tc>
          <w:tcPr>
            <w:tcW w:w="1105"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1只</w:t>
            </w:r>
          </w:p>
        </w:tc>
        <w:tc>
          <w:tcPr>
            <w:tcW w:w="3429" w:type="dxa"/>
            <w:vMerge w:val="continue"/>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bl>
    <w:p>
      <w:pPr>
        <w:pStyle w:val="16"/>
        <w:spacing w:after="0" w:line="420" w:lineRule="exact"/>
        <w:ind w:firstLine="420" w:firstLineChars="200"/>
        <w:rPr>
          <w:rFonts w:hint="eastAsia" w:ascii="宋体" w:hAnsi="宋体" w:eastAsia="宋体" w:cs="宋体"/>
          <w:b/>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1、样品式样、数量见上表，请各投标供应商应按要求递交投标样品，未按要求递交样品则相应评分内容不得分。</w:t>
      </w:r>
      <w:r>
        <w:rPr>
          <w:rFonts w:hint="eastAsia" w:ascii="宋体" w:hAnsi="宋体" w:eastAsia="宋体" w:cs="宋体"/>
          <w:b/>
          <w:color w:val="000000" w:themeColor="text1"/>
          <w:sz w:val="21"/>
          <w:szCs w:val="21"/>
          <w:highlight w:val="none"/>
          <w:lang w:val="zh-CN"/>
          <w14:textFill>
            <w14:solidFill>
              <w14:schemeClr w14:val="tx1"/>
            </w14:solidFill>
          </w14:textFill>
        </w:rPr>
        <w:t>注：样品上不得出现任何有关投标单位的信息、图案或标记，否则样品分将计零分。所有样品应在投标截止时间前递交，投标截止时间后递交的样品将不予接收。样品届时将采用</w:t>
      </w:r>
      <w:r>
        <w:rPr>
          <w:rFonts w:hint="eastAsia" w:ascii="宋体" w:hAnsi="宋体" w:eastAsia="宋体" w:cs="宋体"/>
          <w:b/>
          <w:color w:val="000000" w:themeColor="text1"/>
          <w:sz w:val="21"/>
          <w:szCs w:val="21"/>
          <w:highlight w:val="none"/>
          <w:lang w:val="en-US" w:eastAsia="zh-CN"/>
          <w14:textFill>
            <w14:solidFill>
              <w14:schemeClr w14:val="tx1"/>
            </w14:solidFill>
          </w14:textFill>
        </w:rPr>
        <w:t>暗标评审</w:t>
      </w:r>
      <w:r>
        <w:rPr>
          <w:rFonts w:hint="eastAsia" w:ascii="宋体" w:hAnsi="宋体" w:eastAsia="宋体" w:cs="宋体"/>
          <w:b/>
          <w:color w:val="000000" w:themeColor="text1"/>
          <w:sz w:val="21"/>
          <w:szCs w:val="21"/>
          <w:highlight w:val="none"/>
          <w:lang w:val="zh-CN"/>
          <w14:textFill>
            <w14:solidFill>
              <w14:schemeClr w14:val="tx1"/>
            </w14:solidFill>
          </w14:textFill>
        </w:rPr>
        <w:t>方式，由采购代理机构工作人员对样品进行随机标记后再由评审小组进行评审。</w:t>
      </w:r>
    </w:p>
    <w:p>
      <w:pPr>
        <w:pStyle w:val="16"/>
        <w:spacing w:after="0" w:line="420" w:lineRule="exact"/>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2、递交时间、地点及方式</w:t>
      </w:r>
    </w:p>
    <w:p>
      <w:pPr>
        <w:pStyle w:val="16"/>
        <w:spacing w:after="0" w:line="420" w:lineRule="exact"/>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递交时间：所有样品需在本项目投标截止时间前递交，逾期拒收。</w:t>
      </w:r>
    </w:p>
    <w:p>
      <w:pPr>
        <w:pStyle w:val="16"/>
        <w:spacing w:after="0" w:line="420" w:lineRule="exact"/>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递交地点：仙居县光明西路434号（浙江聚信工程管理有限公司）。</w:t>
      </w:r>
    </w:p>
    <w:p>
      <w:pPr>
        <w:pStyle w:val="16"/>
        <w:spacing w:after="0" w:line="420" w:lineRule="exact"/>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递交方式：（1）现场递交：应即交即走，不参与后续现场开标会议；（2）通过邮寄方式：需在快递中标注联系人、联系方式以及项目名称，接收截止时间同投标截止时间（以代理机构工作人员签收时间为准，如在规定时间内未收到样品（含邮寄延误送达），则视为投标人放弃递交样品，责任由投标人承担）[邮寄联系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周女士</w:t>
      </w:r>
      <w:r>
        <w:rPr>
          <w:rFonts w:hint="eastAsia" w:ascii="宋体" w:hAnsi="宋体" w:eastAsia="宋体" w:cs="宋体"/>
          <w:color w:val="000000" w:themeColor="text1"/>
          <w:sz w:val="21"/>
          <w:szCs w:val="21"/>
          <w:highlight w:val="none"/>
          <w:lang w:val="zh-CN"/>
          <w14:textFill>
            <w14:solidFill>
              <w14:schemeClr w14:val="tx1"/>
            </w14:solidFill>
          </w14:textFill>
        </w:rPr>
        <w:t>；联系电话：</w:t>
      </w:r>
      <w:r>
        <w:rPr>
          <w:rFonts w:hint="eastAsia" w:ascii="宋体" w:hAnsi="宋体" w:eastAsia="宋体" w:cs="宋体"/>
          <w:color w:val="000000" w:themeColor="text1"/>
          <w:sz w:val="21"/>
          <w:szCs w:val="21"/>
          <w:highlight w:val="none"/>
          <w:lang w:val="en-US" w:eastAsia="zh-CN"/>
          <w14:textFill>
            <w14:solidFill>
              <w14:schemeClr w14:val="tx1"/>
            </w14:solidFill>
          </w14:textFill>
        </w:rPr>
        <w:t>0571-86589155</w:t>
      </w:r>
      <w:r>
        <w:rPr>
          <w:rFonts w:hint="eastAsia" w:ascii="宋体" w:hAnsi="宋体" w:eastAsia="宋体" w:cs="宋体"/>
          <w:color w:val="000000" w:themeColor="text1"/>
          <w:sz w:val="21"/>
          <w:szCs w:val="21"/>
          <w:highlight w:val="none"/>
          <w:lang w:val="zh-CN"/>
          <w14:textFill>
            <w14:solidFill>
              <w14:schemeClr w14:val="tx1"/>
            </w14:solidFill>
          </w14:textFill>
        </w:rPr>
        <w:t>；邮寄地址：仙居县光明西路434号（浙江聚信工程管理有限公司）；</w:t>
      </w:r>
      <w:r>
        <w:rPr>
          <w:rFonts w:hint="eastAsia" w:ascii="宋体" w:hAnsi="宋体" w:eastAsia="宋体" w:cs="宋体"/>
          <w:bCs/>
          <w:color w:val="000000" w:themeColor="text1"/>
          <w:sz w:val="21"/>
          <w:szCs w:val="21"/>
          <w:highlight w:val="none"/>
          <w14:textFill>
            <w14:solidFill>
              <w14:schemeClr w14:val="tx1"/>
            </w14:solidFill>
          </w14:textFill>
        </w:rPr>
        <w:t>邮编：317300</w:t>
      </w:r>
      <w:r>
        <w:rPr>
          <w:rFonts w:hint="eastAsia" w:ascii="宋体" w:hAnsi="宋体" w:eastAsia="宋体" w:cs="宋体"/>
          <w:color w:val="000000" w:themeColor="text1"/>
          <w:sz w:val="21"/>
          <w:szCs w:val="21"/>
          <w:highlight w:val="none"/>
          <w:lang w:val="zh-CN"/>
          <w14:textFill>
            <w14:solidFill>
              <w14:schemeClr w14:val="tx1"/>
            </w14:solidFill>
          </w14:textFill>
        </w:rPr>
        <w:t>]。注：采用邮寄方式产生的投标人联系方式缺失、密封性不完整、逾期送达、物件破损或丢失等邮寄风险，由投标人自行承担。</w:t>
      </w:r>
    </w:p>
    <w:p>
      <w:pPr>
        <w:pStyle w:val="16"/>
        <w:spacing w:after="0" w:line="420" w:lineRule="exact"/>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3、投标样品的退回</w:t>
      </w:r>
    </w:p>
    <w:p>
      <w:pPr>
        <w:pStyle w:val="16"/>
        <w:spacing w:after="0" w:line="420" w:lineRule="exact"/>
        <w:ind w:firstLine="420" w:firstLineChars="200"/>
        <w:rPr>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中标候选人的样品由供应商直接送至采购人指定地点，由采购人进行保管、封存，并作为履约验收的依据。未中标单位的样品在项目评审结束后两天内自行取回，或邮寄取回（费用自理），逾期未取回造成的遗失等一切损失由投标人自行承担，采购人、采购代理机构不负保管义务。</w:t>
      </w:r>
    </w:p>
    <w:p>
      <w:pPr>
        <w:pStyle w:val="4"/>
        <w:spacing w:before="0" w:after="0" w:line="360" w:lineRule="auto"/>
        <w:jc w:val="center"/>
        <w:rPr>
          <w:rFonts w:hint="eastAsia" w:ascii="宋体" w:hAnsi="宋体" w:cs="宋体"/>
          <w:sz w:val="32"/>
          <w:szCs w:val="32"/>
          <w:highlight w:val="none"/>
        </w:rPr>
      </w:pPr>
      <w:r>
        <w:rPr>
          <w:rFonts w:hint="eastAsia" w:ascii="宋体" w:hAnsi="宋体" w:cs="宋体"/>
          <w:sz w:val="32"/>
          <w:szCs w:val="32"/>
          <w:highlight w:val="none"/>
        </w:rPr>
        <w:t>第三章  投标人须知</w:t>
      </w:r>
      <w:bookmarkEnd w:id="19"/>
    </w:p>
    <w:p>
      <w:pPr>
        <w:pStyle w:val="5"/>
        <w:spacing w:before="0" w:after="0" w:line="300" w:lineRule="exact"/>
        <w:jc w:val="center"/>
        <w:rPr>
          <w:rFonts w:hint="eastAsia" w:ascii="宋体" w:hAnsi="宋体" w:eastAsia="宋体"/>
          <w:sz w:val="24"/>
          <w:szCs w:val="24"/>
          <w:highlight w:val="none"/>
        </w:rPr>
      </w:pPr>
      <w:bookmarkStart w:id="22" w:name="_Toc1651"/>
      <w:bookmarkStart w:id="23" w:name="_Toc13120"/>
      <w:bookmarkStart w:id="24" w:name="_Toc24469"/>
      <w:bookmarkStart w:id="25" w:name="_Toc24410"/>
      <w:bookmarkStart w:id="26" w:name="_Toc528927413"/>
      <w:bookmarkStart w:id="27" w:name="_Toc28602"/>
      <w:bookmarkStart w:id="28" w:name="_Toc9575"/>
      <w:bookmarkStart w:id="29" w:name="_Toc508888785"/>
      <w:r>
        <w:rPr>
          <w:rFonts w:hint="eastAsia" w:ascii="宋体" w:hAnsi="宋体" w:eastAsia="宋体"/>
          <w:sz w:val="24"/>
          <w:szCs w:val="24"/>
          <w:highlight w:val="none"/>
        </w:rPr>
        <w:t>前</w:t>
      </w:r>
      <w:r>
        <w:rPr>
          <w:rFonts w:ascii="宋体" w:hAnsi="宋体" w:eastAsia="宋体"/>
          <w:sz w:val="24"/>
          <w:szCs w:val="24"/>
          <w:highlight w:val="none"/>
        </w:rPr>
        <w:t xml:space="preserve"> </w:t>
      </w:r>
      <w:r>
        <w:rPr>
          <w:rFonts w:hint="eastAsia" w:ascii="宋体" w:hAnsi="宋体" w:eastAsia="宋体"/>
          <w:sz w:val="24"/>
          <w:szCs w:val="24"/>
          <w:highlight w:val="none"/>
        </w:rPr>
        <w:t>附</w:t>
      </w:r>
      <w:r>
        <w:rPr>
          <w:rFonts w:ascii="宋体" w:hAnsi="宋体" w:eastAsia="宋体"/>
          <w:sz w:val="24"/>
          <w:szCs w:val="24"/>
          <w:highlight w:val="none"/>
        </w:rPr>
        <w:t xml:space="preserve"> </w:t>
      </w:r>
      <w:r>
        <w:rPr>
          <w:rFonts w:hint="eastAsia" w:ascii="宋体" w:hAnsi="宋体" w:eastAsia="宋体"/>
          <w:sz w:val="24"/>
          <w:szCs w:val="24"/>
          <w:highlight w:val="none"/>
        </w:rPr>
        <w:t>表</w:t>
      </w:r>
      <w:bookmarkEnd w:id="22"/>
      <w:bookmarkEnd w:id="23"/>
      <w:bookmarkEnd w:id="24"/>
      <w:bookmarkEnd w:id="25"/>
      <w:bookmarkEnd w:id="26"/>
      <w:bookmarkEnd w:id="27"/>
      <w:bookmarkEnd w:id="28"/>
      <w:bookmarkEnd w:id="29"/>
    </w:p>
    <w:tbl>
      <w:tblPr>
        <w:tblStyle w:val="37"/>
        <w:tblpPr w:topFromText="180" w:bottomFromText="180" w:vertAnchor="text" w:horzAnchor="margin" w:tblpY="251"/>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154"/>
        <w:gridCol w:w="6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97" w:type="dxa"/>
            <w:shd w:val="clear" w:color="auto" w:fill="D7D7D7"/>
            <w:vAlign w:val="center"/>
          </w:tcPr>
          <w:p>
            <w:pPr>
              <w:spacing w:line="240" w:lineRule="exact"/>
              <w:jc w:val="center"/>
              <w:rPr>
                <w:rFonts w:hint="eastAsia" w:ascii="宋体" w:hAnsi="宋体"/>
                <w:b/>
                <w:szCs w:val="21"/>
                <w:highlight w:val="none"/>
              </w:rPr>
            </w:pPr>
            <w:r>
              <w:rPr>
                <w:rFonts w:hint="eastAsia" w:ascii="宋体" w:hAnsi="宋体"/>
                <w:b/>
                <w:szCs w:val="21"/>
                <w:highlight w:val="none"/>
              </w:rPr>
              <w:t>条款号</w:t>
            </w:r>
          </w:p>
        </w:tc>
        <w:tc>
          <w:tcPr>
            <w:tcW w:w="2154" w:type="dxa"/>
            <w:shd w:val="clear" w:color="auto" w:fill="D7D7D7"/>
            <w:vAlign w:val="center"/>
          </w:tcPr>
          <w:p>
            <w:pPr>
              <w:spacing w:line="240" w:lineRule="exact"/>
              <w:jc w:val="center"/>
              <w:rPr>
                <w:rFonts w:hint="eastAsia" w:ascii="宋体" w:hAnsi="宋体"/>
                <w:b/>
                <w:szCs w:val="21"/>
                <w:highlight w:val="none"/>
              </w:rPr>
            </w:pPr>
            <w:r>
              <w:rPr>
                <w:rFonts w:hint="eastAsia" w:ascii="宋体" w:hAnsi="宋体"/>
                <w:b/>
                <w:szCs w:val="21"/>
                <w:highlight w:val="none"/>
              </w:rPr>
              <w:t>名称</w:t>
            </w:r>
          </w:p>
        </w:tc>
        <w:tc>
          <w:tcPr>
            <w:tcW w:w="6194" w:type="dxa"/>
            <w:shd w:val="clear" w:color="auto" w:fill="D7D7D7"/>
            <w:vAlign w:val="center"/>
          </w:tcPr>
          <w:p>
            <w:pPr>
              <w:spacing w:line="240" w:lineRule="exact"/>
              <w:jc w:val="center"/>
              <w:rPr>
                <w:rFonts w:hint="eastAsia" w:ascii="宋体" w:hAnsi="宋体"/>
                <w:b/>
                <w:szCs w:val="21"/>
                <w:highlight w:val="none"/>
              </w:rPr>
            </w:pPr>
            <w:r>
              <w:rPr>
                <w:rFonts w:hint="eastAsia" w:ascii="宋体" w:hAnsi="宋体"/>
                <w:b/>
                <w:szCs w:val="21"/>
                <w:highlight w:val="none"/>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97" w:type="dxa"/>
            <w:vAlign w:val="center"/>
          </w:tcPr>
          <w:p>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1</w:t>
            </w:r>
          </w:p>
        </w:tc>
        <w:tc>
          <w:tcPr>
            <w:tcW w:w="2154" w:type="dxa"/>
            <w:vAlign w:val="center"/>
          </w:tcPr>
          <w:p>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项目名称</w:t>
            </w:r>
          </w:p>
        </w:tc>
        <w:tc>
          <w:tcPr>
            <w:tcW w:w="6194" w:type="dxa"/>
            <w:vAlign w:val="center"/>
          </w:tcPr>
          <w:p>
            <w:pPr>
              <w:jc w:val="left"/>
              <w:rPr>
                <w:rFonts w:hint="eastAsia" w:ascii="宋体" w:hAnsi="宋体" w:eastAsia="宋体"/>
                <w:bCs/>
                <w:color w:val="000000"/>
                <w:szCs w:val="21"/>
                <w:highlight w:val="none"/>
                <w:lang w:eastAsia="zh-CN"/>
              </w:rPr>
            </w:pPr>
            <w:r>
              <w:rPr>
                <w:rFonts w:hint="eastAsia" w:ascii="宋体" w:hAnsi="宋体"/>
                <w:szCs w:val="21"/>
                <w:highlight w:val="none"/>
                <w:lang w:eastAsia="zh-CN"/>
              </w:rPr>
              <w:t>仙居县力天市政工程有限公司PE管材及配件、PPR管材及配件采购项目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97" w:type="dxa"/>
            <w:vAlign w:val="center"/>
          </w:tcPr>
          <w:p>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2</w:t>
            </w:r>
          </w:p>
        </w:tc>
        <w:tc>
          <w:tcPr>
            <w:tcW w:w="2154" w:type="dxa"/>
            <w:vAlign w:val="center"/>
          </w:tcPr>
          <w:p>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采购内容</w:t>
            </w:r>
          </w:p>
        </w:tc>
        <w:tc>
          <w:tcPr>
            <w:tcW w:w="6194" w:type="dxa"/>
            <w:vAlign w:val="center"/>
          </w:tcPr>
          <w:p>
            <w:pPr>
              <w:spacing w:line="360" w:lineRule="auto"/>
              <w:rPr>
                <w:rFonts w:hint="eastAsia" w:ascii="宋体" w:hAnsi="宋体"/>
                <w:bCs/>
                <w:color w:val="000000"/>
                <w:szCs w:val="21"/>
                <w:highlight w:val="none"/>
              </w:rPr>
            </w:pPr>
            <w:r>
              <w:rPr>
                <w:rFonts w:hint="eastAsia" w:ascii="宋体" w:hAnsi="宋体"/>
                <w:bCs/>
                <w:color w:val="000000"/>
                <w:szCs w:val="21"/>
                <w:highlight w:val="none"/>
              </w:rPr>
              <w:t>详见“第二章 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97" w:type="dxa"/>
            <w:vAlign w:val="center"/>
          </w:tcPr>
          <w:p>
            <w:pPr>
              <w:jc w:val="center"/>
              <w:rPr>
                <w:rFonts w:hint="eastAsia" w:ascii="宋体" w:hAnsi="宋体"/>
                <w:bCs/>
                <w:color w:val="000000"/>
                <w:szCs w:val="21"/>
                <w:highlight w:val="none"/>
              </w:rPr>
            </w:pPr>
            <w:r>
              <w:rPr>
                <w:rFonts w:hint="eastAsia" w:ascii="宋体" w:hAnsi="宋体" w:cs="宋体"/>
                <w:color w:val="000000"/>
                <w:szCs w:val="21"/>
                <w:highlight w:val="none"/>
              </w:rPr>
              <w:t>3</w:t>
            </w:r>
          </w:p>
        </w:tc>
        <w:tc>
          <w:tcPr>
            <w:tcW w:w="2154" w:type="dxa"/>
            <w:vAlign w:val="center"/>
          </w:tcPr>
          <w:p>
            <w:pPr>
              <w:jc w:val="center"/>
              <w:rPr>
                <w:rFonts w:hint="eastAsia" w:ascii="宋体" w:hAnsi="宋体"/>
                <w:bCs/>
                <w:color w:val="000000"/>
                <w:szCs w:val="21"/>
                <w:highlight w:val="none"/>
              </w:rPr>
            </w:pPr>
            <w:r>
              <w:rPr>
                <w:rFonts w:hint="eastAsia" w:ascii="宋体" w:hAnsi="宋体" w:cs="宋体"/>
                <w:bCs/>
                <w:color w:val="000000"/>
                <w:szCs w:val="21"/>
                <w:highlight w:val="none"/>
              </w:rPr>
              <w:t>采购方式</w:t>
            </w:r>
          </w:p>
        </w:tc>
        <w:tc>
          <w:tcPr>
            <w:tcW w:w="6194" w:type="dxa"/>
            <w:vAlign w:val="center"/>
          </w:tcPr>
          <w:p>
            <w:pPr>
              <w:rPr>
                <w:rFonts w:hint="eastAsia" w:ascii="宋体" w:hAnsi="宋体"/>
                <w:bCs/>
                <w:color w:val="000000"/>
                <w:szCs w:val="21"/>
                <w:highlight w:val="none"/>
              </w:rPr>
            </w:pPr>
            <w:r>
              <w:rPr>
                <w:rFonts w:hint="eastAsia" w:ascii="宋体" w:hAnsi="宋体" w:cs="宋体"/>
                <w:bCs/>
                <w:color w:val="000000"/>
                <w:szCs w:val="21"/>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97" w:type="dxa"/>
            <w:vAlign w:val="center"/>
          </w:tcPr>
          <w:p>
            <w:pPr>
              <w:jc w:val="center"/>
              <w:rPr>
                <w:rFonts w:hint="eastAsia" w:ascii="宋体" w:hAnsi="宋体"/>
                <w:bCs/>
                <w:color w:val="000000"/>
                <w:szCs w:val="21"/>
                <w:highlight w:val="none"/>
              </w:rPr>
            </w:pPr>
            <w:r>
              <w:rPr>
                <w:rFonts w:hint="eastAsia" w:ascii="宋体" w:hAnsi="宋体" w:cs="宋体"/>
                <w:szCs w:val="21"/>
                <w:highlight w:val="none"/>
              </w:rPr>
              <w:t>4</w:t>
            </w:r>
          </w:p>
        </w:tc>
        <w:tc>
          <w:tcPr>
            <w:tcW w:w="2154" w:type="dxa"/>
            <w:vAlign w:val="center"/>
          </w:tcPr>
          <w:p>
            <w:pPr>
              <w:jc w:val="center"/>
              <w:rPr>
                <w:rFonts w:hint="eastAsia" w:ascii="宋体" w:hAnsi="宋体"/>
                <w:bCs/>
                <w:color w:val="000000"/>
                <w:szCs w:val="21"/>
                <w:highlight w:val="none"/>
              </w:rPr>
            </w:pPr>
            <w:r>
              <w:rPr>
                <w:rFonts w:hint="eastAsia" w:ascii="宋体" w:hAnsi="宋体" w:cs="宋体"/>
                <w:bCs/>
                <w:color w:val="000000"/>
                <w:szCs w:val="21"/>
                <w:highlight w:val="none"/>
              </w:rPr>
              <w:t>▲服务期限</w:t>
            </w:r>
          </w:p>
        </w:tc>
        <w:tc>
          <w:tcPr>
            <w:tcW w:w="6194" w:type="dxa"/>
            <w:vAlign w:val="center"/>
          </w:tcPr>
          <w:p>
            <w:pPr>
              <w:ind w:left="-2" w:leftChars="-1" w:firstLine="2" w:firstLineChars="1"/>
              <w:rPr>
                <w:rFonts w:hint="eastAsia" w:ascii="宋体" w:hAnsi="宋体"/>
                <w:bCs/>
                <w:color w:val="000000"/>
                <w:szCs w:val="21"/>
                <w:highlight w:val="none"/>
              </w:rPr>
            </w:pPr>
            <w:r>
              <w:rPr>
                <w:rFonts w:hint="eastAsia" w:ascii="宋体" w:hAnsi="宋体" w:cs="宋体"/>
                <w:bCs/>
                <w:color w:val="000000"/>
                <w:szCs w:val="21"/>
                <w:highlight w:val="none"/>
              </w:rPr>
              <w:t>详见本采购文件“第二部分 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97" w:type="dxa"/>
            <w:vAlign w:val="center"/>
          </w:tcPr>
          <w:p>
            <w:pPr>
              <w:jc w:val="center"/>
              <w:rPr>
                <w:rFonts w:hint="eastAsia" w:ascii="宋体" w:hAnsi="宋体"/>
                <w:color w:val="000000"/>
                <w:szCs w:val="21"/>
                <w:highlight w:val="none"/>
              </w:rPr>
            </w:pPr>
            <w:r>
              <w:rPr>
                <w:rFonts w:hint="eastAsia" w:ascii="宋体" w:hAnsi="宋体" w:cs="宋体"/>
                <w:color w:val="000000"/>
                <w:szCs w:val="21"/>
                <w:highlight w:val="none"/>
              </w:rPr>
              <w:t>5</w:t>
            </w:r>
          </w:p>
        </w:tc>
        <w:tc>
          <w:tcPr>
            <w:tcW w:w="2154" w:type="dxa"/>
            <w:vAlign w:val="center"/>
          </w:tcPr>
          <w:p>
            <w:pPr>
              <w:jc w:val="center"/>
              <w:rPr>
                <w:rFonts w:hint="eastAsia" w:ascii="宋体" w:hAnsi="宋体"/>
                <w:bCs/>
                <w:color w:val="000000"/>
                <w:szCs w:val="21"/>
                <w:highlight w:val="none"/>
              </w:rPr>
            </w:pPr>
            <w:r>
              <w:rPr>
                <w:rFonts w:hint="eastAsia" w:ascii="宋体" w:hAnsi="宋体" w:cs="宋体"/>
                <w:bCs/>
                <w:color w:val="000000"/>
                <w:szCs w:val="21"/>
                <w:highlight w:val="none"/>
              </w:rPr>
              <w:t>评标办法</w:t>
            </w:r>
          </w:p>
        </w:tc>
        <w:tc>
          <w:tcPr>
            <w:tcW w:w="6194" w:type="dxa"/>
            <w:vAlign w:val="center"/>
          </w:tcPr>
          <w:p>
            <w:pPr>
              <w:jc w:val="left"/>
              <w:rPr>
                <w:rFonts w:hint="eastAsia" w:ascii="宋体" w:hAnsi="宋体" w:cs="宋体"/>
                <w:szCs w:val="21"/>
                <w:highlight w:val="none"/>
              </w:rPr>
            </w:pPr>
            <w:r>
              <w:rPr>
                <w:rFonts w:hint="eastAsia" w:ascii="宋体" w:hAnsi="宋体" w:cs="宋体"/>
                <w:bCs/>
                <w:color w:val="000000"/>
                <w:kern w:val="0"/>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97" w:type="dxa"/>
            <w:vAlign w:val="center"/>
          </w:tcPr>
          <w:p>
            <w:pPr>
              <w:jc w:val="center"/>
              <w:rPr>
                <w:rFonts w:hint="eastAsia" w:ascii="宋体" w:hAnsi="宋体"/>
                <w:color w:val="000000"/>
                <w:szCs w:val="21"/>
                <w:highlight w:val="none"/>
              </w:rPr>
            </w:pPr>
            <w:r>
              <w:rPr>
                <w:rFonts w:hint="eastAsia" w:ascii="宋体" w:hAnsi="宋体" w:cs="宋体"/>
                <w:color w:val="000000"/>
                <w:szCs w:val="21"/>
                <w:highlight w:val="none"/>
              </w:rPr>
              <w:t>6</w:t>
            </w:r>
          </w:p>
        </w:tc>
        <w:tc>
          <w:tcPr>
            <w:tcW w:w="2154" w:type="dxa"/>
            <w:vAlign w:val="center"/>
          </w:tcPr>
          <w:p>
            <w:pPr>
              <w:jc w:val="center"/>
              <w:rPr>
                <w:rFonts w:hint="eastAsia" w:ascii="宋体" w:hAnsi="宋体"/>
                <w:bCs/>
                <w:color w:val="000000"/>
                <w:szCs w:val="21"/>
                <w:highlight w:val="none"/>
              </w:rPr>
            </w:pPr>
            <w:r>
              <w:rPr>
                <w:rFonts w:hint="eastAsia" w:ascii="宋体" w:hAnsi="宋体" w:cs="宋体"/>
                <w:bCs/>
                <w:color w:val="000000"/>
                <w:szCs w:val="21"/>
                <w:highlight w:val="none"/>
              </w:rPr>
              <w:t>投标响应文件有效期</w:t>
            </w:r>
          </w:p>
        </w:tc>
        <w:tc>
          <w:tcPr>
            <w:tcW w:w="6194" w:type="dxa"/>
            <w:vAlign w:val="center"/>
          </w:tcPr>
          <w:p>
            <w:pPr>
              <w:pStyle w:val="32"/>
              <w:snapToGrid w:val="0"/>
              <w:spacing w:before="0" w:beforeAutospacing="0" w:after="0" w:afterAutospacing="0"/>
              <w:rPr>
                <w:rFonts w:hint="eastAsia"/>
                <w:szCs w:val="21"/>
                <w:highlight w:val="none"/>
              </w:rPr>
            </w:pPr>
            <w:r>
              <w:rPr>
                <w:rFonts w:hint="eastAsia" w:cs="宋体"/>
                <w:sz w:val="21"/>
                <w:szCs w:val="21"/>
                <w:highlight w:val="none"/>
              </w:rPr>
              <w:t>自投标响应文件提交截止之日起90天内有效。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897" w:type="dxa"/>
            <w:vAlign w:val="center"/>
          </w:tcPr>
          <w:p>
            <w:pPr>
              <w:jc w:val="center"/>
              <w:rPr>
                <w:rFonts w:hint="eastAsia" w:ascii="宋体" w:hAnsi="宋体"/>
                <w:color w:val="000000"/>
                <w:szCs w:val="21"/>
                <w:highlight w:val="none"/>
              </w:rPr>
            </w:pPr>
            <w:r>
              <w:rPr>
                <w:rFonts w:hint="eastAsia" w:ascii="宋体" w:hAnsi="宋体" w:cs="宋体"/>
                <w:color w:val="000000"/>
                <w:szCs w:val="21"/>
                <w:highlight w:val="none"/>
              </w:rPr>
              <w:t>7</w:t>
            </w:r>
          </w:p>
        </w:tc>
        <w:tc>
          <w:tcPr>
            <w:tcW w:w="2154" w:type="dxa"/>
            <w:vAlign w:val="center"/>
          </w:tcPr>
          <w:p>
            <w:pPr>
              <w:jc w:val="center"/>
              <w:rPr>
                <w:rFonts w:hint="eastAsia" w:ascii="宋体" w:hAnsi="宋体"/>
                <w:bCs/>
                <w:color w:val="000000"/>
                <w:szCs w:val="21"/>
                <w:highlight w:val="none"/>
              </w:rPr>
            </w:pPr>
            <w:r>
              <w:rPr>
                <w:rFonts w:hint="eastAsia" w:ascii="宋体" w:hAnsi="宋体" w:cs="宋体"/>
                <w:bCs/>
                <w:color w:val="000000"/>
                <w:szCs w:val="21"/>
                <w:highlight w:val="none"/>
              </w:rPr>
              <w:t>履约保证金</w:t>
            </w:r>
          </w:p>
        </w:tc>
        <w:tc>
          <w:tcPr>
            <w:tcW w:w="6194" w:type="dxa"/>
            <w:vAlign w:val="center"/>
          </w:tcPr>
          <w:p>
            <w:pPr>
              <w:rPr>
                <w:rFonts w:hint="eastAsia" w:ascii="宋体" w:hAnsi="宋体" w:cs="宋体"/>
                <w:bCs/>
                <w:szCs w:val="21"/>
                <w:highlight w:val="none"/>
              </w:rPr>
            </w:pPr>
            <w:r>
              <w:rPr>
                <w:rFonts w:hint="eastAsia" w:ascii="宋体" w:hAnsi="宋体" w:cs="宋体"/>
                <w:bCs/>
                <w:szCs w:val="21"/>
                <w:highlight w:val="none"/>
              </w:rPr>
              <w:t>本项目履约保证金：</w:t>
            </w:r>
            <w:r>
              <w:rPr>
                <w:rFonts w:hint="eastAsia" w:ascii="宋体" w:hAnsi="宋体" w:cs="宋体"/>
                <w:bCs/>
                <w:szCs w:val="21"/>
                <w:highlight w:val="none"/>
                <w:u w:val="single"/>
              </w:rPr>
              <w:t>合同金额的</w:t>
            </w:r>
            <w:r>
              <w:rPr>
                <w:rFonts w:hint="eastAsia" w:ascii="宋体" w:hAnsi="宋体" w:cs="宋体"/>
                <w:bCs/>
                <w:szCs w:val="21"/>
                <w:highlight w:val="none"/>
                <w:u w:val="single"/>
                <w:lang w:val="en-US" w:eastAsia="zh-CN"/>
              </w:rPr>
              <w:t>3</w:t>
            </w:r>
            <w:r>
              <w:rPr>
                <w:rFonts w:hint="eastAsia" w:ascii="宋体" w:hAnsi="宋体" w:cs="宋体"/>
                <w:bCs/>
                <w:szCs w:val="21"/>
                <w:highlight w:val="none"/>
                <w:u w:val="single"/>
              </w:rPr>
              <w:t>%。</w:t>
            </w:r>
          </w:p>
          <w:p>
            <w:pPr>
              <w:rPr>
                <w:rFonts w:hint="eastAsia" w:ascii="宋体" w:hAnsi="宋体" w:cs="宋体"/>
                <w:bCs/>
                <w:szCs w:val="21"/>
                <w:highlight w:val="none"/>
              </w:rPr>
            </w:pPr>
            <w:r>
              <w:rPr>
                <w:rFonts w:hint="eastAsia" w:ascii="宋体" w:hAnsi="宋体" w:cs="宋体"/>
                <w:bCs/>
                <w:szCs w:val="21"/>
                <w:highlight w:val="none"/>
              </w:rPr>
              <w:t>1.签订合同前，中标供应商均须向采购人递交履约保证金（允许以银行转帐，现金，银行保函形式提交），未按规定提交履约保证金则采购人有权拒签合同。</w:t>
            </w:r>
          </w:p>
          <w:p>
            <w:pPr>
              <w:rPr>
                <w:rFonts w:hint="eastAsia" w:ascii="宋体" w:hAnsi="宋体" w:cs="宋体"/>
                <w:bCs/>
                <w:szCs w:val="21"/>
                <w:highlight w:val="none"/>
              </w:rPr>
            </w:pPr>
            <w:r>
              <w:rPr>
                <w:rFonts w:hint="eastAsia" w:ascii="宋体" w:hAnsi="宋体" w:cs="宋体"/>
                <w:bCs/>
                <w:szCs w:val="21"/>
                <w:highlight w:val="none"/>
              </w:rPr>
              <w:t>2.服务合同履行终止且所有义务已履行完毕后7个工作日内退还（不计息）。</w:t>
            </w:r>
          </w:p>
          <w:p>
            <w:pPr>
              <w:rPr>
                <w:highlight w:val="none"/>
              </w:rPr>
            </w:pPr>
            <w:r>
              <w:rPr>
                <w:rFonts w:hint="eastAsia" w:ascii="宋体" w:hAnsi="宋体" w:cs="宋体"/>
                <w:bCs/>
                <w:szCs w:val="21"/>
                <w:highlight w:val="none"/>
              </w:rPr>
              <w:t>3.供应商不能按期保质保量完成项目建设或交货的，除承担相关责任外，采购人可相应没收合同履约保证金。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897" w:type="dxa"/>
            <w:vAlign w:val="center"/>
          </w:tcPr>
          <w:p>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8</w:t>
            </w:r>
          </w:p>
        </w:tc>
        <w:tc>
          <w:tcPr>
            <w:tcW w:w="2154" w:type="dxa"/>
            <w:vAlign w:val="center"/>
          </w:tcPr>
          <w:p>
            <w:pPr>
              <w:jc w:val="center"/>
              <w:rPr>
                <w:rFonts w:hint="eastAsia" w:ascii="宋体" w:hAnsi="宋体"/>
                <w:bCs/>
                <w:color w:val="000000"/>
                <w:szCs w:val="21"/>
                <w:highlight w:val="none"/>
              </w:rPr>
            </w:pPr>
            <w:r>
              <w:rPr>
                <w:rFonts w:hint="eastAsia" w:ascii="宋体" w:hAnsi="宋体" w:cs="宋体"/>
                <w:color w:val="000000"/>
                <w:szCs w:val="21"/>
                <w:highlight w:val="none"/>
              </w:rPr>
              <w:t>投标响应文件形式、制作及组成</w:t>
            </w:r>
          </w:p>
        </w:tc>
        <w:tc>
          <w:tcPr>
            <w:tcW w:w="6194" w:type="dxa"/>
            <w:vAlign w:val="center"/>
          </w:tcPr>
          <w:p>
            <w:pPr>
              <w:rPr>
                <w:rFonts w:hint="eastAsia" w:ascii="宋体" w:hAnsi="宋体" w:cs="宋体"/>
                <w:bCs/>
                <w:szCs w:val="21"/>
                <w:highlight w:val="none"/>
              </w:rPr>
            </w:pPr>
            <w:r>
              <w:rPr>
                <w:rFonts w:hint="eastAsia" w:ascii="宋体" w:hAnsi="宋体" w:cs="宋体"/>
                <w:bCs/>
                <w:szCs w:val="21"/>
                <w:highlight w:val="none"/>
              </w:rPr>
              <w:t>1. 电子加密投标响应文件：乐采云平台在线提交、上传一份；</w:t>
            </w:r>
          </w:p>
          <w:p>
            <w:pPr>
              <w:rPr>
                <w:rFonts w:hint="eastAsia" w:ascii="宋体" w:hAnsi="宋体" w:cs="宋体"/>
                <w:bCs/>
                <w:szCs w:val="21"/>
                <w:highlight w:val="none"/>
              </w:rPr>
            </w:pPr>
            <w:r>
              <w:rPr>
                <w:rFonts w:hint="eastAsia" w:ascii="宋体" w:hAnsi="宋体" w:cs="宋体"/>
                <w:bCs/>
                <w:szCs w:val="21"/>
                <w:highlight w:val="none"/>
              </w:rPr>
              <w:t>2. 备份投标响应文件（乐采云平台上最后生成的具备电子签章的备份投标响应文件，文件名后缀为备份文件四字的首字母）：电子邮件提交一份，由投标供应商自行确定是否提交；若提交请将备份投标响应文件打包压缩加密后以电子邮件的形式发送至</w:t>
            </w:r>
            <w:r>
              <w:rPr>
                <w:rFonts w:hint="eastAsia" w:ascii="宋体" w:hAnsi="宋体" w:cs="宋体"/>
                <w:bCs/>
                <w:szCs w:val="21"/>
                <w:highlight w:val="none"/>
                <w:lang w:eastAsia="zh-CN"/>
              </w:rPr>
              <w:t>sha7479@qq.com</w:t>
            </w:r>
            <w:r>
              <w:rPr>
                <w:rFonts w:hint="eastAsia" w:ascii="宋体" w:hAnsi="宋体" w:cs="宋体"/>
                <w:bCs/>
                <w:szCs w:val="21"/>
                <w:highlight w:val="none"/>
              </w:rPr>
              <w:t>。</w:t>
            </w:r>
          </w:p>
          <w:p>
            <w:pPr>
              <w:adjustRightInd w:val="0"/>
              <w:snapToGrid w:val="0"/>
              <w:jc w:val="left"/>
              <w:rPr>
                <w:rFonts w:hint="eastAsia" w:ascii="宋体" w:hAnsi="宋体"/>
                <w:color w:val="000000"/>
                <w:szCs w:val="21"/>
                <w:highlight w:val="none"/>
              </w:rPr>
            </w:pPr>
            <w:r>
              <w:rPr>
                <w:rFonts w:hint="eastAsia" w:ascii="宋体" w:hAnsi="宋体" w:cs="宋体"/>
                <w:bCs/>
                <w:szCs w:val="21"/>
                <w:highlight w:val="none"/>
              </w:rPr>
              <w:t>注：投标供应商在线解密失败后，启用备份投标响应文件，否则不启用备份投标响应文件。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7" w:type="dxa"/>
            <w:vAlign w:val="center"/>
          </w:tcPr>
          <w:p>
            <w:pPr>
              <w:jc w:val="center"/>
              <w:rPr>
                <w:rFonts w:hint="eastAsia" w:ascii="宋体" w:hAnsi="宋体"/>
                <w:bCs/>
                <w:color w:val="000000"/>
                <w:szCs w:val="21"/>
                <w:highlight w:val="none"/>
              </w:rPr>
            </w:pPr>
            <w:r>
              <w:rPr>
                <w:rFonts w:hint="eastAsia" w:ascii="宋体" w:hAnsi="宋体" w:cs="宋体"/>
                <w:color w:val="000000"/>
                <w:szCs w:val="21"/>
                <w:highlight w:val="none"/>
              </w:rPr>
              <w:t>9</w:t>
            </w:r>
          </w:p>
        </w:tc>
        <w:tc>
          <w:tcPr>
            <w:tcW w:w="2154" w:type="dxa"/>
            <w:vAlign w:val="center"/>
          </w:tcPr>
          <w:p>
            <w:pPr>
              <w:jc w:val="center"/>
              <w:rPr>
                <w:rFonts w:hint="eastAsia" w:ascii="宋体" w:hAnsi="宋体"/>
                <w:bCs/>
                <w:color w:val="000000"/>
                <w:szCs w:val="21"/>
                <w:highlight w:val="none"/>
              </w:rPr>
            </w:pPr>
            <w:r>
              <w:rPr>
                <w:rFonts w:hint="eastAsia" w:ascii="宋体" w:hAnsi="宋体" w:cs="宋体"/>
                <w:bCs/>
                <w:color w:val="000000"/>
                <w:szCs w:val="21"/>
                <w:highlight w:val="none"/>
              </w:rPr>
              <w:t>投标响应文件提交截止时间及地点</w:t>
            </w:r>
          </w:p>
        </w:tc>
        <w:tc>
          <w:tcPr>
            <w:tcW w:w="6194" w:type="dxa"/>
            <w:vAlign w:val="center"/>
          </w:tcPr>
          <w:p>
            <w:pPr>
              <w:pStyle w:val="32"/>
              <w:snapToGrid w:val="0"/>
              <w:spacing w:before="0" w:beforeAutospacing="0" w:after="0" w:afterAutospacing="0"/>
              <w:rPr>
                <w:rFonts w:hint="eastAsia"/>
                <w:bCs/>
                <w:szCs w:val="21"/>
                <w:highlight w:val="none"/>
              </w:rPr>
            </w:pPr>
            <w:r>
              <w:rPr>
                <w:rFonts w:hint="eastAsia" w:cs="宋体"/>
                <w:sz w:val="21"/>
                <w:szCs w:val="21"/>
                <w:highlight w:val="none"/>
              </w:rPr>
              <w:t>详见 第一部分 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7" w:type="dxa"/>
            <w:vAlign w:val="center"/>
          </w:tcPr>
          <w:p>
            <w:pPr>
              <w:jc w:val="center"/>
              <w:rPr>
                <w:rFonts w:hint="eastAsia" w:ascii="宋体" w:hAnsi="宋体"/>
                <w:bCs/>
                <w:color w:val="000000"/>
                <w:szCs w:val="21"/>
                <w:highlight w:val="none"/>
              </w:rPr>
            </w:pPr>
            <w:r>
              <w:rPr>
                <w:rFonts w:hint="eastAsia" w:ascii="宋体" w:hAnsi="宋体" w:cs="宋体"/>
                <w:color w:val="000000"/>
                <w:szCs w:val="21"/>
                <w:highlight w:val="none"/>
              </w:rPr>
              <w:t>9</w:t>
            </w:r>
          </w:p>
        </w:tc>
        <w:tc>
          <w:tcPr>
            <w:tcW w:w="2154" w:type="dxa"/>
            <w:vAlign w:val="center"/>
          </w:tcPr>
          <w:p>
            <w:pPr>
              <w:jc w:val="center"/>
              <w:rPr>
                <w:rFonts w:hint="eastAsia" w:ascii="宋体" w:hAnsi="宋体"/>
                <w:bCs/>
                <w:color w:val="000000"/>
                <w:szCs w:val="21"/>
                <w:highlight w:val="none"/>
              </w:rPr>
            </w:pPr>
            <w:r>
              <w:rPr>
                <w:rFonts w:hint="eastAsia" w:ascii="宋体" w:hAnsi="宋体" w:cs="宋体"/>
                <w:bCs/>
                <w:color w:val="000000"/>
                <w:szCs w:val="21"/>
                <w:highlight w:val="none"/>
              </w:rPr>
              <w:t>投标响应文件提交截止时间及地点</w:t>
            </w:r>
          </w:p>
        </w:tc>
        <w:tc>
          <w:tcPr>
            <w:tcW w:w="6194" w:type="dxa"/>
            <w:vAlign w:val="center"/>
          </w:tcPr>
          <w:p>
            <w:pPr>
              <w:pStyle w:val="32"/>
              <w:snapToGrid w:val="0"/>
              <w:spacing w:before="0" w:beforeAutospacing="0" w:after="0" w:afterAutospacing="0"/>
              <w:rPr>
                <w:rFonts w:hint="eastAsia"/>
                <w:highlight w:val="none"/>
              </w:rPr>
            </w:pPr>
            <w:r>
              <w:rPr>
                <w:rFonts w:hint="eastAsia" w:cs="宋体"/>
                <w:sz w:val="21"/>
                <w:szCs w:val="21"/>
                <w:highlight w:val="none"/>
              </w:rPr>
              <w:t>详见 第一部分 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97" w:type="dxa"/>
            <w:vAlign w:val="center"/>
          </w:tcPr>
          <w:p>
            <w:pPr>
              <w:jc w:val="center"/>
              <w:rPr>
                <w:rFonts w:hint="eastAsia" w:ascii="宋体" w:hAnsi="宋体"/>
                <w:bCs/>
                <w:color w:val="000000"/>
                <w:szCs w:val="21"/>
                <w:highlight w:val="none"/>
              </w:rPr>
            </w:pPr>
            <w:r>
              <w:rPr>
                <w:rFonts w:hint="eastAsia" w:ascii="宋体" w:hAnsi="宋体" w:cs="宋体"/>
                <w:color w:val="000000"/>
                <w:szCs w:val="21"/>
                <w:highlight w:val="none"/>
              </w:rPr>
              <w:t>13</w:t>
            </w:r>
          </w:p>
        </w:tc>
        <w:tc>
          <w:tcPr>
            <w:tcW w:w="2154" w:type="dxa"/>
            <w:vAlign w:val="center"/>
          </w:tcPr>
          <w:p>
            <w:pPr>
              <w:autoSpaceDE w:val="0"/>
              <w:autoSpaceDN w:val="0"/>
              <w:adjustRightInd w:val="0"/>
              <w:jc w:val="center"/>
              <w:rPr>
                <w:rFonts w:hint="eastAsia" w:ascii="宋体" w:hAnsi="宋体"/>
                <w:szCs w:val="21"/>
                <w:highlight w:val="none"/>
                <w:lang w:val="zh-CN"/>
              </w:rPr>
            </w:pPr>
            <w:r>
              <w:rPr>
                <w:rFonts w:hint="eastAsia" w:ascii="宋体" w:hAnsi="宋体" w:cs="宋体"/>
                <w:bCs/>
                <w:color w:val="000000"/>
                <w:szCs w:val="21"/>
                <w:highlight w:val="none"/>
              </w:rPr>
              <w:t>▲项目最高限价</w:t>
            </w:r>
          </w:p>
        </w:tc>
        <w:tc>
          <w:tcPr>
            <w:tcW w:w="6194" w:type="dxa"/>
            <w:vAlign w:val="center"/>
          </w:tcPr>
          <w:p>
            <w:pPr>
              <w:widowControl/>
              <w:adjustRightInd w:val="0"/>
              <w:snapToGrid w:val="0"/>
              <w:spacing w:line="300" w:lineRule="auto"/>
              <w:rPr>
                <w:rFonts w:hint="eastAsia" w:ascii="宋体" w:hAnsi="宋体"/>
                <w:color w:val="000000"/>
                <w:kern w:val="0"/>
                <w:szCs w:val="21"/>
                <w:highlight w:val="none"/>
                <w:lang w:val="zh-CN"/>
              </w:rPr>
            </w:pPr>
            <w:r>
              <w:rPr>
                <w:rFonts w:hint="eastAsia" w:ascii="宋体" w:hAnsi="宋体" w:cs="宋体"/>
                <w:b/>
                <w:bCs w:val="0"/>
                <w:sz w:val="21"/>
                <w:szCs w:val="21"/>
                <w:highlight w:val="none"/>
              </w:rPr>
              <w:t>本项目投标报价的最高限价为人民币</w:t>
            </w:r>
            <w:r>
              <w:rPr>
                <w:rFonts w:hint="eastAsia" w:ascii="宋体" w:hAnsi="宋体" w:cs="宋体"/>
                <w:b/>
                <w:bCs w:val="0"/>
                <w:color w:val="0000FF"/>
                <w:sz w:val="21"/>
                <w:szCs w:val="21"/>
                <w:highlight w:val="none"/>
                <w:u w:val="single"/>
                <w:lang w:val="en-US" w:eastAsia="zh-CN"/>
              </w:rPr>
              <w:t xml:space="preserve"> 362.703</w:t>
            </w:r>
            <w:r>
              <w:rPr>
                <w:rFonts w:hint="eastAsia" w:ascii="宋体" w:hAnsi="宋体" w:cs="宋体"/>
                <w:b/>
                <w:bCs w:val="0"/>
                <w:color w:val="0000FF"/>
                <w:sz w:val="21"/>
                <w:szCs w:val="21"/>
                <w:highlight w:val="none"/>
                <w:u w:val="single"/>
              </w:rPr>
              <w:t>万元</w:t>
            </w:r>
            <w:r>
              <w:rPr>
                <w:rFonts w:hint="eastAsia" w:ascii="宋体" w:hAnsi="宋体" w:cs="宋体"/>
                <w:b/>
                <w:bCs w:val="0"/>
                <w:sz w:val="21"/>
                <w:szCs w:val="21"/>
                <w:highlight w:val="none"/>
              </w:rPr>
              <w:t>。如供应商的报价超过最高限价的，其响应文件作无效标处理。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97" w:type="dxa"/>
            <w:vAlign w:val="center"/>
          </w:tcPr>
          <w:p>
            <w:pPr>
              <w:jc w:val="center"/>
              <w:rPr>
                <w:rFonts w:hint="eastAsia" w:ascii="宋体" w:hAnsi="宋体"/>
                <w:bCs/>
                <w:color w:val="000000"/>
                <w:szCs w:val="21"/>
                <w:highlight w:val="none"/>
              </w:rPr>
            </w:pPr>
            <w:r>
              <w:rPr>
                <w:rFonts w:hint="eastAsia" w:ascii="宋体" w:hAnsi="宋体" w:cs="宋体"/>
                <w:szCs w:val="21"/>
                <w:highlight w:val="none"/>
              </w:rPr>
              <w:t>14</w:t>
            </w:r>
          </w:p>
        </w:tc>
        <w:tc>
          <w:tcPr>
            <w:tcW w:w="2154" w:type="dxa"/>
            <w:vAlign w:val="center"/>
          </w:tcPr>
          <w:p>
            <w:pPr>
              <w:autoSpaceDE w:val="0"/>
              <w:autoSpaceDN w:val="0"/>
              <w:adjustRightInd w:val="0"/>
              <w:jc w:val="center"/>
              <w:rPr>
                <w:rFonts w:hint="eastAsia" w:ascii="宋体" w:hAnsi="宋体"/>
                <w:bCs/>
                <w:szCs w:val="21"/>
                <w:highlight w:val="none"/>
              </w:rPr>
            </w:pPr>
            <w:r>
              <w:rPr>
                <w:rFonts w:hint="eastAsia" w:ascii="宋体" w:hAnsi="宋体" w:cs="宋体"/>
                <w:szCs w:val="21"/>
                <w:highlight w:val="none"/>
              </w:rPr>
              <w:t>解释权</w:t>
            </w:r>
          </w:p>
        </w:tc>
        <w:tc>
          <w:tcPr>
            <w:tcW w:w="6194" w:type="dxa"/>
            <w:vAlign w:val="center"/>
          </w:tcPr>
          <w:p>
            <w:pPr>
              <w:autoSpaceDE w:val="0"/>
              <w:autoSpaceDN w:val="0"/>
              <w:adjustRightInd w:val="0"/>
              <w:rPr>
                <w:rFonts w:hint="eastAsia" w:ascii="宋体" w:hAnsi="宋体"/>
                <w:kern w:val="0"/>
                <w:szCs w:val="21"/>
                <w:highlight w:val="none"/>
              </w:rPr>
            </w:pPr>
            <w:r>
              <w:rPr>
                <w:rFonts w:hint="eastAsia" w:ascii="宋体" w:hAnsi="宋体" w:cs="宋体"/>
                <w:szCs w:val="21"/>
                <w:highlight w:val="none"/>
              </w:rPr>
              <w:t>本采购文件解释权属于采购单位（采购人和采购代理机构）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97" w:type="dxa"/>
            <w:vAlign w:val="center"/>
          </w:tcPr>
          <w:p>
            <w:pPr>
              <w:jc w:val="center"/>
              <w:rPr>
                <w:rFonts w:hint="eastAsia" w:ascii="宋体" w:hAnsi="宋体"/>
                <w:color w:val="000000"/>
                <w:szCs w:val="21"/>
                <w:highlight w:val="none"/>
              </w:rPr>
            </w:pPr>
            <w:r>
              <w:rPr>
                <w:rFonts w:hint="eastAsia" w:ascii="宋体" w:hAnsi="宋体" w:cs="宋体"/>
                <w:szCs w:val="21"/>
                <w:highlight w:val="none"/>
              </w:rPr>
              <w:t>15</w:t>
            </w:r>
          </w:p>
        </w:tc>
        <w:tc>
          <w:tcPr>
            <w:tcW w:w="2154" w:type="dxa"/>
            <w:vAlign w:val="center"/>
          </w:tcPr>
          <w:p>
            <w:pPr>
              <w:autoSpaceDE w:val="0"/>
              <w:autoSpaceDN w:val="0"/>
              <w:adjustRightInd w:val="0"/>
              <w:jc w:val="center"/>
              <w:rPr>
                <w:rFonts w:hint="eastAsia" w:ascii="宋体" w:hAnsi="宋体"/>
                <w:color w:val="000000"/>
                <w:kern w:val="0"/>
                <w:szCs w:val="21"/>
                <w:highlight w:val="none"/>
              </w:rPr>
            </w:pPr>
            <w:r>
              <w:rPr>
                <w:rFonts w:hint="eastAsia" w:ascii="宋体" w:hAnsi="宋体" w:cs="宋体"/>
                <w:szCs w:val="21"/>
                <w:highlight w:val="none"/>
              </w:rPr>
              <w:t>招标代理服务费</w:t>
            </w:r>
          </w:p>
        </w:tc>
        <w:tc>
          <w:tcPr>
            <w:tcW w:w="6194" w:type="dxa"/>
            <w:vAlign w:val="center"/>
          </w:tcPr>
          <w:p>
            <w:pPr>
              <w:autoSpaceDE w:val="0"/>
              <w:autoSpaceDN w:val="0"/>
              <w:adjustRightInd w:val="0"/>
              <w:rPr>
                <w:szCs w:val="21"/>
                <w:highlight w:val="none"/>
              </w:rPr>
            </w:pPr>
            <w:bookmarkStart w:id="30" w:name="OLE_LINK5"/>
            <w:r>
              <w:rPr>
                <w:rFonts w:hint="eastAsia"/>
                <w:highlight w:val="none"/>
                <w:lang w:val="zh-CN"/>
              </w:rPr>
              <w:t>代理服务费按仙城发〔2024〕31号文件规定的货物招标费率计取，按照中标通知书确定的中标总金额计算，由中标供应商负责支付，在领取中标（成交）通知书的同时一次性向代理机构缴清。</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97" w:type="dxa"/>
            <w:vAlign w:val="center"/>
          </w:tcPr>
          <w:p>
            <w:pPr>
              <w:jc w:val="center"/>
              <w:rPr>
                <w:rFonts w:hint="eastAsia" w:ascii="宋体" w:hAnsi="宋体"/>
                <w:color w:val="000000"/>
                <w:szCs w:val="21"/>
                <w:highlight w:val="none"/>
              </w:rPr>
            </w:pPr>
            <w:r>
              <w:rPr>
                <w:rFonts w:hint="eastAsia" w:ascii="宋体" w:hAnsi="宋体" w:cs="宋体"/>
                <w:szCs w:val="21"/>
                <w:highlight w:val="none"/>
              </w:rPr>
              <w:t>16</w:t>
            </w:r>
          </w:p>
        </w:tc>
        <w:tc>
          <w:tcPr>
            <w:tcW w:w="2154" w:type="dxa"/>
            <w:vAlign w:val="center"/>
          </w:tcPr>
          <w:p>
            <w:pPr>
              <w:autoSpaceDE w:val="0"/>
              <w:autoSpaceDN w:val="0"/>
              <w:adjustRightInd w:val="0"/>
              <w:jc w:val="center"/>
              <w:rPr>
                <w:rFonts w:hint="eastAsia" w:ascii="宋体" w:hAnsi="宋体"/>
                <w:color w:val="000000"/>
                <w:kern w:val="0"/>
                <w:szCs w:val="21"/>
                <w:highlight w:val="none"/>
              </w:rPr>
            </w:pPr>
            <w:r>
              <w:rPr>
                <w:b/>
                <w:color w:val="000000" w:themeColor="text1"/>
                <w:highlight w:val="none"/>
                <w14:textFill>
                  <w14:solidFill>
                    <w14:schemeClr w14:val="tx1"/>
                  </w14:solidFill>
                </w14:textFill>
              </w:rPr>
              <w:t>本项目所有公告发布网站</w:t>
            </w:r>
          </w:p>
        </w:tc>
        <w:tc>
          <w:tcPr>
            <w:tcW w:w="6194" w:type="dxa"/>
            <w:vAlign w:val="center"/>
          </w:tcPr>
          <w:p>
            <w:pPr>
              <w:autoSpaceDE w:val="0"/>
              <w:autoSpaceDN w:val="0"/>
              <w:adjustRightInd w:val="0"/>
              <w:rPr>
                <w:szCs w:val="21"/>
                <w:highlight w:val="none"/>
              </w:rPr>
            </w:pPr>
            <w:r>
              <w:rPr>
                <w:highlight w:val="none"/>
              </w:rPr>
              <w:t>“浙江政府采购网”（zfcg.czt.zj.gov.cn/）</w:t>
            </w:r>
            <w:r>
              <w:rPr>
                <w:color w:val="000000" w:themeColor="text1"/>
                <w:highlight w:val="none"/>
                <w14:textFill>
                  <w14:solidFill>
                    <w14:schemeClr w14:val="tx1"/>
                  </w14:solidFill>
                </w14:textFill>
              </w:rPr>
              <w:t>和</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仙居县公共资源交易网</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（http</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//www.zjxj.gov.cn/col/col1229347417/index.html）</w:t>
            </w:r>
          </w:p>
        </w:tc>
      </w:tr>
    </w:tbl>
    <w:p>
      <w:pPr>
        <w:rPr>
          <w:highlight w:val="none"/>
        </w:rPr>
        <w:sectPr>
          <w:pgSz w:w="11905" w:h="16838"/>
          <w:pgMar w:top="1417" w:right="1587" w:bottom="1417" w:left="1587" w:header="907" w:footer="924" w:gutter="0"/>
          <w:cols w:space="0" w:num="1"/>
          <w:docGrid w:type="lines" w:linePitch="304" w:charSpace="0"/>
        </w:sectPr>
      </w:pPr>
      <w:bookmarkStart w:id="31" w:name="_Toc508888786"/>
    </w:p>
    <w:p>
      <w:pPr>
        <w:pStyle w:val="5"/>
        <w:spacing w:before="0" w:after="0" w:line="360" w:lineRule="auto"/>
        <w:jc w:val="center"/>
        <w:rPr>
          <w:rFonts w:hint="eastAsia" w:ascii="宋体" w:hAnsi="宋体" w:eastAsia="宋体"/>
          <w:sz w:val="24"/>
          <w:szCs w:val="24"/>
          <w:highlight w:val="none"/>
        </w:rPr>
      </w:pPr>
      <w:bookmarkStart w:id="32" w:name="_Toc20559"/>
      <w:bookmarkStart w:id="33" w:name="_Toc5697"/>
      <w:bookmarkStart w:id="34" w:name="_Toc1828"/>
      <w:bookmarkStart w:id="35" w:name="_Toc32100"/>
      <w:bookmarkStart w:id="36" w:name="_Toc30983"/>
      <w:bookmarkStart w:id="37" w:name="_Toc528927414"/>
      <w:bookmarkStart w:id="38" w:name="_Toc30041"/>
      <w:r>
        <w:rPr>
          <w:rFonts w:hint="eastAsia" w:ascii="宋体" w:hAnsi="宋体" w:eastAsia="宋体"/>
          <w:sz w:val="24"/>
          <w:szCs w:val="24"/>
          <w:highlight w:val="none"/>
        </w:rPr>
        <w:t>一、总则</w:t>
      </w:r>
      <w:bookmarkEnd w:id="31"/>
      <w:bookmarkEnd w:id="32"/>
      <w:bookmarkEnd w:id="33"/>
      <w:bookmarkEnd w:id="34"/>
      <w:bookmarkEnd w:id="35"/>
      <w:bookmarkEnd w:id="36"/>
      <w:bookmarkEnd w:id="37"/>
      <w:bookmarkEnd w:id="38"/>
    </w:p>
    <w:p>
      <w:pPr>
        <w:widowControl/>
        <w:snapToGrid w:val="0"/>
        <w:spacing w:line="340" w:lineRule="exact"/>
        <w:jc w:val="left"/>
        <w:outlineLvl w:val="0"/>
        <w:rPr>
          <w:b/>
          <w:color w:val="000000" w:themeColor="text1"/>
          <w:highlight w:val="none"/>
          <w14:textFill>
            <w14:solidFill>
              <w14:schemeClr w14:val="tx1"/>
            </w14:solidFill>
          </w14:textFill>
        </w:rPr>
      </w:pPr>
      <w:bookmarkStart w:id="39" w:name="_Toc10881"/>
      <w:bookmarkStart w:id="40" w:name="_Toc408"/>
      <w:bookmarkStart w:id="41" w:name="_Toc11212"/>
      <w:bookmarkStart w:id="42" w:name="_Toc23039"/>
      <w:bookmarkStart w:id="43" w:name="_Toc24302"/>
      <w:bookmarkStart w:id="44" w:name="_Toc482195563"/>
      <w:bookmarkStart w:id="45" w:name="_Toc282640696"/>
      <w:bookmarkStart w:id="46" w:name="_Toc359860079"/>
      <w:bookmarkStart w:id="47" w:name="_Toc479667345"/>
      <w:bookmarkStart w:id="48" w:name="_Toc263676373"/>
      <w:bookmarkStart w:id="49" w:name="_Toc3761"/>
      <w:bookmarkStart w:id="50" w:name="_Toc479667067"/>
      <w:r>
        <w:rPr>
          <w:b/>
          <w:color w:val="000000" w:themeColor="text1"/>
          <w:highlight w:val="none"/>
          <w14:textFill>
            <w14:solidFill>
              <w14:schemeClr w14:val="tx1"/>
            </w14:solidFill>
          </w14:textFill>
        </w:rPr>
        <w:t>（一） 适用范围</w:t>
      </w:r>
      <w:bookmarkEnd w:id="39"/>
      <w:bookmarkEnd w:id="40"/>
      <w:bookmarkEnd w:id="41"/>
      <w:bookmarkEnd w:id="42"/>
    </w:p>
    <w:p>
      <w:pPr>
        <w:widowControl/>
        <w:snapToGrid w:val="0"/>
        <w:spacing w:line="340" w:lineRule="exact"/>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本招标文件适用</w:t>
      </w:r>
      <w:r>
        <w:rPr>
          <w:rFonts w:hint="eastAsia"/>
          <w:color w:val="000000" w:themeColor="text1"/>
          <w:highlight w:val="none"/>
          <w14:textFill>
            <w14:solidFill>
              <w14:schemeClr w14:val="tx1"/>
            </w14:solidFill>
          </w14:textFill>
        </w:rPr>
        <w:t>于“</w:t>
      </w:r>
      <w:r>
        <w:rPr>
          <w:rFonts w:hint="eastAsia" w:ascii="宋体" w:hAnsi="宋体" w:cs="宋体"/>
          <w:highlight w:val="none"/>
          <w:lang w:eastAsia="zh-CN"/>
        </w:rPr>
        <w:t>仙居县力天市政工程有限公司PE管材及配件、PPR管材及配件采购项目</w:t>
      </w:r>
      <w:r>
        <w:rPr>
          <w:rFonts w:hint="eastAsia" w:ascii="宋体" w:hAnsi="宋体" w:cs="宋体"/>
          <w:color w:val="000000" w:themeColor="text1"/>
          <w:szCs w:val="21"/>
          <w:highlight w:val="none"/>
          <w14:textFill>
            <w14:solidFill>
              <w14:schemeClr w14:val="tx1"/>
            </w14:solidFill>
          </w14:textFill>
        </w:rPr>
        <w:t>（非政府采购）</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项目的招标、评标、定标、验收、合同履约、付款等。</w:t>
      </w:r>
    </w:p>
    <w:p>
      <w:pPr>
        <w:widowControl/>
        <w:snapToGrid w:val="0"/>
        <w:spacing w:line="340" w:lineRule="exact"/>
        <w:jc w:val="left"/>
        <w:outlineLvl w:val="0"/>
        <w:rPr>
          <w:b/>
          <w:color w:val="000000" w:themeColor="text1"/>
          <w:highlight w:val="none"/>
          <w14:textFill>
            <w14:solidFill>
              <w14:schemeClr w14:val="tx1"/>
            </w14:solidFill>
          </w14:textFill>
        </w:rPr>
      </w:pPr>
      <w:bookmarkStart w:id="51" w:name="_Toc9930"/>
      <w:bookmarkStart w:id="52" w:name="_Toc26234"/>
      <w:bookmarkStart w:id="53" w:name="_Toc21654"/>
      <w:bookmarkStart w:id="54" w:name="_Toc25319"/>
      <w:r>
        <w:rPr>
          <w:b/>
          <w:color w:val="000000" w:themeColor="text1"/>
          <w:highlight w:val="none"/>
          <w14:textFill>
            <w14:solidFill>
              <w14:schemeClr w14:val="tx1"/>
            </w14:solidFill>
          </w14:textFill>
        </w:rPr>
        <w:t>（二）定义</w:t>
      </w:r>
      <w:bookmarkEnd w:id="51"/>
      <w:bookmarkEnd w:id="52"/>
      <w:bookmarkEnd w:id="53"/>
      <w:bookmarkEnd w:id="54"/>
    </w:p>
    <w:p>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1、“招标采购单位”系指组织本次采购的采购人（“招标人”）和代理机构。</w:t>
      </w:r>
    </w:p>
    <w:p>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2、“投标人”系指向招标采购单位提交投标文件的单位。</w:t>
      </w:r>
    </w:p>
    <w:p>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3、“产品”系指供方按招标文件规定，须向采购人提供的一切设备、保险、税金、备品备件、工具、手册及其它有关技术资料和材料。</w:t>
      </w:r>
    </w:p>
    <w:p>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4、“服务”系指招标文件规定投标人须承担的安装、调试、技术协助、校准、培训、技术指导以及其他类似的义务。</w:t>
      </w:r>
    </w:p>
    <w:p>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5、“项目”系指投标人按招标文件规定向采购人提供的产品和服务。</w:t>
      </w:r>
    </w:p>
    <w:p>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6、“书面形式”包括信函、传真、电子文档等。</w:t>
      </w:r>
    </w:p>
    <w:p>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7、“▲”系指实质性要求条款。</w:t>
      </w:r>
    </w:p>
    <w:p>
      <w:pPr>
        <w:widowControl/>
        <w:snapToGrid w:val="0"/>
        <w:spacing w:line="340" w:lineRule="exact"/>
        <w:jc w:val="left"/>
        <w:outlineLvl w:val="0"/>
        <w:rPr>
          <w:b/>
          <w:color w:val="000000" w:themeColor="text1"/>
          <w:highlight w:val="none"/>
          <w14:textFill>
            <w14:solidFill>
              <w14:schemeClr w14:val="tx1"/>
            </w14:solidFill>
          </w14:textFill>
        </w:rPr>
      </w:pPr>
      <w:bookmarkStart w:id="55" w:name="_Toc27049"/>
      <w:bookmarkStart w:id="56" w:name="_Toc8390"/>
      <w:bookmarkStart w:id="57" w:name="_Toc21822"/>
      <w:bookmarkStart w:id="58" w:name="_Toc30091"/>
      <w:r>
        <w:rPr>
          <w:b/>
          <w:color w:val="000000" w:themeColor="text1"/>
          <w:highlight w:val="none"/>
          <w14:textFill>
            <w14:solidFill>
              <w14:schemeClr w14:val="tx1"/>
            </w14:solidFill>
          </w14:textFill>
        </w:rPr>
        <w:t>（三）招标方式：</w:t>
      </w:r>
      <w:bookmarkEnd w:id="55"/>
      <w:bookmarkEnd w:id="56"/>
      <w:bookmarkEnd w:id="57"/>
      <w:bookmarkEnd w:id="58"/>
    </w:p>
    <w:p>
      <w:pPr>
        <w:widowControl/>
        <w:snapToGrid w:val="0"/>
        <w:spacing w:line="340" w:lineRule="exact"/>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本次招标采用</w:t>
      </w:r>
      <w:r>
        <w:rPr>
          <w:rFonts w:hint="eastAsia"/>
          <w:color w:val="000000" w:themeColor="text1"/>
          <w:highlight w:val="none"/>
          <w14:textFill>
            <w14:solidFill>
              <w14:schemeClr w14:val="tx1"/>
            </w14:solidFill>
          </w14:textFill>
        </w:rPr>
        <w:t>公开招标方式进行</w:t>
      </w:r>
      <w:r>
        <w:rPr>
          <w:color w:val="000000" w:themeColor="text1"/>
          <w:highlight w:val="none"/>
          <w14:textFill>
            <w14:solidFill>
              <w14:schemeClr w14:val="tx1"/>
            </w14:solidFill>
          </w14:textFill>
        </w:rPr>
        <w:t>。</w:t>
      </w:r>
    </w:p>
    <w:p>
      <w:pPr>
        <w:widowControl/>
        <w:snapToGrid w:val="0"/>
        <w:spacing w:line="340" w:lineRule="exact"/>
        <w:jc w:val="left"/>
        <w:outlineLvl w:val="0"/>
        <w:rPr>
          <w:b/>
          <w:color w:val="000000" w:themeColor="text1"/>
          <w:highlight w:val="none"/>
          <w14:textFill>
            <w14:solidFill>
              <w14:schemeClr w14:val="tx1"/>
            </w14:solidFill>
          </w14:textFill>
        </w:rPr>
      </w:pPr>
      <w:bookmarkStart w:id="59" w:name="_Toc23216"/>
      <w:bookmarkStart w:id="60" w:name="_Toc9717"/>
      <w:bookmarkStart w:id="61" w:name="_Toc485"/>
      <w:bookmarkStart w:id="62" w:name="_Toc21540"/>
      <w:r>
        <w:rPr>
          <w:b/>
          <w:color w:val="000000" w:themeColor="text1"/>
          <w:highlight w:val="none"/>
          <w14:textFill>
            <w14:solidFill>
              <w14:schemeClr w14:val="tx1"/>
            </w14:solidFill>
          </w14:textFill>
        </w:rPr>
        <w:t>（四）投标委托</w:t>
      </w:r>
      <w:bookmarkEnd w:id="59"/>
      <w:bookmarkEnd w:id="60"/>
      <w:bookmarkEnd w:id="61"/>
      <w:bookmarkEnd w:id="62"/>
    </w:p>
    <w:p>
      <w:pPr>
        <w:widowControl/>
        <w:snapToGrid w:val="0"/>
        <w:spacing w:line="340" w:lineRule="exact"/>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如投标人代表不是</w:t>
      </w:r>
      <w:r>
        <w:rPr>
          <w:rFonts w:hint="eastAsia"/>
          <w:color w:val="000000" w:themeColor="text1"/>
          <w:highlight w:val="none"/>
          <w14:textFill>
            <w14:solidFill>
              <w14:schemeClr w14:val="tx1"/>
            </w14:solidFill>
          </w14:textFill>
        </w:rPr>
        <w:t>法定代表人</w:t>
      </w:r>
      <w:r>
        <w:rPr>
          <w:color w:val="000000" w:themeColor="text1"/>
          <w:highlight w:val="none"/>
          <w14:textFill>
            <w14:solidFill>
              <w14:schemeClr w14:val="tx1"/>
            </w14:solidFill>
          </w14:textFill>
        </w:rPr>
        <w:t>，须有</w:t>
      </w:r>
      <w:r>
        <w:rPr>
          <w:rFonts w:hint="eastAsia"/>
          <w:color w:val="000000" w:themeColor="text1"/>
          <w:highlight w:val="none"/>
          <w14:textFill>
            <w14:solidFill>
              <w14:schemeClr w14:val="tx1"/>
            </w14:solidFill>
          </w14:textFill>
        </w:rPr>
        <w:t>法定代表人</w:t>
      </w:r>
      <w:r>
        <w:rPr>
          <w:color w:val="000000" w:themeColor="text1"/>
          <w:highlight w:val="none"/>
          <w14:textFill>
            <w14:solidFill>
              <w14:schemeClr w14:val="tx1"/>
            </w14:solidFill>
          </w14:textFill>
        </w:rPr>
        <w:t>出具</w:t>
      </w:r>
      <w:r>
        <w:rPr>
          <w:rFonts w:hint="eastAsia"/>
          <w:color w:val="000000" w:themeColor="text1"/>
          <w:highlight w:val="none"/>
          <w14:textFill>
            <w14:solidFill>
              <w14:schemeClr w14:val="tx1"/>
            </w14:solidFill>
          </w14:textFill>
        </w:rPr>
        <w:t>的针对本项目的</w:t>
      </w:r>
      <w:r>
        <w:rPr>
          <w:color w:val="000000" w:themeColor="text1"/>
          <w:highlight w:val="none"/>
          <w14:textFill>
            <w14:solidFill>
              <w14:schemeClr w14:val="tx1"/>
            </w14:solidFill>
          </w14:textFill>
        </w:rPr>
        <w:t>授权委托书。</w:t>
      </w:r>
    </w:p>
    <w:p>
      <w:pPr>
        <w:widowControl/>
        <w:snapToGrid w:val="0"/>
        <w:spacing w:line="340" w:lineRule="exact"/>
        <w:jc w:val="left"/>
        <w:outlineLvl w:val="0"/>
        <w:rPr>
          <w:b/>
          <w:color w:val="000000" w:themeColor="text1"/>
          <w:highlight w:val="none"/>
          <w14:textFill>
            <w14:solidFill>
              <w14:schemeClr w14:val="tx1"/>
            </w14:solidFill>
          </w14:textFill>
        </w:rPr>
      </w:pPr>
      <w:bookmarkStart w:id="63" w:name="_Toc28014"/>
      <w:bookmarkStart w:id="64" w:name="_Toc9377"/>
      <w:bookmarkStart w:id="65" w:name="_Toc24970"/>
      <w:bookmarkStart w:id="66" w:name="_Toc7196"/>
      <w:r>
        <w:rPr>
          <w:b/>
          <w:color w:val="000000" w:themeColor="text1"/>
          <w:highlight w:val="none"/>
          <w14:textFill>
            <w14:solidFill>
              <w14:schemeClr w14:val="tx1"/>
            </w14:solidFill>
          </w14:textFill>
        </w:rPr>
        <w:t>（五）投标费用</w:t>
      </w:r>
      <w:bookmarkEnd w:id="63"/>
      <w:bookmarkEnd w:id="64"/>
      <w:bookmarkEnd w:id="65"/>
      <w:bookmarkEnd w:id="66"/>
    </w:p>
    <w:p>
      <w:pPr>
        <w:widowControl/>
        <w:snapToGrid w:val="0"/>
        <w:spacing w:line="340" w:lineRule="exact"/>
        <w:ind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不论投标结果如何，投标人均应自行承担所有与投标有关的全部费用</w:t>
      </w:r>
      <w:r>
        <w:rPr>
          <w:rFonts w:hint="eastAsia"/>
          <w:color w:val="000000" w:themeColor="text1"/>
          <w:highlight w:val="none"/>
          <w14:textFill>
            <w14:solidFill>
              <w14:schemeClr w14:val="tx1"/>
            </w14:solidFill>
          </w14:textFill>
        </w:rPr>
        <w:t>（招标文件有另外规定的除外）。</w:t>
      </w:r>
    </w:p>
    <w:p>
      <w:pPr>
        <w:widowControl/>
        <w:snapToGrid w:val="0"/>
        <w:spacing w:line="340" w:lineRule="exact"/>
        <w:ind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2、本项目招标代理服务费由中标单位承担，具体收费标准见前附表。</w:t>
      </w:r>
    </w:p>
    <w:p>
      <w:pPr>
        <w:widowControl/>
        <w:snapToGrid w:val="0"/>
        <w:spacing w:line="340" w:lineRule="exact"/>
        <w:outlineLvl w:val="0"/>
        <w:rPr>
          <w:b/>
          <w:color w:val="000000" w:themeColor="text1"/>
          <w:highlight w:val="none"/>
          <w14:textFill>
            <w14:solidFill>
              <w14:schemeClr w14:val="tx1"/>
            </w14:solidFill>
          </w14:textFill>
        </w:rPr>
      </w:pPr>
      <w:bookmarkStart w:id="67" w:name="_Toc3047"/>
      <w:bookmarkStart w:id="68" w:name="_Toc6050"/>
      <w:bookmarkStart w:id="69" w:name="_Toc24703"/>
      <w:bookmarkStart w:id="70" w:name="_Toc9824"/>
      <w:r>
        <w:rPr>
          <w:b/>
          <w:color w:val="000000" w:themeColor="text1"/>
          <w:highlight w:val="none"/>
          <w14:textFill>
            <w14:solidFill>
              <w14:schemeClr w14:val="tx1"/>
            </w14:solidFill>
          </w14:textFill>
        </w:rPr>
        <w:t>（六）合格投标人的资格要求</w:t>
      </w:r>
      <w:bookmarkEnd w:id="67"/>
      <w:bookmarkEnd w:id="68"/>
      <w:bookmarkEnd w:id="69"/>
      <w:bookmarkEnd w:id="70"/>
    </w:p>
    <w:p>
      <w:pPr>
        <w:widowControl/>
        <w:snapToGrid w:val="0"/>
        <w:spacing w:line="340" w:lineRule="exact"/>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符合第一章第</w:t>
      </w:r>
      <w:r>
        <w:rPr>
          <w:rFonts w:hint="eastAsia"/>
          <w:color w:val="000000" w:themeColor="text1"/>
          <w:highlight w:val="none"/>
          <w14:textFill>
            <w14:solidFill>
              <w14:schemeClr w14:val="tx1"/>
            </w14:solidFill>
          </w14:textFill>
        </w:rPr>
        <w:t>四</w:t>
      </w:r>
      <w:r>
        <w:rPr>
          <w:color w:val="000000" w:themeColor="text1"/>
          <w:highlight w:val="none"/>
          <w14:textFill>
            <w14:solidFill>
              <w14:schemeClr w14:val="tx1"/>
            </w14:solidFill>
          </w14:textFill>
        </w:rPr>
        <w:t>条的规定。</w:t>
      </w:r>
    </w:p>
    <w:p>
      <w:pPr>
        <w:widowControl/>
        <w:snapToGrid w:val="0"/>
        <w:spacing w:line="340" w:lineRule="exact"/>
        <w:outlineLvl w:val="0"/>
        <w:rPr>
          <w:b/>
          <w:color w:val="000000" w:themeColor="text1"/>
          <w:highlight w:val="none"/>
          <w14:textFill>
            <w14:solidFill>
              <w14:schemeClr w14:val="tx1"/>
            </w14:solidFill>
          </w14:textFill>
        </w:rPr>
      </w:pPr>
      <w:bookmarkStart w:id="71" w:name="_Toc1312"/>
      <w:bookmarkStart w:id="72" w:name="_Toc24413"/>
      <w:bookmarkStart w:id="73" w:name="_Toc17947"/>
      <w:bookmarkStart w:id="74" w:name="_Toc25693"/>
      <w:r>
        <w:rPr>
          <w:b/>
          <w:color w:val="000000" w:themeColor="text1"/>
          <w:highlight w:val="none"/>
          <w14:textFill>
            <w14:solidFill>
              <w14:schemeClr w14:val="tx1"/>
            </w14:solidFill>
          </w14:textFill>
        </w:rPr>
        <w:t>（七）转包与分包</w:t>
      </w:r>
      <w:bookmarkEnd w:id="71"/>
      <w:bookmarkEnd w:id="72"/>
      <w:bookmarkEnd w:id="73"/>
      <w:bookmarkEnd w:id="74"/>
    </w:p>
    <w:p>
      <w:pPr>
        <w:widowControl/>
        <w:snapToGrid w:val="0"/>
        <w:spacing w:line="34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未经甲方同意禁止分包</w:t>
      </w:r>
      <w:r>
        <w:rPr>
          <w:color w:val="000000" w:themeColor="text1"/>
          <w:highlight w:val="none"/>
          <w14:textFill>
            <w14:solidFill>
              <w14:schemeClr w14:val="tx1"/>
            </w14:solidFill>
          </w14:textFill>
        </w:rPr>
        <w:t>。</w:t>
      </w:r>
    </w:p>
    <w:p>
      <w:pPr>
        <w:widowControl/>
        <w:snapToGrid w:val="0"/>
        <w:spacing w:line="340" w:lineRule="exact"/>
        <w:outlineLvl w:val="0"/>
        <w:rPr>
          <w:b/>
          <w:color w:val="000000" w:themeColor="text1"/>
          <w:highlight w:val="none"/>
          <w14:textFill>
            <w14:solidFill>
              <w14:schemeClr w14:val="tx1"/>
            </w14:solidFill>
          </w14:textFill>
        </w:rPr>
      </w:pPr>
      <w:bookmarkStart w:id="75" w:name="_Toc26278"/>
      <w:bookmarkStart w:id="76" w:name="_Toc9895"/>
      <w:bookmarkStart w:id="77" w:name="_Toc8938"/>
      <w:bookmarkStart w:id="78" w:name="_Toc299"/>
      <w:r>
        <w:rPr>
          <w:b/>
          <w:color w:val="000000" w:themeColor="text1"/>
          <w:highlight w:val="none"/>
          <w14:textFill>
            <w14:solidFill>
              <w14:schemeClr w14:val="tx1"/>
            </w14:solidFill>
          </w14:textFill>
        </w:rPr>
        <w:t>（八）特别说明：</w:t>
      </w:r>
      <w:bookmarkEnd w:id="75"/>
      <w:bookmarkEnd w:id="76"/>
      <w:bookmarkEnd w:id="77"/>
      <w:bookmarkEnd w:id="78"/>
    </w:p>
    <w:p>
      <w:pPr>
        <w:widowControl/>
        <w:snapToGrid w:val="0"/>
        <w:spacing w:line="360" w:lineRule="exact"/>
        <w:ind w:firstLine="210" w:firstLineChars="1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b/>
          <w:color w:val="000000" w:themeColor="text1"/>
          <w:highlight w:val="none"/>
          <w14:textFill>
            <w14:solidFill>
              <w14:schemeClr w14:val="tx1"/>
            </w14:solidFill>
          </w14:textFill>
        </w:rPr>
        <w:t>1、</w:t>
      </w:r>
      <w:r>
        <w:rPr>
          <w:rFonts w:hint="eastAsia"/>
          <w:b/>
          <w:color w:val="000000" w:themeColor="text1"/>
          <w:highlight w:val="none"/>
          <w14:textFill>
            <w14:solidFill>
              <w14:schemeClr w14:val="tx1"/>
            </w14:solidFill>
          </w14:textFill>
        </w:rPr>
        <w:t>投标人投标所使用的资格、信誉、荣誉、业绩与企业认证必须为本法人所拥有。投标人投标所使用的采购项目实施人员必须为本法人员工（指必须为本法人或控股公司正式员工）。若发现</w:t>
      </w:r>
      <w:r>
        <w:rPr>
          <w:b/>
          <w:color w:val="000000" w:themeColor="text1"/>
          <w:highlight w:val="none"/>
          <w14:textFill>
            <w14:solidFill>
              <w14:schemeClr w14:val="tx1"/>
            </w14:solidFill>
          </w14:textFill>
        </w:rPr>
        <w:t>投标人在投标活动中提供任何虚假材料或从事其他违法活动</w:t>
      </w:r>
      <w:r>
        <w:rPr>
          <w:rFonts w:hint="eastAsia"/>
          <w:b/>
          <w:color w:val="000000" w:themeColor="text1"/>
          <w:highlight w:val="none"/>
          <w14:textFill>
            <w14:solidFill>
              <w14:schemeClr w14:val="tx1"/>
            </w14:solidFill>
          </w14:textFill>
        </w:rPr>
        <w:t>（如为他人挂靠投标等）</w:t>
      </w:r>
      <w:r>
        <w:rPr>
          <w:b/>
          <w:color w:val="000000" w:themeColor="text1"/>
          <w:highlight w:val="none"/>
          <w14:textFill>
            <w14:solidFill>
              <w14:schemeClr w14:val="tx1"/>
            </w14:solidFill>
          </w14:textFill>
        </w:rPr>
        <w:t>的，其投标无效，并报监管部门查处；中标后发现的</w:t>
      </w:r>
      <w:r>
        <w:rPr>
          <w:rFonts w:hint="eastAsia"/>
          <w:b/>
          <w:color w:val="000000" w:themeColor="text1"/>
          <w:highlight w:val="none"/>
          <w14:textFill>
            <w14:solidFill>
              <w14:schemeClr w14:val="tx1"/>
            </w14:solidFill>
          </w14:textFill>
        </w:rPr>
        <w:t>，</w:t>
      </w:r>
      <w:r>
        <w:rPr>
          <w:b/>
          <w:color w:val="000000" w:themeColor="text1"/>
          <w:highlight w:val="none"/>
          <w14:textFill>
            <w14:solidFill>
              <w14:schemeClr w14:val="tx1"/>
            </w14:solidFill>
          </w14:textFill>
        </w:rPr>
        <w:t>中标人须依照《中华人民共和国消费者权益保护法》第49条之规定双倍赔偿采购人，且民事赔偿并不免除违法投标人的行政与刑事责任。</w:t>
      </w:r>
    </w:p>
    <w:p>
      <w:pPr>
        <w:widowControl/>
        <w:snapToGrid w:val="0"/>
        <w:spacing w:line="360" w:lineRule="exact"/>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、投标人应仔细阅读招标文件所有内容，对招标文件的要求作出实质性响应，按照招标文件的要求提交投标文件，并对所提供的全部资料的真实性承担法律责任。</w:t>
      </w:r>
    </w:p>
    <w:p>
      <w:pPr>
        <w:widowControl/>
        <w:snapToGrid w:val="0"/>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投标人所投产品除招标文件中明确规定要求“提供官网截图或相应检测报告的证明材料”以外，所有技术参数描述均以投标文件为准。投标人对所投产品技术参数的真实性承担法律责任。项目招标结束后、质疑期限内，如有质疑供应商认为中标人所投产品、投标文件技术参数与招标需求存在重大偏离、错误、甚至造假的情况，应提供具体有效的证明材料。</w:t>
      </w:r>
    </w:p>
    <w:p>
      <w:pPr>
        <w:widowControl/>
        <w:snapToGrid w:val="0"/>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使用综合评分法的货物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napToGrid w:val="0"/>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非单一产品采购项目，多家投标人提供的核心产品品牌相同的，按前款规定处理。</w:t>
      </w:r>
    </w:p>
    <w:p>
      <w:pPr>
        <w:widowControl/>
        <w:snapToGrid w:val="0"/>
        <w:spacing w:line="340" w:lineRule="exact"/>
        <w:ind w:firstLine="422"/>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5</w:t>
      </w:r>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投标人信用信息查询渠道及截止时点、信用信息查询记录和证据留存的具体方式、信用信息的使用规则：</w:t>
      </w:r>
    </w:p>
    <w:p>
      <w:pPr>
        <w:widowControl/>
        <w:snapToGrid w:val="0"/>
        <w:spacing w:line="340" w:lineRule="exact"/>
        <w:ind w:firstLine="420"/>
        <w:rPr>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① </w:t>
      </w:r>
      <w:r>
        <w:rPr>
          <w:rFonts w:hint="eastAsia"/>
          <w:color w:val="000000" w:themeColor="text1"/>
          <w:highlight w:val="none"/>
          <w14:textFill>
            <w14:solidFill>
              <w14:schemeClr w14:val="tx1"/>
            </w14:solidFill>
          </w14:textFill>
        </w:rPr>
        <w:t>查询渠道：“信用中国”（</w:t>
      </w:r>
      <w:r>
        <w:rPr>
          <w:rFonts w:hint="eastAsia"/>
          <w:color w:val="000000" w:themeColor="text1"/>
          <w:highlight w:val="none"/>
          <w:u w:val="single"/>
          <w14:textFill>
            <w14:solidFill>
              <w14:schemeClr w14:val="tx1"/>
            </w14:solidFill>
          </w14:textFill>
        </w:rPr>
        <w:t>www.creditchina.gov.cn</w:t>
      </w:r>
      <w:r>
        <w:rPr>
          <w:rFonts w:hint="eastAsia"/>
          <w:color w:val="000000" w:themeColor="text1"/>
          <w:highlight w:val="none"/>
          <w14:textFill>
            <w14:solidFill>
              <w14:schemeClr w14:val="tx1"/>
            </w14:solidFill>
          </w14:textFill>
        </w:rPr>
        <w:t>）、中国政府采购网（</w:t>
      </w:r>
      <w:r>
        <w:rPr>
          <w:rFonts w:hint="eastAsia"/>
          <w:color w:val="000000" w:themeColor="text1"/>
          <w:highlight w:val="none"/>
          <w:u w:val="single"/>
          <w14:textFill>
            <w14:solidFill>
              <w14:schemeClr w14:val="tx1"/>
            </w14:solidFill>
          </w14:textFill>
        </w:rPr>
        <w:t>www.ccgp.gov.cn</w:t>
      </w:r>
      <w:r>
        <w:rPr>
          <w:rFonts w:hint="eastAsia"/>
          <w:color w:val="000000" w:themeColor="text1"/>
          <w:highlight w:val="none"/>
          <w14:textFill>
            <w14:solidFill>
              <w14:schemeClr w14:val="tx1"/>
            </w14:solidFill>
          </w14:textFill>
        </w:rPr>
        <w:t>）。</w:t>
      </w:r>
    </w:p>
    <w:p>
      <w:pPr>
        <w:widowControl/>
        <w:snapToGrid w:val="0"/>
        <w:spacing w:line="340" w:lineRule="exact"/>
        <w:ind w:firstLine="420"/>
        <w:rPr>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② </w:t>
      </w:r>
      <w:r>
        <w:rPr>
          <w:rFonts w:hint="eastAsia"/>
          <w:color w:val="000000" w:themeColor="text1"/>
          <w:highlight w:val="none"/>
          <w14:textFill>
            <w14:solidFill>
              <w14:schemeClr w14:val="tx1"/>
            </w14:solidFill>
          </w14:textFill>
        </w:rPr>
        <w:t>截止时间：开标后评标前。</w:t>
      </w:r>
    </w:p>
    <w:p>
      <w:pPr>
        <w:widowControl/>
        <w:snapToGrid w:val="0"/>
        <w:spacing w:line="340" w:lineRule="exact"/>
        <w:ind w:firstLine="420"/>
        <w:rPr>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③ </w:t>
      </w:r>
      <w:r>
        <w:rPr>
          <w:rFonts w:hint="eastAsia"/>
          <w:color w:val="000000" w:themeColor="text1"/>
          <w:highlight w:val="none"/>
          <w14:textFill>
            <w14:solidFill>
              <w14:schemeClr w14:val="tx1"/>
            </w14:solidFill>
          </w14:textFill>
        </w:rPr>
        <w:t>信用信息查询记录和证据留存的具体方式：将在规定查询时间内打印信用信息查询记录及相关证据，并将与其他采购文件一并保存。</w:t>
      </w:r>
    </w:p>
    <w:p>
      <w:pPr>
        <w:widowControl/>
        <w:snapToGrid w:val="0"/>
        <w:spacing w:line="340" w:lineRule="exact"/>
        <w:ind w:firstLine="420"/>
        <w:rPr>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④ </w:t>
      </w:r>
      <w:r>
        <w:rPr>
          <w:rFonts w:hint="eastAsia"/>
          <w:color w:val="000000" w:themeColor="text1"/>
          <w:highlight w:val="none"/>
          <w14:textFill>
            <w14:solidFill>
              <w14:schemeClr w14:val="tx1"/>
            </w14:solidFill>
          </w14:textFill>
        </w:rPr>
        <w:t>使用规则：对列入失信被执行人、重大税收违法案件当事人名单、政府采购严重违法失信行为记录名单的供应商，拒绝其参与政府采购活动。</w:t>
      </w:r>
    </w:p>
    <w:p>
      <w:pPr>
        <w:widowControl/>
        <w:snapToGrid w:val="0"/>
        <w:spacing w:line="340" w:lineRule="exact"/>
        <w:outlineLvl w:val="0"/>
        <w:rPr>
          <w:b/>
          <w:color w:val="000000" w:themeColor="text1"/>
          <w:highlight w:val="none"/>
          <w14:textFill>
            <w14:solidFill>
              <w14:schemeClr w14:val="tx1"/>
            </w14:solidFill>
          </w14:textFill>
        </w:rPr>
      </w:pPr>
      <w:bookmarkStart w:id="79" w:name="_Toc29498"/>
      <w:bookmarkStart w:id="80" w:name="_Toc10130"/>
      <w:bookmarkStart w:id="81" w:name="_Toc9203"/>
      <w:bookmarkStart w:id="82" w:name="_Toc20769"/>
      <w:r>
        <w:rPr>
          <w:b/>
          <w:color w:val="000000" w:themeColor="text1"/>
          <w:highlight w:val="none"/>
          <w14:textFill>
            <w14:solidFill>
              <w14:schemeClr w14:val="tx1"/>
            </w14:solidFill>
          </w14:textFill>
        </w:rPr>
        <w:t>（九）质疑和投诉</w:t>
      </w:r>
      <w:bookmarkEnd w:id="79"/>
      <w:bookmarkEnd w:id="80"/>
      <w:bookmarkEnd w:id="81"/>
      <w:bookmarkEnd w:id="82"/>
    </w:p>
    <w:p>
      <w:pPr>
        <w:widowControl/>
        <w:snapToGrid w:val="0"/>
        <w:spacing w:line="340" w:lineRule="exact"/>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供应商认为采购文件、采购过程、中标或者成交结果使自己的权益受到损害的，可以在知道或者应知其权益受到损害之日起7个工作日内，以书面形式向采购人、采购代理机构提出质疑。</w:t>
      </w:r>
      <w:r>
        <w:rPr>
          <w:color w:val="000000" w:themeColor="text1"/>
          <w:highlight w:val="none"/>
          <w14:textFill>
            <w14:solidFill>
              <w14:schemeClr w14:val="tx1"/>
            </w14:solidFill>
          </w14:textFill>
        </w:rPr>
        <w:t>投标人对招标采购单位的质疑答复不满意或者招标采购单位未在规定时间内作出答复的，可以在答复期满后15个工作日内向监管部门投诉。</w:t>
      </w:r>
      <w:r>
        <w:rPr>
          <w:rFonts w:hint="eastAsia"/>
          <w:color w:val="000000" w:themeColor="text1"/>
          <w:highlight w:val="none"/>
          <w14:textFill>
            <w14:solidFill>
              <w14:schemeClr w14:val="tx1"/>
            </w14:solidFill>
          </w14:textFill>
        </w:rPr>
        <w:t>供应商应在法定质疑期内一次性提出针对同一采购程序环节的质疑。</w:t>
      </w:r>
    </w:p>
    <w:p>
      <w:pPr>
        <w:widowControl/>
        <w:snapToGrid w:val="0"/>
        <w:spacing w:line="340" w:lineRule="exact"/>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color w:val="000000" w:themeColor="text1"/>
          <w:highlight w:val="none"/>
          <w14:textFill>
            <w14:solidFill>
              <w14:schemeClr w14:val="tx1"/>
            </w14:solidFill>
          </w14:textFill>
        </w:rPr>
        <w:t>。</w:t>
      </w:r>
    </w:p>
    <w:p>
      <w:pPr>
        <w:widowControl/>
        <w:snapToGrid w:val="0"/>
        <w:spacing w:line="34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p>
    <w:p>
      <w:pPr>
        <w:widowControl/>
        <w:snapToGrid w:val="0"/>
        <w:spacing w:before="152" w:beforeLines="50" w:after="152" w:afterLines="50"/>
        <w:jc w:val="center"/>
        <w:outlineLvl w:val="0"/>
        <w:rPr>
          <w:b/>
          <w:color w:val="000000" w:themeColor="text1"/>
          <w:sz w:val="30"/>
          <w:highlight w:val="none"/>
          <w14:textFill>
            <w14:solidFill>
              <w14:schemeClr w14:val="tx1"/>
            </w14:solidFill>
          </w14:textFill>
        </w:rPr>
      </w:pPr>
      <w:bookmarkStart w:id="83" w:name="_Toc12258"/>
      <w:bookmarkStart w:id="84" w:name="_Toc20119"/>
      <w:bookmarkStart w:id="85" w:name="_Toc18907"/>
      <w:bookmarkStart w:id="86" w:name="_Toc14549"/>
      <w:r>
        <w:rPr>
          <w:b/>
          <w:color w:val="000000" w:themeColor="text1"/>
          <w:sz w:val="30"/>
          <w:highlight w:val="none"/>
          <w14:textFill>
            <w14:solidFill>
              <w14:schemeClr w14:val="tx1"/>
            </w14:solidFill>
          </w14:textFill>
        </w:rPr>
        <w:t>二、招标文件</w:t>
      </w:r>
      <w:bookmarkEnd w:id="83"/>
      <w:bookmarkEnd w:id="84"/>
      <w:bookmarkEnd w:id="85"/>
      <w:bookmarkEnd w:id="86"/>
    </w:p>
    <w:p>
      <w:pPr>
        <w:widowControl/>
        <w:snapToGrid w:val="0"/>
        <w:spacing w:line="340" w:lineRule="exact"/>
        <w:jc w:val="left"/>
        <w:outlineLvl w:val="0"/>
        <w:rPr>
          <w:color w:val="000000" w:themeColor="text1"/>
          <w:highlight w:val="none"/>
          <w14:textFill>
            <w14:solidFill>
              <w14:schemeClr w14:val="tx1"/>
            </w14:solidFill>
          </w14:textFill>
        </w:rPr>
      </w:pPr>
      <w:bookmarkStart w:id="87" w:name="_Toc9689"/>
      <w:bookmarkStart w:id="88" w:name="_Toc31924"/>
      <w:bookmarkStart w:id="89" w:name="_Toc3525"/>
      <w:bookmarkStart w:id="90" w:name="_Toc15541"/>
      <w:r>
        <w:rPr>
          <w:b/>
          <w:color w:val="000000" w:themeColor="text1"/>
          <w:highlight w:val="none"/>
          <w14:textFill>
            <w14:solidFill>
              <w14:schemeClr w14:val="tx1"/>
            </w14:solidFill>
          </w14:textFill>
        </w:rPr>
        <w:t>（一）</w:t>
      </w:r>
      <w:r>
        <w:rPr>
          <w:rFonts w:hint="eastAsia"/>
          <w:b/>
          <w:color w:val="000000" w:themeColor="text1"/>
          <w:highlight w:val="none"/>
          <w14:textFill>
            <w14:solidFill>
              <w14:schemeClr w14:val="tx1"/>
            </w14:solidFill>
          </w14:textFill>
        </w:rPr>
        <w:t>招标文件由招标文件总目录所列内容组成。</w:t>
      </w:r>
      <w:bookmarkEnd w:id="87"/>
      <w:bookmarkEnd w:id="88"/>
      <w:bookmarkEnd w:id="89"/>
      <w:bookmarkEnd w:id="90"/>
    </w:p>
    <w:p>
      <w:pPr>
        <w:widowControl/>
        <w:snapToGrid w:val="0"/>
        <w:spacing w:line="340" w:lineRule="exact"/>
        <w:jc w:val="left"/>
        <w:outlineLvl w:val="0"/>
        <w:rPr>
          <w:b/>
          <w:color w:val="000000" w:themeColor="text1"/>
          <w:highlight w:val="none"/>
          <w14:textFill>
            <w14:solidFill>
              <w14:schemeClr w14:val="tx1"/>
            </w14:solidFill>
          </w14:textFill>
        </w:rPr>
      </w:pPr>
      <w:bookmarkStart w:id="91" w:name="_Toc14678"/>
      <w:bookmarkStart w:id="92" w:name="_Toc4106"/>
      <w:bookmarkStart w:id="93" w:name="_Toc29666"/>
      <w:bookmarkStart w:id="94" w:name="_Toc31479"/>
      <w:r>
        <w:rPr>
          <w:b/>
          <w:color w:val="000000" w:themeColor="text1"/>
          <w:highlight w:val="none"/>
          <w14:textFill>
            <w14:solidFill>
              <w14:schemeClr w14:val="tx1"/>
            </w14:solidFill>
          </w14:textFill>
        </w:rPr>
        <w:t>（二）招标文件的澄清与修改</w:t>
      </w:r>
      <w:bookmarkEnd w:id="91"/>
      <w:bookmarkEnd w:id="92"/>
      <w:bookmarkEnd w:id="93"/>
      <w:bookmarkEnd w:id="94"/>
    </w:p>
    <w:p>
      <w:pPr>
        <w:widowControl/>
        <w:snapToGrid w:val="0"/>
        <w:spacing w:line="340" w:lineRule="exact"/>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1、招标采购单位</w:t>
      </w:r>
      <w:r>
        <w:rPr>
          <w:rFonts w:hint="eastAsia"/>
          <w:color w:val="000000" w:themeColor="text1"/>
          <w:highlight w:val="none"/>
          <w14:textFill>
            <w14:solidFill>
              <w14:schemeClr w14:val="tx1"/>
            </w14:solidFill>
          </w14:textFill>
        </w:rPr>
        <w:t>可视采购具体情况对已发出的招标文件进行必要的澄清或者修改。澄清或者修改的内容可能影响投标文件编制的，采购人或者采购组织机构应当在投标截止时间至少</w:t>
      </w:r>
      <w:r>
        <w:rPr>
          <w:color w:val="000000" w:themeColor="text1"/>
          <w:highlight w:val="none"/>
          <w14:textFill>
            <w14:solidFill>
              <w14:schemeClr w14:val="tx1"/>
            </w14:solidFill>
          </w14:textFill>
        </w:rPr>
        <w:t>15日前，</w:t>
      </w:r>
      <w:r>
        <w:rPr>
          <w:rFonts w:hint="eastAsia" w:ascii="宋体"/>
          <w:color w:val="000000"/>
          <w:szCs w:val="21"/>
          <w:highlight w:val="none"/>
          <w:lang w:val="zh-CN"/>
        </w:rPr>
        <w:t>并以书面形式通知供应商</w:t>
      </w:r>
      <w:r>
        <w:rPr>
          <w:color w:val="000000" w:themeColor="text1"/>
          <w:highlight w:val="none"/>
          <w14:textFill>
            <w14:solidFill>
              <w14:schemeClr w14:val="tx1"/>
            </w14:solidFill>
          </w14:textFill>
        </w:rPr>
        <w:t>，澄清或者修改的内容为招标文件的组成部分；不足15日的，采购人或者采购组织机构应当顺延提交投标文件的截止时间。</w:t>
      </w:r>
    </w:p>
    <w:p>
      <w:pPr>
        <w:widowControl/>
        <w:snapToGrid w:val="0"/>
        <w:spacing w:line="340" w:lineRule="exact"/>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p>
    <w:p>
      <w:pPr>
        <w:widowControl/>
        <w:snapToGrid w:val="0"/>
        <w:spacing w:line="360" w:lineRule="exact"/>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招标文件澄清、答复、修改、补充的内容为招标文件的组成部分。当招标文件与招标文件的答复、澄清、修改、补充通知（文件）就同一内容的表述不一致时，以最后</w:t>
      </w:r>
      <w:r>
        <w:rPr>
          <w:rFonts w:ascii="宋体" w:hAnsi="宋体"/>
          <w:color w:val="000000"/>
          <w:szCs w:val="21"/>
          <w:highlight w:val="none"/>
        </w:rPr>
        <w:t>发出的书面文件</w:t>
      </w:r>
      <w:r>
        <w:rPr>
          <w:rFonts w:hint="eastAsia"/>
          <w:color w:val="000000" w:themeColor="text1"/>
          <w:highlight w:val="none"/>
          <w14:textFill>
            <w14:solidFill>
              <w14:schemeClr w14:val="tx1"/>
            </w14:solidFill>
          </w14:textFill>
        </w:rPr>
        <w:t>为准。</w:t>
      </w:r>
    </w:p>
    <w:p>
      <w:pPr>
        <w:widowControl/>
        <w:snapToGrid w:val="0"/>
        <w:spacing w:before="152" w:beforeLines="50" w:after="152" w:afterLines="50"/>
        <w:jc w:val="center"/>
        <w:outlineLvl w:val="0"/>
        <w:rPr>
          <w:b/>
          <w:color w:val="000000" w:themeColor="text1"/>
          <w:sz w:val="30"/>
          <w:highlight w:val="none"/>
          <w14:textFill>
            <w14:solidFill>
              <w14:schemeClr w14:val="tx1"/>
            </w14:solidFill>
          </w14:textFill>
        </w:rPr>
      </w:pPr>
      <w:bookmarkStart w:id="95" w:name="_Toc21864"/>
      <w:bookmarkStart w:id="96" w:name="_Toc8717"/>
      <w:bookmarkStart w:id="97" w:name="_Toc23172"/>
      <w:bookmarkStart w:id="98" w:name="_Toc28224"/>
      <w:r>
        <w:rPr>
          <w:b/>
          <w:color w:val="000000" w:themeColor="text1"/>
          <w:sz w:val="30"/>
          <w:highlight w:val="none"/>
          <w14:textFill>
            <w14:solidFill>
              <w14:schemeClr w14:val="tx1"/>
            </w14:solidFill>
          </w14:textFill>
        </w:rPr>
        <w:t>三、投标文件的编制</w:t>
      </w:r>
      <w:bookmarkEnd w:id="95"/>
      <w:bookmarkEnd w:id="96"/>
      <w:bookmarkEnd w:id="97"/>
      <w:bookmarkEnd w:id="98"/>
    </w:p>
    <w:p>
      <w:pPr>
        <w:widowControl/>
        <w:snapToGrid w:val="0"/>
        <w:spacing w:line="360" w:lineRule="auto"/>
        <w:jc w:val="left"/>
        <w:outlineLvl w:val="0"/>
        <w:rPr>
          <w:b/>
          <w:color w:val="000000" w:themeColor="text1"/>
          <w:highlight w:val="none"/>
          <w14:textFill>
            <w14:solidFill>
              <w14:schemeClr w14:val="tx1"/>
            </w14:solidFill>
          </w14:textFill>
        </w:rPr>
      </w:pPr>
      <w:bookmarkStart w:id="99" w:name="_Toc7089"/>
      <w:bookmarkStart w:id="100" w:name="_Toc14575"/>
      <w:bookmarkStart w:id="101" w:name="_Toc10012"/>
      <w:bookmarkStart w:id="102" w:name="_Toc11702"/>
      <w:r>
        <w:rPr>
          <w:b/>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一</w:t>
      </w:r>
      <w:r>
        <w:rPr>
          <w:b/>
          <w:color w:val="000000" w:themeColor="text1"/>
          <w:highlight w:val="none"/>
          <w14:textFill>
            <w14:solidFill>
              <w14:schemeClr w14:val="tx1"/>
            </w14:solidFill>
          </w14:textFill>
        </w:rPr>
        <w:t>）投标文件的组成</w:t>
      </w:r>
      <w:bookmarkEnd w:id="99"/>
      <w:bookmarkEnd w:id="100"/>
      <w:bookmarkEnd w:id="101"/>
      <w:bookmarkEnd w:id="102"/>
    </w:p>
    <w:p>
      <w:pPr>
        <w:snapToGrid w:val="0"/>
        <w:spacing w:line="360" w:lineRule="auto"/>
        <w:ind w:firstLine="420" w:firstLineChars="2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1、投标人应仔细阅读招标文件的所有内容，按照招标文件的要求编制和提交投标文件，并对所提供的全部资料的真实性承担法律责任。</w:t>
      </w:r>
    </w:p>
    <w:p>
      <w:pPr>
        <w:widowControl/>
        <w:snapToGrid w:val="0"/>
        <w:spacing w:line="360" w:lineRule="auto"/>
        <w:ind w:firstLine="42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投标文件由资格证明文件、商务与技术文件、报价文件组成。【特别提示：如有要求提供资料原件的，原件另行包装，并与投标文件一起提交，投标截止时间后所有原件不予接收。资料原件也可以用与原件相符的公证原件替代】</w:t>
      </w:r>
    </w:p>
    <w:p>
      <w:pPr>
        <w:widowControl/>
        <w:snapToGrid w:val="0"/>
        <w:spacing w:line="360" w:lineRule="auto"/>
        <w:ind w:firstLine="42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lang w:val="zh-CN"/>
        </w:rPr>
        <w:t>注：</w:t>
      </w:r>
      <w:r>
        <w:rPr>
          <w:rFonts w:hint="eastAsia" w:ascii="宋体" w:hAnsi="宋体" w:eastAsia="宋体" w:cs="宋体"/>
          <w:b/>
          <w:color w:val="000000" w:themeColor="text1"/>
          <w:sz w:val="21"/>
          <w:szCs w:val="21"/>
          <w:highlight w:val="none"/>
          <w:u w:val="single"/>
          <w14:textFill>
            <w14:solidFill>
              <w14:schemeClr w14:val="tx1"/>
            </w14:solidFill>
          </w14:textFill>
        </w:rPr>
        <w:t>投标文件中所有证书证件等证明材料复印件均应加盖单位公章，否则可能影响评分。</w:t>
      </w:r>
    </w:p>
    <w:p>
      <w:pPr>
        <w:widowControl/>
        <w:snapToGrid w:val="0"/>
        <w:spacing w:line="360" w:lineRule="auto"/>
        <w:ind w:firstLine="21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1、资格证明文件：</w:t>
      </w:r>
    </w:p>
    <w:p>
      <w:pPr>
        <w:autoSpaceDE w:val="0"/>
        <w:autoSpaceDN w:val="0"/>
        <w:snapToGrid w:val="0"/>
        <w:spacing w:line="360" w:lineRule="auto"/>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（1）法定代表人授权委托书或法定代表人身份证明书，如法定代表人亲自办理投标事宜的，则只需附上法定代表人身份证复印件（格式见附件）；</w:t>
      </w:r>
    </w:p>
    <w:p>
      <w:pPr>
        <w:autoSpaceDE w:val="0"/>
        <w:autoSpaceDN w:val="0"/>
        <w:snapToGrid w:val="0"/>
        <w:spacing w:line="360" w:lineRule="auto"/>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（2）投标人有效的营业执照复印件（若是事业单位参加投标的，则提供有效的《事业单位法人证书》）；</w:t>
      </w:r>
    </w:p>
    <w:p>
      <w:pPr>
        <w:autoSpaceDE w:val="0"/>
        <w:autoSpaceDN w:val="0"/>
        <w:snapToGrid w:val="0"/>
        <w:spacing w:line="360" w:lineRule="auto"/>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（3）投标人具备良好的商业信誉和健全的财务会计制度的承诺（格式见附件）；</w:t>
      </w:r>
    </w:p>
    <w:p>
      <w:pPr>
        <w:autoSpaceDE w:val="0"/>
        <w:autoSpaceDN w:val="0"/>
        <w:snapToGrid w:val="0"/>
        <w:spacing w:line="360" w:lineRule="auto"/>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（4）投标人具备履行合同所必需的设备和专业技术能力的承诺（格式见附件）；</w:t>
      </w:r>
    </w:p>
    <w:p>
      <w:pPr>
        <w:autoSpaceDE w:val="0"/>
        <w:autoSpaceDN w:val="0"/>
        <w:snapToGrid w:val="0"/>
        <w:spacing w:line="360" w:lineRule="auto"/>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（5）投标人</w:t>
      </w:r>
      <w:r>
        <w:rPr>
          <w:rFonts w:hint="eastAsia" w:ascii="宋体"/>
          <w:color w:val="000000" w:themeColor="text1"/>
          <w:highlight w:val="none"/>
          <w:lang w:val="zh-CN"/>
          <w14:textFill>
            <w14:solidFill>
              <w14:schemeClr w14:val="tx1"/>
            </w14:solidFill>
          </w14:textFill>
        </w:rPr>
        <w:t>依法缴纳税收及社会保障资金的书面承诺</w:t>
      </w:r>
      <w:r>
        <w:rPr>
          <w:rFonts w:hint="eastAsia" w:ascii="宋体"/>
          <w:color w:val="000000" w:themeColor="text1"/>
          <w:highlight w:val="none"/>
          <w14:textFill>
            <w14:solidFill>
              <w14:schemeClr w14:val="tx1"/>
            </w14:solidFill>
          </w14:textFill>
        </w:rPr>
        <w:t>（格式见附件）；</w:t>
      </w:r>
    </w:p>
    <w:p>
      <w:pPr>
        <w:autoSpaceDE w:val="0"/>
        <w:autoSpaceDN w:val="0"/>
        <w:snapToGrid w:val="0"/>
        <w:spacing w:line="360" w:lineRule="auto"/>
        <w:ind w:firstLine="420"/>
        <w:rPr>
          <w:rFonts w:hint="eastAsia"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（6）无重大违法记录的书面声明书（格式见附件）；</w:t>
      </w:r>
    </w:p>
    <w:p>
      <w:pPr>
        <w:autoSpaceDE w:val="0"/>
        <w:autoSpaceDN w:val="0"/>
        <w:snapToGrid w:val="0"/>
        <w:spacing w:line="360" w:lineRule="auto"/>
        <w:ind w:firstLine="420"/>
        <w:rPr>
          <w:rFonts w:hint="eastAsia" w:ascii="宋体"/>
          <w:color w:val="000000" w:themeColor="text1"/>
          <w:highlight w:val="none"/>
          <w:lang w:val="zh-CN"/>
          <w14:textFill>
            <w14:solidFill>
              <w14:schemeClr w14:val="tx1"/>
            </w14:solidFill>
          </w14:textFill>
        </w:rPr>
      </w:pPr>
      <w:r>
        <w:rPr>
          <w:rFonts w:hint="eastAsia" w:ascii="宋体"/>
          <w:color w:val="000000" w:themeColor="text1"/>
          <w:highlight w:val="none"/>
          <w14:textFill>
            <w14:solidFill>
              <w14:schemeClr w14:val="tx1"/>
            </w14:solidFill>
          </w14:textFill>
        </w:rPr>
        <w:t>（7）本项目采购公告中本项目特定资格要求提供的相关佐证材料[①代理产品制造商营业执照复印件（扫描件）、代理产品的制造商出具的针对本项目的唯一授权书（</w:t>
      </w:r>
      <w:r>
        <w:rPr>
          <w:rFonts w:hint="eastAsia" w:ascii="宋体"/>
          <w:b/>
          <w:bCs/>
          <w:color w:val="000000" w:themeColor="text1"/>
          <w:highlight w:val="none"/>
          <w14:textFill>
            <w14:solidFill>
              <w14:schemeClr w14:val="tx1"/>
            </w14:solidFill>
          </w14:textFill>
        </w:rPr>
        <w:t>仅指投标人为代理商需提供</w:t>
      </w:r>
      <w:r>
        <w:rPr>
          <w:rFonts w:hint="eastAsia" w:ascii="宋体"/>
          <w:color w:val="000000" w:themeColor="text1"/>
          <w:highlight w:val="none"/>
          <w14:textFill>
            <w14:solidFill>
              <w14:schemeClr w14:val="tx1"/>
            </w14:solidFill>
          </w14:textFill>
        </w:rPr>
        <w:t>）；②投标产品的省级及以上卫生部门颁发的《涉及饮用水卫生安全产品卫生许可批件》，如部分省份因省级及以上卫生部门下放了“部分涉及饮用水卫生安全产品行政审批项目权限”的，允许投标人提供符合下放职能文件要求的“涉及饮用水卫生安全产品卫生许可批件”，同时还需提供下放职能文件的复印件（扫描件）或提供卫生部门系统官网的文件截图]。</w:t>
      </w:r>
    </w:p>
    <w:p>
      <w:pPr>
        <w:widowControl/>
        <w:snapToGrid w:val="0"/>
        <w:spacing w:line="360" w:lineRule="auto"/>
        <w:ind w:firstLine="420"/>
        <w:jc w:val="left"/>
        <w:rPr>
          <w:rFonts w:hint="eastAsia"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2、商务与技术文件</w:t>
      </w:r>
      <w:r>
        <w:rPr>
          <w:rFonts w:asciiTheme="minorEastAsia" w:hAnsiTheme="minorEastAsia" w:eastAsiaTheme="minorEastAsia"/>
          <w:b/>
          <w:color w:val="000000" w:themeColor="text1"/>
          <w:highlight w:val="none"/>
          <w14:textFill>
            <w14:solidFill>
              <w14:schemeClr w14:val="tx1"/>
            </w14:solidFill>
          </w14:textFill>
        </w:rPr>
        <w:t>：</w:t>
      </w:r>
    </w:p>
    <w:p>
      <w:pPr>
        <w:autoSpaceDE w:val="0"/>
        <w:autoSpaceDN w:val="0"/>
        <w:adjustRightInd w:val="0"/>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（1）投标声明书</w:t>
      </w:r>
      <w:r>
        <w:rPr>
          <w:rFonts w:hint="eastAsia" w:ascii="宋体" w:hAnsi="宋体"/>
          <w:color w:val="000000" w:themeColor="text1"/>
          <w:szCs w:val="21"/>
          <w:highlight w:val="none"/>
          <w:lang w:val="zh-CN"/>
          <w14:textFill>
            <w14:solidFill>
              <w14:schemeClr w14:val="tx1"/>
            </w14:solidFill>
          </w14:textFill>
        </w:rPr>
        <w:t>（格式见附件）；</w:t>
      </w:r>
    </w:p>
    <w:p>
      <w:pPr>
        <w:autoSpaceDE w:val="0"/>
        <w:autoSpaceDN w:val="0"/>
        <w:adjustRightInd w:val="0"/>
        <w:snapToGrid w:val="0"/>
        <w:spacing w:line="360" w:lineRule="auto"/>
        <w:ind w:firstLine="420" w:firstLineChars="200"/>
        <w:rPr>
          <w:rFonts w:hint="eastAsia"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zh-CN"/>
          <w14:textFill>
            <w14:solidFill>
              <w14:schemeClr w14:val="tx1"/>
            </w14:solidFill>
          </w14:textFill>
        </w:rPr>
        <w:t>）商务响应表（格式见附件）；</w:t>
      </w:r>
    </w:p>
    <w:p>
      <w:pPr>
        <w:autoSpaceDE w:val="0"/>
        <w:autoSpaceDN w:val="0"/>
        <w:adjustRightInd w:val="0"/>
        <w:snapToGrid w:val="0"/>
        <w:spacing w:line="360" w:lineRule="auto"/>
        <w:ind w:firstLine="420" w:firstLineChars="200"/>
        <w:rPr>
          <w:rFonts w:hint="eastAsia"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zh-CN"/>
          <w14:textFill>
            <w14:solidFill>
              <w14:schemeClr w14:val="tx1"/>
            </w14:solidFill>
          </w14:textFill>
        </w:rPr>
        <w:t>类似项目业绩</w:t>
      </w:r>
      <w:r>
        <w:rPr>
          <w:rFonts w:hint="eastAsia" w:ascii="宋体" w:hAnsi="宋体"/>
          <w:color w:val="000000" w:themeColor="text1"/>
          <w:szCs w:val="21"/>
          <w:highlight w:val="none"/>
          <w14:textFill>
            <w14:solidFill>
              <w14:schemeClr w14:val="tx1"/>
            </w14:solidFill>
          </w14:textFill>
        </w:rPr>
        <w:t>一览表</w:t>
      </w:r>
      <w:r>
        <w:rPr>
          <w:rFonts w:hint="eastAsia" w:ascii="宋体" w:hAnsi="宋体"/>
          <w:color w:val="000000" w:themeColor="text1"/>
          <w:szCs w:val="21"/>
          <w:highlight w:val="none"/>
          <w:lang w:val="zh-CN"/>
          <w14:textFill>
            <w14:solidFill>
              <w14:schemeClr w14:val="tx1"/>
            </w14:solidFill>
          </w14:textFill>
        </w:rPr>
        <w:t>（格式</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val="zh-CN"/>
          <w14:textFill>
            <w14:solidFill>
              <w14:schemeClr w14:val="tx1"/>
            </w14:solidFill>
          </w14:textFill>
        </w:rPr>
        <w:t>附件，证明材料按第四</w:t>
      </w:r>
      <w:r>
        <w:rPr>
          <w:rFonts w:hint="eastAsia" w:ascii="宋体" w:hAnsi="宋体"/>
          <w:color w:val="000000" w:themeColor="text1"/>
          <w:szCs w:val="21"/>
          <w:highlight w:val="none"/>
          <w:lang w:val="en-US" w:eastAsia="zh-CN"/>
          <w14:textFill>
            <w14:solidFill>
              <w14:schemeClr w14:val="tx1"/>
            </w14:solidFill>
          </w14:textFill>
        </w:rPr>
        <w:t>章</w:t>
      </w:r>
      <w:r>
        <w:rPr>
          <w:rFonts w:hint="eastAsia" w:ascii="宋体" w:hAnsi="宋体"/>
          <w:color w:val="000000" w:themeColor="text1"/>
          <w:szCs w:val="21"/>
          <w:highlight w:val="none"/>
          <w:lang w:val="zh-CN"/>
          <w14:textFill>
            <w14:solidFill>
              <w14:schemeClr w14:val="tx1"/>
            </w14:solidFill>
          </w14:textFill>
        </w:rPr>
        <w:t>-评标办法及评分标准要求提供））；</w:t>
      </w:r>
    </w:p>
    <w:p>
      <w:pPr>
        <w:autoSpaceDE w:val="0"/>
        <w:autoSpaceDN w:val="0"/>
        <w:adjustRightInd w:val="0"/>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lang w:val="zh-CN"/>
          <w14:textFill>
            <w14:solidFill>
              <w14:schemeClr w14:val="tx1"/>
            </w14:solidFill>
          </w14:textFill>
        </w:rPr>
        <w:t>）投标产品技术规格及相关资料：</w:t>
      </w:r>
    </w:p>
    <w:p>
      <w:pPr>
        <w:widowControl/>
        <w:spacing w:line="380" w:lineRule="exact"/>
        <w:ind w:firstLine="630" w:firstLineChars="3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 投标产品供货清单（均不含报价，格式见附件）；</w:t>
      </w:r>
    </w:p>
    <w:p>
      <w:pPr>
        <w:widowControl/>
        <w:spacing w:line="380" w:lineRule="exact"/>
        <w:ind w:firstLine="630" w:firstLineChars="300"/>
        <w:jc w:val="left"/>
        <w:rPr>
          <w:rFonts w:hint="eastAsia" w:ascii="宋体" w:hAnsi="宋体" w:eastAsia="宋体" w:cs="宋体"/>
          <w:b/>
          <w:bCs/>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 产品性能特点说明、图片资料、产品官网技术参数描述截图或产品规格书或产品说明书或检测报告或其他证明文件等相关技术参数佐证材料（如有需要）的影印件或扫描件等内容</w:t>
      </w:r>
      <w:r>
        <w:rPr>
          <w:rFonts w:hint="eastAsia" w:ascii="宋体" w:hAnsi="宋体" w:cs="宋体"/>
          <w:color w:val="000000" w:themeColor="text1"/>
          <w:kern w:val="0"/>
          <w:szCs w:val="21"/>
          <w:highlight w:val="none"/>
          <w:lang w:eastAsia="zh-CN"/>
          <w14:textFill>
            <w14:solidFill>
              <w14:schemeClr w14:val="tx1"/>
            </w14:solidFill>
          </w14:textFill>
        </w:rPr>
        <w:t>；</w:t>
      </w:r>
    </w:p>
    <w:p>
      <w:pPr>
        <w:widowControl/>
        <w:spacing w:line="380" w:lineRule="exact"/>
        <w:ind w:firstLine="630" w:firstLineChars="3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 技术响应表（格式见附件）</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pPr>
        <w:widowControl/>
        <w:spacing w:line="380" w:lineRule="exact"/>
        <w:ind w:firstLine="630" w:firstLineChars="3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④</w:t>
      </w:r>
      <w:r>
        <w:rPr>
          <w:rFonts w:hint="eastAsia" w:ascii="宋体" w:hAnsi="宋体" w:eastAsia="宋体" w:cs="宋体"/>
          <w:color w:val="000000" w:themeColor="text1"/>
          <w:kern w:val="0"/>
          <w:szCs w:val="21"/>
          <w:highlight w:val="none"/>
          <w14:textFill>
            <w14:solidFill>
              <w14:schemeClr w14:val="tx1"/>
            </w14:solidFill>
          </w14:textFill>
        </w:rPr>
        <w:t>产品质量保证承诺书和售后服务承诺书</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pPr>
        <w:widowControl/>
        <w:snapToGrid w:val="0"/>
        <w:spacing w:line="360" w:lineRule="auto"/>
        <w:ind w:firstLine="420"/>
        <w:jc w:val="left"/>
        <w:rPr>
          <w:rFonts w:hint="eastAsia" w:ascii="宋体" w:hAnsi="宋体"/>
          <w:color w:val="0000FF"/>
          <w:szCs w:val="21"/>
          <w:highlight w:val="none"/>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）供应商认为需要提供的其他资料（包括可能影响供应商商务资信技术标评分的各类证明材料，参照第四章“</w:t>
      </w:r>
      <w:r>
        <w:rPr>
          <w:rFonts w:hint="eastAsia" w:ascii="宋体" w:hAnsi="宋体"/>
          <w:color w:val="000000" w:themeColor="text1"/>
          <w:szCs w:val="21"/>
          <w:highlight w:val="none"/>
          <w:lang w:val="en-US" w:eastAsia="zh-CN"/>
          <w14:textFill>
            <w14:solidFill>
              <w14:schemeClr w14:val="tx1"/>
            </w14:solidFill>
          </w14:textFill>
        </w:rPr>
        <w:t>评审办法</w:t>
      </w:r>
      <w:r>
        <w:rPr>
          <w:rFonts w:hint="eastAsia" w:ascii="宋体" w:hAnsi="宋体"/>
          <w:color w:val="000000" w:themeColor="text1"/>
          <w:szCs w:val="21"/>
          <w:highlight w:val="none"/>
          <w14:textFill>
            <w14:solidFill>
              <w14:schemeClr w14:val="tx1"/>
            </w14:solidFill>
          </w14:textFill>
        </w:rPr>
        <w:t>”）。</w:t>
      </w:r>
    </w:p>
    <w:p>
      <w:pPr>
        <w:widowControl/>
        <w:snapToGrid w:val="0"/>
        <w:spacing w:line="360" w:lineRule="auto"/>
        <w:ind w:firstLine="420"/>
        <w:jc w:val="left"/>
        <w:rPr>
          <w:rFonts w:hint="eastAsia"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w:t>
      </w:r>
      <w:r>
        <w:rPr>
          <w:rFonts w:asciiTheme="minorEastAsia" w:hAnsiTheme="minorEastAsia" w:eastAsiaTheme="minorEastAsia"/>
          <w:b/>
          <w:color w:val="000000" w:themeColor="text1"/>
          <w:highlight w:val="none"/>
          <w14:textFill>
            <w14:solidFill>
              <w14:schemeClr w14:val="tx1"/>
            </w14:solidFill>
          </w14:textFill>
        </w:rPr>
        <w:t>、报价</w:t>
      </w:r>
      <w:r>
        <w:rPr>
          <w:rFonts w:hint="eastAsia" w:asciiTheme="minorEastAsia" w:hAnsiTheme="minorEastAsia" w:eastAsiaTheme="minorEastAsia"/>
          <w:b/>
          <w:color w:val="000000" w:themeColor="text1"/>
          <w:highlight w:val="none"/>
          <w:lang w:val="en-US" w:eastAsia="zh-CN"/>
          <w14:textFill>
            <w14:solidFill>
              <w14:schemeClr w14:val="tx1"/>
            </w14:solidFill>
          </w14:textFill>
        </w:rPr>
        <w:t>文件</w:t>
      </w:r>
      <w:r>
        <w:rPr>
          <w:rFonts w:asciiTheme="minorEastAsia" w:hAnsiTheme="minorEastAsia" w:eastAsiaTheme="minorEastAsia"/>
          <w:b/>
          <w:color w:val="000000" w:themeColor="text1"/>
          <w:highlight w:val="none"/>
          <w14:textFill>
            <w14:solidFill>
              <w14:schemeClr w14:val="tx1"/>
            </w14:solidFill>
          </w14:textFill>
        </w:rPr>
        <w:t>：</w:t>
      </w:r>
    </w:p>
    <w:p>
      <w:pPr>
        <w:widowControl/>
        <w:snapToGrid w:val="0"/>
        <w:spacing w:line="360" w:lineRule="auto"/>
        <w:ind w:firstLine="420" w:firstLineChars="200"/>
        <w:jc w:val="left"/>
        <w:rPr>
          <w:rFonts w:hint="eastAsia"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r>
        <w:rPr>
          <w:rFonts w:hint="eastAsia" w:asciiTheme="minorEastAsia" w:hAnsiTheme="minorEastAsia" w:eastAsiaTheme="minorEastAsia"/>
          <w:color w:val="000000" w:themeColor="text1"/>
          <w:highlight w:val="none"/>
          <w14:textFill>
            <w14:solidFill>
              <w14:schemeClr w14:val="tx1"/>
            </w14:solidFill>
          </w14:textFill>
        </w:rPr>
        <w:t>报价</w:t>
      </w:r>
      <w:r>
        <w:rPr>
          <w:rFonts w:asciiTheme="minorEastAsia" w:hAnsiTheme="minorEastAsia" w:eastAsiaTheme="minorEastAsia"/>
          <w:color w:val="000000" w:themeColor="text1"/>
          <w:highlight w:val="none"/>
          <w14:textFill>
            <w14:solidFill>
              <w14:schemeClr w14:val="tx1"/>
            </w14:solidFill>
          </w14:textFill>
        </w:rPr>
        <w:t>一览表（</w:t>
      </w:r>
      <w:r>
        <w:rPr>
          <w:rFonts w:hint="eastAsia" w:ascii="宋体" w:hAnsi="宋体"/>
          <w:color w:val="000000" w:themeColor="text1"/>
          <w:szCs w:val="21"/>
          <w:highlight w:val="none"/>
          <w:lang w:val="zh-CN"/>
          <w14:textFill>
            <w14:solidFill>
              <w14:schemeClr w14:val="tx1"/>
            </w14:solidFill>
          </w14:textFill>
        </w:rPr>
        <w:t>格式</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val="zh-CN"/>
          <w14:textFill>
            <w14:solidFill>
              <w14:schemeClr w14:val="tx1"/>
            </w14:solidFill>
          </w14:textFill>
        </w:rPr>
        <w:t>附件）；</w:t>
      </w:r>
    </w:p>
    <w:p>
      <w:pPr>
        <w:widowControl/>
        <w:snapToGrid w:val="0"/>
        <w:spacing w:line="360" w:lineRule="auto"/>
        <w:ind w:firstLine="420"/>
        <w:jc w:val="left"/>
        <w:rPr>
          <w:rFonts w:hint="eastAsia"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2</w:t>
      </w:r>
      <w:r>
        <w:rPr>
          <w:rFonts w:asciiTheme="minorEastAsia" w:hAnsiTheme="minorEastAsia" w:eastAsiaTheme="minorEastAsia"/>
          <w:color w:val="000000" w:themeColor="text1"/>
          <w:highlight w:val="none"/>
          <w14:textFill>
            <w14:solidFill>
              <w14:schemeClr w14:val="tx1"/>
            </w14:solidFill>
          </w14:textFill>
        </w:rPr>
        <w:t>）投标报价明细表（</w:t>
      </w:r>
      <w:r>
        <w:rPr>
          <w:rFonts w:hint="eastAsia" w:ascii="宋体" w:hAnsi="宋体"/>
          <w:color w:val="000000" w:themeColor="text1"/>
          <w:szCs w:val="21"/>
          <w:highlight w:val="none"/>
          <w:lang w:val="zh-CN"/>
          <w14:textFill>
            <w14:solidFill>
              <w14:schemeClr w14:val="tx1"/>
            </w14:solidFill>
          </w14:textFill>
        </w:rPr>
        <w:t>格式</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val="zh-CN"/>
          <w14:textFill>
            <w14:solidFill>
              <w14:schemeClr w14:val="tx1"/>
            </w14:solidFill>
          </w14:textFill>
        </w:rPr>
        <w:t>附件）；</w:t>
      </w:r>
    </w:p>
    <w:p>
      <w:pPr>
        <w:widowControl/>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w:t>
      </w:r>
      <w:r>
        <w:rPr>
          <w:rFonts w:asciiTheme="minorEastAsia" w:hAnsiTheme="minorEastAsia" w:eastAsiaTheme="minorEastAsia"/>
          <w:color w:val="000000" w:themeColor="text1"/>
          <w:highlight w:val="none"/>
          <w14:textFill>
            <w14:solidFill>
              <w14:schemeClr w14:val="tx1"/>
            </w14:solidFill>
          </w14:textFill>
        </w:rPr>
        <w:t>投标人针对报价需要说明的其他文件和说明</w:t>
      </w:r>
      <w:r>
        <w:rPr>
          <w:rFonts w:hint="eastAsia" w:asciiTheme="minorEastAsia" w:hAnsiTheme="minorEastAsia" w:eastAsiaTheme="minorEastAsia"/>
          <w:color w:val="000000" w:themeColor="text1"/>
          <w:highlight w:val="none"/>
          <w14:textFill>
            <w14:solidFill>
              <w14:schemeClr w14:val="tx1"/>
            </w14:solidFill>
          </w14:textFill>
        </w:rPr>
        <w:t>（如有，</w:t>
      </w:r>
      <w:r>
        <w:rPr>
          <w:rFonts w:asciiTheme="minorEastAsia" w:hAnsiTheme="minorEastAsia" w:eastAsiaTheme="minorEastAsia"/>
          <w:color w:val="000000" w:themeColor="text1"/>
          <w:highlight w:val="none"/>
          <w14:textFill>
            <w14:solidFill>
              <w14:schemeClr w14:val="tx1"/>
            </w14:solidFill>
          </w14:textFill>
        </w:rPr>
        <w:t>格</w:t>
      </w:r>
      <w:r>
        <w:rPr>
          <w:color w:val="000000" w:themeColor="text1"/>
          <w:highlight w:val="none"/>
          <w14:textFill>
            <w14:solidFill>
              <w14:schemeClr w14:val="tx1"/>
            </w14:solidFill>
          </w14:textFill>
        </w:rPr>
        <w:t>式自拟）。</w:t>
      </w:r>
    </w:p>
    <w:p>
      <w:pPr>
        <w:widowControl/>
        <w:snapToGrid w:val="0"/>
        <w:spacing w:line="360" w:lineRule="auto"/>
        <w:jc w:val="left"/>
        <w:outlineLvl w:val="0"/>
        <w:rPr>
          <w:b/>
          <w:color w:val="000000" w:themeColor="text1"/>
          <w:highlight w:val="none"/>
          <w14:textFill>
            <w14:solidFill>
              <w14:schemeClr w14:val="tx1"/>
            </w14:solidFill>
          </w14:textFill>
        </w:rPr>
      </w:pPr>
      <w:bookmarkStart w:id="103" w:name="_Toc28045"/>
      <w:bookmarkStart w:id="104" w:name="_Toc29405"/>
      <w:bookmarkStart w:id="105" w:name="_Toc25774"/>
      <w:bookmarkStart w:id="106" w:name="_Toc27393"/>
      <w:r>
        <w:rPr>
          <w:b/>
          <w:color w:val="000000" w:themeColor="text1"/>
          <w:highlight w:val="none"/>
          <w14:textFill>
            <w14:solidFill>
              <w14:schemeClr w14:val="tx1"/>
            </w14:solidFill>
          </w14:textFill>
        </w:rPr>
        <w:t>（二）投标文件的</w:t>
      </w:r>
      <w:r>
        <w:rPr>
          <w:rFonts w:hint="eastAsia"/>
          <w:b/>
          <w:highlight w:val="none"/>
        </w:rPr>
        <w:t>计量</w:t>
      </w:r>
      <w:r>
        <w:rPr>
          <w:b/>
          <w:color w:val="000000" w:themeColor="text1"/>
          <w:highlight w:val="none"/>
          <w14:textFill>
            <w14:solidFill>
              <w14:schemeClr w14:val="tx1"/>
            </w14:solidFill>
          </w14:textFill>
        </w:rPr>
        <w:t>单位</w:t>
      </w:r>
      <w:bookmarkEnd w:id="103"/>
      <w:bookmarkEnd w:id="104"/>
      <w:bookmarkEnd w:id="105"/>
      <w:bookmarkEnd w:id="106"/>
    </w:p>
    <w:p>
      <w:pPr>
        <w:widowControl/>
        <w:snapToGrid w:val="0"/>
        <w:spacing w:line="360" w:lineRule="auto"/>
        <w:ind w:firstLine="420"/>
        <w:jc w:val="left"/>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pPr>
        <w:widowControl/>
        <w:snapToGrid w:val="0"/>
        <w:spacing w:line="360" w:lineRule="auto"/>
        <w:jc w:val="left"/>
        <w:outlineLvl w:val="0"/>
        <w:rPr>
          <w:highlight w:val="none"/>
        </w:rPr>
      </w:pPr>
      <w:bookmarkStart w:id="107" w:name="_Toc2967"/>
      <w:bookmarkStart w:id="108" w:name="_Toc8201"/>
      <w:bookmarkStart w:id="109" w:name="_Toc22823"/>
      <w:bookmarkStart w:id="110" w:name="_Toc32355"/>
      <w:r>
        <w:rPr>
          <w:b/>
          <w:color w:val="000000" w:themeColor="text1"/>
          <w:highlight w:val="none"/>
          <w14:textFill>
            <w14:solidFill>
              <w14:schemeClr w14:val="tx1"/>
            </w14:solidFill>
          </w14:textFill>
        </w:rPr>
        <w:t>（三）投标报价</w:t>
      </w:r>
      <w:bookmarkEnd w:id="107"/>
      <w:bookmarkEnd w:id="108"/>
      <w:bookmarkEnd w:id="109"/>
      <w:bookmarkEnd w:id="110"/>
    </w:p>
    <w:p>
      <w:pPr>
        <w:widowControl/>
        <w:snapToGrid w:val="0"/>
        <w:spacing w:line="360" w:lineRule="auto"/>
        <w:jc w:val="left"/>
        <w:outlineLvl w:val="0"/>
        <w:rPr>
          <w:b/>
          <w:color w:val="000000" w:themeColor="text1"/>
          <w:highlight w:val="none"/>
          <w14:textFill>
            <w14:solidFill>
              <w14:schemeClr w14:val="tx1"/>
            </w14:solidFill>
          </w14:textFill>
        </w:rPr>
      </w:pPr>
      <w:bookmarkStart w:id="111" w:name="_Toc15276"/>
      <w:bookmarkStart w:id="112" w:name="_Toc31195"/>
      <w:bookmarkStart w:id="113" w:name="_Toc20499"/>
      <w:bookmarkStart w:id="114" w:name="_Toc17743"/>
      <w:r>
        <w:rPr>
          <w:b/>
          <w:color w:val="000000" w:themeColor="text1"/>
          <w:highlight w:val="none"/>
          <w14:textFill>
            <w14:solidFill>
              <w14:schemeClr w14:val="tx1"/>
            </w14:solidFill>
          </w14:textFill>
        </w:rPr>
        <w:t>（四）投标文件的有效期</w:t>
      </w:r>
      <w:bookmarkEnd w:id="111"/>
      <w:bookmarkEnd w:id="112"/>
      <w:bookmarkEnd w:id="113"/>
      <w:bookmarkEnd w:id="114"/>
    </w:p>
    <w:p>
      <w:pPr>
        <w:widowControl/>
        <w:snapToGrid w:val="0"/>
        <w:spacing w:line="360" w:lineRule="auto"/>
        <w:ind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1、自投标截止日起</w:t>
      </w:r>
      <w:r>
        <w:rPr>
          <w:color w:val="000000" w:themeColor="text1"/>
          <w:highlight w:val="none"/>
          <w:u w:val="single"/>
          <w14:textFill>
            <w14:solidFill>
              <w14:schemeClr w14:val="tx1"/>
            </w14:solidFill>
          </w14:textFill>
        </w:rPr>
        <w:t>90</w:t>
      </w:r>
      <w:r>
        <w:rPr>
          <w:color w:val="000000" w:themeColor="text1"/>
          <w:highlight w:val="none"/>
          <w14:textFill>
            <w14:solidFill>
              <w14:schemeClr w14:val="tx1"/>
            </w14:solidFill>
          </w14:textFill>
        </w:rPr>
        <w:t>天投标书应保持有效。有效期短于这个规定期限的投标将被拒绝。</w:t>
      </w:r>
    </w:p>
    <w:p>
      <w:pPr>
        <w:widowControl/>
        <w:snapToGrid w:val="0"/>
        <w:spacing w:line="360" w:lineRule="auto"/>
        <w:ind w:firstLine="63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2、在特殊情况下，采购人可与投标人协商延长投标书的有效期，这种要求和答复均以书面形式进行。</w:t>
      </w:r>
    </w:p>
    <w:p>
      <w:pPr>
        <w:widowControl/>
        <w:snapToGrid w:val="0"/>
        <w:spacing w:line="360" w:lineRule="auto"/>
        <w:ind w:firstLine="630"/>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3、投标人可拒绝接受延期要求。同意延长有效期的投标人不能修改投标文件。</w:t>
      </w:r>
    </w:p>
    <w:p>
      <w:pPr>
        <w:widowControl/>
        <w:snapToGrid w:val="0"/>
        <w:spacing w:line="360" w:lineRule="auto"/>
        <w:ind w:firstLine="63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4、中标人的投标文件自开标之日起至合同履行完毕止均应保持有效。</w:t>
      </w:r>
    </w:p>
    <w:p>
      <w:pPr>
        <w:widowControl/>
        <w:snapToGrid w:val="0"/>
        <w:spacing w:line="360" w:lineRule="auto"/>
        <w:jc w:val="left"/>
        <w:outlineLvl w:val="0"/>
        <w:rPr>
          <w:b/>
          <w:color w:val="000000" w:themeColor="text1"/>
          <w:highlight w:val="none"/>
          <w14:textFill>
            <w14:solidFill>
              <w14:schemeClr w14:val="tx1"/>
            </w14:solidFill>
          </w14:textFill>
        </w:rPr>
      </w:pPr>
      <w:bookmarkStart w:id="115" w:name="_Toc3781"/>
      <w:bookmarkStart w:id="116" w:name="_Toc9024"/>
      <w:bookmarkStart w:id="117" w:name="_Toc1222"/>
      <w:bookmarkStart w:id="118" w:name="_Toc6164"/>
      <w:r>
        <w:rPr>
          <w:b/>
          <w:color w:val="000000" w:themeColor="text1"/>
          <w:highlight w:val="none"/>
          <w14:textFill>
            <w14:solidFill>
              <w14:schemeClr w14:val="tx1"/>
            </w14:solidFill>
          </w14:textFill>
        </w:rPr>
        <w:t>（五）投标保证金</w:t>
      </w:r>
      <w:bookmarkEnd w:id="115"/>
      <w:bookmarkEnd w:id="116"/>
      <w:bookmarkEnd w:id="117"/>
      <w:bookmarkEnd w:id="118"/>
    </w:p>
    <w:p>
      <w:pPr>
        <w:widowControl/>
        <w:snapToGrid w:val="0"/>
        <w:spacing w:line="360" w:lineRule="auto"/>
        <w:ind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本项目按须缴纳。</w:t>
      </w:r>
    </w:p>
    <w:p>
      <w:pPr>
        <w:widowControl/>
        <w:snapToGrid w:val="0"/>
        <w:spacing w:line="360" w:lineRule="auto"/>
        <w:jc w:val="left"/>
        <w:outlineLvl w:val="0"/>
        <w:rPr>
          <w:b/>
          <w:highlight w:val="none"/>
        </w:rPr>
      </w:pPr>
      <w:bookmarkStart w:id="119" w:name="_Toc15607"/>
      <w:bookmarkStart w:id="120" w:name="_Toc22433"/>
      <w:bookmarkStart w:id="121" w:name="_Toc3165"/>
      <w:bookmarkStart w:id="122" w:name="_Toc13937"/>
      <w:r>
        <w:rPr>
          <w:b/>
          <w:highlight w:val="none"/>
        </w:rPr>
        <w:t>（</w:t>
      </w:r>
      <w:r>
        <w:rPr>
          <w:rFonts w:hint="eastAsia"/>
          <w:b/>
          <w:highlight w:val="none"/>
        </w:rPr>
        <w:t>六</w:t>
      </w:r>
      <w:r>
        <w:rPr>
          <w:b/>
          <w:highlight w:val="none"/>
        </w:rPr>
        <w:t>）投标文件的</w:t>
      </w:r>
      <w:r>
        <w:rPr>
          <w:rFonts w:hint="eastAsia"/>
          <w:b/>
          <w:highlight w:val="none"/>
        </w:rPr>
        <w:t>制作、封装及提交要求</w:t>
      </w:r>
      <w:bookmarkEnd w:id="119"/>
      <w:bookmarkEnd w:id="120"/>
      <w:bookmarkEnd w:id="121"/>
      <w:bookmarkEnd w:id="122"/>
    </w:p>
    <w:p>
      <w:pPr>
        <w:pStyle w:val="104"/>
        <w:tabs>
          <w:tab w:val="left" w:pos="0"/>
          <w:tab w:val="left" w:pos="420"/>
        </w:tabs>
        <w:autoSpaceDE w:val="0"/>
        <w:autoSpaceDN w:val="0"/>
        <w:spacing w:line="360" w:lineRule="auto"/>
        <w:textAlignment w:val="bottom"/>
        <w:outlineLvl w:val="2"/>
        <w:rPr>
          <w:rFonts w:hint="eastAsia" w:ascii="宋体" w:hAnsi="宋体" w:cs="宋体"/>
          <w:szCs w:val="21"/>
          <w:highlight w:val="none"/>
        </w:rPr>
      </w:pPr>
      <w:r>
        <w:rPr>
          <w:rFonts w:ascii="宋体" w:hAnsi="宋体"/>
          <w:szCs w:val="21"/>
          <w:highlight w:val="none"/>
        </w:rPr>
        <w:t>（1）</w:t>
      </w:r>
      <w:r>
        <w:rPr>
          <w:rFonts w:hint="eastAsia" w:ascii="宋体" w:hAnsi="宋体" w:cs="宋体"/>
          <w:szCs w:val="21"/>
          <w:highlight w:val="none"/>
        </w:rPr>
        <w:t>投标文件应按照按照投标文件组成内容及项目采购需求和乐采云平台要求制作投标文件，不按采购文件要求和乐采云平台要求制作投标文件的将视情处理（拒收、扣分等），由此产生的责任由投标人自行承担。</w:t>
      </w:r>
    </w:p>
    <w:p>
      <w:pPr>
        <w:snapToGrid w:val="0"/>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电子投标文件部分：投标人应根据“供应商-政府采购项目电子交易操作指南”及本招标文件规定的格式和顺序编制电子投标文件并进行关联定位。</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备份投标文件应与乐采云平台上传的电子加密投标文件一致。</w:t>
      </w:r>
    </w:p>
    <w:p>
      <w:pPr>
        <w:autoSpaceDE w:val="0"/>
        <w:autoSpaceDN w:val="0"/>
        <w:adjustRightInd w:val="0"/>
        <w:snapToGrid w:val="0"/>
        <w:spacing w:line="360" w:lineRule="auto"/>
        <w:ind w:firstLine="210" w:firstLineChars="100"/>
        <w:rPr>
          <w:rFonts w:hint="eastAsia" w:ascii="宋体" w:hAnsi="宋体" w:cs="宋体"/>
          <w:szCs w:val="21"/>
          <w:highlight w:val="none"/>
          <w:lang w:val="zh-CN"/>
        </w:rPr>
      </w:pPr>
      <w:r>
        <w:rPr>
          <w:rFonts w:hint="eastAsia" w:ascii="宋体" w:hAnsi="宋体" w:cs="宋体"/>
          <w:szCs w:val="21"/>
          <w:highlight w:val="none"/>
        </w:rPr>
        <w:t>▲（2）供应商应对所提供的全部资料的真实性承担法律责任，投标文件内容中有要求盖章的地方，必须采用CA签章进行盖章，</w:t>
      </w:r>
      <w:r>
        <w:rPr>
          <w:rFonts w:hint="eastAsia" w:ascii="宋体" w:hAnsi="宋体" w:cs="宋体"/>
          <w:kern w:val="0"/>
          <w:szCs w:val="21"/>
          <w:highlight w:val="none"/>
          <w:lang w:val="zh-CN"/>
        </w:rPr>
        <w:t>法定代表人或全权代表的盖章或签字</w:t>
      </w:r>
      <w:r>
        <w:rPr>
          <w:rFonts w:hint="eastAsia" w:ascii="宋体" w:hAnsi="宋体" w:cs="宋体"/>
          <w:szCs w:val="21"/>
          <w:highlight w:val="none"/>
        </w:rPr>
        <w:t>必须采用</w:t>
      </w:r>
      <w:r>
        <w:rPr>
          <w:rFonts w:hint="eastAsia" w:ascii="宋体" w:hAnsi="宋体" w:cs="宋体"/>
          <w:kern w:val="0"/>
          <w:szCs w:val="21"/>
          <w:highlight w:val="none"/>
          <w:lang w:val="zh-CN"/>
        </w:rPr>
        <w:t>CA电子签章或签字，其中</w:t>
      </w:r>
      <w:r>
        <w:rPr>
          <w:rFonts w:hint="eastAsia" w:ascii="宋体" w:hAnsi="宋体" w:cs="宋体"/>
          <w:szCs w:val="21"/>
          <w:highlight w:val="none"/>
        </w:rPr>
        <w:t>所有证书类文件提供的复印件</w:t>
      </w:r>
      <w:r>
        <w:rPr>
          <w:rFonts w:hint="eastAsia" w:ascii="宋体" w:hAnsi="宋体" w:cs="宋体"/>
          <w:kern w:val="0"/>
          <w:szCs w:val="21"/>
          <w:highlight w:val="none"/>
        </w:rPr>
        <w:t>必须全部加盖CA电子公章且</w:t>
      </w:r>
      <w:r>
        <w:rPr>
          <w:rFonts w:hint="eastAsia" w:ascii="宋体" w:hAnsi="宋体" w:cs="宋体"/>
          <w:szCs w:val="21"/>
          <w:highlight w:val="none"/>
        </w:rPr>
        <w:t>必须在有效期内的。</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3</w:t>
      </w:r>
      <w:r>
        <w:rPr>
          <w:rFonts w:hint="eastAsia" w:ascii="宋体" w:hAnsi="宋体" w:cs="宋体"/>
          <w:szCs w:val="21"/>
          <w:highlight w:val="none"/>
          <w:lang w:val="zh-CN"/>
        </w:rPr>
        <w:t>）</w:t>
      </w:r>
      <w:r>
        <w:rPr>
          <w:rFonts w:hint="eastAsia" w:ascii="宋体" w:hAnsi="宋体" w:cs="宋体"/>
          <w:szCs w:val="21"/>
          <w:highlight w:val="none"/>
        </w:rPr>
        <w:t>投标文件以及投标人与采购代理机构就有关投标事宜的所有来往函电，均应以中文汉语书写。除签字、盖章、专用名称等特殊情形外，以中文汉语以外的文字表述的投标文件视同未提供。</w:t>
      </w:r>
    </w:p>
    <w:p>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（5）若投标人不按招标文件的要求提供资格审查材料，其风险由投标人自行承担。</w:t>
      </w:r>
    </w:p>
    <w:p>
      <w:pPr>
        <w:autoSpaceDE w:val="0"/>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zh-CN"/>
        </w:rPr>
        <w:t>投标文件的份数和签署</w:t>
      </w:r>
    </w:p>
    <w:p>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b/>
          <w:bCs/>
          <w:szCs w:val="21"/>
          <w:highlight w:val="none"/>
          <w:lang w:val="zh-CN"/>
        </w:rPr>
        <w:t>电子投标文件一份：</w:t>
      </w:r>
      <w:r>
        <w:rPr>
          <w:rFonts w:hint="eastAsia" w:ascii="宋体" w:hAnsi="宋体" w:cs="宋体"/>
          <w:szCs w:val="21"/>
          <w:highlight w:val="none"/>
          <w:lang w:val="zh-CN"/>
        </w:rPr>
        <w:t>通过</w:t>
      </w:r>
      <w:r>
        <w:rPr>
          <w:rFonts w:hint="eastAsia" w:ascii="宋体" w:hAnsi="宋体" w:cs="宋体"/>
          <w:szCs w:val="21"/>
          <w:highlight w:val="none"/>
        </w:rPr>
        <w:t>乐采云平台（</w:t>
      </w:r>
      <w:r>
        <w:rPr>
          <w:rFonts w:hint="eastAsia" w:ascii="宋体" w:hAnsi="宋体" w:cs="宋体"/>
          <w:szCs w:val="21"/>
          <w:highlight w:val="none"/>
          <w:lang w:val="zh-CN"/>
        </w:rPr>
        <w:t>政采云平台</w:t>
      </w:r>
      <w:r>
        <w:rPr>
          <w:rFonts w:hint="eastAsia" w:ascii="宋体" w:hAnsi="宋体" w:cs="宋体"/>
          <w:szCs w:val="21"/>
          <w:highlight w:val="none"/>
        </w:rPr>
        <w:t>）</w:t>
      </w:r>
      <w:r>
        <w:rPr>
          <w:rFonts w:hint="eastAsia" w:ascii="宋体" w:hAnsi="宋体" w:cs="宋体"/>
          <w:szCs w:val="21"/>
          <w:highlight w:val="none"/>
          <w:lang w:val="zh-CN"/>
        </w:rPr>
        <w:t>电子投标工具（乐采云或政采云电子投标客户端）生成的，一份为加密标书（用于供应商投标上传）。</w:t>
      </w:r>
    </w:p>
    <w:p>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b/>
          <w:bCs/>
          <w:szCs w:val="21"/>
          <w:highlight w:val="none"/>
          <w:lang w:val="zh-CN"/>
        </w:rPr>
        <w:t>电子备份投标文件：</w:t>
      </w:r>
      <w:r>
        <w:rPr>
          <w:rFonts w:hint="eastAsia" w:ascii="宋体" w:hAnsi="宋体" w:cs="宋体"/>
          <w:szCs w:val="21"/>
          <w:highlight w:val="none"/>
          <w:lang w:val="zh-CN"/>
        </w:rPr>
        <w:t>乐采云或政采云平台上最后生成的具备电子签章的备份投标文件，文件名后缀为备份标书四字的首字母）。</w:t>
      </w:r>
      <w:r>
        <w:rPr>
          <w:highlight w:val="none"/>
        </w:rPr>
        <w:fldChar w:fldCharType="begin"/>
      </w:r>
      <w:r>
        <w:rPr>
          <w:highlight w:val="none"/>
        </w:rPr>
        <w:instrText xml:space="preserve"> HYPERLINK "mailto:投标人自行确定是否提交；若提交请将备份投标文件打包压缩加密（未加密造成泄密的由投标人自行承担）后以电子邮件的形式发送至xjcg2009@163.com" </w:instrText>
      </w:r>
      <w:r>
        <w:rPr>
          <w:highlight w:val="none"/>
        </w:rPr>
        <w:fldChar w:fldCharType="separate"/>
      </w:r>
      <w:r>
        <w:rPr>
          <w:rFonts w:hint="eastAsia" w:ascii="宋体" w:hAnsi="宋体" w:cs="宋体"/>
          <w:szCs w:val="21"/>
          <w:highlight w:val="none"/>
          <w:lang w:val="zh-CN"/>
        </w:rPr>
        <w:t>供应商自行确定是否提交</w:t>
      </w:r>
      <w:r>
        <w:rPr>
          <w:rFonts w:hint="eastAsia" w:ascii="宋体" w:hAnsi="宋体" w:cs="宋体"/>
          <w:szCs w:val="21"/>
          <w:highlight w:val="none"/>
        </w:rPr>
        <w:t>；</w:t>
      </w:r>
      <w:r>
        <w:rPr>
          <w:rFonts w:hint="eastAsia" w:ascii="宋体" w:hAnsi="宋体" w:cs="宋体"/>
          <w:szCs w:val="21"/>
          <w:highlight w:val="none"/>
          <w:lang w:val="zh-CN"/>
        </w:rPr>
        <w:t>若提交请将备份投标文件打包压缩加密</w:t>
      </w:r>
      <w:r>
        <w:rPr>
          <w:rFonts w:hint="eastAsia" w:ascii="宋体" w:hAnsi="宋体" w:cs="宋体"/>
          <w:szCs w:val="21"/>
          <w:highlight w:val="none"/>
        </w:rPr>
        <w:t>（</w:t>
      </w:r>
      <w:r>
        <w:rPr>
          <w:rFonts w:hint="eastAsia" w:ascii="宋体" w:hAnsi="宋体" w:cs="宋体"/>
          <w:szCs w:val="21"/>
          <w:highlight w:val="none"/>
          <w:lang w:val="zh-CN"/>
        </w:rPr>
        <w:t>未加密造成泄密的由供应商自行承担</w:t>
      </w:r>
      <w:r>
        <w:rPr>
          <w:rFonts w:hint="eastAsia" w:ascii="宋体" w:hAnsi="宋体" w:cs="宋体"/>
          <w:szCs w:val="21"/>
          <w:highlight w:val="none"/>
        </w:rPr>
        <w:t>）</w:t>
      </w:r>
      <w:r>
        <w:rPr>
          <w:rFonts w:hint="eastAsia" w:ascii="宋体" w:hAnsi="宋体" w:cs="宋体"/>
          <w:szCs w:val="21"/>
          <w:highlight w:val="none"/>
          <w:lang w:val="zh-CN"/>
        </w:rPr>
        <w:t>后以电子邮件的形式发送至</w:t>
      </w:r>
      <w:r>
        <w:rPr>
          <w:rFonts w:hint="eastAsia" w:ascii="宋体" w:hAnsi="宋体" w:cs="宋体"/>
          <w:szCs w:val="21"/>
          <w:highlight w:val="none"/>
          <w:lang w:eastAsia="zh-CN"/>
        </w:rPr>
        <w:t>sha7479@qq.com</w:t>
      </w:r>
      <w:r>
        <w:rPr>
          <w:rFonts w:hint="eastAsia" w:ascii="宋体" w:hAnsi="宋体" w:cs="宋体"/>
          <w:szCs w:val="21"/>
          <w:highlight w:val="none"/>
        </w:rPr>
        <w:fldChar w:fldCharType="end"/>
      </w:r>
      <w:r>
        <w:rPr>
          <w:rFonts w:hint="eastAsia" w:ascii="宋体" w:hAnsi="宋体" w:cs="宋体"/>
          <w:szCs w:val="21"/>
          <w:highlight w:val="none"/>
          <w:lang w:val="zh-CN"/>
        </w:rPr>
        <w:t>。</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备份投标文件在“电子加密投标文件”在线解密失败后启用，否则不予以启用；供应商确认“电子加密投标文件”在线解密失败后，将打包压缩加密的备份投标文件的解密密码在解密规定的时间（发出解密通知后60分钟内）发送至上述邮箱内，未在规定时间内发送造成的投标无效或失败由供应商人自行承担。</w:t>
      </w:r>
    </w:p>
    <w:p>
      <w:pPr>
        <w:autoSpaceDE w:val="0"/>
        <w:autoSpaceDN w:val="0"/>
        <w:adjustRightInd w:val="0"/>
        <w:snapToGrid w:val="0"/>
        <w:spacing w:line="360" w:lineRule="auto"/>
        <w:ind w:firstLine="417" w:firstLineChars="198"/>
        <w:rPr>
          <w:b/>
          <w:color w:val="000000" w:themeColor="text1"/>
          <w:sz w:val="30"/>
          <w:highlight w:val="none"/>
          <w14:textFill>
            <w14:solidFill>
              <w14:schemeClr w14:val="tx1"/>
            </w14:solidFill>
          </w14:textFill>
        </w:rPr>
      </w:pPr>
      <w:r>
        <w:rPr>
          <w:rFonts w:hint="eastAsia" w:ascii="宋体" w:hAnsi="宋体"/>
          <w:b/>
          <w:highlight w:val="none"/>
        </w:rPr>
        <w:t>（3）中标供应商应提供与电子响应文件内容一致的纸质响应文件各一正三副，装订成册，采用胶订或线订，不得采用活页夹等可随时拆换的方式装订。（胶订或线订以外装订形式视为活页装订）中标人在领取中标通知书时提供纸质响应文件。</w:t>
      </w:r>
    </w:p>
    <w:p>
      <w:pPr>
        <w:widowControl/>
        <w:snapToGrid w:val="0"/>
        <w:spacing w:before="152" w:beforeLines="50" w:after="152" w:afterLines="50" w:line="360" w:lineRule="auto"/>
        <w:jc w:val="center"/>
        <w:outlineLvl w:val="0"/>
        <w:rPr>
          <w:b/>
          <w:color w:val="000000" w:themeColor="text1"/>
          <w:sz w:val="30"/>
          <w:highlight w:val="none"/>
          <w14:textFill>
            <w14:solidFill>
              <w14:schemeClr w14:val="tx1"/>
            </w14:solidFill>
          </w14:textFill>
        </w:rPr>
      </w:pPr>
      <w:bookmarkStart w:id="123" w:name="_Toc384"/>
      <w:bookmarkStart w:id="124" w:name="_Toc15253"/>
      <w:bookmarkStart w:id="125" w:name="_Toc16045"/>
      <w:bookmarkStart w:id="126" w:name="_Toc4816"/>
      <w:r>
        <w:rPr>
          <w:b/>
          <w:color w:val="000000" w:themeColor="text1"/>
          <w:sz w:val="30"/>
          <w:highlight w:val="none"/>
          <w14:textFill>
            <w14:solidFill>
              <w14:schemeClr w14:val="tx1"/>
            </w14:solidFill>
          </w14:textFill>
        </w:rPr>
        <w:t>四、开标</w:t>
      </w:r>
      <w:bookmarkEnd w:id="123"/>
      <w:bookmarkEnd w:id="124"/>
      <w:bookmarkEnd w:id="125"/>
      <w:bookmarkEnd w:id="126"/>
    </w:p>
    <w:p>
      <w:pPr>
        <w:widowControl/>
        <w:snapToGrid w:val="0"/>
        <w:spacing w:line="360" w:lineRule="auto"/>
        <w:outlineLvl w:val="0"/>
        <w:rPr>
          <w:b/>
          <w:color w:val="000000" w:themeColor="text1"/>
          <w:highlight w:val="none"/>
          <w14:textFill>
            <w14:solidFill>
              <w14:schemeClr w14:val="tx1"/>
            </w14:solidFill>
          </w14:textFill>
        </w:rPr>
      </w:pPr>
      <w:bookmarkStart w:id="127" w:name="_Toc19567"/>
      <w:bookmarkStart w:id="128" w:name="_Toc23042"/>
      <w:bookmarkStart w:id="129" w:name="_Toc9473"/>
      <w:bookmarkStart w:id="130" w:name="_Toc357"/>
      <w:r>
        <w:rPr>
          <w:b/>
          <w:color w:val="000000" w:themeColor="text1"/>
          <w:highlight w:val="none"/>
          <w14:textFill>
            <w14:solidFill>
              <w14:schemeClr w14:val="tx1"/>
            </w14:solidFill>
          </w14:textFill>
        </w:rPr>
        <w:t>（一）开标</w:t>
      </w:r>
      <w:r>
        <w:rPr>
          <w:rFonts w:hint="eastAsia"/>
          <w:b/>
          <w:color w:val="000000" w:themeColor="text1"/>
          <w:highlight w:val="none"/>
          <w14:textFill>
            <w14:solidFill>
              <w14:schemeClr w14:val="tx1"/>
            </w14:solidFill>
          </w14:textFill>
        </w:rPr>
        <w:t>事项</w:t>
      </w:r>
      <w:bookmarkEnd w:id="127"/>
      <w:bookmarkEnd w:id="128"/>
      <w:bookmarkEnd w:id="129"/>
      <w:bookmarkEnd w:id="130"/>
    </w:p>
    <w:p>
      <w:pPr>
        <w:pStyle w:val="16"/>
        <w:spacing w:line="360" w:lineRule="auto"/>
        <w:ind w:left="60" w:firstLine="420" w:firstLineChars="200"/>
        <w:rPr>
          <w:b/>
          <w:bCs/>
          <w:color w:val="FF0000"/>
          <w:highlight w:val="none"/>
        </w:rPr>
      </w:pPr>
      <w:r>
        <w:rPr>
          <w:rFonts w:hint="eastAsia"/>
          <w:highlight w:val="none"/>
        </w:rPr>
        <w:t>招标采购单位将在规定的时间和地点进行开标</w:t>
      </w:r>
      <w:r>
        <w:rPr>
          <w:rFonts w:hint="eastAsia"/>
          <w:color w:val="0000FF"/>
          <w:highlight w:val="none"/>
        </w:rPr>
        <w:t>，</w:t>
      </w:r>
      <w:r>
        <w:rPr>
          <w:rFonts w:hint="eastAsia"/>
          <w:color w:val="000000" w:themeColor="text1"/>
          <w:highlight w:val="none"/>
          <w14:textFill>
            <w14:solidFill>
              <w14:schemeClr w14:val="tx1"/>
            </w14:solidFill>
          </w14:textFill>
        </w:rPr>
        <w:t>本项目不要求供应商代表参加现场开标活动，</w:t>
      </w:r>
      <w:r>
        <w:rPr>
          <w:rFonts w:hint="eastAsia" w:ascii="宋体" w:hAnsi="宋体" w:cs="宋体"/>
          <w:color w:val="000000" w:themeColor="text1"/>
          <w:kern w:val="0"/>
          <w:szCs w:val="21"/>
          <w:highlight w:val="none"/>
          <w14:textFill>
            <w14:solidFill>
              <w14:schemeClr w14:val="tx1"/>
            </w14:solidFill>
          </w14:textFill>
        </w:rPr>
        <w:t>但须准时在线（乐采云平台https：//www.lecaiy</w:t>
      </w:r>
      <w:r>
        <w:rPr>
          <w:rFonts w:hint="eastAsia" w:ascii="宋体" w:hAnsi="宋体" w:cs="宋体"/>
          <w:kern w:val="0"/>
          <w:szCs w:val="21"/>
          <w:highlight w:val="none"/>
        </w:rPr>
        <w:t>un.com）参加，直至项目开评标结束。</w:t>
      </w:r>
    </w:p>
    <w:p>
      <w:pPr>
        <w:widowControl/>
        <w:snapToGrid w:val="0"/>
        <w:spacing w:line="360" w:lineRule="auto"/>
        <w:outlineLvl w:val="0"/>
        <w:rPr>
          <w:b/>
          <w:color w:val="000000" w:themeColor="text1"/>
          <w:highlight w:val="none"/>
          <w14:textFill>
            <w14:solidFill>
              <w14:schemeClr w14:val="tx1"/>
            </w14:solidFill>
          </w14:textFill>
        </w:rPr>
      </w:pPr>
      <w:bookmarkStart w:id="131" w:name="_Toc20356"/>
      <w:bookmarkStart w:id="132" w:name="_Toc21969"/>
      <w:bookmarkStart w:id="133" w:name="_Toc4911"/>
      <w:bookmarkStart w:id="134" w:name="_Toc11307"/>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二</w:t>
      </w:r>
      <w:r>
        <w:rPr>
          <w:b/>
          <w:color w:val="000000" w:themeColor="text1"/>
          <w:highlight w:val="none"/>
          <w14:textFill>
            <w14:solidFill>
              <w14:schemeClr w14:val="tx1"/>
            </w14:solidFill>
          </w14:textFill>
        </w:rPr>
        <w:t>）开标程序</w:t>
      </w:r>
      <w:bookmarkEnd w:id="131"/>
      <w:bookmarkEnd w:id="132"/>
      <w:bookmarkEnd w:id="133"/>
      <w:bookmarkEnd w:id="134"/>
    </w:p>
    <w:p>
      <w:pPr>
        <w:pStyle w:val="49"/>
        <w:widowControl w:val="0"/>
        <w:numPr>
          <w:ilvl w:val="0"/>
          <w:numId w:val="0"/>
        </w:numPr>
        <w:tabs>
          <w:tab w:val="clear" w:pos="3120"/>
        </w:tabs>
        <w:snapToGrid/>
        <w:spacing w:line="360" w:lineRule="auto"/>
        <w:ind w:firstLine="422" w:firstLineChars="200"/>
        <w:rPr>
          <w:rFonts w:hint="eastAsia" w:ascii="宋体" w:hAnsi="宋体" w:cs="宋体"/>
          <w:b/>
          <w:bCs/>
          <w:szCs w:val="21"/>
          <w:highlight w:val="none"/>
          <w:lang w:val="zh-CN"/>
        </w:rPr>
      </w:pPr>
      <w:r>
        <w:rPr>
          <w:rFonts w:hint="eastAsia" w:ascii="宋体" w:hAnsi="宋体" w:cs="宋体"/>
          <w:b/>
          <w:bCs/>
          <w:szCs w:val="21"/>
          <w:highlight w:val="none"/>
        </w:rPr>
        <w:t>1、</w:t>
      </w:r>
      <w:r>
        <w:rPr>
          <w:rFonts w:hint="eastAsia" w:ascii="宋体" w:hAnsi="宋体" w:cs="宋体"/>
          <w:b/>
          <w:bCs/>
          <w:szCs w:val="21"/>
          <w:highlight w:val="none"/>
          <w:lang w:val="zh-CN"/>
        </w:rPr>
        <w:t>本项目通过</w:t>
      </w:r>
      <w:r>
        <w:rPr>
          <w:rFonts w:hint="eastAsia" w:ascii="宋体" w:hAnsi="宋体" w:cs="宋体"/>
          <w:b/>
          <w:bCs/>
          <w:szCs w:val="21"/>
          <w:highlight w:val="none"/>
        </w:rPr>
        <w:t>浙江</w:t>
      </w:r>
      <w:r>
        <w:rPr>
          <w:rFonts w:hint="eastAsia" w:ascii="宋体" w:hAnsi="宋体" w:cs="宋体"/>
          <w:b/>
          <w:bCs/>
          <w:szCs w:val="21"/>
          <w:highlight w:val="none"/>
          <w:lang w:val="zh-CN"/>
        </w:rPr>
        <w:t>政府采购云（</w:t>
      </w:r>
      <w:r>
        <w:rPr>
          <w:rFonts w:hint="eastAsia" w:ascii="宋体" w:hAnsi="宋体" w:cs="宋体"/>
          <w:b/>
          <w:bCs/>
          <w:szCs w:val="21"/>
          <w:highlight w:val="none"/>
        </w:rPr>
        <w:t>乐采云</w:t>
      </w:r>
      <w:r>
        <w:rPr>
          <w:rFonts w:hint="eastAsia" w:ascii="宋体" w:hAnsi="宋体" w:cs="宋体"/>
          <w:b/>
          <w:bCs/>
          <w:szCs w:val="21"/>
          <w:highlight w:val="none"/>
          <w:lang w:val="zh-CN"/>
        </w:rPr>
        <w:t>）平台进行开标、资格审查、评审、询标，投标人均应当准时在线参加，否则产生的风险由投标人自行承担（投标人务必不要离开电脑太久，并留意手机短信，建议投标人提前做好检查“</w:t>
      </w:r>
      <w:r>
        <w:rPr>
          <w:rFonts w:hint="eastAsia" w:ascii="宋体" w:hAnsi="宋体" w:cs="宋体"/>
          <w:b/>
          <w:bCs/>
          <w:szCs w:val="21"/>
          <w:highlight w:val="none"/>
        </w:rPr>
        <w:t>浙江</w:t>
      </w:r>
      <w:r>
        <w:rPr>
          <w:rFonts w:hint="eastAsia" w:ascii="宋体" w:hAnsi="宋体" w:cs="宋体"/>
          <w:b/>
          <w:bCs/>
          <w:szCs w:val="21"/>
          <w:highlight w:val="none"/>
          <w:lang w:val="zh-CN"/>
        </w:rPr>
        <w:t>政府采购云（</w:t>
      </w:r>
      <w:r>
        <w:rPr>
          <w:rFonts w:hint="eastAsia" w:ascii="宋体" w:hAnsi="宋体" w:cs="宋体"/>
          <w:b/>
          <w:bCs/>
          <w:szCs w:val="21"/>
          <w:highlight w:val="none"/>
        </w:rPr>
        <w:t>乐采云</w:t>
      </w:r>
      <w:r>
        <w:rPr>
          <w:rFonts w:hint="eastAsia" w:ascii="宋体" w:hAnsi="宋体" w:cs="宋体"/>
          <w:b/>
          <w:bCs/>
          <w:szCs w:val="21"/>
          <w:highlight w:val="none"/>
          <w:lang w:val="zh-CN"/>
        </w:rPr>
        <w:t>）</w:t>
      </w:r>
      <w:r>
        <w:rPr>
          <w:rFonts w:hint="eastAsia" w:ascii="宋体" w:hAnsi="宋体" w:cs="宋体"/>
          <w:b/>
          <w:bCs/>
          <w:szCs w:val="21"/>
          <w:highlight w:val="none"/>
        </w:rPr>
        <w:t>平台</w:t>
      </w:r>
      <w:r>
        <w:rPr>
          <w:rFonts w:hint="eastAsia" w:ascii="宋体" w:hAnsi="宋体" w:cs="宋体"/>
          <w:b/>
          <w:bCs/>
          <w:szCs w:val="21"/>
          <w:highlight w:val="none"/>
          <w:lang w:val="zh-CN"/>
        </w:rPr>
        <w:t>”内，关于“项目采购”的岗位权限是否勾选。如有问题，请致电400-881-7190）。</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2.组织</w:t>
      </w:r>
      <w:r>
        <w:rPr>
          <w:rFonts w:hint="eastAsia" w:ascii="宋体" w:hAnsi="宋体" w:cs="宋体"/>
          <w:b/>
          <w:bCs/>
          <w:szCs w:val="21"/>
          <w:highlight w:val="none"/>
          <w:lang w:val="zh-CN"/>
        </w:rPr>
        <w:t>供应商签署不存在影响公平竞争的《采购活动现场确认声明书》。各供应商代表应提前准备《采购活动现场确认声明书》（见附件），按主持人通知要求实时上传。</w:t>
      </w:r>
    </w:p>
    <w:p>
      <w:pPr>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rPr>
        <w:t xml:space="preserve">3. </w:t>
      </w:r>
      <w:r>
        <w:rPr>
          <w:rFonts w:hint="eastAsia" w:ascii="宋体" w:hAnsi="宋体" w:cs="宋体"/>
          <w:szCs w:val="21"/>
          <w:highlight w:val="none"/>
          <w:lang w:val="zh-CN"/>
        </w:rPr>
        <w:t>采购人或采购机构依法对资格证明文件进行审查，评标委员会对商务与技术文件进行评审。</w:t>
      </w:r>
    </w:p>
    <w:p>
      <w:pPr>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rPr>
        <w:t xml:space="preserve">4. </w:t>
      </w:r>
      <w:r>
        <w:rPr>
          <w:rFonts w:hint="eastAsia" w:ascii="宋体" w:hAnsi="宋体" w:cs="宋体"/>
          <w:szCs w:val="21"/>
          <w:highlight w:val="none"/>
          <w:lang w:val="zh-CN"/>
        </w:rPr>
        <w:t>商务与技术文件评审完成后，主持人宣告商务与技术文件评审无效投标人名称及理由，公布经商务与技术文件评审符合采购需求的投标人名单以及商务与技术文件得分情况。</w:t>
      </w:r>
    </w:p>
    <w:p>
      <w:pPr>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rPr>
        <w:t>5.</w:t>
      </w:r>
      <w:r>
        <w:rPr>
          <w:rFonts w:hint="eastAsia" w:ascii="宋体" w:hAnsi="宋体" w:cs="宋体"/>
          <w:szCs w:val="21"/>
          <w:highlight w:val="none"/>
          <w:lang w:val="zh-CN"/>
        </w:rPr>
        <w:t>开启各供应商报价文件。</w:t>
      </w:r>
    </w:p>
    <w:p>
      <w:pPr>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rPr>
        <w:t>6.</w:t>
      </w:r>
      <w:r>
        <w:rPr>
          <w:rFonts w:hint="eastAsia" w:ascii="宋体" w:hAnsi="宋体" w:cs="宋体"/>
          <w:szCs w:val="21"/>
          <w:highlight w:val="none"/>
          <w:lang w:val="zh-CN"/>
        </w:rPr>
        <w:t>评标结束后，主持人公布综合得分以及中标候选人排序名单。</w:t>
      </w:r>
    </w:p>
    <w:p>
      <w:pPr>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rPr>
        <w:t xml:space="preserve">7. </w:t>
      </w:r>
      <w:r>
        <w:rPr>
          <w:rFonts w:hint="eastAsia" w:ascii="宋体" w:hAnsi="宋体" w:cs="宋体"/>
          <w:szCs w:val="21"/>
          <w:highlight w:val="none"/>
          <w:lang w:val="zh-CN"/>
        </w:rPr>
        <w:t>开标会议结束。</w:t>
      </w:r>
    </w:p>
    <w:p>
      <w:pPr>
        <w:widowControl/>
        <w:snapToGrid w:val="0"/>
        <w:spacing w:before="152" w:beforeLines="50" w:after="152" w:afterLines="50" w:line="360" w:lineRule="auto"/>
        <w:jc w:val="center"/>
        <w:outlineLvl w:val="0"/>
        <w:rPr>
          <w:b/>
          <w:color w:val="000000" w:themeColor="text1"/>
          <w:sz w:val="30"/>
          <w:highlight w:val="none"/>
          <w14:textFill>
            <w14:solidFill>
              <w14:schemeClr w14:val="tx1"/>
            </w14:solidFill>
          </w14:textFill>
        </w:rPr>
      </w:pPr>
      <w:bookmarkStart w:id="135" w:name="_Toc27873"/>
      <w:bookmarkStart w:id="136" w:name="_Toc30633"/>
      <w:bookmarkStart w:id="137" w:name="_Toc19277"/>
      <w:bookmarkStart w:id="138" w:name="_Toc31570"/>
      <w:r>
        <w:rPr>
          <w:b/>
          <w:color w:val="000000" w:themeColor="text1"/>
          <w:sz w:val="30"/>
          <w:highlight w:val="none"/>
          <w14:textFill>
            <w14:solidFill>
              <w14:schemeClr w14:val="tx1"/>
            </w14:solidFill>
          </w14:textFill>
        </w:rPr>
        <w:t>五、评标</w:t>
      </w:r>
      <w:bookmarkEnd w:id="135"/>
      <w:bookmarkEnd w:id="136"/>
      <w:bookmarkEnd w:id="137"/>
      <w:bookmarkEnd w:id="138"/>
    </w:p>
    <w:p>
      <w:pPr>
        <w:widowControl/>
        <w:snapToGrid w:val="0"/>
        <w:spacing w:line="360" w:lineRule="auto"/>
        <w:outlineLvl w:val="0"/>
        <w:rPr>
          <w:b/>
          <w:color w:val="000000" w:themeColor="text1"/>
          <w:highlight w:val="none"/>
          <w14:textFill>
            <w14:solidFill>
              <w14:schemeClr w14:val="tx1"/>
            </w14:solidFill>
          </w14:textFill>
        </w:rPr>
      </w:pPr>
      <w:bookmarkStart w:id="139" w:name="_Toc26464"/>
      <w:bookmarkStart w:id="140" w:name="_Toc21744"/>
      <w:bookmarkStart w:id="141" w:name="_Toc1328"/>
      <w:bookmarkStart w:id="142" w:name="_Toc23088"/>
      <w:r>
        <w:rPr>
          <w:b/>
          <w:color w:val="000000" w:themeColor="text1"/>
          <w:highlight w:val="none"/>
          <w14:textFill>
            <w14:solidFill>
              <w14:schemeClr w14:val="tx1"/>
            </w14:solidFill>
          </w14:textFill>
        </w:rPr>
        <w:t>（一）组建评标委员会</w:t>
      </w:r>
      <w:bookmarkEnd w:id="139"/>
      <w:bookmarkEnd w:id="140"/>
      <w:bookmarkEnd w:id="141"/>
      <w:bookmarkEnd w:id="142"/>
    </w:p>
    <w:p>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本项目评标委员会由采购人或采购代理机构依法组建。</w:t>
      </w:r>
    </w:p>
    <w:p>
      <w:pPr>
        <w:widowControl/>
        <w:snapToGrid w:val="0"/>
        <w:spacing w:line="360" w:lineRule="auto"/>
        <w:outlineLvl w:val="0"/>
        <w:rPr>
          <w:b/>
          <w:color w:val="000000" w:themeColor="text1"/>
          <w:highlight w:val="none"/>
          <w14:textFill>
            <w14:solidFill>
              <w14:schemeClr w14:val="tx1"/>
            </w14:solidFill>
          </w14:textFill>
        </w:rPr>
      </w:pPr>
      <w:bookmarkStart w:id="143" w:name="_Toc29376"/>
      <w:bookmarkStart w:id="144" w:name="_Toc22108"/>
      <w:bookmarkStart w:id="145" w:name="_Toc568"/>
      <w:bookmarkStart w:id="146" w:name="_Toc26850"/>
      <w:r>
        <w:rPr>
          <w:b/>
          <w:color w:val="000000" w:themeColor="text1"/>
          <w:highlight w:val="none"/>
          <w14:textFill>
            <w14:solidFill>
              <w14:schemeClr w14:val="tx1"/>
            </w14:solidFill>
          </w14:textFill>
        </w:rPr>
        <w:t>（二）评标的方式</w:t>
      </w:r>
      <w:bookmarkEnd w:id="143"/>
      <w:bookmarkEnd w:id="144"/>
      <w:bookmarkEnd w:id="145"/>
      <w:bookmarkEnd w:id="146"/>
    </w:p>
    <w:p>
      <w:pPr>
        <w:widowControl/>
        <w:snapToGrid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本项目采用不公开方式评标，评标的依据为招标文件和投标文件。</w:t>
      </w:r>
    </w:p>
    <w:p>
      <w:pPr>
        <w:widowControl/>
        <w:snapToGrid w:val="0"/>
        <w:spacing w:line="360" w:lineRule="auto"/>
        <w:outlineLvl w:val="0"/>
        <w:rPr>
          <w:b/>
          <w:color w:val="000000" w:themeColor="text1"/>
          <w:highlight w:val="none"/>
          <w14:textFill>
            <w14:solidFill>
              <w14:schemeClr w14:val="tx1"/>
            </w14:solidFill>
          </w14:textFill>
        </w:rPr>
      </w:pPr>
      <w:bookmarkStart w:id="147" w:name="_Toc14096"/>
      <w:bookmarkStart w:id="148" w:name="_Toc24122"/>
      <w:bookmarkStart w:id="149" w:name="_Toc10394"/>
      <w:bookmarkStart w:id="150" w:name="_Toc19558"/>
      <w:r>
        <w:rPr>
          <w:b/>
          <w:color w:val="000000" w:themeColor="text1"/>
          <w:highlight w:val="none"/>
          <w14:textFill>
            <w14:solidFill>
              <w14:schemeClr w14:val="tx1"/>
            </w14:solidFill>
          </w14:textFill>
        </w:rPr>
        <w:t>（三）评标程序</w:t>
      </w:r>
      <w:bookmarkEnd w:id="147"/>
      <w:bookmarkEnd w:id="148"/>
      <w:bookmarkEnd w:id="149"/>
      <w:bookmarkEnd w:id="150"/>
    </w:p>
    <w:p>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1、资格审查</w:t>
      </w:r>
    </w:p>
    <w:p>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公开招标采购项目开标结束后，采购人或者代理机构应当依法对投标人的资格进行审查，对审查发现无效的进行必要的询标，结束后公布无效投标的投标人名单、投标无效的原因。</w:t>
      </w:r>
    </w:p>
    <w:p>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2、综合比较与评价</w:t>
      </w:r>
    </w:p>
    <w:p>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1）对于投标文件中含义不明确、同类问题表述不一致或者有明显文字和计算错误的内容，评标委员会应当</w:t>
      </w:r>
      <w:r>
        <w:rPr>
          <w:rFonts w:hint="eastAsia"/>
          <w:color w:val="000000" w:themeColor="text1"/>
          <w:highlight w:val="none"/>
          <w14:textFill>
            <w14:solidFill>
              <w14:schemeClr w14:val="tx1"/>
            </w14:solidFill>
          </w14:textFill>
        </w:rPr>
        <w:t>通过政采云</w:t>
      </w:r>
      <w:r>
        <w:rPr>
          <w:rFonts w:hint="eastAsia" w:ascii="宋体" w:hAnsi="宋体" w:cs="宋体"/>
          <w:szCs w:val="21"/>
          <w:highlight w:val="none"/>
          <w:lang w:val="zh-CN"/>
        </w:rPr>
        <w:t>（</w:t>
      </w:r>
      <w:r>
        <w:rPr>
          <w:rFonts w:hint="eastAsia" w:ascii="宋体" w:hAnsi="宋体" w:cs="宋体"/>
          <w:szCs w:val="21"/>
          <w:highlight w:val="none"/>
        </w:rPr>
        <w:t>乐采云</w:t>
      </w:r>
      <w:r>
        <w:rPr>
          <w:rFonts w:hint="eastAsia" w:ascii="宋体" w:hAnsi="宋体" w:cs="宋体"/>
          <w:szCs w:val="21"/>
          <w:highlight w:val="none"/>
          <w:lang w:val="zh-CN"/>
        </w:rPr>
        <w:t>）</w:t>
      </w:r>
      <w:r>
        <w:rPr>
          <w:rFonts w:hint="eastAsia"/>
          <w:color w:val="000000" w:themeColor="text1"/>
          <w:highlight w:val="none"/>
          <w14:textFill>
            <w14:solidFill>
              <w14:schemeClr w14:val="tx1"/>
            </w14:solidFill>
          </w14:textFill>
        </w:rPr>
        <w:t>平台或</w:t>
      </w:r>
      <w:r>
        <w:rPr>
          <w:color w:val="000000" w:themeColor="text1"/>
          <w:highlight w:val="none"/>
          <w14:textFill>
            <w14:solidFill>
              <w14:schemeClr w14:val="tx1"/>
            </w14:solidFill>
          </w14:textFill>
        </w:rPr>
        <w:t>书面形式要求投标人作出必要的澄清、说明或者补正。</w:t>
      </w:r>
    </w:p>
    <w:p>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2）评标委员会应当按照招标文件中规定的评标方法和标准，对审查合格的投标文件进行商务和技术评估，并汇总每个投标人的得分。</w:t>
      </w:r>
    </w:p>
    <w:p>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、得分确认及评审报告编写</w:t>
      </w:r>
    </w:p>
    <w:p>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1）评标委员会对报价文件进行复核，对于系统计算出的价格分及总得分进行确认；</w:t>
      </w:r>
    </w:p>
    <w:p>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2）评标委员会按评标原则及得分情况编写评审报告。</w:t>
      </w:r>
    </w:p>
    <w:p>
      <w:pPr>
        <w:widowControl/>
        <w:snapToGrid w:val="0"/>
        <w:spacing w:line="360" w:lineRule="auto"/>
        <w:outlineLvl w:val="0"/>
        <w:rPr>
          <w:b/>
          <w:color w:val="000000" w:themeColor="text1"/>
          <w:highlight w:val="none"/>
          <w14:textFill>
            <w14:solidFill>
              <w14:schemeClr w14:val="tx1"/>
            </w14:solidFill>
          </w14:textFill>
        </w:rPr>
      </w:pPr>
      <w:bookmarkStart w:id="151" w:name="_Toc7421"/>
      <w:bookmarkStart w:id="152" w:name="_Toc21420"/>
      <w:bookmarkStart w:id="153" w:name="_Toc14191"/>
      <w:bookmarkStart w:id="154" w:name="_Toc26385"/>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四</w:t>
      </w:r>
      <w:r>
        <w:rPr>
          <w:b/>
          <w:color w:val="000000" w:themeColor="text1"/>
          <w:highlight w:val="none"/>
          <w14:textFill>
            <w14:solidFill>
              <w14:schemeClr w14:val="tx1"/>
            </w14:solidFill>
          </w14:textFill>
        </w:rPr>
        <w:t>）澄清问题的形式</w:t>
      </w:r>
      <w:bookmarkEnd w:id="151"/>
      <w:bookmarkEnd w:id="152"/>
      <w:bookmarkEnd w:id="153"/>
      <w:bookmarkEnd w:id="154"/>
    </w:p>
    <w:p>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评审过程中若需要供应商</w:t>
      </w:r>
      <w:r>
        <w:rPr>
          <w:color w:val="000000" w:themeColor="text1"/>
          <w:highlight w:val="none"/>
          <w14:textFill>
            <w14:solidFill>
              <w14:schemeClr w14:val="tx1"/>
            </w14:solidFill>
          </w14:textFill>
        </w:rPr>
        <w:t>对投标文件中含义不明确、同类问题表述不一致或者有明显文字和计算错误的内容</w:t>
      </w:r>
      <w:r>
        <w:rPr>
          <w:rFonts w:hint="eastAsia"/>
          <w:color w:val="000000" w:themeColor="text1"/>
          <w:highlight w:val="none"/>
          <w14:textFill>
            <w14:solidFill>
              <w14:schemeClr w14:val="tx1"/>
            </w14:solidFill>
          </w14:textFill>
        </w:rPr>
        <w:t>作出澄清、说明或者补正的，评审小组可要求供应商在合理期限内通过电子邮件（</w:t>
      </w:r>
      <w:r>
        <w:rPr>
          <w:rFonts w:hint="eastAsia"/>
          <w:color w:val="000000" w:themeColor="text1"/>
          <w:highlight w:val="none"/>
          <w:lang w:eastAsia="zh-CN"/>
          <w14:textFill>
            <w14:solidFill>
              <w14:schemeClr w14:val="tx1"/>
            </w14:solidFill>
          </w14:textFill>
        </w:rPr>
        <w:t>sha7479@qq.com</w:t>
      </w:r>
      <w:r>
        <w:rPr>
          <w:rFonts w:hint="eastAsia"/>
          <w:color w:val="000000" w:themeColor="text1"/>
          <w:highlight w:val="none"/>
          <w14:textFill>
            <w14:solidFill>
              <w14:schemeClr w14:val="tx1"/>
            </w14:solidFill>
          </w14:textFill>
        </w:rPr>
        <w:t>）等书面形式或线上询标澄清方式作出。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pPr>
        <w:widowControl/>
        <w:snapToGrid w:val="0"/>
        <w:spacing w:line="360" w:lineRule="auto"/>
        <w:outlineLvl w:val="0"/>
        <w:rPr>
          <w:b/>
          <w:color w:val="000000" w:themeColor="text1"/>
          <w:highlight w:val="none"/>
          <w14:textFill>
            <w14:solidFill>
              <w14:schemeClr w14:val="tx1"/>
            </w14:solidFill>
          </w14:textFill>
        </w:rPr>
      </w:pPr>
      <w:bookmarkStart w:id="155" w:name="_Toc7597"/>
      <w:bookmarkStart w:id="156" w:name="_Toc10902"/>
      <w:bookmarkStart w:id="157" w:name="_Toc26517"/>
      <w:bookmarkStart w:id="158" w:name="_Toc2401"/>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五</w:t>
      </w:r>
      <w:r>
        <w:rPr>
          <w:b/>
          <w:color w:val="000000" w:themeColor="text1"/>
          <w:highlight w:val="none"/>
          <w14:textFill>
            <w14:solidFill>
              <w14:schemeClr w14:val="tx1"/>
            </w14:solidFill>
          </w14:textFill>
        </w:rPr>
        <w:t>）错误修正</w:t>
      </w:r>
      <w:bookmarkEnd w:id="155"/>
      <w:bookmarkEnd w:id="156"/>
      <w:bookmarkEnd w:id="157"/>
      <w:bookmarkEnd w:id="158"/>
    </w:p>
    <w:p>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投标文件报价出现前后不一致的，按照下列规定修正：</w:t>
      </w:r>
    </w:p>
    <w:p>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①投标文件中开标一览表内容与投标文件中相应内容不一致的，以开标一览表为准；</w:t>
      </w:r>
    </w:p>
    <w:p>
      <w:pPr>
        <w:widowControl/>
        <w:snapToGrid w:val="0"/>
        <w:spacing w:line="360" w:lineRule="auto"/>
        <w:ind w:firstLine="42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如同时出现两种以上不一致的，按照前款规定的顺序修正。修正后的报价经投标人确认后产生约束力，投标人不确认的，其投标无效。</w:t>
      </w:r>
    </w:p>
    <w:p>
      <w:pPr>
        <w:widowControl/>
        <w:snapToGrid w:val="0"/>
        <w:spacing w:line="360" w:lineRule="auto"/>
        <w:outlineLvl w:val="0"/>
        <w:rPr>
          <w:b/>
          <w:color w:val="000000" w:themeColor="text1"/>
          <w:highlight w:val="none"/>
          <w14:textFill>
            <w14:solidFill>
              <w14:schemeClr w14:val="tx1"/>
            </w14:solidFill>
          </w14:textFill>
        </w:rPr>
      </w:pPr>
      <w:bookmarkStart w:id="159" w:name="_Toc14656"/>
      <w:bookmarkStart w:id="160" w:name="_Toc31483"/>
      <w:bookmarkStart w:id="161" w:name="_Toc17687"/>
      <w:bookmarkStart w:id="162" w:name="_Toc11695"/>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六</w:t>
      </w:r>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投标人存在下列情况之一的，投标无效</w:t>
      </w:r>
      <w:bookmarkEnd w:id="159"/>
      <w:bookmarkEnd w:id="160"/>
      <w:bookmarkEnd w:id="161"/>
      <w:bookmarkEnd w:id="162"/>
    </w:p>
    <w:p>
      <w:pPr>
        <w:widowControl/>
        <w:snapToGrid w:val="0"/>
        <w:spacing w:line="360" w:lineRule="auto"/>
        <w:ind w:firstLine="420"/>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w:t>
      </w:r>
      <w:r>
        <w:rPr>
          <w:b/>
          <w:color w:val="000000" w:themeColor="text1"/>
          <w:highlight w:val="none"/>
          <w14:textFill>
            <w14:solidFill>
              <w14:schemeClr w14:val="tx1"/>
            </w14:solidFill>
          </w14:textFill>
        </w:rPr>
        <w:t>、在资格和符合性审查时，如发现下列情形之一的，投标文件将被视为无效：</w:t>
      </w:r>
    </w:p>
    <w:p>
      <w:pPr>
        <w:widowControl/>
        <w:snapToGrid w:val="0"/>
        <w:spacing w:line="360" w:lineRule="auto"/>
        <w:ind w:firstLine="404" w:firstLineChars="20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hint="eastAsia"/>
          <w:color w:val="000000" w:themeColor="text1"/>
          <w:spacing w:val="-4"/>
          <w:highlight w:val="none"/>
          <w14:textFill>
            <w14:solidFill>
              <w14:schemeClr w14:val="tx1"/>
            </w14:solidFill>
          </w14:textFill>
        </w:rPr>
        <w:t>1</w:t>
      </w:r>
      <w:r>
        <w:rPr>
          <w:color w:val="000000" w:themeColor="text1"/>
          <w:spacing w:val="-4"/>
          <w:highlight w:val="none"/>
          <w14:textFill>
            <w14:solidFill>
              <w14:schemeClr w14:val="tx1"/>
            </w14:solidFill>
          </w14:textFill>
        </w:rPr>
        <w:t>）</w:t>
      </w:r>
      <w:r>
        <w:rPr>
          <w:rFonts w:hint="eastAsia"/>
          <w:color w:val="000000" w:themeColor="text1"/>
          <w:highlight w:val="none"/>
          <w14:textFill>
            <w14:solidFill>
              <w14:schemeClr w14:val="tx1"/>
            </w14:solidFill>
          </w14:textFill>
        </w:rPr>
        <w:t>资格证明文件不全的，或者不符合招标文件标明的资格要求的</w:t>
      </w:r>
      <w:r>
        <w:rPr>
          <w:color w:val="000000" w:themeColor="text1"/>
          <w:highlight w:val="none"/>
          <w14:textFill>
            <w14:solidFill>
              <w14:schemeClr w14:val="tx1"/>
            </w14:solidFill>
          </w14:textFill>
        </w:rPr>
        <w:t>；</w:t>
      </w:r>
    </w:p>
    <w:p>
      <w:pPr>
        <w:widowControl/>
        <w:snapToGrid w:val="0"/>
        <w:spacing w:line="360" w:lineRule="auto"/>
        <w:ind w:firstLine="42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hint="eastAsia"/>
          <w:color w:val="000000" w:themeColor="text1"/>
          <w:spacing w:val="-4"/>
          <w:highlight w:val="none"/>
          <w14:textFill>
            <w14:solidFill>
              <w14:schemeClr w14:val="tx1"/>
            </w14:solidFill>
          </w14:textFill>
        </w:rPr>
        <w:t>2</w:t>
      </w:r>
      <w:r>
        <w:rPr>
          <w:color w:val="000000" w:themeColor="text1"/>
          <w:spacing w:val="-4"/>
          <w:highlight w:val="none"/>
          <w14:textFill>
            <w14:solidFill>
              <w14:schemeClr w14:val="tx1"/>
            </w14:solidFill>
          </w14:textFill>
        </w:rPr>
        <w:t>）</w:t>
      </w:r>
      <w:r>
        <w:rPr>
          <w:rFonts w:hint="eastAsia"/>
          <w:color w:val="000000" w:themeColor="text1"/>
          <w:highlight w:val="none"/>
          <w14:textFill>
            <w14:solidFill>
              <w14:schemeClr w14:val="tx1"/>
            </w14:solidFill>
          </w14:textFill>
        </w:rPr>
        <w:t>服务期、付款方式等实质性商务条款</w:t>
      </w:r>
      <w:r>
        <w:rPr>
          <w:color w:val="000000" w:themeColor="text1"/>
          <w:highlight w:val="none"/>
          <w14:textFill>
            <w14:solidFill>
              <w14:schemeClr w14:val="tx1"/>
            </w14:solidFill>
          </w14:textFill>
        </w:rPr>
        <w:t>不能满足招标文件要求的；</w:t>
      </w:r>
    </w:p>
    <w:p>
      <w:pPr>
        <w:widowControl/>
        <w:snapToGrid w:val="0"/>
        <w:spacing w:line="360" w:lineRule="auto"/>
        <w:ind w:firstLine="404"/>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hint="eastAsia"/>
          <w:color w:val="000000" w:themeColor="text1"/>
          <w:spacing w:val="-4"/>
          <w:highlight w:val="none"/>
          <w14:textFill>
            <w14:solidFill>
              <w14:schemeClr w14:val="tx1"/>
            </w14:solidFill>
          </w14:textFill>
        </w:rPr>
        <w:t>3</w:t>
      </w:r>
      <w:r>
        <w:rPr>
          <w:color w:val="000000" w:themeColor="text1"/>
          <w:spacing w:val="-4"/>
          <w:highlight w:val="none"/>
          <w14:textFill>
            <w14:solidFill>
              <w14:schemeClr w14:val="tx1"/>
            </w14:solidFill>
          </w14:textFill>
        </w:rPr>
        <w:t>）</w:t>
      </w:r>
      <w:r>
        <w:rPr>
          <w:rFonts w:hint="eastAsia"/>
          <w:color w:val="000000" w:themeColor="text1"/>
          <w:highlight w:val="none"/>
          <w14:textFill>
            <w14:solidFill>
              <w14:schemeClr w14:val="tx1"/>
            </w14:solidFill>
          </w14:textFill>
        </w:rPr>
        <w:t>未实质性响应招标文件打“▲”条款要求或者投标文件有招标方不能接受的附加条件的；</w:t>
      </w:r>
    </w:p>
    <w:p>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招标文件中明确作无效标或法律、法规明确作无效标的情形。</w:t>
      </w:r>
    </w:p>
    <w:p>
      <w:pPr>
        <w:widowControl/>
        <w:snapToGrid w:val="0"/>
        <w:spacing w:line="360" w:lineRule="auto"/>
        <w:ind w:firstLine="42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w:t>
      </w:r>
      <w:r>
        <w:rPr>
          <w:b/>
          <w:color w:val="000000" w:themeColor="text1"/>
          <w:highlight w:val="none"/>
          <w14:textFill>
            <w14:solidFill>
              <w14:schemeClr w14:val="tx1"/>
            </w14:solidFill>
          </w14:textFill>
        </w:rPr>
        <w:t>在报价评</w:t>
      </w:r>
      <w:r>
        <w:rPr>
          <w:rFonts w:hint="eastAsia"/>
          <w:b/>
          <w:color w:val="000000" w:themeColor="text1"/>
          <w:highlight w:val="none"/>
          <w14:textFill>
            <w14:solidFill>
              <w14:schemeClr w14:val="tx1"/>
            </w14:solidFill>
          </w14:textFill>
        </w:rPr>
        <w:t>审</w:t>
      </w:r>
      <w:r>
        <w:rPr>
          <w:b/>
          <w:color w:val="000000" w:themeColor="text1"/>
          <w:highlight w:val="none"/>
          <w14:textFill>
            <w14:solidFill>
              <w14:schemeClr w14:val="tx1"/>
            </w14:solidFill>
          </w14:textFill>
        </w:rPr>
        <w:t>时，如发现下</w:t>
      </w:r>
      <w:r>
        <w:rPr>
          <w:rFonts w:hint="eastAsia"/>
          <w:b/>
          <w:color w:val="000000" w:themeColor="text1"/>
          <w:highlight w:val="none"/>
          <w14:textFill>
            <w14:solidFill>
              <w14:schemeClr w14:val="tx1"/>
            </w14:solidFill>
          </w14:textFill>
        </w:rPr>
        <w:t>面</w:t>
      </w:r>
      <w:r>
        <w:rPr>
          <w:b/>
          <w:color w:val="000000" w:themeColor="text1"/>
          <w:highlight w:val="none"/>
          <w14:textFill>
            <w14:solidFill>
              <w14:schemeClr w14:val="tx1"/>
            </w14:solidFill>
          </w14:textFill>
        </w:rPr>
        <w:t>情形的，投标文件将被视为无效：</w:t>
      </w:r>
    </w:p>
    <w:p>
      <w:pPr>
        <w:widowControl/>
        <w:snapToGrid w:val="0"/>
        <w:spacing w:line="360" w:lineRule="auto"/>
        <w:ind w:firstLine="840" w:firstLineChars="4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报价超过招标文件中规定的预算金额/限价；</w:t>
      </w:r>
    </w:p>
    <w:p>
      <w:pPr>
        <w:widowControl/>
        <w:snapToGrid w:val="0"/>
        <w:spacing w:line="360" w:lineRule="auto"/>
        <w:outlineLvl w:val="0"/>
        <w:rPr>
          <w:b/>
          <w:color w:val="000000" w:themeColor="text1"/>
          <w:highlight w:val="none"/>
          <w14:textFill>
            <w14:solidFill>
              <w14:schemeClr w14:val="tx1"/>
            </w14:solidFill>
          </w14:textFill>
        </w:rPr>
      </w:pPr>
      <w:bookmarkStart w:id="163" w:name="_Toc7578"/>
      <w:bookmarkStart w:id="164" w:name="_Toc2839"/>
      <w:bookmarkStart w:id="165" w:name="_Toc10117"/>
      <w:bookmarkStart w:id="166" w:name="_Toc1931"/>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七</w:t>
      </w:r>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有下列情况之一的，本次招标作为废标处理：</w:t>
      </w:r>
      <w:bookmarkEnd w:id="163"/>
      <w:bookmarkEnd w:id="164"/>
      <w:bookmarkEnd w:id="165"/>
      <w:bookmarkEnd w:id="166"/>
    </w:p>
    <w:p>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（1）出现影响采购公正的违法、违规、欺骗行为的；</w:t>
      </w:r>
    </w:p>
    <w:p>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（2）因重大变故，采购任务取消的；</w:t>
      </w:r>
    </w:p>
    <w:p>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法律、法规和招标文件规定的其他导致评标结果无效的。</w:t>
      </w:r>
    </w:p>
    <w:p>
      <w:pPr>
        <w:widowControl/>
        <w:snapToGrid w:val="0"/>
        <w:spacing w:line="360" w:lineRule="auto"/>
        <w:outlineLvl w:val="0"/>
        <w:rPr>
          <w:b/>
          <w:color w:val="000000" w:themeColor="text1"/>
          <w:highlight w:val="none"/>
          <w14:textFill>
            <w14:solidFill>
              <w14:schemeClr w14:val="tx1"/>
            </w14:solidFill>
          </w14:textFill>
        </w:rPr>
      </w:pPr>
      <w:bookmarkStart w:id="167" w:name="_Toc9578"/>
      <w:bookmarkStart w:id="168" w:name="_Toc27823"/>
      <w:bookmarkStart w:id="169" w:name="_Toc31580"/>
      <w:bookmarkStart w:id="170" w:name="_Toc4033"/>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八</w:t>
      </w:r>
      <w:r>
        <w:rPr>
          <w:b/>
          <w:color w:val="000000" w:themeColor="text1"/>
          <w:highlight w:val="none"/>
          <w14:textFill>
            <w14:solidFill>
              <w14:schemeClr w14:val="tx1"/>
            </w14:solidFill>
          </w14:textFill>
        </w:rPr>
        <w:t>） 评标过程的</w:t>
      </w:r>
      <w:r>
        <w:rPr>
          <w:rFonts w:hint="eastAsia"/>
          <w:b/>
          <w:color w:val="000000" w:themeColor="text1"/>
          <w:highlight w:val="none"/>
          <w14:textFill>
            <w14:solidFill>
              <w14:schemeClr w14:val="tx1"/>
            </w14:solidFill>
          </w14:textFill>
        </w:rPr>
        <w:t>监控</w:t>
      </w:r>
      <w:bookmarkEnd w:id="167"/>
      <w:bookmarkEnd w:id="168"/>
      <w:bookmarkEnd w:id="169"/>
      <w:bookmarkEnd w:id="170"/>
    </w:p>
    <w:p>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本项目评标过程实行全程录音、录像监控（或请监管部门进行现场监督），投标人在评标过程中所进行的试图影响评标结果的不公正活动，可能导致其投标被拒绝。</w:t>
      </w:r>
    </w:p>
    <w:p>
      <w:pPr>
        <w:widowControl/>
        <w:snapToGrid w:val="0"/>
        <w:spacing w:line="360" w:lineRule="auto"/>
        <w:outlineLvl w:val="0"/>
        <w:rPr>
          <w:b/>
          <w:color w:val="000000" w:themeColor="text1"/>
          <w:highlight w:val="none"/>
          <w14:textFill>
            <w14:solidFill>
              <w14:schemeClr w14:val="tx1"/>
            </w14:solidFill>
          </w14:textFill>
        </w:rPr>
      </w:pPr>
      <w:bookmarkStart w:id="171" w:name="_Toc27792"/>
      <w:bookmarkStart w:id="172" w:name="_Toc7054"/>
      <w:bookmarkStart w:id="173" w:name="_Toc7076"/>
      <w:bookmarkStart w:id="174" w:name="_Toc20474"/>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九</w:t>
      </w:r>
      <w:r>
        <w:rPr>
          <w:b/>
          <w:color w:val="000000" w:themeColor="text1"/>
          <w:highlight w:val="none"/>
          <w14:textFill>
            <w14:solidFill>
              <w14:schemeClr w14:val="tx1"/>
            </w14:solidFill>
          </w14:textFill>
        </w:rPr>
        <w:t>）评标原则和评标办法</w:t>
      </w:r>
      <w:bookmarkEnd w:id="171"/>
      <w:bookmarkEnd w:id="172"/>
      <w:bookmarkEnd w:id="173"/>
      <w:bookmarkEnd w:id="174"/>
    </w:p>
    <w:p>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idowControl/>
        <w:snapToGrid w:val="0"/>
        <w:spacing w:line="360" w:lineRule="auto"/>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2、评标办法。本项目采用综合评分法，详见《第四章：</w:t>
      </w:r>
      <w:r>
        <w:rPr>
          <w:rFonts w:hint="eastAsia"/>
          <w:color w:val="000000" w:themeColor="text1"/>
          <w:highlight w:val="none"/>
          <w:lang w:val="en-US" w:eastAsia="zh-CN"/>
          <w14:textFill>
            <w14:solidFill>
              <w14:schemeClr w14:val="tx1"/>
            </w14:solidFill>
          </w14:textFill>
        </w:rPr>
        <w:t>评审办法</w:t>
      </w:r>
      <w:r>
        <w:rPr>
          <w:color w:val="000000" w:themeColor="text1"/>
          <w:highlight w:val="none"/>
          <w14:textFill>
            <w14:solidFill>
              <w14:schemeClr w14:val="tx1"/>
            </w14:solidFill>
          </w14:textFill>
        </w:rPr>
        <w:t>》。</w:t>
      </w:r>
    </w:p>
    <w:p>
      <w:pPr>
        <w:spacing w:line="360" w:lineRule="auto"/>
        <w:jc w:val="center"/>
        <w:rPr>
          <w:b/>
          <w:color w:val="000000" w:themeColor="text1"/>
          <w:sz w:val="30"/>
          <w:highlight w:val="none"/>
          <w14:textFill>
            <w14:solidFill>
              <w14:schemeClr w14:val="tx1"/>
            </w14:solidFill>
          </w14:textFill>
        </w:rPr>
      </w:pPr>
      <w:bookmarkStart w:id="175" w:name="_Toc5222"/>
      <w:bookmarkStart w:id="176" w:name="_Toc6516"/>
      <w:bookmarkStart w:id="177" w:name="_Toc32729"/>
      <w:bookmarkStart w:id="178" w:name="_Toc17354"/>
      <w:r>
        <w:rPr>
          <w:b/>
          <w:color w:val="000000" w:themeColor="text1"/>
          <w:sz w:val="30"/>
          <w:highlight w:val="none"/>
          <w14:textFill>
            <w14:solidFill>
              <w14:schemeClr w14:val="tx1"/>
            </w14:solidFill>
          </w14:textFill>
        </w:rPr>
        <w:t>六、定标</w:t>
      </w:r>
      <w:bookmarkEnd w:id="175"/>
      <w:bookmarkEnd w:id="176"/>
      <w:bookmarkEnd w:id="177"/>
      <w:bookmarkEnd w:id="178"/>
    </w:p>
    <w:p>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采购代理机构在评审结束之日起2个工作日内将评审报告送交采购人，采购人自收到评审报告之日起5个工作日内在评审报告推荐的中标候选人中按顺序确定中标供应商。</w:t>
      </w:r>
    </w:p>
    <w:p>
      <w:pPr>
        <w:widowControl/>
        <w:snapToGrid w:val="0"/>
        <w:spacing w:line="360" w:lineRule="auto"/>
        <w:ind w:firstLine="420"/>
        <w:rPr>
          <w:b/>
          <w:color w:val="000000" w:themeColor="text1"/>
          <w:sz w:val="30"/>
          <w:highlight w:val="none"/>
          <w14:textFill>
            <w14:solidFill>
              <w14:schemeClr w14:val="tx1"/>
            </w14:solidFill>
          </w14:textFill>
        </w:rPr>
      </w:pPr>
      <w:r>
        <w:rPr>
          <w:rFonts w:hint="eastAsia"/>
          <w:color w:val="000000" w:themeColor="text1"/>
          <w:highlight w:val="none"/>
          <w14:textFill>
            <w14:solidFill>
              <w14:schemeClr w14:val="tx1"/>
            </w14:solidFill>
          </w14:textFill>
        </w:rPr>
        <w:t>2、采购人确定中标供应商之日起2个工作日内，以书面形式发出中标通知书</w:t>
      </w:r>
      <w:r>
        <w:rPr>
          <w:rFonts w:hint="eastAsia"/>
          <w:highlight w:val="none"/>
        </w:rPr>
        <w:t>，并发布中标结果公告。</w:t>
      </w:r>
      <w:r>
        <w:rPr>
          <w:rFonts w:hint="eastAsia"/>
          <w:color w:val="000000" w:themeColor="text1"/>
          <w:highlight w:val="none"/>
          <w14:textFill>
            <w14:solidFill>
              <w14:schemeClr w14:val="tx1"/>
            </w14:solidFill>
          </w14:textFill>
        </w:rPr>
        <w:t>中标结果公告将包括中标人名称、地址和中标金额，主要中标标的的名称、规格型号、数量、单价、服务要求以及评审专家名单等内容。</w:t>
      </w:r>
    </w:p>
    <w:p>
      <w:pPr>
        <w:rPr>
          <w:b/>
          <w:color w:val="000000" w:themeColor="text1"/>
          <w:sz w:val="30"/>
          <w:highlight w:val="none"/>
          <w14:textFill>
            <w14:solidFill>
              <w14:schemeClr w14:val="tx1"/>
            </w14:solidFill>
          </w14:textFill>
        </w:rPr>
      </w:pPr>
      <w:bookmarkStart w:id="179" w:name="_Toc18671"/>
      <w:bookmarkStart w:id="180" w:name="_Toc7887"/>
      <w:bookmarkStart w:id="181" w:name="_Toc31423"/>
      <w:bookmarkStart w:id="182" w:name="_Toc12240"/>
      <w:r>
        <w:rPr>
          <w:b/>
          <w:color w:val="000000" w:themeColor="text1"/>
          <w:sz w:val="30"/>
          <w:highlight w:val="none"/>
          <w14:textFill>
            <w14:solidFill>
              <w14:schemeClr w14:val="tx1"/>
            </w14:solidFill>
          </w14:textFill>
        </w:rPr>
        <w:br w:type="page"/>
      </w:r>
    </w:p>
    <w:p>
      <w:pPr>
        <w:widowControl/>
        <w:snapToGrid w:val="0"/>
        <w:spacing w:before="152" w:beforeLines="50" w:after="152" w:afterLines="50" w:line="360" w:lineRule="auto"/>
        <w:jc w:val="center"/>
        <w:outlineLvl w:val="0"/>
        <w:rPr>
          <w:b/>
          <w:color w:val="000000" w:themeColor="text1"/>
          <w:sz w:val="30"/>
          <w:highlight w:val="none"/>
          <w14:textFill>
            <w14:solidFill>
              <w14:schemeClr w14:val="tx1"/>
            </w14:solidFill>
          </w14:textFill>
        </w:rPr>
      </w:pPr>
      <w:r>
        <w:rPr>
          <w:b/>
          <w:color w:val="000000" w:themeColor="text1"/>
          <w:sz w:val="30"/>
          <w:highlight w:val="none"/>
          <w14:textFill>
            <w14:solidFill>
              <w14:schemeClr w14:val="tx1"/>
            </w14:solidFill>
          </w14:textFill>
        </w:rPr>
        <w:t>七、合同授予</w:t>
      </w:r>
      <w:bookmarkEnd w:id="179"/>
      <w:bookmarkEnd w:id="180"/>
      <w:bookmarkEnd w:id="181"/>
      <w:bookmarkEnd w:id="182"/>
    </w:p>
    <w:p>
      <w:pPr>
        <w:widowControl/>
        <w:snapToGrid w:val="0"/>
        <w:spacing w:line="360" w:lineRule="auto"/>
        <w:outlineLvl w:val="0"/>
        <w:rPr>
          <w:b/>
          <w:color w:val="000000" w:themeColor="text1"/>
          <w:highlight w:val="none"/>
          <w14:textFill>
            <w14:solidFill>
              <w14:schemeClr w14:val="tx1"/>
            </w14:solidFill>
          </w14:textFill>
        </w:rPr>
      </w:pPr>
      <w:bookmarkStart w:id="183" w:name="_Toc32731"/>
      <w:bookmarkStart w:id="184" w:name="_Toc28522"/>
      <w:bookmarkStart w:id="185" w:name="_Toc30617"/>
      <w:bookmarkStart w:id="186" w:name="_Toc8393"/>
      <w:r>
        <w:rPr>
          <w:b/>
          <w:color w:val="000000" w:themeColor="text1"/>
          <w:highlight w:val="none"/>
          <w14:textFill>
            <w14:solidFill>
              <w14:schemeClr w14:val="tx1"/>
            </w14:solidFill>
          </w14:textFill>
        </w:rPr>
        <w:t>（一）签订合同</w:t>
      </w:r>
      <w:bookmarkEnd w:id="183"/>
      <w:bookmarkEnd w:id="184"/>
      <w:bookmarkEnd w:id="185"/>
      <w:bookmarkEnd w:id="186"/>
    </w:p>
    <w:p>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采购人与中标供应商应当在《中标通知书》发出之日起</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日内签订采购合同。</w:t>
      </w:r>
      <w:r>
        <w:rPr>
          <w:color w:val="000000" w:themeColor="text1"/>
          <w:highlight w:val="none"/>
          <w14:textFill>
            <w14:solidFill>
              <w14:schemeClr w14:val="tx1"/>
            </w14:solidFill>
          </w14:textFill>
        </w:rPr>
        <w:t>同时，采购人</w:t>
      </w:r>
      <w:r>
        <w:rPr>
          <w:rFonts w:hint="eastAsia"/>
          <w:color w:val="000000" w:themeColor="text1"/>
          <w:highlight w:val="none"/>
          <w14:textFill>
            <w14:solidFill>
              <w14:schemeClr w14:val="tx1"/>
            </w14:solidFill>
          </w14:textFill>
        </w:rPr>
        <w:t>、采购代理机构</w:t>
      </w:r>
      <w:r>
        <w:rPr>
          <w:color w:val="000000" w:themeColor="text1"/>
          <w:highlight w:val="none"/>
          <w14:textFill>
            <w14:solidFill>
              <w14:schemeClr w14:val="tx1"/>
            </w14:solidFill>
          </w14:textFill>
        </w:rPr>
        <w:t>对合同内容进行审查，如发现与采购结果和投标承诺内容不一致的，应予以纠正。</w:t>
      </w:r>
    </w:p>
    <w:p>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2、中标人</w:t>
      </w:r>
      <w:r>
        <w:rPr>
          <w:rFonts w:hint="eastAsia"/>
          <w:color w:val="000000" w:themeColor="text1"/>
          <w:highlight w:val="none"/>
          <w14:textFill>
            <w14:solidFill>
              <w14:schemeClr w14:val="tx1"/>
            </w14:solidFill>
          </w14:textFill>
        </w:rPr>
        <w:t>无故</w:t>
      </w:r>
      <w:r>
        <w:rPr>
          <w:color w:val="000000" w:themeColor="text1"/>
          <w:highlight w:val="none"/>
          <w14:textFill>
            <w14:solidFill>
              <w14:schemeClr w14:val="tx1"/>
            </w14:solidFill>
          </w14:textFill>
        </w:rPr>
        <w:t>拖延、拒签合同的，将被取消中标资格。</w:t>
      </w:r>
    </w:p>
    <w:p>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中标供应商拒绝与采购人签订合同的，采购人可以按照评审报告推荐的中标候选人名单排序，确定下一候选人为中标供应商，也可以重新开展采购活动。同时，拒绝与采购人签订合同的供应商，由监管部门依法作出处理。</w:t>
      </w:r>
    </w:p>
    <w:p>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4、询问或者质疑事项可能影响中标结果的，采购人应当暂停签订合同，已经签订合同的，应当终止履行合同（中标结果的质疑期为中标结果公告期限届满之日起七个工作日）。</w:t>
      </w:r>
    </w:p>
    <w:p>
      <w:pPr>
        <w:widowControl/>
        <w:snapToGrid w:val="0"/>
        <w:spacing w:before="156" w:line="360" w:lineRule="auto"/>
        <w:outlineLvl w:val="0"/>
        <w:rPr>
          <w:b/>
          <w:color w:val="000000" w:themeColor="text1"/>
          <w:highlight w:val="none"/>
          <w14:textFill>
            <w14:solidFill>
              <w14:schemeClr w14:val="tx1"/>
            </w14:solidFill>
          </w14:textFill>
        </w:rPr>
      </w:pPr>
      <w:bookmarkStart w:id="187" w:name="_Toc19423"/>
      <w:bookmarkStart w:id="188" w:name="_Toc17698"/>
      <w:bookmarkStart w:id="189" w:name="_Toc4019"/>
      <w:bookmarkStart w:id="190" w:name="_Toc3458"/>
    </w:p>
    <w:p>
      <w:pPr>
        <w:widowControl/>
        <w:snapToGrid w:val="0"/>
        <w:spacing w:before="156" w:line="360" w:lineRule="auto"/>
        <w:outlineLvl w:val="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（二）履约保证金</w:t>
      </w:r>
      <w:bookmarkEnd w:id="187"/>
      <w:bookmarkEnd w:id="188"/>
      <w:bookmarkEnd w:id="189"/>
      <w:bookmarkEnd w:id="190"/>
    </w:p>
    <w:p>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1、签订合同前，中标人应按招标文件</w:t>
      </w:r>
      <w:r>
        <w:rPr>
          <w:rFonts w:hint="eastAsia"/>
          <w:color w:val="000000" w:themeColor="text1"/>
          <w:highlight w:val="none"/>
          <w14:textFill>
            <w14:solidFill>
              <w14:schemeClr w14:val="tx1"/>
            </w14:solidFill>
          </w14:textFill>
        </w:rPr>
        <w:t>投标人须知前附表中规定的金额</w:t>
      </w:r>
      <w:r>
        <w:rPr>
          <w:color w:val="000000" w:themeColor="text1"/>
          <w:highlight w:val="none"/>
          <w14:textFill>
            <w14:solidFill>
              <w14:schemeClr w14:val="tx1"/>
            </w14:solidFill>
          </w14:textFill>
        </w:rPr>
        <w:t>，</w:t>
      </w:r>
      <w:r>
        <w:rPr>
          <w:rFonts w:hint="eastAsia"/>
          <w:highlight w:val="none"/>
        </w:rPr>
        <w:t>按前附表约定的缴纳方式</w:t>
      </w:r>
      <w:r>
        <w:rPr>
          <w:highlight w:val="none"/>
        </w:rPr>
        <w:t>向</w:t>
      </w:r>
      <w:r>
        <w:rPr>
          <w:color w:val="000000" w:themeColor="text1"/>
          <w:highlight w:val="none"/>
          <w14:textFill>
            <w14:solidFill>
              <w14:schemeClr w14:val="tx1"/>
            </w14:solidFill>
          </w14:textFill>
        </w:rPr>
        <w:t>采购人交纳履约保证金。</w:t>
      </w:r>
    </w:p>
    <w:p>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2、签订合同后，如中标人不按双方签订合同约定履约，则不予返还其全部履约保证金，履约保证金不足以赔偿损失的，按实际损失赔偿。</w:t>
      </w:r>
    </w:p>
    <w:p>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履</w:t>
      </w:r>
      <w:r>
        <w:rPr>
          <w:rFonts w:hint="eastAsia" w:ascii="宋体" w:hAnsi="宋体" w:cs="宋体"/>
          <w:szCs w:val="21"/>
          <w:highlight w:val="none"/>
          <w:lang w:val="zh-CN"/>
        </w:rPr>
        <w:t>约保证金的退还由中标供应商提出，经采购人确认，合同有效期结束后</w:t>
      </w:r>
      <w:r>
        <w:rPr>
          <w:rFonts w:hint="eastAsia" w:ascii="宋体" w:hAnsi="宋体" w:cs="宋体"/>
          <w:szCs w:val="21"/>
          <w:highlight w:val="none"/>
        </w:rPr>
        <w:t>15</w:t>
      </w:r>
      <w:r>
        <w:rPr>
          <w:rFonts w:hint="eastAsia" w:ascii="宋体" w:hAnsi="宋体" w:cs="宋体"/>
          <w:szCs w:val="21"/>
          <w:highlight w:val="none"/>
          <w:lang w:val="zh-CN"/>
        </w:rPr>
        <w:t>日内无息退还</w:t>
      </w:r>
      <w:r>
        <w:rPr>
          <w:color w:val="000000" w:themeColor="text1"/>
          <w:highlight w:val="none"/>
          <w14:textFill>
            <w14:solidFill>
              <w14:schemeClr w14:val="tx1"/>
            </w14:solidFill>
          </w14:textFill>
        </w:rPr>
        <w:t>。</w:t>
      </w:r>
    </w:p>
    <w:p>
      <w:pPr>
        <w:widowControl/>
        <w:snapToGrid w:val="0"/>
        <w:spacing w:before="152" w:beforeLines="50" w:after="152" w:afterLines="50" w:line="360" w:lineRule="auto"/>
        <w:jc w:val="center"/>
        <w:outlineLvl w:val="0"/>
        <w:rPr>
          <w:b/>
          <w:color w:val="000000" w:themeColor="text1"/>
          <w:sz w:val="30"/>
          <w:highlight w:val="none"/>
          <w14:textFill>
            <w14:solidFill>
              <w14:schemeClr w14:val="tx1"/>
            </w14:solidFill>
          </w14:textFill>
        </w:rPr>
      </w:pPr>
      <w:r>
        <w:rPr>
          <w:rFonts w:hint="eastAsia"/>
          <w:b/>
          <w:color w:val="000000" w:themeColor="text1"/>
          <w:sz w:val="30"/>
          <w:highlight w:val="none"/>
          <w14:textFill>
            <w14:solidFill>
              <w14:schemeClr w14:val="tx1"/>
            </w14:solidFill>
          </w14:textFill>
        </w:rPr>
        <w:t>八</w:t>
      </w:r>
      <w:r>
        <w:rPr>
          <w:b/>
          <w:color w:val="000000" w:themeColor="text1"/>
          <w:sz w:val="30"/>
          <w:highlight w:val="none"/>
          <w14:textFill>
            <w14:solidFill>
              <w14:schemeClr w14:val="tx1"/>
            </w14:solidFill>
          </w14:textFill>
        </w:rPr>
        <w:t>、</w:t>
      </w:r>
      <w:r>
        <w:rPr>
          <w:rFonts w:hint="eastAsia"/>
          <w:b/>
          <w:color w:val="000000" w:themeColor="text1"/>
          <w:sz w:val="30"/>
          <w:highlight w:val="none"/>
          <w14:textFill>
            <w14:solidFill>
              <w14:schemeClr w14:val="tx1"/>
            </w14:solidFill>
          </w14:textFill>
        </w:rPr>
        <w:t>其他事项</w:t>
      </w:r>
    </w:p>
    <w:p>
      <w:pPr>
        <w:widowControl/>
        <w:snapToGrid w:val="0"/>
        <w:spacing w:before="156" w:line="360" w:lineRule="auto"/>
        <w:outlineLvl w:val="0"/>
        <w:rPr>
          <w:rFonts w:hint="eastAsia" w:ascii="宋体" w:hAnsi="宋体" w:cs="宋体"/>
          <w:b/>
          <w:color w:val="000000" w:themeColor="text1"/>
          <w:szCs w:val="21"/>
          <w:highlight w:val="none"/>
          <w14:textFill>
            <w14:solidFill>
              <w14:schemeClr w14:val="tx1"/>
            </w14:solidFill>
          </w14:textFill>
        </w:rPr>
      </w:pPr>
      <w:bookmarkStart w:id="191" w:name="_Toc30712"/>
      <w:bookmarkStart w:id="192" w:name="_Toc7823"/>
      <w:bookmarkStart w:id="193" w:name="_Toc31329"/>
      <w:bookmarkStart w:id="194" w:name="_Toc27592"/>
      <w:r>
        <w:rPr>
          <w:rFonts w:hint="eastAsia" w:ascii="宋体" w:hAnsi="宋体" w:cs="宋体"/>
          <w:b/>
          <w:color w:val="000000" w:themeColor="text1"/>
          <w:szCs w:val="21"/>
          <w:highlight w:val="none"/>
          <w14:textFill>
            <w14:solidFill>
              <w14:schemeClr w14:val="tx1"/>
            </w14:solidFill>
          </w14:textFill>
        </w:rPr>
        <w:t>（一）项目代理服务费</w:t>
      </w:r>
      <w:bookmarkEnd w:id="191"/>
      <w:bookmarkEnd w:id="192"/>
      <w:bookmarkEnd w:id="193"/>
      <w:bookmarkEnd w:id="194"/>
    </w:p>
    <w:p>
      <w:pPr>
        <w:pStyle w:val="9"/>
        <w:spacing w:line="360" w:lineRule="auto"/>
        <w:ind w:left="0" w:leftChars="0"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1、本次采购代理服务费按“投标人须知前附表”规定收取。</w:t>
      </w:r>
    </w:p>
    <w:p>
      <w:pPr>
        <w:spacing w:line="360" w:lineRule="auto"/>
        <w:ind w:firstLine="420" w:firstLineChars="200"/>
        <w:rPr>
          <w:highlight w:val="none"/>
        </w:rPr>
      </w:pPr>
      <w:r>
        <w:rPr>
          <w:rFonts w:hint="eastAsia" w:ascii="宋体" w:hAnsi="宋体" w:cs="宋体"/>
          <w:color w:val="000000" w:themeColor="text1"/>
          <w:szCs w:val="21"/>
          <w:highlight w:val="none"/>
          <w14:textFill>
            <w14:solidFill>
              <w14:schemeClr w14:val="tx1"/>
            </w14:solidFill>
          </w14:textFill>
        </w:rPr>
        <w:t>2、本项目代理服务费类型、费率，附表如下：</w:t>
      </w:r>
    </w:p>
    <w:bookmarkEnd w:id="43"/>
    <w:bookmarkEnd w:id="44"/>
    <w:bookmarkEnd w:id="45"/>
    <w:bookmarkEnd w:id="46"/>
    <w:bookmarkEnd w:id="47"/>
    <w:bookmarkEnd w:id="48"/>
    <w:bookmarkEnd w:id="49"/>
    <w:bookmarkEnd w:id="50"/>
    <w:tbl>
      <w:tblPr>
        <w:tblStyle w:val="37"/>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1616"/>
        <w:gridCol w:w="1616"/>
        <w:gridCol w:w="1616"/>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9257"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ind w:firstLine="422" w:firstLineChars="200"/>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代理服务费率类型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4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中标金额（万元）</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Calibri" w:hAnsi="Calibri"/>
                <w:b/>
                <w:bCs/>
                <w:color w:val="000000" w:themeColor="text1"/>
                <w:kern w:val="0"/>
                <w:szCs w:val="20"/>
                <w:highlight w:val="none"/>
                <w14:textFill>
                  <w14:solidFill>
                    <w14:schemeClr w14:val="tx1"/>
                  </w14:solidFill>
                </w14:textFill>
              </w:rPr>
            </w:pPr>
            <w:r>
              <w:rPr>
                <w:rFonts w:hint="eastAsia" w:ascii="Calibri" w:hAnsi="Calibri"/>
                <w:b/>
                <w:bCs/>
                <w:color w:val="000000" w:themeColor="text1"/>
                <w:kern w:val="0"/>
                <w:szCs w:val="20"/>
                <w:highlight w:val="none"/>
                <w14:textFill>
                  <w14:solidFill>
                    <w14:schemeClr w14:val="tx1"/>
                  </w14:solidFill>
                </w14:textFill>
              </w:rPr>
              <w:t>货物招标</w:t>
            </w:r>
            <w:r>
              <w:rPr>
                <w:rFonts w:hint="eastAsia" w:ascii="MS Mincho" w:hAnsi="MS Mincho" w:eastAsia="MS Mincho" w:cs="MS Mincho"/>
                <w:bCs/>
                <w:color w:val="000000" w:themeColor="text1"/>
                <w:kern w:val="0"/>
                <w:sz w:val="30"/>
                <w:szCs w:val="30"/>
                <w:highlight w:val="none"/>
                <w14:textFill>
                  <w14:solidFill>
                    <w14:schemeClr w14:val="tx1"/>
                  </w14:solidFill>
                </w14:textFill>
              </w:rPr>
              <w:t>☑</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Calibri" w:hAnsi="Calibri"/>
                <w:color w:val="000000" w:themeColor="text1"/>
                <w:kern w:val="0"/>
                <w:szCs w:val="20"/>
                <w:highlight w:val="none"/>
                <w14:textFill>
                  <w14:solidFill>
                    <w14:schemeClr w14:val="tx1"/>
                  </w14:solidFill>
                </w14:textFill>
              </w:rPr>
            </w:pPr>
            <w:r>
              <w:rPr>
                <w:rFonts w:hint="eastAsia" w:ascii="Calibri" w:hAnsi="Calibri"/>
                <w:color w:val="000000" w:themeColor="text1"/>
                <w:kern w:val="0"/>
                <w:szCs w:val="20"/>
                <w:highlight w:val="none"/>
                <w14:textFill>
                  <w14:solidFill>
                    <w14:schemeClr w14:val="tx1"/>
                  </w14:solidFill>
                </w14:textFill>
              </w:rPr>
              <w:t>服务招标□</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Calibri" w:hAnsi="Calibri"/>
                <w:color w:val="000000" w:themeColor="text1"/>
                <w:kern w:val="0"/>
                <w:szCs w:val="20"/>
                <w:highlight w:val="none"/>
                <w14:textFill>
                  <w14:solidFill>
                    <w14:schemeClr w14:val="tx1"/>
                  </w14:solidFill>
                </w14:textFill>
              </w:rPr>
            </w:pPr>
            <w:r>
              <w:rPr>
                <w:rFonts w:hint="eastAsia" w:ascii="Calibri" w:hAnsi="Calibri"/>
                <w:color w:val="000000" w:themeColor="text1"/>
                <w:kern w:val="0"/>
                <w:szCs w:val="20"/>
                <w:highlight w:val="none"/>
                <w14:textFill>
                  <w14:solidFill>
                    <w14:schemeClr w14:val="tx1"/>
                  </w14:solidFill>
                </w14:textFill>
              </w:rPr>
              <w:t>工程招标□</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b/>
                <w:bCs/>
                <w:color w:val="000000" w:themeColor="text1"/>
                <w:kern w:val="0"/>
                <w:szCs w:val="20"/>
                <w:highlight w:val="none"/>
                <w14:textFill>
                  <w14:solidFill>
                    <w14:schemeClr w14:val="tx1"/>
                  </w14:solidFill>
                </w14:textFill>
              </w:rPr>
            </w:pPr>
            <w:r>
              <w:rPr>
                <w:rFonts w:hint="eastAsia"/>
                <w:b/>
                <w:bCs/>
                <w:color w:val="000000" w:themeColor="text1"/>
                <w:kern w:val="0"/>
                <w:szCs w:val="20"/>
                <w:highlight w:val="none"/>
                <w14:textFill>
                  <w14:solidFill>
                    <w14:schemeClr w14:val="tx1"/>
                  </w14:solidFill>
                </w14:textFill>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100以下的部分（含100）</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1.5%</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按标准的60%结算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100-500的部分（含500）</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1.1%</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0.8%</w:t>
            </w:r>
          </w:p>
        </w:tc>
        <w:tc>
          <w:tcPr>
            <w:tcW w:w="16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0.7%</w:t>
            </w:r>
          </w:p>
        </w:tc>
        <w:tc>
          <w:tcPr>
            <w:tcW w:w="1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按标准的50%结算</w:t>
            </w:r>
          </w:p>
        </w:tc>
      </w:tr>
    </w:tbl>
    <w:p>
      <w:pPr>
        <w:pStyle w:val="4"/>
        <w:spacing w:before="0" w:after="0" w:line="360" w:lineRule="auto"/>
        <w:jc w:val="center"/>
        <w:rPr>
          <w:rFonts w:hint="eastAsia" w:ascii="宋体" w:hAnsi="宋体" w:cs="宋体"/>
          <w:sz w:val="32"/>
          <w:szCs w:val="32"/>
          <w:highlight w:val="none"/>
        </w:rPr>
      </w:pPr>
      <w:r>
        <w:rPr>
          <w:rFonts w:hint="eastAsia" w:ascii="宋体" w:hAnsi="宋体" w:cs="宋体"/>
          <w:sz w:val="32"/>
          <w:szCs w:val="32"/>
          <w:highlight w:val="none"/>
        </w:rPr>
        <w:br w:type="page"/>
      </w:r>
      <w:bookmarkStart w:id="195" w:name="_Toc27647"/>
      <w:r>
        <w:rPr>
          <w:rFonts w:hint="eastAsia" w:ascii="宋体" w:hAnsi="宋体" w:cs="宋体"/>
          <w:sz w:val="32"/>
          <w:szCs w:val="32"/>
          <w:highlight w:val="none"/>
        </w:rPr>
        <w:t>第四章  评审办法</w:t>
      </w:r>
      <w:bookmarkEnd w:id="195"/>
    </w:p>
    <w:p>
      <w:pPr>
        <w:autoSpaceDE w:val="0"/>
        <w:autoSpaceDN w:val="0"/>
        <w:snapToGrid w:val="0"/>
        <w:spacing w:line="360" w:lineRule="auto"/>
        <w:ind w:right="302" w:firstLine="464"/>
        <w:rPr>
          <w:rFonts w:hint="eastAsia" w:ascii="宋体" w:hAnsi="宋体" w:cs="宋体"/>
          <w:b/>
          <w:color w:val="000000"/>
          <w:szCs w:val="21"/>
          <w:highlight w:val="none"/>
        </w:rPr>
      </w:pPr>
      <w:r>
        <w:rPr>
          <w:rFonts w:hint="eastAsia" w:ascii="宋体" w:hAnsi="宋体" w:cs="宋体"/>
          <w:color w:val="000000"/>
          <w:szCs w:val="21"/>
          <w:highlight w:val="none"/>
        </w:rPr>
        <w:t>根据本次招标实际需求，按照公平、公正、科学择优的原则，特制定本评标办法。</w:t>
      </w:r>
    </w:p>
    <w:p>
      <w:pPr>
        <w:autoSpaceDE w:val="0"/>
        <w:autoSpaceDN w:val="0"/>
        <w:snapToGrid w:val="0"/>
        <w:spacing w:line="360" w:lineRule="auto"/>
        <w:ind w:right="84" w:firstLine="482"/>
        <w:rPr>
          <w:rFonts w:hint="eastAsia" w:ascii="宋体" w:hAnsi="宋体" w:cs="宋体"/>
          <w:b/>
          <w:color w:val="000000"/>
          <w:szCs w:val="21"/>
          <w:highlight w:val="none"/>
        </w:rPr>
      </w:pPr>
      <w:r>
        <w:rPr>
          <w:rFonts w:hint="eastAsia" w:ascii="宋体" w:hAnsi="宋体" w:cs="宋体"/>
          <w:b/>
          <w:color w:val="000000"/>
          <w:szCs w:val="21"/>
          <w:highlight w:val="none"/>
        </w:rPr>
        <w:t>一、评标办法</w:t>
      </w:r>
    </w:p>
    <w:p>
      <w:pPr>
        <w:autoSpaceDE w:val="0"/>
        <w:autoSpaceDN w:val="0"/>
        <w:snapToGrid w:val="0"/>
        <w:spacing w:line="360" w:lineRule="auto"/>
        <w:ind w:right="85" w:firstLine="480"/>
        <w:rPr>
          <w:rFonts w:hint="eastAsia" w:ascii="宋体" w:hAnsi="宋体" w:cs="宋体"/>
          <w:color w:val="000000"/>
          <w:szCs w:val="21"/>
          <w:highlight w:val="none"/>
        </w:rPr>
      </w:pPr>
      <w:r>
        <w:rPr>
          <w:rFonts w:hint="eastAsia" w:ascii="宋体" w:hAnsi="宋体" w:cs="宋体"/>
          <w:color w:val="000000"/>
          <w:szCs w:val="21"/>
          <w:highlight w:val="none"/>
        </w:rPr>
        <w:t>本评标办法采用综合评分法，是指投标文件满足招标文件全部实质性要求，且按照评审因素的量化指标评审得分最高的投标人为中标候选人的评标方法。</w:t>
      </w:r>
    </w:p>
    <w:p>
      <w:pPr>
        <w:autoSpaceDE w:val="0"/>
        <w:autoSpaceDN w:val="0"/>
        <w:snapToGrid w:val="0"/>
        <w:spacing w:line="360" w:lineRule="auto"/>
        <w:ind w:right="84" w:firstLine="472"/>
        <w:rPr>
          <w:rFonts w:hint="eastAsia" w:ascii="宋体" w:hAnsi="宋体" w:cs="宋体"/>
          <w:b/>
          <w:color w:val="000000"/>
          <w:szCs w:val="21"/>
          <w:highlight w:val="none"/>
        </w:rPr>
      </w:pPr>
      <w:r>
        <w:rPr>
          <w:rFonts w:hint="eastAsia" w:ascii="宋体" w:hAnsi="宋体" w:cs="宋体"/>
          <w:b/>
          <w:color w:val="000000"/>
          <w:szCs w:val="21"/>
          <w:highlight w:val="none"/>
        </w:rPr>
        <w:t>二、确定中标候选人</w:t>
      </w:r>
    </w:p>
    <w:p>
      <w:pPr>
        <w:autoSpaceDE w:val="0"/>
        <w:autoSpaceDN w:val="0"/>
        <w:snapToGrid w:val="0"/>
        <w:spacing w:line="360" w:lineRule="auto"/>
        <w:ind w:right="84" w:firstLine="472"/>
        <w:rPr>
          <w:rFonts w:hint="eastAsia" w:ascii="宋体" w:hAnsi="宋体" w:cs="宋体"/>
          <w:color w:val="000000"/>
          <w:szCs w:val="21"/>
          <w:highlight w:val="none"/>
        </w:rPr>
      </w:pPr>
      <w:r>
        <w:rPr>
          <w:rFonts w:hint="eastAsia" w:ascii="宋体" w:hAnsi="宋体" w:cs="宋体"/>
          <w:color w:val="000000"/>
          <w:szCs w:val="21"/>
          <w:highlight w:val="none"/>
        </w:rPr>
        <w:t>评标委员会按评审后综合得分由高到低顺序排列。若综合得分相同的，按投标报价由低到高顺序排列；若综合得分且投标报价均相同的，按技术分得分由高到低顺序排列；如均相同的，则抽签确定排列顺序。排名第一的投标人为第一中标候选人，排名第二的投标人为第二中标候选人，并以此类推（如有效供应商超过三家，原则上推荐三家）。</w:t>
      </w:r>
    </w:p>
    <w:p>
      <w:pPr>
        <w:autoSpaceDE w:val="0"/>
        <w:autoSpaceDN w:val="0"/>
        <w:snapToGrid w:val="0"/>
        <w:spacing w:line="360" w:lineRule="auto"/>
        <w:ind w:right="84" w:firstLine="472"/>
        <w:rPr>
          <w:rFonts w:hint="eastAsia" w:ascii="宋体" w:hAnsi="宋体" w:cs="宋体"/>
          <w:b/>
          <w:color w:val="000000"/>
          <w:szCs w:val="21"/>
          <w:highlight w:val="none"/>
        </w:rPr>
      </w:pPr>
      <w:r>
        <w:rPr>
          <w:rFonts w:hint="eastAsia" w:ascii="宋体" w:hAnsi="宋体" w:cs="宋体"/>
          <w:b/>
          <w:color w:val="000000"/>
          <w:szCs w:val="21"/>
          <w:highlight w:val="none"/>
        </w:rPr>
        <w:t>三、评标细则</w:t>
      </w:r>
    </w:p>
    <w:p>
      <w:pPr>
        <w:autoSpaceDE w:val="0"/>
        <w:autoSpaceDN w:val="0"/>
        <w:snapToGrid w:val="0"/>
        <w:spacing w:line="360" w:lineRule="auto"/>
        <w:ind w:right="85" w:firstLine="101"/>
        <w:rPr>
          <w:rFonts w:hint="eastAsia" w:ascii="宋体" w:hAnsi="宋体" w:cs="宋体"/>
          <w:b/>
          <w:color w:val="000000"/>
          <w:szCs w:val="21"/>
          <w:highlight w:val="none"/>
        </w:rPr>
      </w:pPr>
      <w:r>
        <w:rPr>
          <w:rFonts w:hint="eastAsia" w:ascii="宋体" w:hAnsi="宋体" w:cs="宋体"/>
          <w:b/>
          <w:color w:val="000000"/>
          <w:szCs w:val="21"/>
          <w:highlight w:val="none"/>
        </w:rPr>
        <w:t>（一）资格证明文件、商务资信技术标、报价标评审</w:t>
      </w:r>
    </w:p>
    <w:p>
      <w:pPr>
        <w:autoSpaceDE w:val="0"/>
        <w:autoSpaceDN w:val="0"/>
        <w:snapToGrid w:val="0"/>
        <w:spacing w:line="360" w:lineRule="auto"/>
        <w:ind w:right="84" w:firstLine="207"/>
        <w:rPr>
          <w:rFonts w:hint="eastAsia" w:ascii="宋体" w:hAnsi="宋体" w:cs="宋体"/>
          <w:b/>
          <w:color w:val="000000"/>
          <w:szCs w:val="21"/>
          <w:highlight w:val="none"/>
        </w:rPr>
      </w:pPr>
      <w:r>
        <w:rPr>
          <w:rFonts w:hint="eastAsia" w:ascii="宋体" w:hAnsi="宋体" w:cs="宋体"/>
          <w:b/>
          <w:color w:val="000000"/>
          <w:szCs w:val="21"/>
          <w:highlight w:val="none"/>
        </w:rPr>
        <w:t>▲1、资格证明文件资格审查（如发现有不符合下列条款的，投标文件将作无效标处理）</w:t>
      </w:r>
    </w:p>
    <w:p>
      <w:pPr>
        <w:autoSpaceDE w:val="0"/>
        <w:autoSpaceDN w:val="0"/>
        <w:snapToGrid w:val="0"/>
        <w:spacing w:line="360" w:lineRule="auto"/>
        <w:ind w:right="84" w:firstLine="420"/>
        <w:rPr>
          <w:rFonts w:hint="eastAsia" w:ascii="宋体" w:hAnsi="宋体" w:cs="宋体"/>
          <w:color w:val="000000"/>
          <w:szCs w:val="21"/>
          <w:highlight w:val="none"/>
        </w:rPr>
      </w:pPr>
      <w:r>
        <w:rPr>
          <w:rFonts w:hint="eastAsia" w:ascii="宋体" w:hAnsi="宋体" w:cs="宋体"/>
          <w:color w:val="000000"/>
          <w:szCs w:val="21"/>
          <w:highlight w:val="none"/>
        </w:rPr>
        <w:t>（1）资格审查材料提供完整且有效。</w:t>
      </w:r>
    </w:p>
    <w:p>
      <w:pPr>
        <w:autoSpaceDE w:val="0"/>
        <w:autoSpaceDN w:val="0"/>
        <w:snapToGrid w:val="0"/>
        <w:spacing w:line="360" w:lineRule="auto"/>
        <w:ind w:right="84" w:firstLine="420"/>
        <w:rPr>
          <w:rFonts w:hint="eastAsia" w:ascii="宋体" w:hAnsi="宋体" w:cs="宋体"/>
          <w:color w:val="000000"/>
          <w:szCs w:val="21"/>
          <w:highlight w:val="none"/>
        </w:rPr>
      </w:pPr>
      <w:r>
        <w:rPr>
          <w:rFonts w:hint="eastAsia" w:ascii="宋体" w:hAnsi="宋体" w:cs="宋体"/>
          <w:color w:val="000000"/>
          <w:szCs w:val="21"/>
          <w:highlight w:val="none"/>
        </w:rPr>
        <w:t>（2）签署、盖章符合招标文件要求。</w:t>
      </w:r>
    </w:p>
    <w:p>
      <w:pPr>
        <w:autoSpaceDE w:val="0"/>
        <w:autoSpaceDN w:val="0"/>
        <w:snapToGrid w:val="0"/>
        <w:spacing w:line="360" w:lineRule="auto"/>
        <w:ind w:right="84" w:firstLine="207"/>
        <w:rPr>
          <w:rFonts w:hint="eastAsia" w:ascii="宋体" w:hAnsi="宋体" w:cs="宋体"/>
          <w:b/>
          <w:color w:val="000000"/>
          <w:szCs w:val="21"/>
          <w:highlight w:val="none"/>
        </w:rPr>
      </w:pPr>
      <w:r>
        <w:rPr>
          <w:rFonts w:hint="eastAsia" w:ascii="宋体" w:hAnsi="宋体" w:cs="宋体"/>
          <w:b/>
          <w:color w:val="000000"/>
          <w:szCs w:val="21"/>
          <w:highlight w:val="none"/>
        </w:rPr>
        <w:t>▲2、商务资信技术标符合性审查（如发现有不符合下列条款的，投标文件将作无效标处理）</w:t>
      </w:r>
    </w:p>
    <w:p>
      <w:pPr>
        <w:autoSpaceDE w:val="0"/>
        <w:autoSpaceDN w:val="0"/>
        <w:snapToGrid w:val="0"/>
        <w:spacing w:line="360" w:lineRule="auto"/>
        <w:ind w:right="84" w:firstLine="420"/>
        <w:rPr>
          <w:rFonts w:hint="eastAsia" w:ascii="宋体" w:hAnsi="宋体" w:cs="宋体"/>
          <w:color w:val="000000"/>
          <w:szCs w:val="21"/>
          <w:highlight w:val="none"/>
        </w:rPr>
      </w:pPr>
      <w:r>
        <w:rPr>
          <w:rFonts w:hint="eastAsia" w:ascii="宋体" w:hAnsi="宋体" w:cs="宋体"/>
          <w:color w:val="000000"/>
          <w:szCs w:val="21"/>
          <w:highlight w:val="none"/>
        </w:rPr>
        <w:t>（1）实质性商务服务承诺和实质性技术指标（服务）响应招标文件采购需求的要求；</w:t>
      </w:r>
    </w:p>
    <w:p>
      <w:pPr>
        <w:autoSpaceDE w:val="0"/>
        <w:autoSpaceDN w:val="0"/>
        <w:snapToGrid w:val="0"/>
        <w:spacing w:line="360" w:lineRule="auto"/>
        <w:ind w:right="84" w:firstLine="420"/>
        <w:rPr>
          <w:rFonts w:hint="eastAsia" w:ascii="宋体" w:hAnsi="宋体" w:cs="宋体"/>
          <w:color w:val="000000"/>
          <w:szCs w:val="21"/>
          <w:highlight w:val="none"/>
        </w:rPr>
      </w:pPr>
      <w:r>
        <w:rPr>
          <w:rFonts w:hint="eastAsia" w:ascii="宋体" w:hAnsi="宋体" w:cs="宋体"/>
          <w:color w:val="000000"/>
          <w:szCs w:val="21"/>
          <w:highlight w:val="none"/>
        </w:rPr>
        <w:t>（2）签署、盖章符合招标文件要求。</w:t>
      </w:r>
    </w:p>
    <w:p>
      <w:pPr>
        <w:autoSpaceDE w:val="0"/>
        <w:autoSpaceDN w:val="0"/>
        <w:snapToGrid w:val="0"/>
        <w:spacing w:line="360" w:lineRule="auto"/>
        <w:ind w:right="84" w:firstLine="207"/>
        <w:rPr>
          <w:rFonts w:hint="eastAsia" w:ascii="宋体" w:hAnsi="宋体" w:cs="宋体"/>
          <w:b/>
          <w:color w:val="000000"/>
          <w:szCs w:val="21"/>
          <w:highlight w:val="none"/>
        </w:rPr>
      </w:pPr>
      <w:r>
        <w:rPr>
          <w:rFonts w:hint="eastAsia" w:ascii="宋体" w:hAnsi="宋体" w:cs="宋体"/>
          <w:b/>
          <w:color w:val="000000"/>
          <w:szCs w:val="21"/>
          <w:highlight w:val="none"/>
        </w:rPr>
        <w:t>▲3、报价标的符合性评审（如发现有不符合下列条款的，投标文件将作无效标处理）</w:t>
      </w:r>
    </w:p>
    <w:p>
      <w:pPr>
        <w:autoSpaceDE w:val="0"/>
        <w:autoSpaceDN w:val="0"/>
        <w:snapToGrid w:val="0"/>
        <w:spacing w:line="360" w:lineRule="auto"/>
        <w:ind w:right="84" w:firstLine="420"/>
        <w:rPr>
          <w:rFonts w:hint="eastAsia" w:ascii="宋体" w:hAnsi="宋体" w:cs="宋体"/>
          <w:color w:val="000000"/>
          <w:szCs w:val="21"/>
          <w:highlight w:val="none"/>
        </w:rPr>
      </w:pPr>
      <w:r>
        <w:rPr>
          <w:rFonts w:hint="eastAsia" w:ascii="宋体" w:hAnsi="宋体" w:cs="宋体"/>
          <w:color w:val="000000"/>
          <w:szCs w:val="21"/>
          <w:highlight w:val="none"/>
        </w:rPr>
        <w:t>（1）投标报价未超过最高限价。</w:t>
      </w:r>
    </w:p>
    <w:p>
      <w:pPr>
        <w:autoSpaceDE w:val="0"/>
        <w:autoSpaceDN w:val="0"/>
        <w:snapToGrid w:val="0"/>
        <w:spacing w:line="360" w:lineRule="auto"/>
        <w:ind w:right="84" w:firstLine="420"/>
        <w:rPr>
          <w:rFonts w:hint="eastAsia" w:ascii="宋体" w:hAnsi="宋体" w:cs="宋体"/>
          <w:color w:val="000000"/>
          <w:szCs w:val="21"/>
          <w:highlight w:val="none"/>
        </w:rPr>
      </w:pPr>
      <w:r>
        <w:rPr>
          <w:rFonts w:hint="eastAsia" w:ascii="宋体" w:hAnsi="宋体" w:cs="宋体"/>
          <w:color w:val="000000"/>
          <w:szCs w:val="21"/>
          <w:highlight w:val="none"/>
        </w:rPr>
        <w:t>（2）报价标内容提供完整，签署、盖章符合招标文件要求。</w:t>
      </w:r>
    </w:p>
    <w:p>
      <w:pPr>
        <w:autoSpaceDE w:val="0"/>
        <w:autoSpaceDN w:val="0"/>
        <w:snapToGrid w:val="0"/>
        <w:spacing w:line="360" w:lineRule="auto"/>
        <w:ind w:right="84" w:firstLine="417"/>
        <w:rPr>
          <w:rFonts w:hint="eastAsia" w:ascii="宋体" w:hAnsi="宋体" w:cs="宋体"/>
          <w:b/>
          <w:color w:val="000000"/>
          <w:szCs w:val="21"/>
          <w:highlight w:val="none"/>
        </w:rPr>
      </w:pPr>
      <w:r>
        <w:rPr>
          <w:rFonts w:hint="eastAsia" w:ascii="宋体" w:hAnsi="宋体" w:cs="宋体"/>
          <w:b/>
          <w:color w:val="000000"/>
          <w:szCs w:val="21"/>
          <w:highlight w:val="none"/>
        </w:rPr>
        <w:t>4、错误修正</w:t>
      </w:r>
    </w:p>
    <w:p>
      <w:pPr>
        <w:autoSpaceDE w:val="0"/>
        <w:autoSpaceDN w:val="0"/>
        <w:snapToGrid w:val="0"/>
        <w:spacing w:line="360" w:lineRule="auto"/>
        <w:ind w:firstLine="480"/>
        <w:rPr>
          <w:rFonts w:hint="eastAsia" w:ascii="宋体" w:hAnsi="宋体" w:cs="宋体"/>
          <w:color w:val="000000"/>
          <w:szCs w:val="21"/>
          <w:highlight w:val="none"/>
        </w:rPr>
      </w:pPr>
      <w:r>
        <w:rPr>
          <w:rFonts w:hint="eastAsia" w:ascii="宋体" w:hAnsi="宋体" w:cs="宋体"/>
          <w:color w:val="000000"/>
          <w:szCs w:val="21"/>
          <w:highlight w:val="none"/>
        </w:rPr>
        <w:t>投标文件报价出现前后不一致的，按照下列规定修正：</w:t>
      </w:r>
    </w:p>
    <w:p>
      <w:pPr>
        <w:widowControl/>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① 投标文件中开标一览表内容与投标文件中相应内容不一致的，以开标一览表为准；</w:t>
      </w:r>
    </w:p>
    <w:p>
      <w:pPr>
        <w:widowControl/>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② 大写金额和小写金额不一致的，以大写金额为准；</w:t>
      </w:r>
    </w:p>
    <w:p>
      <w:pPr>
        <w:widowControl/>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③ 单价金额小数点或者百分比有明显错位的，以开标一览表的总报价为准，并修改单价；</w:t>
      </w:r>
    </w:p>
    <w:p>
      <w:pPr>
        <w:widowControl/>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④ 总报价金额与按单价汇总金额不一致的，以单价金额计算结果为准；</w:t>
      </w:r>
    </w:p>
    <w:p>
      <w:pPr>
        <w:autoSpaceDE w:val="0"/>
        <w:autoSpaceDN w:val="0"/>
        <w:snapToGrid w:val="0"/>
        <w:spacing w:line="360" w:lineRule="auto"/>
        <w:ind w:firstLine="480"/>
        <w:rPr>
          <w:rFonts w:hint="eastAsia" w:ascii="宋体" w:hAnsi="宋体" w:cs="宋体"/>
          <w:bCs/>
          <w:color w:val="000000"/>
          <w:szCs w:val="21"/>
          <w:highlight w:val="none"/>
        </w:rPr>
      </w:pPr>
      <w:r>
        <w:rPr>
          <w:rFonts w:hint="eastAsia" w:ascii="宋体" w:hAnsi="宋体" w:cs="宋体"/>
          <w:bCs/>
          <w:color w:val="000000"/>
          <w:szCs w:val="21"/>
          <w:highlight w:val="none"/>
        </w:rPr>
        <w:t>如同时出现两种以上不一致的，按照前款规定的顺序修正。修正后的报价经投标人确认后产生约束力，投标人不确认的，其投标无效。</w:t>
      </w:r>
    </w:p>
    <w:p>
      <w:pPr>
        <w:autoSpaceDE w:val="0"/>
        <w:autoSpaceDN w:val="0"/>
        <w:snapToGrid w:val="0"/>
        <w:spacing w:line="360" w:lineRule="auto"/>
        <w:ind w:firstLine="103"/>
        <w:rPr>
          <w:rFonts w:hint="eastAsia" w:ascii="宋体" w:hAnsi="宋体" w:cs="宋体"/>
          <w:b/>
          <w:color w:val="000000"/>
          <w:szCs w:val="21"/>
          <w:highlight w:val="none"/>
        </w:rPr>
      </w:pPr>
      <w:r>
        <w:rPr>
          <w:rFonts w:hint="eastAsia" w:ascii="宋体" w:hAnsi="宋体" w:cs="宋体"/>
          <w:b/>
          <w:color w:val="000000"/>
          <w:szCs w:val="21"/>
          <w:highlight w:val="none"/>
        </w:rPr>
        <w:t>（二）商务资信技术标、报价标评分：</w:t>
      </w:r>
    </w:p>
    <w:p>
      <w:pPr>
        <w:autoSpaceDE w:val="0"/>
        <w:autoSpaceDN w:val="0"/>
        <w:snapToGrid w:val="0"/>
        <w:spacing w:line="360" w:lineRule="auto"/>
        <w:ind w:right="84" w:firstLine="413"/>
        <w:rPr>
          <w:rFonts w:hint="eastAsia" w:ascii="宋体" w:hAnsi="宋体" w:cs="宋体"/>
          <w:color w:val="000000"/>
          <w:szCs w:val="21"/>
          <w:highlight w:val="none"/>
        </w:rPr>
      </w:pPr>
      <w:r>
        <w:rPr>
          <w:rFonts w:hint="eastAsia" w:ascii="宋体" w:hAnsi="宋体" w:cs="宋体"/>
          <w:b/>
          <w:color w:val="000000"/>
          <w:szCs w:val="21"/>
          <w:highlight w:val="none"/>
        </w:rPr>
        <w:t>1、</w:t>
      </w:r>
      <w:r>
        <w:rPr>
          <w:rFonts w:hint="eastAsia" w:ascii="宋体" w:hAnsi="宋体" w:cs="宋体"/>
          <w:color w:val="000000"/>
          <w:szCs w:val="21"/>
          <w:highlight w:val="none"/>
        </w:rPr>
        <w:t>本项目综合评分设总分100分，其中商务资信技术标得分</w:t>
      </w:r>
      <w:r>
        <w:rPr>
          <w:rFonts w:hint="eastAsia"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0分，报价标得分为</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0分。</w:t>
      </w:r>
      <w:r>
        <w:rPr>
          <w:rFonts w:hint="eastAsia" w:ascii="宋体" w:hAnsi="宋体" w:cs="宋体"/>
          <w:color w:val="000000"/>
          <w:szCs w:val="21"/>
          <w:highlight w:val="none"/>
        </w:rPr>
        <w:t>各投标人的综合得分为其商务资信技术标得分与报价标得分之和，即综合得分=商务资信技术标得分（商务资信分+技术分）+ 报价标得分。评分结果采用四舍五入法，并保留小数2位。</w:t>
      </w:r>
    </w:p>
    <w:p>
      <w:pPr>
        <w:autoSpaceDE w:val="0"/>
        <w:autoSpaceDN w:val="0"/>
        <w:snapToGrid w:val="0"/>
        <w:spacing w:line="360" w:lineRule="auto"/>
        <w:ind w:right="85"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szCs w:val="21"/>
          <w:highlight w:val="none"/>
        </w:rPr>
        <w:t>2、报价标评审</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0分）</w:t>
      </w:r>
    </w:p>
    <w:p>
      <w:pPr>
        <w:autoSpaceDE w:val="0"/>
        <w:autoSpaceDN w:val="0"/>
        <w:snapToGrid w:val="0"/>
        <w:spacing w:line="360" w:lineRule="auto"/>
        <w:ind w:right="85"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（1）有效投标报价</w:t>
      </w:r>
    </w:p>
    <w:p>
      <w:pPr>
        <w:autoSpaceDE w:val="0"/>
        <w:autoSpaceDN w:val="0"/>
        <w:snapToGrid w:val="0"/>
        <w:spacing w:line="360" w:lineRule="auto"/>
        <w:ind w:right="85"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满足招标文件要求，且投标报价小于或等于最高限价为有效投标报价。若投标报价超过最高限价的，其投标文件将作无效标处理；如所有投标人投标报价均超过最高限价的，则本次招标失败。</w:t>
      </w:r>
    </w:p>
    <w:p>
      <w:pPr>
        <w:autoSpaceDE w:val="0"/>
        <w:autoSpaceDN w:val="0"/>
        <w:snapToGrid w:val="0"/>
        <w:spacing w:line="360" w:lineRule="auto"/>
        <w:ind w:right="85" w:firstLine="422" w:firstLineChars="200"/>
        <w:rPr>
          <w:rFonts w:hint="eastAsia" w:ascii="宋体" w:hAnsi="宋体" w:cs="宋体"/>
          <w:b/>
          <w:szCs w:val="21"/>
          <w:highlight w:val="none"/>
        </w:rPr>
      </w:pPr>
      <w:r>
        <w:rPr>
          <w:rFonts w:ascii="宋体" w:hAnsi="宋体"/>
          <w:b/>
          <w:szCs w:val="21"/>
          <w:highlight w:val="none"/>
        </w:rPr>
        <w:t>（2）</w:t>
      </w:r>
      <w:r>
        <w:rPr>
          <w:rFonts w:hint="eastAsia" w:ascii="宋体" w:hAnsi="宋体" w:cs="宋体"/>
          <w:b/>
          <w:szCs w:val="21"/>
          <w:highlight w:val="none"/>
        </w:rPr>
        <w:t>报价评分</w:t>
      </w:r>
    </w:p>
    <w:p>
      <w:pPr>
        <w:widowControl/>
        <w:snapToGrid w:val="0"/>
        <w:spacing w:line="360" w:lineRule="auto"/>
        <w:ind w:firstLine="413"/>
        <w:rPr>
          <w:rFonts w:hint="eastAsia" w:ascii="宋体" w:hAnsi="宋体" w:cs="宋体"/>
          <w:color w:val="000000"/>
          <w:szCs w:val="21"/>
          <w:highlight w:val="none"/>
        </w:rPr>
      </w:pPr>
      <w:r>
        <w:rPr>
          <w:rFonts w:hint="eastAsia" w:ascii="宋体" w:hAnsi="宋体" w:cs="宋体"/>
          <w:color w:val="000000"/>
          <w:szCs w:val="21"/>
          <w:highlight w:val="none"/>
        </w:rPr>
        <w:t>评审报价：报价标评分采用低价优先法计算，即满足招标文件要求且价格最低的评审报价为评标基准价。评审报价最低的投标人，其报价标得</w:t>
      </w:r>
      <w:r>
        <w:rPr>
          <w:rFonts w:hint="eastAsia" w:ascii="宋体" w:hAnsi="宋体" w:cs="宋体"/>
          <w:szCs w:val="21"/>
          <w:highlight w:val="none"/>
        </w:rPr>
        <w:t>满分（</w:t>
      </w:r>
      <w:r>
        <w:rPr>
          <w:rFonts w:hint="eastAsia" w:ascii="宋体" w:hAnsi="宋体" w:cs="宋体"/>
          <w:szCs w:val="21"/>
          <w:highlight w:val="none"/>
          <w:lang w:val="en-US" w:eastAsia="zh-CN"/>
        </w:rPr>
        <w:t>4</w:t>
      </w:r>
      <w:r>
        <w:rPr>
          <w:rFonts w:hint="eastAsia" w:ascii="宋体" w:hAnsi="宋体" w:cs="宋体"/>
          <w:szCs w:val="21"/>
          <w:highlight w:val="none"/>
        </w:rPr>
        <w:t>0分）。其他投</w:t>
      </w:r>
      <w:r>
        <w:rPr>
          <w:rFonts w:hint="eastAsia" w:ascii="宋体" w:hAnsi="宋体" w:cs="宋体"/>
          <w:color w:val="000000"/>
          <w:szCs w:val="21"/>
          <w:highlight w:val="none"/>
        </w:rPr>
        <w:t>标人的报价标得分按下列公式计算：</w:t>
      </w:r>
      <w:r>
        <w:rPr>
          <w:rFonts w:hint="eastAsia" w:ascii="宋体" w:hAnsi="宋体" w:cs="宋体"/>
          <w:color w:val="000000"/>
          <w:szCs w:val="21"/>
          <w:highlight w:val="none"/>
          <w:u w:val="single"/>
        </w:rPr>
        <w:t>报价得分=(评标基准价／评审报价)×</w:t>
      </w:r>
      <w:r>
        <w:rPr>
          <w:rFonts w:hint="eastAsia" w:ascii="宋体" w:hAnsi="宋体" w:cs="宋体"/>
          <w:color w:val="000000"/>
          <w:szCs w:val="21"/>
          <w:highlight w:val="none"/>
          <w:u w:val="single"/>
          <w:lang w:val="en-US" w:eastAsia="zh-CN"/>
        </w:rPr>
        <w:t>4</w:t>
      </w:r>
      <w:r>
        <w:rPr>
          <w:rFonts w:hint="eastAsia" w:ascii="宋体" w:hAnsi="宋体" w:cs="宋体"/>
          <w:color w:val="000000"/>
          <w:szCs w:val="21"/>
          <w:highlight w:val="none"/>
          <w:u w:val="single"/>
        </w:rPr>
        <w:t>0%×100</w:t>
      </w:r>
      <w:r>
        <w:rPr>
          <w:rFonts w:hint="eastAsia" w:ascii="宋体" w:hAnsi="宋体" w:cs="宋体"/>
          <w:color w:val="000000"/>
          <w:szCs w:val="21"/>
          <w:highlight w:val="none"/>
        </w:rPr>
        <w:t>。评分结果采用四舍五入法，并保留小数2位。</w:t>
      </w:r>
    </w:p>
    <w:p>
      <w:pPr>
        <w:widowControl/>
        <w:snapToGrid w:val="0"/>
        <w:spacing w:line="360" w:lineRule="auto"/>
        <w:ind w:firstLine="413"/>
        <w:rPr>
          <w:rFonts w:hint="eastAsia" w:ascii="宋体" w:hAnsi="宋体" w:cs="宋体"/>
          <w:b/>
          <w:color w:val="000000"/>
          <w:szCs w:val="21"/>
          <w:highlight w:val="none"/>
        </w:rPr>
      </w:pPr>
      <w:r>
        <w:rPr>
          <w:rFonts w:hint="eastAsia" w:ascii="宋体" w:hAnsi="宋体" w:cs="宋体"/>
          <w:b/>
          <w:color w:val="000000"/>
          <w:szCs w:val="21"/>
          <w:highlight w:val="none"/>
        </w:rPr>
        <w:t>3、商务资信技术标评标内容及标准（</w:t>
      </w:r>
      <w:r>
        <w:rPr>
          <w:rFonts w:hint="eastAsia" w:ascii="宋体" w:hAnsi="宋体" w:cs="宋体"/>
          <w:b/>
          <w:color w:val="000000"/>
          <w:szCs w:val="21"/>
          <w:highlight w:val="none"/>
          <w:lang w:val="en-US" w:eastAsia="zh-CN"/>
        </w:rPr>
        <w:t>6</w:t>
      </w:r>
      <w:r>
        <w:rPr>
          <w:rFonts w:hint="eastAsia" w:ascii="宋体" w:hAnsi="宋体" w:cs="宋体"/>
          <w:b/>
          <w:color w:val="000000"/>
          <w:szCs w:val="21"/>
          <w:highlight w:val="none"/>
        </w:rPr>
        <w:t>0分）</w:t>
      </w:r>
    </w:p>
    <w:p>
      <w:pPr>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商务资信技术标的评分：对各投标人的商务资信技术标经充分审核、询标后，对实质性要求符合招标文件的投标文件在规定分值内由评委单独评定打分。各投标人商务资信技术标得分按照评标委员会所有成员评分合计数的算术平均值计算，计算公式为：</w:t>
      </w:r>
    </w:p>
    <w:p>
      <w:pPr>
        <w:spacing w:line="360" w:lineRule="auto"/>
        <w:rPr>
          <w:highlight w:val="none"/>
          <w:lang w:val="zh-CN"/>
        </w:rPr>
      </w:pPr>
      <w:r>
        <w:rPr>
          <w:rFonts w:hint="eastAsia" w:ascii="宋体" w:hAnsi="宋体" w:cs="宋体"/>
          <w:color w:val="000000"/>
          <w:szCs w:val="21"/>
          <w:highlight w:val="none"/>
        </w:rPr>
        <w:t>商务资信技术标得分=评标委员会所有成员评分合计数/评标委员会人数</w:t>
      </w:r>
    </w:p>
    <w:p>
      <w:pPr>
        <w:snapToGrid w:val="0"/>
        <w:spacing w:line="380" w:lineRule="exact"/>
        <w:ind w:firstLine="420"/>
        <w:rPr>
          <w:b/>
          <w:color w:val="000000" w:themeColor="text1"/>
          <w:highlight w:val="none"/>
          <w14:textFill>
            <w14:solidFill>
              <w14:schemeClr w14:val="tx1"/>
            </w14:solidFill>
          </w14:textFill>
        </w:rPr>
      </w:pPr>
      <w:r>
        <w:rPr>
          <w:rFonts w:hint="eastAsia" w:ascii="宋体"/>
          <w:b/>
          <w:color w:val="000000" w:themeColor="text1"/>
          <w:kern w:val="0"/>
          <w:szCs w:val="21"/>
          <w:highlight w:val="none"/>
          <w:lang w:val="zh-CN"/>
          <w14:textFill>
            <w14:solidFill>
              <w14:schemeClr w14:val="tx1"/>
            </w14:solidFill>
          </w14:textFill>
        </w:rPr>
        <w:t>注：若有供应商的商务资信技术得分不足36分的，则该供应商的投标文件予以淘汰，淘汰的投标文件作无效标处理，不再进入下一阶段的报价文件评审。</w:t>
      </w:r>
    </w:p>
    <w:p>
      <w:pPr>
        <w:spacing w:line="360" w:lineRule="auto"/>
        <w:rPr>
          <w:rFonts w:hint="eastAsia" w:ascii="宋体" w:hAnsi="宋体" w:cs="宋体"/>
          <w:szCs w:val="21"/>
          <w:highlight w:val="none"/>
        </w:rPr>
      </w:pPr>
      <w:r>
        <w:rPr>
          <w:rFonts w:hint="eastAsia" w:ascii="宋体" w:hAnsi="宋体" w:cs="宋体"/>
          <w:b/>
          <w:kern w:val="0"/>
          <w:szCs w:val="21"/>
          <w:highlight w:val="none"/>
          <w:lang w:val="zh-CN"/>
        </w:rPr>
        <w:t>附表：</w:t>
      </w:r>
      <w:r>
        <w:rPr>
          <w:rFonts w:hint="eastAsia" w:ascii="宋体" w:hAnsi="宋体" w:cs="宋体"/>
          <w:szCs w:val="21"/>
          <w:highlight w:val="none"/>
        </w:rPr>
        <w:t>评分标准表</w:t>
      </w:r>
    </w:p>
    <w:p>
      <w:pPr>
        <w:spacing w:line="360" w:lineRule="auto"/>
        <w:rPr>
          <w:highlight w:val="none"/>
          <w:lang w:val="zh-CN"/>
        </w:rPr>
        <w:sectPr>
          <w:pgSz w:w="11905" w:h="16838"/>
          <w:pgMar w:top="1417" w:right="1587" w:bottom="1417" w:left="1587" w:header="907" w:footer="924" w:gutter="0"/>
          <w:cols w:space="0" w:num="1"/>
          <w:docGrid w:type="lines" w:linePitch="304" w:charSpace="0"/>
        </w:sectPr>
      </w:pPr>
    </w:p>
    <w:p>
      <w:pPr>
        <w:spacing w:line="360" w:lineRule="auto"/>
        <w:rPr>
          <w:highlight w:val="none"/>
        </w:rPr>
      </w:pPr>
      <w:r>
        <w:rPr>
          <w:rFonts w:hint="eastAsia" w:ascii="宋体" w:hAnsi="宋体" w:cs="宋体"/>
          <w:b/>
          <w:kern w:val="0"/>
          <w:szCs w:val="21"/>
          <w:highlight w:val="none"/>
          <w:lang w:val="zh-CN"/>
        </w:rPr>
        <w:t>附表：</w:t>
      </w:r>
      <w:r>
        <w:rPr>
          <w:rFonts w:hint="eastAsia" w:ascii="宋体" w:hAnsi="宋体" w:cs="宋体"/>
          <w:b/>
          <w:szCs w:val="21"/>
          <w:highlight w:val="none"/>
        </w:rPr>
        <w:t>评分标准表</w:t>
      </w:r>
    </w:p>
    <w:tbl>
      <w:tblPr>
        <w:tblStyle w:val="37"/>
        <w:tblpPr w:leftFromText="180" w:rightFromText="180" w:vertAnchor="text" w:horzAnchor="page" w:tblpXSpec="center" w:tblpY="304"/>
        <w:tblOverlap w:val="never"/>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00"/>
        <w:gridCol w:w="733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0" w:type="dxa"/>
            <w:vAlign w:val="center"/>
          </w:tcPr>
          <w:p>
            <w:pPr>
              <w:widowControl/>
              <w:spacing w:line="300" w:lineRule="exact"/>
              <w:jc w:val="center"/>
              <w:rPr>
                <w:rFonts w:ascii="宋体" w:hAnsi="宋体" w:cs="宋体"/>
                <w:b/>
                <w:color w:val="000000" w:themeColor="text1"/>
                <w:kern w:val="0"/>
                <w:szCs w:val="21"/>
                <w:highlight w:val="none"/>
                <w14:textFill>
                  <w14:solidFill>
                    <w14:schemeClr w14:val="tx1"/>
                  </w14:solidFill>
                </w14:textFill>
              </w:rPr>
            </w:pPr>
            <w:bookmarkStart w:id="196" w:name="_Toc1386"/>
            <w:r>
              <w:rPr>
                <w:rFonts w:hint="eastAsia" w:ascii="宋体" w:hAnsi="宋体" w:cs="宋体"/>
                <w:b/>
                <w:color w:val="000000" w:themeColor="text1"/>
                <w:kern w:val="0"/>
                <w:szCs w:val="21"/>
                <w:highlight w:val="none"/>
                <w14:textFill>
                  <w14:solidFill>
                    <w14:schemeClr w14:val="tx1"/>
                  </w14:solidFill>
                </w14:textFill>
              </w:rPr>
              <w:t>序号</w:t>
            </w:r>
          </w:p>
        </w:tc>
        <w:tc>
          <w:tcPr>
            <w:tcW w:w="1400" w:type="dxa"/>
            <w:vAlign w:val="center"/>
          </w:tcPr>
          <w:p>
            <w:pPr>
              <w:widowControl/>
              <w:spacing w:line="30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评分内容</w:t>
            </w:r>
          </w:p>
        </w:tc>
        <w:tc>
          <w:tcPr>
            <w:tcW w:w="7333" w:type="dxa"/>
            <w:vAlign w:val="center"/>
          </w:tcPr>
          <w:p>
            <w:pPr>
              <w:widowControl/>
              <w:spacing w:line="300" w:lineRule="exact"/>
              <w:ind w:firstLine="211" w:firstLineChars="100"/>
              <w:jc w:val="center"/>
              <w:rPr>
                <w:rFonts w:ascii="宋体" w:hAnsi="宋体" w:cs="宋体"/>
                <w:b/>
                <w:color w:val="000000" w:themeColor="text1"/>
                <w:kern w:val="0"/>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评分标准</w:t>
            </w:r>
          </w:p>
        </w:tc>
        <w:tc>
          <w:tcPr>
            <w:tcW w:w="867" w:type="dxa"/>
            <w:vAlign w:val="center"/>
          </w:tcPr>
          <w:p>
            <w:pPr>
              <w:widowControl/>
              <w:spacing w:line="300" w:lineRule="exact"/>
              <w:jc w:val="center"/>
              <w:rPr>
                <w:rFonts w:ascii="宋体" w:hAnsi="宋体" w:cs="宋体"/>
                <w:b/>
                <w:color w:val="000000" w:themeColor="text1"/>
                <w:kern w:val="0"/>
                <w:szCs w:val="21"/>
                <w:highlight w:val="none"/>
                <w14:textFill>
                  <w14:solidFill>
                    <w14:schemeClr w14:val="tx1"/>
                  </w14:solidFill>
                </w14:textFill>
              </w:rPr>
            </w:pPr>
            <w:r>
              <w:rPr>
                <w:rFonts w:ascii="宋体" w:hAnsi="宋体" w:cs="宋体"/>
                <w:b/>
                <w:color w:val="000000" w:themeColor="text1"/>
                <w:kern w:val="0"/>
                <w:szCs w:val="2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453" w:type="dxa"/>
            <w:gridSpan w:val="3"/>
            <w:vAlign w:val="center"/>
          </w:tcPr>
          <w:p>
            <w:pPr>
              <w:widowControl/>
              <w:spacing w:line="30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（一）商务资信部分</w:t>
            </w:r>
          </w:p>
        </w:tc>
        <w:tc>
          <w:tcPr>
            <w:tcW w:w="867" w:type="dxa"/>
            <w:vAlign w:val="center"/>
          </w:tcPr>
          <w:p>
            <w:pPr>
              <w:widowControl/>
              <w:spacing w:line="30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29</w:t>
            </w:r>
            <w:r>
              <w:rPr>
                <w:rFonts w:hint="eastAsia" w:ascii="宋体" w:hAnsi="宋体" w:cs="宋体"/>
                <w:b/>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标书质量</w:t>
            </w:r>
          </w:p>
        </w:tc>
        <w:tc>
          <w:tcPr>
            <w:tcW w:w="733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根据投标文件编制的完整性、目录对应清晰程度、电子投标文件关联点设置是否定位准确、投标文件</w:t>
            </w:r>
            <w:r>
              <w:rPr>
                <w:rFonts w:hint="eastAsia" w:ascii="宋体" w:hAnsi="宋体" w:cs="宋体"/>
                <w:color w:val="000000" w:themeColor="text1"/>
                <w:szCs w:val="21"/>
                <w:highlight w:val="none"/>
                <w14:textFill>
                  <w14:solidFill>
                    <w14:schemeClr w14:val="tx1"/>
                  </w14:solidFill>
                </w14:textFill>
              </w:rPr>
              <w:t>内容简洁明确程度及针对性等情况酌情评分</w:t>
            </w:r>
            <w:r>
              <w:rPr>
                <w:rFonts w:hint="eastAsia" w:ascii="宋体" w:hAnsi="宋体" w:cs="宋体"/>
                <w:color w:val="000000" w:themeColor="text1"/>
                <w:kern w:val="0"/>
                <w:szCs w:val="21"/>
                <w:highlight w:val="none"/>
                <w14:textFill>
                  <w14:solidFill>
                    <w14:schemeClr w14:val="tx1"/>
                  </w14:solidFill>
                </w14:textFill>
              </w:rPr>
              <w:t>，最高得2分；若投标文件中出现内容前后矛盾、或与招标文件要求不一致，评审小组允许且需要通过询标等程序进行澄清的，</w:t>
            </w:r>
            <w:r>
              <w:rPr>
                <w:rFonts w:hint="eastAsia" w:ascii="宋体" w:hAnsi="宋体" w:cs="宋体"/>
                <w:bCs/>
                <w:color w:val="000000" w:themeColor="text1"/>
                <w:kern w:val="0"/>
                <w:szCs w:val="21"/>
                <w:highlight w:val="none"/>
                <w14:textFill>
                  <w14:solidFill>
                    <w14:schemeClr w14:val="tx1"/>
                  </w14:solidFill>
                </w14:textFill>
              </w:rPr>
              <w:t>该项不得分</w:t>
            </w:r>
            <w:r>
              <w:rPr>
                <w:rFonts w:hint="eastAsia" w:ascii="宋体" w:hAnsi="宋体" w:cs="宋体"/>
                <w:color w:val="000000" w:themeColor="text1"/>
                <w:kern w:val="0"/>
                <w:szCs w:val="21"/>
                <w:highlight w:val="none"/>
                <w14:textFill>
                  <w14:solidFill>
                    <w14:schemeClr w14:val="tx1"/>
                  </w14:solidFill>
                </w14:textFill>
              </w:rPr>
              <w:t>。</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720" w:type="dxa"/>
            <w:tcBorders>
              <w:left w:val="single" w:color="auto" w:sz="4" w:space="0"/>
              <w:right w:val="single" w:color="auto" w:sz="4" w:space="0"/>
            </w:tcBorders>
            <w:vAlign w:val="center"/>
          </w:tcPr>
          <w:p>
            <w:pPr>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1400" w:type="dxa"/>
            <w:tcBorders>
              <w:left w:val="single" w:color="auto" w:sz="4" w:space="0"/>
              <w:right w:val="single" w:color="auto" w:sz="4" w:space="0"/>
            </w:tcBorders>
            <w:vAlign w:val="center"/>
          </w:tcPr>
          <w:p>
            <w:pPr>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企业综合实力</w:t>
            </w:r>
          </w:p>
        </w:tc>
        <w:tc>
          <w:tcPr>
            <w:tcW w:w="733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hint="eastAsia" w:ascii="宋体" w:hAnsi="宋体" w:cs="宋体"/>
                <w:bCs/>
                <w:color w:val="000000" w:themeColor="text1"/>
                <w:kern w:val="0"/>
                <w:szCs w:val="21"/>
                <w:highlight w:val="none"/>
                <w14:textFill>
                  <w14:solidFill>
                    <w14:schemeClr w14:val="tx1"/>
                  </w14:solidFill>
                </w14:textFill>
              </w:rPr>
              <w:t>投标产品</w:t>
            </w:r>
            <w:r>
              <w:rPr>
                <w:rFonts w:ascii="宋体" w:hAnsi="宋体" w:cs="宋体"/>
                <w:bCs/>
                <w:color w:val="000000" w:themeColor="text1"/>
                <w:szCs w:val="21"/>
                <w:highlight w:val="none"/>
                <w14:textFill>
                  <w14:solidFill>
                    <w14:schemeClr w14:val="tx1"/>
                  </w14:solidFill>
                </w14:textFill>
              </w:rPr>
              <w:t>生产企业</w:t>
            </w:r>
            <w:r>
              <w:rPr>
                <w:rFonts w:hint="eastAsia" w:ascii="宋体" w:hAnsi="宋体" w:cs="宋体"/>
                <w:bCs/>
                <w:color w:val="000000" w:themeColor="text1"/>
                <w:szCs w:val="21"/>
                <w:highlight w:val="none"/>
                <w14:textFill>
                  <w14:solidFill>
                    <w14:schemeClr w14:val="tx1"/>
                  </w14:solidFill>
                </w14:textFill>
              </w:rPr>
              <w:t>获得高新技术企业或国家企业技术中心，得2分。</w:t>
            </w:r>
          </w:p>
          <w:p>
            <w:pPr>
              <w:spacing w:line="30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（2）投标企业为2020年度</w:t>
            </w:r>
            <w:r>
              <w:rPr>
                <w:rFonts w:hint="eastAsia" w:ascii="宋体" w:hAnsi="宋体" w:cs="宋体"/>
                <w:bCs/>
                <w:color w:val="000000" w:themeColor="text1"/>
                <w:szCs w:val="21"/>
                <w:highlight w:val="none"/>
                <w:lang w:val="en-US" w:eastAsia="zh-CN"/>
                <w14:textFill>
                  <w14:solidFill>
                    <w14:schemeClr w14:val="tx1"/>
                  </w14:solidFill>
                </w14:textFill>
              </w:rPr>
              <w:t>以来的</w:t>
            </w:r>
            <w:r>
              <w:rPr>
                <w:rFonts w:ascii="宋体" w:hAnsi="宋体" w:cs="宋体"/>
                <w:bCs/>
                <w:color w:val="000000" w:themeColor="text1"/>
                <w:szCs w:val="21"/>
                <w:highlight w:val="none"/>
                <w14:textFill>
                  <w14:solidFill>
                    <w14:schemeClr w14:val="tx1"/>
                  </w14:solidFill>
                </w14:textFill>
              </w:rPr>
              <w:t>中国轻工业联合会发布的中国轻工业塑料行业（塑料管材）十强企业，得</w:t>
            </w:r>
            <w:r>
              <w:rPr>
                <w:rFonts w:hint="eastAsia" w:ascii="宋体" w:hAnsi="宋体" w:cs="宋体"/>
                <w:bCs/>
                <w:color w:val="000000" w:themeColor="text1"/>
                <w:szCs w:val="21"/>
                <w:highlight w:val="none"/>
                <w:lang w:val="en-US" w:eastAsia="zh-CN"/>
                <w14:textFill>
                  <w14:solidFill>
                    <w14:schemeClr w14:val="tx1"/>
                  </w14:solidFill>
                </w14:textFill>
              </w:rPr>
              <w:t>2</w:t>
            </w:r>
            <w:r>
              <w:rPr>
                <w:rFonts w:ascii="宋体" w:hAnsi="宋体" w:cs="宋体"/>
                <w:bCs/>
                <w:color w:val="000000" w:themeColor="text1"/>
                <w:szCs w:val="21"/>
                <w:highlight w:val="none"/>
                <w14:textFill>
                  <w14:solidFill>
                    <w14:schemeClr w14:val="tx1"/>
                  </w14:solidFill>
                </w14:textFill>
              </w:rPr>
              <w:t>分。</w:t>
            </w:r>
          </w:p>
          <w:p>
            <w:pPr>
              <w:spacing w:line="30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（3）投标企业自2018年1月1日以来独立完成或参与完成的项目获得省级及以上科学技术进步奖一等奖的，得3分；二等奖的，得2分；三等奖的，得1分。</w:t>
            </w:r>
          </w:p>
          <w:p>
            <w:pPr>
              <w:spacing w:line="300" w:lineRule="exac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w:t>
            </w:r>
            <w:r>
              <w:rPr>
                <w:rFonts w:hint="eastAsia" w:ascii="宋体" w:hAnsi="宋体" w:cs="宋体"/>
                <w:bCs/>
                <w:color w:val="000000" w:themeColor="text1"/>
                <w:kern w:val="0"/>
                <w:szCs w:val="21"/>
                <w:highlight w:val="none"/>
                <w14:textFill>
                  <w14:solidFill>
                    <w14:schemeClr w14:val="tx1"/>
                  </w14:solidFill>
                </w14:textFill>
              </w:rPr>
              <w:t>投标企业通过ISO9001质量管理体系认证，得1分。</w:t>
            </w:r>
          </w:p>
          <w:p>
            <w:pPr>
              <w:pStyle w:val="17"/>
              <w:spacing w:after="0" w:line="300" w:lineRule="exact"/>
              <w:ind w:firstLine="0" w:firstLineChars="0"/>
              <w:rPr>
                <w:rFonts w:ascii="宋体" w:hAnsi="宋体" w:cs="宋体"/>
                <w:b w:val="0"/>
                <w:bCs/>
                <w:color w:val="000000" w:themeColor="text1"/>
                <w:highlight w:val="none"/>
                <w14:textFill>
                  <w14:solidFill>
                    <w14:schemeClr w14:val="tx1"/>
                  </w14:solidFill>
                </w14:textFill>
              </w:rPr>
            </w:pPr>
            <w:r>
              <w:rPr>
                <w:rFonts w:hint="eastAsia" w:ascii="宋体" w:hAnsi="宋体" w:cs="宋体"/>
                <w:b w:val="0"/>
                <w:bCs/>
                <w:color w:val="000000" w:themeColor="text1"/>
                <w:highlight w:val="none"/>
                <w14:textFill>
                  <w14:solidFill>
                    <w14:schemeClr w14:val="tx1"/>
                  </w14:solidFill>
                </w14:textFill>
              </w:rPr>
              <w:t>（5）投标企业获得省级及以上政府质量奖得</w:t>
            </w:r>
            <w:r>
              <w:rPr>
                <w:rFonts w:hint="eastAsia" w:ascii="宋体" w:hAnsi="宋体" w:cs="宋体"/>
                <w:b w:val="0"/>
                <w:bCs/>
                <w:color w:val="000000" w:themeColor="text1"/>
                <w:highlight w:val="none"/>
                <w:lang w:val="en-US" w:eastAsia="zh-CN"/>
                <w14:textFill>
                  <w14:solidFill>
                    <w14:schemeClr w14:val="tx1"/>
                  </w14:solidFill>
                </w14:textFill>
              </w:rPr>
              <w:t>1</w:t>
            </w:r>
            <w:r>
              <w:rPr>
                <w:rFonts w:hint="eastAsia" w:ascii="宋体" w:hAnsi="宋体" w:cs="宋体"/>
                <w:b w:val="0"/>
                <w:bCs/>
                <w:color w:val="000000" w:themeColor="text1"/>
                <w:highlight w:val="none"/>
                <w14:textFill>
                  <w14:solidFill>
                    <w14:schemeClr w14:val="tx1"/>
                  </w14:solidFill>
                </w14:textFill>
              </w:rPr>
              <w:t>分，市级政府质量奖得</w:t>
            </w:r>
            <w:r>
              <w:rPr>
                <w:rFonts w:hint="eastAsia" w:ascii="宋体" w:hAnsi="宋体" w:cs="宋体"/>
                <w:b w:val="0"/>
                <w:bCs/>
                <w:color w:val="000000" w:themeColor="text1"/>
                <w:highlight w:val="none"/>
                <w:lang w:val="en-US" w:eastAsia="zh-CN"/>
                <w14:textFill>
                  <w14:solidFill>
                    <w14:schemeClr w14:val="tx1"/>
                  </w14:solidFill>
                </w14:textFill>
              </w:rPr>
              <w:t>0.5</w:t>
            </w:r>
            <w:r>
              <w:rPr>
                <w:rFonts w:hint="eastAsia" w:ascii="宋体" w:hAnsi="宋体" w:cs="宋体"/>
                <w:b w:val="0"/>
                <w:bCs/>
                <w:color w:val="000000" w:themeColor="text1"/>
                <w:highlight w:val="none"/>
                <w14:textFill>
                  <w14:solidFill>
                    <w14:schemeClr w14:val="tx1"/>
                  </w14:solidFill>
                </w14:textFill>
              </w:rPr>
              <w:t>分，没有不得分。</w:t>
            </w:r>
          </w:p>
          <w:p>
            <w:pPr>
              <w:spacing w:line="3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注：上述均须提供相关证明材料</w:t>
            </w:r>
            <w:r>
              <w:rPr>
                <w:rFonts w:hint="eastAsia" w:ascii="宋体" w:hAnsi="宋体" w:cs="宋体"/>
                <w:b/>
                <w:bCs/>
                <w:color w:val="000000" w:themeColor="text1"/>
                <w:szCs w:val="21"/>
                <w:highlight w:val="none"/>
                <w14:textFill>
                  <w14:solidFill>
                    <w14:schemeClr w14:val="tx1"/>
                  </w14:solidFill>
                </w14:textFill>
              </w:rPr>
              <w:t>复印件或扫描件</w:t>
            </w:r>
            <w:r>
              <w:rPr>
                <w:rFonts w:hint="eastAsia" w:ascii="宋体" w:hAnsi="宋体" w:cs="宋体"/>
                <w:b/>
                <w:color w:val="000000" w:themeColor="text1"/>
                <w:szCs w:val="21"/>
                <w:highlight w:val="none"/>
                <w14:textFill>
                  <w14:solidFill>
                    <w14:schemeClr w14:val="tx1"/>
                  </w14:solidFill>
                </w14:textFill>
              </w:rPr>
              <w:t>及官方可查询的网址（官网截图），否则不得分。</w:t>
            </w:r>
          </w:p>
        </w:tc>
        <w:tc>
          <w:tcPr>
            <w:tcW w:w="8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20" w:type="dxa"/>
            <w:vMerge w:val="restart"/>
            <w:tcBorders>
              <w:left w:val="single" w:color="auto" w:sz="4" w:space="0"/>
              <w:right w:val="single" w:color="auto" w:sz="4" w:space="0"/>
            </w:tcBorders>
            <w:vAlign w:val="center"/>
          </w:tcPr>
          <w:p>
            <w:pPr>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1400" w:type="dxa"/>
            <w:vMerge w:val="restart"/>
            <w:tcBorders>
              <w:left w:val="single" w:color="auto" w:sz="4" w:space="0"/>
              <w:right w:val="single" w:color="auto" w:sz="4" w:space="0"/>
            </w:tcBorders>
            <w:vAlign w:val="center"/>
          </w:tcPr>
          <w:p>
            <w:pPr>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管材、管件生产能力情况</w:t>
            </w:r>
          </w:p>
        </w:tc>
        <w:tc>
          <w:tcPr>
            <w:tcW w:w="733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（1）根据投标产品</w:t>
            </w:r>
            <w:r>
              <w:rPr>
                <w:rFonts w:ascii="宋体" w:hAnsi="宋体" w:cs="宋体"/>
                <w:bCs/>
                <w:color w:val="000000" w:themeColor="text1"/>
                <w:szCs w:val="21"/>
                <w:highlight w:val="none"/>
                <w14:textFill>
                  <w14:solidFill>
                    <w14:schemeClr w14:val="tx1"/>
                  </w14:solidFill>
                </w14:textFill>
              </w:rPr>
              <w:t>生产企业</w:t>
            </w:r>
            <w:r>
              <w:rPr>
                <w:rFonts w:hint="eastAsia" w:ascii="宋体" w:hAnsi="宋体" w:cs="宋体"/>
                <w:bCs/>
                <w:color w:val="000000" w:themeColor="text1"/>
                <w:szCs w:val="21"/>
                <w:highlight w:val="none"/>
                <w14:textFill>
                  <w14:solidFill>
                    <w14:schemeClr w14:val="tx1"/>
                  </w14:solidFill>
                </w14:textFill>
              </w:rPr>
              <w:t>提供</w:t>
            </w:r>
            <w:r>
              <w:rPr>
                <w:rFonts w:hint="eastAsia" w:ascii="宋体" w:hAnsi="宋体" w:cs="宋体"/>
                <w:bCs/>
                <w:color w:val="000000" w:themeColor="text1"/>
                <w:kern w:val="0"/>
                <w:szCs w:val="21"/>
                <w:highlight w:val="none"/>
                <w14:textFill>
                  <w14:solidFill>
                    <w14:schemeClr w14:val="tx1"/>
                  </w14:solidFill>
                </w14:textFill>
              </w:rPr>
              <w:t>PE给水管材、管件（D20-D630各型号）生产线的相关资料，由评审专家对其先进性和生产能力等内容</w:t>
            </w:r>
            <w:r>
              <w:rPr>
                <w:rFonts w:hint="eastAsia" w:ascii="宋体" w:hAnsi="宋体" w:cs="宋体"/>
                <w:color w:val="000000" w:themeColor="text1"/>
                <w:szCs w:val="21"/>
                <w:highlight w:val="none"/>
                <w14:textFill>
                  <w14:solidFill>
                    <w14:schemeClr w14:val="tx1"/>
                  </w14:solidFill>
                </w14:textFill>
              </w:rPr>
              <w:t>进行综合打分，最高得</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分。</w:t>
            </w:r>
          </w:p>
          <w:p>
            <w:pPr>
              <w:spacing w:line="3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注：须提供PE给水管材、管件生产线购买合同和发票</w:t>
            </w:r>
            <w:r>
              <w:rPr>
                <w:rFonts w:hint="eastAsia" w:ascii="宋体" w:hAnsi="宋体" w:cs="宋体"/>
                <w:b/>
                <w:color w:val="000000" w:themeColor="text1"/>
                <w:kern w:val="0"/>
                <w:szCs w:val="21"/>
                <w:highlight w:val="none"/>
                <w:lang w:val="en-US" w:eastAsia="zh-CN"/>
                <w14:textFill>
                  <w14:solidFill>
                    <w14:schemeClr w14:val="tx1"/>
                  </w14:solidFill>
                </w14:textFill>
              </w:rPr>
              <w:t>等</w:t>
            </w:r>
            <w:r>
              <w:rPr>
                <w:rFonts w:hint="eastAsia" w:ascii="宋体" w:hAnsi="宋体" w:cs="宋体"/>
                <w:b/>
                <w:color w:val="000000" w:themeColor="text1"/>
                <w:kern w:val="0"/>
                <w:szCs w:val="21"/>
                <w:highlight w:val="none"/>
                <w14:textFill>
                  <w14:solidFill>
                    <w14:schemeClr w14:val="tx1"/>
                  </w14:solidFill>
                </w14:textFill>
              </w:rPr>
              <w:t>复印件或扫描件，否则不得分。</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20" w:type="dxa"/>
            <w:vMerge w:val="continue"/>
            <w:tcBorders>
              <w:left w:val="single" w:color="auto" w:sz="4" w:space="0"/>
              <w:right w:val="single" w:color="auto" w:sz="4" w:space="0"/>
            </w:tcBorders>
            <w:vAlign w:val="center"/>
          </w:tcPr>
          <w:p>
            <w:pPr>
              <w:spacing w:line="300" w:lineRule="exact"/>
              <w:jc w:val="center"/>
              <w:rPr>
                <w:rFonts w:ascii="宋体" w:hAnsi="宋体" w:cs="宋体"/>
                <w:color w:val="000000" w:themeColor="text1"/>
                <w:kern w:val="0"/>
                <w:szCs w:val="21"/>
                <w:highlight w:val="none"/>
                <w14:textFill>
                  <w14:solidFill>
                    <w14:schemeClr w14:val="tx1"/>
                  </w14:solidFill>
                </w14:textFill>
              </w:rPr>
            </w:pPr>
          </w:p>
        </w:tc>
        <w:tc>
          <w:tcPr>
            <w:tcW w:w="1400" w:type="dxa"/>
            <w:vMerge w:val="continue"/>
            <w:tcBorders>
              <w:left w:val="single" w:color="auto" w:sz="4" w:space="0"/>
              <w:right w:val="single" w:color="auto" w:sz="4" w:space="0"/>
            </w:tcBorders>
            <w:vAlign w:val="center"/>
          </w:tcPr>
          <w:p>
            <w:pPr>
              <w:spacing w:line="300" w:lineRule="exact"/>
              <w:jc w:val="center"/>
              <w:rPr>
                <w:rFonts w:ascii="宋体" w:hAnsi="宋体" w:cs="宋体"/>
                <w:color w:val="000000" w:themeColor="text1"/>
                <w:szCs w:val="21"/>
                <w:highlight w:val="none"/>
                <w14:textFill>
                  <w14:solidFill>
                    <w14:schemeClr w14:val="tx1"/>
                  </w14:solidFill>
                </w14:textFill>
              </w:rPr>
            </w:pPr>
          </w:p>
        </w:tc>
        <w:tc>
          <w:tcPr>
            <w:tcW w:w="733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（2）根据投标产品</w:t>
            </w:r>
            <w:r>
              <w:rPr>
                <w:rFonts w:ascii="宋体" w:hAnsi="宋体" w:cs="宋体"/>
                <w:bCs/>
                <w:color w:val="000000" w:themeColor="text1"/>
                <w:szCs w:val="21"/>
                <w:highlight w:val="none"/>
                <w14:textFill>
                  <w14:solidFill>
                    <w14:schemeClr w14:val="tx1"/>
                  </w14:solidFill>
                </w14:textFill>
              </w:rPr>
              <w:t>生产企业</w:t>
            </w:r>
            <w:r>
              <w:rPr>
                <w:rFonts w:hint="eastAsia" w:ascii="宋体" w:hAnsi="宋体" w:cs="宋体"/>
                <w:bCs/>
                <w:color w:val="000000" w:themeColor="text1"/>
                <w:szCs w:val="21"/>
                <w:highlight w:val="none"/>
                <w14:textFill>
                  <w14:solidFill>
                    <w14:schemeClr w14:val="tx1"/>
                  </w14:solidFill>
                </w14:textFill>
              </w:rPr>
              <w:t>提供</w:t>
            </w:r>
            <w:r>
              <w:rPr>
                <w:rFonts w:hint="eastAsia" w:ascii="宋体" w:hAnsi="宋体" w:cs="宋体"/>
                <w:bCs/>
                <w:color w:val="000000" w:themeColor="text1"/>
                <w:kern w:val="0"/>
                <w:szCs w:val="21"/>
                <w:highlight w:val="none"/>
                <w14:textFill>
                  <w14:solidFill>
                    <w14:schemeClr w14:val="tx1"/>
                  </w14:solidFill>
                </w14:textFill>
              </w:rPr>
              <w:t>PE管材管件、</w:t>
            </w:r>
            <w:r>
              <w:rPr>
                <w:rFonts w:hint="eastAsia" w:ascii="宋体" w:hAnsi="宋体" w:eastAsia="宋体" w:cs="宋体"/>
                <w:color w:val="000000" w:themeColor="text1"/>
                <w:kern w:val="0"/>
                <w:szCs w:val="21"/>
                <w:highlight w:val="none"/>
                <w14:textFill>
                  <w14:solidFill>
                    <w14:schemeClr w14:val="tx1"/>
                  </w14:solidFill>
                </w14:textFill>
              </w:rPr>
              <w:t>PPR管材</w:t>
            </w:r>
            <w:r>
              <w:rPr>
                <w:rFonts w:hint="eastAsia" w:ascii="宋体" w:hAnsi="宋体" w:cs="宋体"/>
                <w:bCs/>
                <w:color w:val="000000" w:themeColor="text1"/>
                <w:kern w:val="0"/>
                <w:szCs w:val="21"/>
                <w:highlight w:val="none"/>
                <w14:textFill>
                  <w14:solidFill>
                    <w14:schemeClr w14:val="tx1"/>
                  </w14:solidFill>
                </w14:textFill>
              </w:rPr>
              <w:t>管件</w:t>
            </w:r>
            <w:r>
              <w:rPr>
                <w:rFonts w:hint="eastAsia" w:ascii="宋体" w:hAnsi="宋体" w:cs="宋体"/>
                <w:bCs/>
                <w:color w:val="000000" w:themeColor="text1"/>
                <w:kern w:val="0"/>
                <w:szCs w:val="21"/>
                <w:highlight w:val="none"/>
                <w:lang w:val="en-US" w:eastAsia="zh-CN"/>
                <w14:textFill>
                  <w14:solidFill>
                    <w14:schemeClr w14:val="tx1"/>
                  </w14:solidFill>
                </w14:textFill>
              </w:rPr>
              <w:t>发明</w:t>
            </w:r>
            <w:r>
              <w:rPr>
                <w:rFonts w:hint="eastAsia" w:ascii="宋体" w:hAnsi="宋体" w:cs="宋体"/>
                <w:bCs/>
                <w:color w:val="000000" w:themeColor="text1"/>
                <w:kern w:val="0"/>
                <w:szCs w:val="21"/>
                <w:highlight w:val="none"/>
                <w14:textFill>
                  <w14:solidFill>
                    <w14:schemeClr w14:val="tx1"/>
                  </w14:solidFill>
                </w14:textFill>
              </w:rPr>
              <w:t>专利情况，由评审专家进行综合打分，本项最高得2分。</w:t>
            </w:r>
          </w:p>
          <w:p>
            <w:pPr>
              <w:spacing w:line="300" w:lineRule="exac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（3）PE管材管件</w:t>
            </w:r>
            <w:r>
              <w:rPr>
                <w:rFonts w:hint="eastAsia" w:ascii="宋体" w:hAnsi="宋体" w:cs="宋体"/>
                <w:bCs/>
                <w:color w:val="FF0000"/>
                <w:kern w:val="0"/>
                <w:szCs w:val="21"/>
                <w:highlight w:val="none"/>
              </w:rPr>
              <w:t>、</w:t>
            </w:r>
            <w:r>
              <w:rPr>
                <w:rFonts w:hint="eastAsia" w:ascii="宋体" w:hAnsi="宋体" w:eastAsia="宋体" w:cs="宋体"/>
                <w:color w:val="000000" w:themeColor="text1"/>
                <w:kern w:val="0"/>
                <w:szCs w:val="21"/>
                <w:highlight w:val="none"/>
                <w14:textFill>
                  <w14:solidFill>
                    <w14:schemeClr w14:val="tx1"/>
                  </w14:solidFill>
                </w14:textFill>
              </w:rPr>
              <w:t>PPR管材</w:t>
            </w:r>
            <w:r>
              <w:rPr>
                <w:rFonts w:hint="eastAsia" w:ascii="宋体" w:hAnsi="宋体" w:cs="宋体"/>
                <w:bCs/>
                <w:color w:val="000000" w:themeColor="text1"/>
                <w:kern w:val="0"/>
                <w:szCs w:val="21"/>
                <w:highlight w:val="none"/>
                <w14:textFill>
                  <w14:solidFill>
                    <w14:schemeClr w14:val="tx1"/>
                  </w14:solidFill>
                </w14:textFill>
              </w:rPr>
              <w:t>管件</w:t>
            </w:r>
            <w:r>
              <w:rPr>
                <w:rFonts w:hint="eastAsia" w:ascii="宋体" w:hAnsi="宋体" w:cs="宋体"/>
                <w:bCs/>
                <w:color w:val="000000" w:themeColor="text1"/>
                <w:kern w:val="0"/>
                <w:szCs w:val="21"/>
                <w:highlight w:val="none"/>
                <w:lang w:val="en-US" w:eastAsia="zh-CN"/>
                <w14:textFill>
                  <w14:solidFill>
                    <w14:schemeClr w14:val="tx1"/>
                  </w14:solidFill>
                </w14:textFill>
              </w:rPr>
              <w:t>发明</w:t>
            </w:r>
            <w:r>
              <w:rPr>
                <w:rFonts w:hint="eastAsia" w:ascii="宋体" w:hAnsi="宋体" w:cs="宋体"/>
                <w:bCs/>
                <w:color w:val="000000" w:themeColor="text1"/>
                <w:kern w:val="0"/>
                <w:szCs w:val="21"/>
                <w:highlight w:val="none"/>
                <w14:textFill>
                  <w14:solidFill>
                    <w14:schemeClr w14:val="tx1"/>
                  </w14:solidFill>
                </w14:textFill>
              </w:rPr>
              <w:t>专利获得省级奖项的每提供一份得1分；获得国家级奖项的每提供一份得2分；本项最高得6分。</w:t>
            </w:r>
          </w:p>
          <w:p>
            <w:pPr>
              <w:spacing w:line="3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注：上述均须提供相关证明材料复印件或扫描件及官方可查询的网址（官网截图），否则不得分。</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类似业绩</w:t>
            </w:r>
          </w:p>
        </w:tc>
        <w:tc>
          <w:tcPr>
            <w:tcW w:w="733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投标企业</w:t>
            </w:r>
            <w:r>
              <w:rPr>
                <w:rFonts w:hint="eastAsia" w:ascii="宋体" w:hAnsi="宋体" w:cs="宋体"/>
                <w:bCs/>
                <w:color w:val="000000" w:themeColor="text1"/>
                <w:szCs w:val="21"/>
                <w:highlight w:val="none"/>
                <w14:textFill>
                  <w14:solidFill>
                    <w14:schemeClr w14:val="tx1"/>
                  </w14:solidFill>
                </w14:textFill>
              </w:rPr>
              <w:t>202</w:t>
            </w:r>
            <w:r>
              <w:rPr>
                <w:rFonts w:hint="eastAsia" w:ascii="宋体" w:hAnsi="宋体" w:cs="宋体"/>
                <w:bCs/>
                <w:color w:val="000000" w:themeColor="text1"/>
                <w:szCs w:val="21"/>
                <w:highlight w:val="none"/>
                <w:lang w:val="en-US" w:eastAsia="zh-CN"/>
                <w14:textFill>
                  <w14:solidFill>
                    <w14:schemeClr w14:val="tx1"/>
                  </w14:solidFill>
                </w14:textFill>
              </w:rPr>
              <w:t>1</w:t>
            </w:r>
            <w:r>
              <w:rPr>
                <w:rFonts w:hint="eastAsia" w:ascii="宋体" w:hAnsi="宋体" w:cs="宋体"/>
                <w:bCs/>
                <w:color w:val="000000" w:themeColor="text1"/>
                <w:szCs w:val="21"/>
                <w:highlight w:val="none"/>
                <w14:textFill>
                  <w14:solidFill>
                    <w14:schemeClr w14:val="tx1"/>
                  </w14:solidFill>
                </w14:textFill>
              </w:rPr>
              <w:t>年1月1日以来（以签订合同日期为准）完成过类似项目（单项合同金额≥150万元），每提供一个得1分，本项最高得5分。</w:t>
            </w:r>
          </w:p>
          <w:p>
            <w:pPr>
              <w:spacing w:line="30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注：须</w:t>
            </w:r>
            <w:r>
              <w:rPr>
                <w:rFonts w:hint="eastAsia" w:ascii="宋体" w:hAnsi="宋体" w:cs="宋体"/>
                <w:b/>
                <w:color w:val="000000" w:themeColor="text1"/>
                <w:highlight w:val="none"/>
                <w14:textFill>
                  <w14:solidFill>
                    <w14:schemeClr w14:val="tx1"/>
                  </w14:solidFill>
                </w14:textFill>
              </w:rPr>
              <w:t>提供合同以及与合同对应的发票（指自合同签订起截至目前，已支付合同总金额的50%以上额度的发票，可多张发票）等</w:t>
            </w:r>
            <w:r>
              <w:rPr>
                <w:rFonts w:hint="eastAsia"/>
                <w:b/>
                <w:bCs/>
                <w:color w:val="000000" w:themeColor="text1"/>
                <w:szCs w:val="21"/>
                <w:highlight w:val="none"/>
                <w:lang w:val="zh-CN"/>
                <w14:textFill>
                  <w14:solidFill>
                    <w14:schemeClr w14:val="tx1"/>
                  </w14:solidFill>
                </w14:textFill>
              </w:rPr>
              <w:t>复印件</w:t>
            </w:r>
            <w:r>
              <w:rPr>
                <w:rFonts w:hint="eastAsia"/>
                <w:b/>
                <w:bCs/>
                <w:color w:val="000000" w:themeColor="text1"/>
                <w:szCs w:val="21"/>
                <w:highlight w:val="none"/>
                <w14:textFill>
                  <w14:solidFill>
                    <w14:schemeClr w14:val="tx1"/>
                  </w14:solidFill>
                </w14:textFill>
              </w:rPr>
              <w:t>或扫描件</w:t>
            </w:r>
            <w:r>
              <w:rPr>
                <w:rFonts w:hint="eastAsia" w:ascii="宋体" w:hAnsi="宋体" w:cs="宋体"/>
                <w:b/>
                <w:bCs/>
                <w:color w:val="000000" w:themeColor="text1"/>
                <w:szCs w:val="21"/>
                <w:highlight w:val="none"/>
                <w14:textFill>
                  <w14:solidFill>
                    <w14:schemeClr w14:val="tx1"/>
                  </w14:solidFill>
                </w14:textFill>
              </w:rPr>
              <w:t>（均须加盖单位公章），否则不得分。</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45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（二）技术部分</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lang w:val="en-US" w:eastAsia="zh-CN"/>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4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性能、生产工艺的先进性、可靠性评定</w:t>
            </w:r>
          </w:p>
        </w:tc>
        <w:tc>
          <w:tcPr>
            <w:tcW w:w="733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根据投标产品耐腐蚀、防水垢、耐高压、使用寿命等方面，由评审专家对其性能的先进性、可靠性及生产工艺水平情况综合打分，最高得</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分。</w:t>
            </w:r>
          </w:p>
          <w:p>
            <w:pPr>
              <w:spacing w:line="3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注：须提供相关证明材料复印件或扫描件及设备情况说明，否则不得分。</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原材料质量情况</w:t>
            </w:r>
          </w:p>
        </w:tc>
        <w:tc>
          <w:tcPr>
            <w:tcW w:w="733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根据投标产品原材料质量情况，由评审专家进行综合打分，最高得6分。</w:t>
            </w:r>
          </w:p>
          <w:p>
            <w:pPr>
              <w:spacing w:line="3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注：须提供相关证明材料复印件或扫描件（</w:t>
            </w:r>
            <w:r>
              <w:rPr>
                <w:rFonts w:ascii="宋体" w:hAnsi="宋体" w:cs="宋体"/>
                <w:b/>
                <w:bCs/>
                <w:color w:val="000000" w:themeColor="text1"/>
                <w:szCs w:val="21"/>
                <w:highlight w:val="none"/>
                <w14:textFill>
                  <w14:solidFill>
                    <w14:schemeClr w14:val="tx1"/>
                  </w14:solidFill>
                </w14:textFill>
              </w:rPr>
              <w:t>20</w:t>
            </w:r>
            <w:r>
              <w:rPr>
                <w:rFonts w:hint="eastAsia" w:ascii="宋体" w:hAnsi="宋体" w:cs="宋体"/>
                <w:b/>
                <w:bCs/>
                <w:color w:val="000000" w:themeColor="text1"/>
                <w:szCs w:val="21"/>
                <w:highlight w:val="none"/>
                <w:lang w:eastAsia="zh-CN"/>
                <w14:textFill>
                  <w14:solidFill>
                    <w14:schemeClr w14:val="tx1"/>
                  </w14:solidFill>
                </w14:textFill>
              </w:rPr>
              <w:t>2</w:t>
            </w:r>
            <w:r>
              <w:rPr>
                <w:rFonts w:hint="eastAsia" w:ascii="宋体" w:hAnsi="宋体" w:cs="宋体"/>
                <w:b/>
                <w:bCs/>
                <w:color w:val="000000" w:themeColor="text1"/>
                <w:szCs w:val="21"/>
                <w:highlight w:val="none"/>
                <w:lang w:val="en-US" w:eastAsia="zh-CN"/>
                <w14:textFill>
                  <w14:solidFill>
                    <w14:schemeClr w14:val="tx1"/>
                  </w14:solidFill>
                </w14:textFill>
              </w:rPr>
              <w:t>1</w:t>
            </w:r>
            <w:r>
              <w:rPr>
                <w:rFonts w:ascii="宋体" w:hAnsi="宋体" w:cs="宋体"/>
                <w:b/>
                <w:bCs/>
                <w:color w:val="000000" w:themeColor="text1"/>
                <w:szCs w:val="21"/>
                <w:highlight w:val="none"/>
                <w14:textFill>
                  <w14:solidFill>
                    <w14:schemeClr w14:val="tx1"/>
                  </w14:solidFill>
                </w14:textFill>
              </w:rPr>
              <w:t>年</w:t>
            </w:r>
            <w:r>
              <w:rPr>
                <w:rFonts w:hint="eastAsia" w:ascii="宋体" w:hAnsi="宋体" w:cs="宋体"/>
                <w:b/>
                <w:bCs/>
                <w:color w:val="000000" w:themeColor="text1"/>
                <w:szCs w:val="21"/>
                <w:highlight w:val="none"/>
                <w14:textFill>
                  <w14:solidFill>
                    <w14:schemeClr w14:val="tx1"/>
                  </w14:solidFill>
                </w14:textFill>
              </w:rPr>
              <w:t>1月1日以来原材料供货合同、采购发票等）加盖单位公章，否则不得分。</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20"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w:t>
            </w:r>
          </w:p>
        </w:tc>
        <w:tc>
          <w:tcPr>
            <w:tcW w:w="1400"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检测实力</w:t>
            </w:r>
          </w:p>
        </w:tc>
        <w:tc>
          <w:tcPr>
            <w:tcW w:w="733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（1）投标产品生产企业必须提供实验室的详细情况（实验室必须是生产企业自有），并提供实验室检测设备的照片。由评审专家根据检测设备的先进性、使用年限、数量、金额等内容综合打分，</w:t>
            </w:r>
            <w:r>
              <w:rPr>
                <w:rFonts w:hint="eastAsia" w:ascii="宋体" w:hAnsi="宋体" w:cs="宋体"/>
                <w:color w:val="000000" w:themeColor="text1"/>
                <w:szCs w:val="21"/>
                <w:highlight w:val="none"/>
                <w14:textFill>
                  <w14:solidFill>
                    <w14:schemeClr w14:val="tx1"/>
                  </w14:solidFill>
                </w14:textFill>
              </w:rPr>
              <w:t>本项最高得3分。</w:t>
            </w:r>
          </w:p>
          <w:p>
            <w:pPr>
              <w:spacing w:line="3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注：须提供相关证明材料复印件或扫描件[如检测设备的购买合同及发票（金额以发票为准）]加盖单位公章，否则不得分。</w:t>
            </w:r>
          </w:p>
        </w:tc>
        <w:tc>
          <w:tcPr>
            <w:tcW w:w="867" w:type="dxa"/>
            <w:tcBorders>
              <w:top w:val="single" w:color="auto" w:sz="4" w:space="0"/>
              <w:left w:val="single" w:color="auto" w:sz="4" w:space="0"/>
              <w:right w:val="single" w:color="auto" w:sz="4" w:space="0"/>
            </w:tcBorders>
            <w:vAlign w:val="center"/>
          </w:tcPr>
          <w:p>
            <w:pPr>
              <w:widowControl/>
              <w:spacing w:line="300" w:lineRule="exact"/>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720"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kern w:val="0"/>
                <w:szCs w:val="21"/>
                <w:highlight w:val="none"/>
                <w14:textFill>
                  <w14:solidFill>
                    <w14:schemeClr w14:val="tx1"/>
                  </w14:solidFill>
                </w14:textFill>
              </w:rPr>
            </w:pPr>
          </w:p>
        </w:tc>
        <w:tc>
          <w:tcPr>
            <w:tcW w:w="1400"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highlight w:val="none"/>
                <w14:textFill>
                  <w14:solidFill>
                    <w14:schemeClr w14:val="tx1"/>
                  </w14:solidFill>
                </w14:textFill>
              </w:rPr>
            </w:pPr>
          </w:p>
        </w:tc>
        <w:tc>
          <w:tcPr>
            <w:tcW w:w="733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（2）投标产品生产企业</w:t>
            </w:r>
            <w:r>
              <w:rPr>
                <w:rFonts w:hint="eastAsia" w:ascii="宋体" w:hAnsi="宋体" w:cs="宋体"/>
                <w:color w:val="000000" w:themeColor="text1"/>
                <w:szCs w:val="21"/>
                <w:highlight w:val="none"/>
                <w14:textFill>
                  <w14:solidFill>
                    <w14:schemeClr w14:val="tx1"/>
                  </w14:solidFill>
                </w14:textFill>
              </w:rPr>
              <w:t>获得中国合格评定国家认可委员会实验室认可证书</w:t>
            </w:r>
            <w:r>
              <w:rPr>
                <w:rFonts w:hint="eastAsia" w:ascii="宋体" w:hAnsi="宋体" w:cs="宋体"/>
                <w:bCs/>
                <w:color w:val="000000" w:themeColor="text1"/>
                <w:kern w:val="0"/>
                <w:szCs w:val="21"/>
                <w:highlight w:val="none"/>
                <w14:textFill>
                  <w14:solidFill>
                    <w14:schemeClr w14:val="tx1"/>
                  </w14:solidFill>
                </w14:textFill>
              </w:rPr>
              <w:t>，得1分，没有不得分。</w:t>
            </w:r>
          </w:p>
          <w:p>
            <w:pPr>
              <w:spacing w:line="3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注：须提供相关证明材料</w:t>
            </w:r>
            <w:r>
              <w:rPr>
                <w:rFonts w:hint="eastAsia" w:ascii="宋体" w:hAnsi="宋体" w:cs="宋体"/>
                <w:b/>
                <w:bCs/>
                <w:color w:val="000000" w:themeColor="text1"/>
                <w:szCs w:val="21"/>
                <w:highlight w:val="none"/>
                <w14:textFill>
                  <w14:solidFill>
                    <w14:schemeClr w14:val="tx1"/>
                  </w14:solidFill>
                </w14:textFill>
              </w:rPr>
              <w:t>复印件或扫描件加盖单位公章</w:t>
            </w:r>
            <w:r>
              <w:rPr>
                <w:rFonts w:hint="eastAsia" w:ascii="宋体" w:hAnsi="宋体" w:cs="宋体"/>
                <w:b/>
                <w:color w:val="000000" w:themeColor="text1"/>
                <w:szCs w:val="21"/>
                <w:highlight w:val="none"/>
                <w14:textFill>
                  <w14:solidFill>
                    <w14:schemeClr w14:val="tx1"/>
                  </w14:solidFill>
                </w14:textFill>
              </w:rPr>
              <w:t>及官方可查询的网址（官网截图），否则不得分。</w:t>
            </w:r>
          </w:p>
        </w:tc>
        <w:tc>
          <w:tcPr>
            <w:tcW w:w="867" w:type="dxa"/>
            <w:tcBorders>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20" w:type="dxa"/>
            <w:tcBorders>
              <w:left w:val="single" w:color="auto" w:sz="4" w:space="0"/>
              <w:right w:val="single" w:color="auto" w:sz="4" w:space="0"/>
            </w:tcBorders>
            <w:vAlign w:val="center"/>
          </w:tcPr>
          <w:p>
            <w:pPr>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p>
        </w:tc>
        <w:tc>
          <w:tcPr>
            <w:tcW w:w="1400" w:type="dxa"/>
            <w:tcBorders>
              <w:left w:val="single" w:color="auto" w:sz="4" w:space="0"/>
              <w:right w:val="single" w:color="auto" w:sz="4" w:space="0"/>
            </w:tcBorders>
            <w:vAlign w:val="center"/>
          </w:tcPr>
          <w:p>
            <w:pPr>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生产流程控制</w:t>
            </w:r>
          </w:p>
        </w:tc>
        <w:tc>
          <w:tcPr>
            <w:tcW w:w="733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投标产品生产企业对投标产品生产流程的控制情况，如采用全流程视频监控等措施，</w:t>
            </w:r>
            <w:r>
              <w:rPr>
                <w:rFonts w:hint="eastAsia" w:ascii="宋体" w:hAnsi="宋体" w:cs="宋体"/>
                <w:color w:val="000000" w:themeColor="text1"/>
                <w:szCs w:val="21"/>
                <w:highlight w:val="none"/>
                <w14:textFill>
                  <w14:solidFill>
                    <w14:schemeClr w14:val="tx1"/>
                  </w14:solidFill>
                </w14:textFill>
              </w:rPr>
              <w:t>由评审专家综合打分，最高得2分。</w:t>
            </w:r>
          </w:p>
          <w:p>
            <w:pPr>
              <w:spacing w:line="30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注：须提供相关的证明材料复印件或扫描件，否则不得分。</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20" w:type="dxa"/>
            <w:tcBorders>
              <w:left w:val="single" w:color="auto" w:sz="4" w:space="0"/>
              <w:right w:val="single" w:color="auto" w:sz="4" w:space="0"/>
            </w:tcBorders>
            <w:vAlign w:val="center"/>
          </w:tcPr>
          <w:p>
            <w:pPr>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w:t>
            </w:r>
          </w:p>
        </w:tc>
        <w:tc>
          <w:tcPr>
            <w:tcW w:w="1400" w:type="dxa"/>
            <w:tcBorders>
              <w:left w:val="single" w:color="auto" w:sz="4" w:space="0"/>
              <w:right w:val="single" w:color="auto" w:sz="4" w:space="0"/>
            </w:tcBorders>
            <w:vAlign w:val="center"/>
          </w:tcPr>
          <w:p>
            <w:pPr>
              <w:spacing w:line="3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根据投标人提供的</w:t>
            </w:r>
            <w:r>
              <w:rPr>
                <w:rFonts w:hint="eastAsia" w:ascii="宋体" w:hAnsi="宋体" w:cs="宋体"/>
                <w:b/>
                <w:color w:val="000000" w:themeColor="text1"/>
                <w:szCs w:val="21"/>
                <w:highlight w:val="none"/>
                <w14:textFill>
                  <w14:solidFill>
                    <w14:schemeClr w14:val="tx1"/>
                  </w14:solidFill>
                </w14:textFill>
              </w:rPr>
              <w:t>实物样品</w:t>
            </w:r>
            <w:r>
              <w:rPr>
                <w:rFonts w:hint="eastAsia" w:ascii="宋体" w:hAnsi="宋体" w:cs="宋体"/>
                <w:color w:val="000000" w:themeColor="text1"/>
                <w:szCs w:val="21"/>
                <w:highlight w:val="none"/>
                <w14:textFill>
                  <w14:solidFill>
                    <w14:schemeClr w14:val="tx1"/>
                  </w14:solidFill>
                </w14:textFill>
              </w:rPr>
              <w:t>的参数的满足性、加工工艺、外观等情况。</w:t>
            </w:r>
          </w:p>
        </w:tc>
        <w:tc>
          <w:tcPr>
            <w:tcW w:w="733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根据各投标人提交的管材投标样品的材质、整体质量、制造工艺、样品原厂标识等情况，由评审专家综合打分，最高得6分。</w:t>
            </w:r>
          </w:p>
        </w:tc>
        <w:tc>
          <w:tcPr>
            <w:tcW w:w="8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20"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1400"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售后服务</w:t>
            </w:r>
          </w:p>
        </w:tc>
        <w:tc>
          <w:tcPr>
            <w:tcW w:w="7333" w:type="dxa"/>
            <w:tcBorders>
              <w:top w:val="single" w:color="auto" w:sz="4" w:space="0"/>
              <w:left w:val="single" w:color="auto" w:sz="4" w:space="0"/>
              <w:right w:val="single" w:color="auto" w:sz="4" w:space="0"/>
            </w:tcBorders>
            <w:vAlign w:val="center"/>
          </w:tcPr>
          <w:p>
            <w:pPr>
              <w:widowControl/>
              <w:spacing w:line="300" w:lineRule="exact"/>
              <w:ind w:left="1"/>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承诺的质保期在满足采购文件规定的基础上，质保期每增加1年（不足1年不计分），得1分，本项最高得2分。</w:t>
            </w:r>
          </w:p>
        </w:tc>
        <w:tc>
          <w:tcPr>
            <w:tcW w:w="8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20" w:type="dxa"/>
            <w:vMerge w:val="continue"/>
            <w:tcBorders>
              <w:top w:val="single" w:color="auto" w:sz="4" w:space="0"/>
              <w:left w:val="single" w:color="auto" w:sz="4" w:space="0"/>
              <w:right w:val="single" w:color="auto" w:sz="4" w:space="0"/>
            </w:tcBorders>
            <w:vAlign w:val="center"/>
          </w:tcPr>
          <w:p>
            <w:pPr>
              <w:spacing w:line="300" w:lineRule="exact"/>
              <w:jc w:val="center"/>
              <w:rPr>
                <w:rFonts w:ascii="宋体" w:hAnsi="宋体" w:cs="宋体"/>
                <w:color w:val="000000" w:themeColor="text1"/>
                <w:kern w:val="0"/>
                <w:szCs w:val="21"/>
                <w:highlight w:val="none"/>
                <w14:textFill>
                  <w14:solidFill>
                    <w14:schemeClr w14:val="tx1"/>
                  </w14:solidFill>
                </w14:textFill>
              </w:rPr>
            </w:pPr>
          </w:p>
        </w:tc>
        <w:tc>
          <w:tcPr>
            <w:tcW w:w="1400" w:type="dxa"/>
            <w:vMerge w:val="continue"/>
            <w:tcBorders>
              <w:top w:val="single" w:color="auto" w:sz="4" w:space="0"/>
              <w:left w:val="single" w:color="auto" w:sz="4" w:space="0"/>
              <w:right w:val="single" w:color="auto" w:sz="4" w:space="0"/>
            </w:tcBorders>
            <w:vAlign w:val="center"/>
          </w:tcPr>
          <w:p>
            <w:pPr>
              <w:spacing w:line="300" w:lineRule="exact"/>
              <w:jc w:val="center"/>
              <w:rPr>
                <w:rFonts w:ascii="宋体" w:hAnsi="宋体" w:cs="宋体"/>
                <w:color w:val="000000" w:themeColor="text1"/>
                <w:szCs w:val="21"/>
                <w:highlight w:val="none"/>
                <w14:textFill>
                  <w14:solidFill>
                    <w14:schemeClr w14:val="tx1"/>
                  </w14:solidFill>
                </w14:textFill>
              </w:rPr>
            </w:pPr>
          </w:p>
        </w:tc>
        <w:tc>
          <w:tcPr>
            <w:tcW w:w="7333" w:type="dxa"/>
            <w:tcBorders>
              <w:top w:val="single" w:color="auto" w:sz="4" w:space="0"/>
              <w:left w:val="single" w:color="auto" w:sz="4" w:space="0"/>
              <w:right w:val="single" w:color="auto" w:sz="4" w:space="0"/>
            </w:tcBorders>
            <w:vAlign w:val="center"/>
          </w:tcPr>
          <w:p>
            <w:pPr>
              <w:widowControl/>
              <w:spacing w:line="300" w:lineRule="exact"/>
              <w:ind w:left="1"/>
              <w:textAlignment w:val="bottom"/>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承诺的供货期在满足采购文件规定的基础上，供货期每提前2天（不足2天不计分），得0.5分，本项最高得1分。</w:t>
            </w:r>
          </w:p>
        </w:tc>
        <w:tc>
          <w:tcPr>
            <w:tcW w:w="8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20" w:type="dxa"/>
            <w:vMerge w:val="continue"/>
            <w:tcBorders>
              <w:left w:val="single" w:color="auto" w:sz="4" w:space="0"/>
              <w:right w:val="single" w:color="auto" w:sz="4" w:space="0"/>
            </w:tcBorders>
            <w:vAlign w:val="center"/>
          </w:tcPr>
          <w:p>
            <w:pPr>
              <w:spacing w:line="300" w:lineRule="exact"/>
              <w:jc w:val="center"/>
              <w:rPr>
                <w:rFonts w:ascii="宋体" w:hAnsi="宋体" w:cs="宋体"/>
                <w:color w:val="000000" w:themeColor="text1"/>
                <w:kern w:val="0"/>
                <w:szCs w:val="21"/>
                <w:highlight w:val="none"/>
                <w14:textFill>
                  <w14:solidFill>
                    <w14:schemeClr w14:val="tx1"/>
                  </w14:solidFill>
                </w14:textFill>
              </w:rPr>
            </w:pPr>
          </w:p>
        </w:tc>
        <w:tc>
          <w:tcPr>
            <w:tcW w:w="1400" w:type="dxa"/>
            <w:vMerge w:val="continue"/>
            <w:tcBorders>
              <w:left w:val="single" w:color="auto" w:sz="4" w:space="0"/>
              <w:right w:val="single" w:color="auto" w:sz="4" w:space="0"/>
            </w:tcBorders>
            <w:vAlign w:val="center"/>
          </w:tcPr>
          <w:p>
            <w:pPr>
              <w:spacing w:line="300" w:lineRule="exact"/>
              <w:jc w:val="center"/>
              <w:rPr>
                <w:rFonts w:ascii="宋体" w:hAnsi="宋体" w:cs="宋体"/>
                <w:color w:val="000000" w:themeColor="text1"/>
                <w:szCs w:val="21"/>
                <w:highlight w:val="none"/>
                <w14:textFill>
                  <w14:solidFill>
                    <w14:schemeClr w14:val="tx1"/>
                  </w14:solidFill>
                </w14:textFill>
              </w:rPr>
            </w:pPr>
          </w:p>
        </w:tc>
        <w:tc>
          <w:tcPr>
            <w:tcW w:w="7333" w:type="dxa"/>
            <w:tcBorders>
              <w:top w:val="single" w:color="auto" w:sz="4" w:space="0"/>
              <w:left w:val="single" w:color="auto" w:sz="4" w:space="0"/>
              <w:right w:val="single" w:color="auto" w:sz="4" w:space="0"/>
            </w:tcBorders>
            <w:vAlign w:val="center"/>
          </w:tcPr>
          <w:p>
            <w:pPr>
              <w:widowControl/>
              <w:spacing w:line="300" w:lineRule="exact"/>
              <w:ind w:left="1"/>
              <w:textAlignment w:val="bottom"/>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根据投标人提供的承诺服务团队及服务方案、质量问题响应时间、质量事故造成损失的补救赔偿方案、质量产品的处置方案、保质期内更换人工费落实方案等情况，由评审专家综合打分，最高得2分。</w:t>
            </w:r>
          </w:p>
        </w:tc>
        <w:tc>
          <w:tcPr>
            <w:tcW w:w="8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20" w:type="dxa"/>
            <w:vAlign w:val="center"/>
          </w:tcPr>
          <w:p>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w:t>
            </w:r>
          </w:p>
        </w:tc>
        <w:tc>
          <w:tcPr>
            <w:tcW w:w="9600" w:type="dxa"/>
            <w:gridSpan w:val="3"/>
            <w:vAlign w:val="center"/>
          </w:tcPr>
          <w:p>
            <w:pPr>
              <w:widowControl/>
              <w:spacing w:line="300" w:lineRule="exac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1、以上需提供的证书、证件及相关证明材料复印件或扫描件均需加盖投标人单位公章；</w:t>
            </w:r>
          </w:p>
          <w:p>
            <w:pPr>
              <w:widowControl/>
              <w:spacing w:line="3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2、评委打分小数点后最多保留一位。</w:t>
            </w:r>
          </w:p>
        </w:tc>
      </w:tr>
    </w:tbl>
    <w:p>
      <w:pPr>
        <w:rPr>
          <w:rFonts w:hint="eastAsia" w:ascii="宋体" w:hAnsi="宋体" w:cs="宋体"/>
          <w:sz w:val="32"/>
          <w:szCs w:val="32"/>
          <w:highlight w:val="none"/>
        </w:rPr>
      </w:pPr>
      <w:r>
        <w:rPr>
          <w:rFonts w:hint="eastAsia" w:ascii="宋体" w:hAnsi="宋体" w:cs="宋体"/>
          <w:sz w:val="32"/>
          <w:szCs w:val="32"/>
          <w:highlight w:val="none"/>
        </w:rPr>
        <w:br w:type="page"/>
      </w:r>
    </w:p>
    <w:p>
      <w:pPr>
        <w:pStyle w:val="4"/>
        <w:spacing w:before="0" w:after="0" w:line="360" w:lineRule="auto"/>
        <w:jc w:val="center"/>
        <w:rPr>
          <w:rFonts w:hint="eastAsia" w:ascii="宋体" w:hAnsi="宋体" w:cs="宋体"/>
          <w:sz w:val="32"/>
          <w:szCs w:val="32"/>
          <w:highlight w:val="none"/>
        </w:rPr>
      </w:pPr>
      <w:r>
        <w:rPr>
          <w:rFonts w:hint="eastAsia" w:ascii="宋体" w:hAnsi="宋体" w:cs="宋体"/>
          <w:sz w:val="32"/>
          <w:szCs w:val="32"/>
          <w:highlight w:val="none"/>
        </w:rPr>
        <w:t>第五章  合同条款及格式</w:t>
      </w:r>
      <w:bookmarkEnd w:id="196"/>
    </w:p>
    <w:p>
      <w:pPr>
        <w:spacing w:line="360" w:lineRule="auto"/>
        <w:rPr>
          <w:rFonts w:ascii="宋体" w:cs="宋体"/>
          <w:sz w:val="24"/>
          <w:highlight w:val="none"/>
        </w:rPr>
      </w:pPr>
    </w:p>
    <w:p>
      <w:pPr>
        <w:spacing w:line="360" w:lineRule="auto"/>
        <w:rPr>
          <w:rFonts w:ascii="宋体" w:cs="宋体"/>
          <w:sz w:val="24"/>
          <w:highlight w:val="none"/>
        </w:rPr>
      </w:pPr>
      <w:r>
        <w:rPr>
          <w:rFonts w:hint="eastAsia" w:ascii="宋体" w:hAnsi="宋体" w:cs="宋体"/>
          <w:sz w:val="24"/>
          <w:highlight w:val="none"/>
        </w:rPr>
        <w:t>合同编号：</w:t>
      </w:r>
    </w:p>
    <w:p>
      <w:pPr>
        <w:spacing w:line="360" w:lineRule="auto"/>
        <w:rPr>
          <w:rFonts w:ascii="宋体" w:cs="宋体"/>
          <w:sz w:val="24"/>
          <w:highlight w:val="none"/>
        </w:rPr>
      </w:pPr>
    </w:p>
    <w:p>
      <w:pPr>
        <w:spacing w:line="360" w:lineRule="auto"/>
        <w:rPr>
          <w:rFonts w:ascii="宋体" w:cs="宋体"/>
          <w:sz w:val="24"/>
          <w:highlight w:val="none"/>
        </w:rPr>
      </w:pPr>
    </w:p>
    <w:p>
      <w:pPr>
        <w:spacing w:line="360" w:lineRule="auto"/>
        <w:jc w:val="center"/>
        <w:rPr>
          <w:rFonts w:ascii="宋体" w:cs="宋体"/>
          <w:b/>
          <w:sz w:val="84"/>
          <w:szCs w:val="84"/>
          <w:highlight w:val="none"/>
        </w:rPr>
      </w:pPr>
      <w:r>
        <w:rPr>
          <w:rFonts w:hint="eastAsia" w:ascii="宋体" w:hAnsi="宋体" w:cs="宋体"/>
          <w:b/>
          <w:sz w:val="84"/>
          <w:szCs w:val="84"/>
          <w:highlight w:val="none"/>
        </w:rPr>
        <w:t>合</w:t>
      </w:r>
      <w:r>
        <w:rPr>
          <w:rFonts w:ascii="宋体" w:hAnsi="宋体" w:cs="宋体"/>
          <w:b/>
          <w:sz w:val="84"/>
          <w:szCs w:val="84"/>
          <w:highlight w:val="none"/>
        </w:rPr>
        <w:t xml:space="preserve">  </w:t>
      </w:r>
      <w:r>
        <w:rPr>
          <w:rFonts w:hint="eastAsia" w:ascii="宋体" w:hAnsi="宋体" w:cs="宋体"/>
          <w:b/>
          <w:sz w:val="84"/>
          <w:szCs w:val="84"/>
          <w:highlight w:val="none"/>
        </w:rPr>
        <w:t>同</w:t>
      </w:r>
      <w:r>
        <w:rPr>
          <w:rFonts w:ascii="宋体" w:hAnsi="宋体" w:cs="宋体"/>
          <w:b/>
          <w:sz w:val="84"/>
          <w:szCs w:val="84"/>
          <w:highlight w:val="none"/>
        </w:rPr>
        <w:t xml:space="preserve">  </w:t>
      </w:r>
      <w:r>
        <w:rPr>
          <w:rFonts w:hint="eastAsia" w:ascii="宋体" w:hAnsi="宋体" w:cs="宋体"/>
          <w:b/>
          <w:sz w:val="84"/>
          <w:szCs w:val="84"/>
          <w:highlight w:val="none"/>
        </w:rPr>
        <w:t>书</w:t>
      </w:r>
    </w:p>
    <w:p>
      <w:pPr>
        <w:spacing w:line="360" w:lineRule="auto"/>
        <w:rPr>
          <w:rFonts w:ascii="宋体" w:cs="宋体"/>
          <w:sz w:val="24"/>
          <w:highlight w:val="none"/>
        </w:rPr>
      </w:pPr>
    </w:p>
    <w:p>
      <w:pPr>
        <w:spacing w:line="360" w:lineRule="auto"/>
        <w:rPr>
          <w:rFonts w:ascii="宋体" w:cs="宋体"/>
          <w:sz w:val="24"/>
          <w:highlight w:val="none"/>
        </w:rPr>
      </w:pPr>
    </w:p>
    <w:p>
      <w:pPr>
        <w:spacing w:line="360" w:lineRule="auto"/>
        <w:rPr>
          <w:rFonts w:ascii="宋体" w:cs="宋体"/>
          <w:sz w:val="24"/>
          <w:highlight w:val="none"/>
        </w:rPr>
      </w:pPr>
    </w:p>
    <w:p>
      <w:pPr>
        <w:spacing w:line="360" w:lineRule="auto"/>
        <w:rPr>
          <w:rFonts w:ascii="宋体" w:cs="宋体"/>
          <w:sz w:val="24"/>
          <w:highlight w:val="none"/>
        </w:rPr>
      </w:pPr>
    </w:p>
    <w:p>
      <w:pPr>
        <w:spacing w:line="360" w:lineRule="auto"/>
        <w:rPr>
          <w:rFonts w:ascii="宋体" w:cs="宋体"/>
          <w:sz w:val="24"/>
          <w:highlight w:val="none"/>
        </w:rPr>
      </w:pPr>
    </w:p>
    <w:p>
      <w:pPr>
        <w:spacing w:line="480" w:lineRule="auto"/>
        <w:rPr>
          <w:rFonts w:hint="eastAsia"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lang w:eastAsia="zh-CN"/>
        </w:rPr>
        <w:t>仙居县力天市政工程有限公司PE管材及配件、PPR管材及配件采购项目</w:t>
      </w:r>
      <w:r>
        <w:rPr>
          <w:rFonts w:hint="eastAsia" w:ascii="宋体" w:hAnsi="宋体" w:cs="宋体"/>
          <w:sz w:val="24"/>
          <w:highlight w:val="none"/>
          <w:u w:val="single"/>
        </w:rPr>
        <w:t xml:space="preserve">                 </w:t>
      </w:r>
    </w:p>
    <w:p>
      <w:pPr>
        <w:spacing w:line="480" w:lineRule="auto"/>
        <w:rPr>
          <w:rFonts w:ascii="宋体" w:cs="宋体"/>
          <w:sz w:val="24"/>
          <w:highlight w:val="none"/>
        </w:rPr>
      </w:pPr>
      <w:r>
        <w:rPr>
          <w:rFonts w:hint="eastAsia" w:ascii="宋体" w:hAnsi="宋体" w:cs="宋体"/>
          <w:sz w:val="24"/>
          <w:highlight w:val="none"/>
        </w:rPr>
        <w:t>甲</w:t>
      </w:r>
      <w:r>
        <w:rPr>
          <w:rFonts w:ascii="宋体" w:hAnsi="宋体" w:cs="宋体"/>
          <w:sz w:val="24"/>
          <w:highlight w:val="none"/>
        </w:rPr>
        <w:t xml:space="preserve">    </w:t>
      </w:r>
      <w:r>
        <w:rPr>
          <w:rFonts w:hint="eastAsia" w:ascii="宋体" w:hAnsi="宋体" w:cs="宋体"/>
          <w:sz w:val="24"/>
          <w:highlight w:val="none"/>
        </w:rPr>
        <w:t>方：</w:t>
      </w:r>
      <w:r>
        <w:rPr>
          <w:rFonts w:ascii="宋体" w:hAnsi="宋体" w:cs="宋体"/>
          <w:sz w:val="24"/>
          <w:highlight w:val="none"/>
          <w:u w:val="single"/>
        </w:rPr>
        <w:t xml:space="preserve">  </w:t>
      </w:r>
      <w:r>
        <w:rPr>
          <w:rFonts w:hint="eastAsia" w:ascii="宋体" w:hAnsi="宋体" w:cs="宋体"/>
          <w:sz w:val="24"/>
          <w:highlight w:val="none"/>
          <w:u w:val="single"/>
          <w:lang w:eastAsia="zh-CN"/>
        </w:rPr>
        <w:t>仙居县力天市政工程有限公司</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480" w:lineRule="auto"/>
        <w:rPr>
          <w:rFonts w:ascii="宋体" w:cs="宋体"/>
          <w:sz w:val="24"/>
          <w:highlight w:val="none"/>
        </w:rPr>
      </w:pPr>
      <w:r>
        <w:rPr>
          <w:rFonts w:hint="eastAsia" w:ascii="宋体" w:hAnsi="宋体" w:cs="宋体"/>
          <w:sz w:val="24"/>
          <w:highlight w:val="none"/>
        </w:rPr>
        <w:t>乙</w:t>
      </w:r>
      <w:r>
        <w:rPr>
          <w:rFonts w:ascii="宋体" w:hAnsi="宋体" w:cs="宋体"/>
          <w:sz w:val="24"/>
          <w:highlight w:val="none"/>
        </w:rPr>
        <w:t xml:space="preserve">    </w:t>
      </w:r>
      <w:r>
        <w:rPr>
          <w:rFonts w:hint="eastAsia" w:ascii="宋体" w:hAnsi="宋体" w:cs="宋体"/>
          <w:sz w:val="24"/>
          <w:highlight w:val="none"/>
        </w:rPr>
        <w:t>方：</w:t>
      </w:r>
      <w:r>
        <w:rPr>
          <w:rFonts w:ascii="宋体" w:hAnsi="宋体" w:cs="宋体"/>
          <w:sz w:val="24"/>
          <w:highlight w:val="none"/>
          <w:u w:val="single"/>
        </w:rPr>
        <w:t xml:space="preserve">                                                               </w:t>
      </w:r>
      <w:r>
        <w:rPr>
          <w:rFonts w:ascii="宋体" w:hAnsi="宋体" w:cs="宋体"/>
          <w:sz w:val="24"/>
          <w:highlight w:val="none"/>
        </w:rPr>
        <w:t xml:space="preserve"> </w:t>
      </w:r>
    </w:p>
    <w:p>
      <w:pPr>
        <w:rPr>
          <w:highlight w:val="none"/>
        </w:rPr>
      </w:pPr>
    </w:p>
    <w:p>
      <w:pPr>
        <w:spacing w:line="360" w:lineRule="auto"/>
        <w:rPr>
          <w:rFonts w:ascii="宋体" w:cs="宋体"/>
          <w:sz w:val="24"/>
          <w:highlight w:val="none"/>
        </w:rPr>
      </w:pPr>
    </w:p>
    <w:p>
      <w:pPr>
        <w:spacing w:line="360" w:lineRule="auto"/>
        <w:ind w:firstLine="2160" w:firstLineChars="900"/>
        <w:rPr>
          <w:rFonts w:ascii="宋体" w:cs="宋体"/>
          <w:sz w:val="24"/>
          <w:highlight w:val="none"/>
        </w:rPr>
      </w:pPr>
      <w:r>
        <w:rPr>
          <w:rFonts w:hint="eastAsia" w:ascii="宋体" w:hAnsi="宋体" w:cs="宋体"/>
          <w:sz w:val="24"/>
          <w:highlight w:val="none"/>
        </w:rPr>
        <w:t>签订地点：浙江省仙居县</w:t>
      </w:r>
    </w:p>
    <w:p>
      <w:pPr>
        <w:spacing w:line="360" w:lineRule="auto"/>
        <w:ind w:firstLine="2160" w:firstLineChars="900"/>
        <w:rPr>
          <w:rFonts w:ascii="宋体" w:cs="宋体"/>
          <w:sz w:val="24"/>
          <w:highlight w:val="none"/>
        </w:rPr>
      </w:pPr>
      <w:r>
        <w:rPr>
          <w:rFonts w:hint="eastAsia" w:ascii="宋体" w:hAnsi="宋体" w:cs="宋体"/>
          <w:sz w:val="24"/>
          <w:highlight w:val="none"/>
        </w:rPr>
        <w:t>签订日期：</w:t>
      </w:r>
      <w:r>
        <w:rPr>
          <w:rFonts w:ascii="宋体" w:hAnsi="宋体" w:cs="宋体"/>
          <w:sz w:val="24"/>
          <w:highlight w:val="none"/>
        </w:rPr>
        <w:t xml:space="preserve">    </w:t>
      </w:r>
      <w:r>
        <w:rPr>
          <w:rFonts w:hint="eastAsia" w:ascii="宋体" w:hAnsi="宋体" w:cs="宋体"/>
          <w:sz w:val="24"/>
          <w:highlight w:val="none"/>
        </w:rPr>
        <w:t>年</w:t>
      </w:r>
      <w:r>
        <w:rPr>
          <w:rFonts w:ascii="宋体" w:hAnsi="宋体" w:cs="宋体"/>
          <w:sz w:val="24"/>
          <w:highlight w:val="none"/>
        </w:rPr>
        <w:t xml:space="preserve">    </w:t>
      </w:r>
      <w:r>
        <w:rPr>
          <w:rFonts w:hint="eastAsia" w:ascii="宋体" w:hAnsi="宋体" w:cs="宋体"/>
          <w:sz w:val="24"/>
          <w:highlight w:val="none"/>
        </w:rPr>
        <w:t>月</w:t>
      </w:r>
      <w:r>
        <w:rPr>
          <w:rFonts w:ascii="宋体" w:hAnsi="宋体" w:cs="宋体"/>
          <w:sz w:val="24"/>
          <w:highlight w:val="none"/>
        </w:rPr>
        <w:t xml:space="preserve">   </w:t>
      </w:r>
      <w:r>
        <w:rPr>
          <w:rFonts w:hint="eastAsia" w:ascii="宋体" w:hAnsi="宋体" w:cs="宋体"/>
          <w:sz w:val="24"/>
          <w:highlight w:val="none"/>
        </w:rPr>
        <w:t>日</w:t>
      </w:r>
    </w:p>
    <w:p>
      <w:pPr>
        <w:pStyle w:val="21"/>
        <w:spacing w:before="152" w:after="152" w:line="360" w:lineRule="auto"/>
        <w:jc w:val="center"/>
        <w:rPr>
          <w:rFonts w:hint="eastAsia" w:hAnsi="宋体" w:cs="宋体"/>
          <w:highlight w:val="none"/>
          <w:lang w:val="zh-CN"/>
        </w:rPr>
        <w:sectPr>
          <w:pgSz w:w="11905" w:h="16838"/>
          <w:pgMar w:top="1417" w:right="1587" w:bottom="1417" w:left="1587" w:header="907" w:footer="924" w:gutter="0"/>
          <w:cols w:space="0" w:num="1"/>
          <w:docGrid w:type="lines" w:linePitch="304" w:charSpace="0"/>
        </w:sectPr>
      </w:pPr>
    </w:p>
    <w:p>
      <w:pPr>
        <w:widowControl/>
        <w:spacing w:before="240" w:beforeLines="100" w:line="360" w:lineRule="auto"/>
        <w:jc w:val="center"/>
        <w:rPr>
          <w:rFonts w:hint="eastAsia" w:asciiTheme="minorEastAsia" w:hAnsiTheme="minorEastAsia" w:eastAsiaTheme="minorEastAsia" w:cstheme="minorEastAsia"/>
          <w:b/>
          <w:szCs w:val="21"/>
          <w:highlight w:val="none"/>
        </w:rPr>
      </w:pPr>
      <w:bookmarkStart w:id="197" w:name="_Toc528578413"/>
      <w:bookmarkStart w:id="198" w:name="_Toc19007"/>
      <w:bookmarkStart w:id="199" w:name="_Toc30989"/>
      <w:bookmarkStart w:id="200" w:name="_Toc528927455"/>
      <w:bookmarkStart w:id="201" w:name="_Toc27442"/>
      <w:bookmarkStart w:id="202" w:name="_Toc528578414"/>
      <w:bookmarkStart w:id="203" w:name="_Toc528927456"/>
      <w:r>
        <w:rPr>
          <w:rFonts w:hint="eastAsia" w:asciiTheme="minorEastAsia" w:hAnsiTheme="minorEastAsia" w:eastAsiaTheme="minorEastAsia" w:cstheme="minorEastAsia"/>
          <w:b/>
          <w:szCs w:val="21"/>
          <w:highlight w:val="none"/>
          <w:u w:val="single"/>
        </w:rPr>
        <w:t xml:space="preserve">  仙居县力天市政工程有限公司PE管材及配件、PPR管材及配件采购项目 </w:t>
      </w:r>
      <w:r>
        <w:rPr>
          <w:rFonts w:hint="eastAsia" w:asciiTheme="minorEastAsia" w:hAnsiTheme="minorEastAsia" w:eastAsiaTheme="minorEastAsia" w:cstheme="minorEastAsia"/>
          <w:b/>
          <w:szCs w:val="21"/>
          <w:highlight w:val="none"/>
        </w:rPr>
        <w:t>采购合同（范本）</w:t>
      </w:r>
    </w:p>
    <w:p>
      <w:pPr>
        <w:spacing w:line="36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（仅供参考；本合同为合同样稿，最终稿由甲乙双方协商后确定）</w:t>
      </w:r>
    </w:p>
    <w:bookmarkEnd w:id="197"/>
    <w:bookmarkEnd w:id="198"/>
    <w:bookmarkEnd w:id="199"/>
    <w:bookmarkEnd w:id="200"/>
    <w:bookmarkEnd w:id="201"/>
    <w:p>
      <w:pPr>
        <w:pStyle w:val="22"/>
        <w:wordWrap w:val="0"/>
        <w:spacing w:line="360" w:lineRule="auto"/>
        <w:ind w:left="0" w:leftChars="0"/>
        <w:rPr>
          <w:rFonts w:hint="eastAsia" w:ascii="宋体" w:hAnsi="宋体" w:eastAsia="宋体" w:cs="宋体"/>
          <w:bCs/>
          <w:szCs w:val="21"/>
          <w:highlight w:val="none"/>
        </w:rPr>
      </w:pPr>
      <w:r>
        <w:rPr>
          <w:rFonts w:hint="eastAsia" w:ascii="宋体" w:hAnsi="宋体" w:eastAsia="宋体" w:cs="宋体"/>
          <w:bCs/>
          <w:szCs w:val="21"/>
          <w:highlight w:val="none"/>
        </w:rPr>
        <w:t>采购方：仙居县力天市政工程有限公司      （以下简称甲方）</w:t>
      </w:r>
    </w:p>
    <w:p>
      <w:pPr>
        <w:wordWrap w:val="0"/>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 xml:space="preserve">供货方：             </w:t>
      </w:r>
      <w:r>
        <w:rPr>
          <w:rFonts w:hint="eastAsia" w:ascii="宋体" w:hAnsi="宋体" w:cs="宋体"/>
          <w:bCs/>
          <w:szCs w:val="21"/>
          <w:highlight w:val="none"/>
          <w:lang w:val="en-US" w:eastAsia="zh-CN"/>
        </w:rPr>
        <w:t xml:space="preserve">                   </w:t>
      </w:r>
      <w:r>
        <w:rPr>
          <w:rFonts w:hint="eastAsia" w:ascii="宋体" w:hAnsi="宋体" w:eastAsia="宋体" w:cs="宋体"/>
          <w:bCs/>
          <w:szCs w:val="21"/>
          <w:highlight w:val="none"/>
        </w:rPr>
        <w:t>（以下简称乙方）</w:t>
      </w:r>
    </w:p>
    <w:p>
      <w:pPr>
        <w:widowControl/>
        <w:spacing w:line="360" w:lineRule="auto"/>
        <w:ind w:firstLine="420" w:firstLineChars="200"/>
        <w:textAlignment w:val="bottom"/>
        <w:rPr>
          <w:rFonts w:ascii="宋体" w:hAnsi="宋体" w:cs="宋体"/>
          <w:kern w:val="0"/>
          <w:szCs w:val="21"/>
          <w:highlight w:val="none"/>
        </w:rPr>
      </w:pPr>
      <w:r>
        <w:rPr>
          <w:rFonts w:hint="eastAsia" w:ascii="宋体" w:hAnsi="宋体" w:cs="宋体"/>
          <w:kern w:val="0"/>
          <w:szCs w:val="21"/>
          <w:highlight w:val="none"/>
        </w:rPr>
        <w:t>根据《中华人民共和国民法典》有关规定，为明确采购单位（甲方）和供应单位（乙方）购销过程中的权利、义务和经济责任，经双方友好协商，签订以下条款，共同遵守。</w:t>
      </w:r>
    </w:p>
    <w:p>
      <w:pPr>
        <w:widowControl/>
        <w:numPr>
          <w:ilvl w:val="0"/>
          <w:numId w:val="5"/>
        </w:numPr>
        <w:spacing w:beforeLines="50" w:line="360" w:lineRule="auto"/>
        <w:rPr>
          <w:rFonts w:ascii="宋体" w:hAnsi="宋体" w:cs="宋体"/>
          <w:b/>
          <w:bCs/>
          <w:kern w:val="0"/>
          <w:szCs w:val="21"/>
          <w:highlight w:val="none"/>
        </w:rPr>
      </w:pPr>
      <w:r>
        <w:rPr>
          <w:rFonts w:hint="eastAsia" w:ascii="宋体" w:hAnsi="宋体" w:cs="宋体"/>
          <w:b/>
          <w:bCs/>
          <w:kern w:val="0"/>
          <w:szCs w:val="21"/>
          <w:highlight w:val="none"/>
        </w:rPr>
        <w:t>定义：以下术语有特定的含义：</w:t>
      </w:r>
    </w:p>
    <w:p>
      <w:pPr>
        <w:widowControl/>
        <w:spacing w:line="360" w:lineRule="auto"/>
        <w:ind w:right="-252"/>
        <w:rPr>
          <w:rFonts w:ascii="宋体" w:hAnsi="宋体" w:cs="宋体"/>
          <w:kern w:val="0"/>
          <w:szCs w:val="21"/>
          <w:highlight w:val="none"/>
        </w:rPr>
      </w:pPr>
      <w:r>
        <w:rPr>
          <w:rFonts w:hint="eastAsia" w:ascii="宋体" w:hAnsi="宋体" w:cs="宋体"/>
          <w:kern w:val="0"/>
          <w:szCs w:val="21"/>
          <w:highlight w:val="none"/>
        </w:rPr>
        <w:t xml:space="preserve">    “货物”本合同所称货物是指乙方基于其已中标的投标文件而应向甲方提供的符合招标要求规格及功能的</w:t>
      </w:r>
      <w:r>
        <w:rPr>
          <w:rFonts w:hint="eastAsia" w:ascii="宋体" w:hAnsi="宋体" w:cs="宋体"/>
          <w:kern w:val="0"/>
          <w:szCs w:val="21"/>
          <w:highlight w:val="none"/>
          <w:u w:val="single"/>
          <w:lang w:val="en-US" w:eastAsia="zh-CN"/>
        </w:rPr>
        <w:t xml:space="preserve"> </w:t>
      </w:r>
      <w:r>
        <w:rPr>
          <w:rFonts w:hint="eastAsia" w:ascii="宋体" w:hAnsi="宋体" w:cs="宋体"/>
          <w:color w:val="000000"/>
          <w:kern w:val="0"/>
          <w:szCs w:val="21"/>
          <w:highlight w:val="none"/>
          <w:u w:val="single"/>
        </w:rPr>
        <w:t>（货物名称）</w:t>
      </w:r>
      <w:r>
        <w:rPr>
          <w:rFonts w:hint="eastAsia" w:ascii="宋体" w:hAnsi="宋体" w:cs="宋体"/>
          <w:kern w:val="0"/>
          <w:szCs w:val="21"/>
          <w:highlight w:val="none"/>
        </w:rPr>
        <w:t>及其全部备品备件，它还应包括由乙方送交给甲方的所有的必须文件和与使用及测试有关的应进行的任何规定的服务。</w:t>
      </w:r>
    </w:p>
    <w:p>
      <w:pPr>
        <w:widowControl/>
        <w:spacing w:line="360" w:lineRule="auto"/>
        <w:ind w:right="-252"/>
        <w:rPr>
          <w:rFonts w:ascii="宋体" w:hAnsi="宋体" w:cs="宋体"/>
          <w:kern w:val="0"/>
          <w:szCs w:val="21"/>
          <w:highlight w:val="none"/>
        </w:rPr>
      </w:pPr>
      <w:r>
        <w:rPr>
          <w:rFonts w:hint="eastAsia" w:ascii="宋体" w:hAnsi="宋体" w:cs="宋体"/>
          <w:kern w:val="0"/>
          <w:szCs w:val="21"/>
          <w:highlight w:val="none"/>
        </w:rPr>
        <w:t xml:space="preserve">    “服务”系指根据合同规定乙方应承担的与供货有关的辅助义务，比如运输、保险以及其它伴随服务，比如安装、调试以及送货上门提供技术援助、培训、配合措施、维修响应和合同中规定乙方应承担的其它义务。</w:t>
      </w:r>
    </w:p>
    <w:p>
      <w:pPr>
        <w:widowControl/>
        <w:spacing w:line="360" w:lineRule="auto"/>
        <w:ind w:right="-252"/>
        <w:rPr>
          <w:rFonts w:ascii="宋体" w:hAnsi="宋体" w:cs="宋体"/>
          <w:kern w:val="0"/>
          <w:szCs w:val="21"/>
          <w:highlight w:val="none"/>
        </w:rPr>
      </w:pPr>
      <w:r>
        <w:rPr>
          <w:rFonts w:hint="eastAsia" w:ascii="宋体" w:hAnsi="宋体" w:cs="宋体"/>
          <w:kern w:val="0"/>
          <w:szCs w:val="21"/>
          <w:highlight w:val="none"/>
        </w:rPr>
        <w:t xml:space="preserve">    “合同价”系指根据中标的投标文件和合同规定，乙方在正确地履行合同义务后甲方应支付乙方的价款。</w:t>
      </w:r>
    </w:p>
    <w:p>
      <w:pPr>
        <w:widowControl/>
        <w:spacing w:line="360" w:lineRule="auto"/>
        <w:rPr>
          <w:rFonts w:ascii="宋体" w:hAnsi="宋体" w:cs="宋体"/>
          <w:kern w:val="0"/>
          <w:szCs w:val="21"/>
          <w:highlight w:val="none"/>
        </w:rPr>
      </w:pPr>
      <w:r>
        <w:rPr>
          <w:rFonts w:hint="eastAsia" w:ascii="宋体" w:hAnsi="宋体" w:cs="宋体"/>
          <w:kern w:val="0"/>
          <w:szCs w:val="21"/>
          <w:highlight w:val="none"/>
        </w:rPr>
        <w:t xml:space="preserve">    “甲方”系指合同中明确规定的实际购买货物和接受服务单位。</w:t>
      </w:r>
    </w:p>
    <w:p>
      <w:pPr>
        <w:widowControl/>
        <w:spacing w:line="360" w:lineRule="auto"/>
        <w:rPr>
          <w:rFonts w:ascii="宋体" w:hAnsi="宋体" w:cs="宋体"/>
          <w:kern w:val="0"/>
          <w:szCs w:val="21"/>
          <w:highlight w:val="none"/>
        </w:rPr>
      </w:pPr>
      <w:r>
        <w:rPr>
          <w:rFonts w:hint="eastAsia" w:ascii="宋体" w:hAnsi="宋体" w:cs="宋体"/>
          <w:kern w:val="0"/>
          <w:szCs w:val="21"/>
          <w:highlight w:val="none"/>
        </w:rPr>
        <w:t xml:space="preserve">    “乙方”系指合同中规定的提供货物和提供服务的单位。</w:t>
      </w:r>
    </w:p>
    <w:p>
      <w:pPr>
        <w:widowControl/>
        <w:spacing w:line="360" w:lineRule="auto"/>
        <w:ind w:right="-252"/>
        <w:rPr>
          <w:rFonts w:ascii="宋体" w:hAnsi="宋体" w:cs="宋体"/>
          <w:kern w:val="0"/>
          <w:szCs w:val="21"/>
          <w:highlight w:val="none"/>
        </w:rPr>
      </w:pPr>
      <w:r>
        <w:rPr>
          <w:rFonts w:hint="eastAsia" w:ascii="宋体" w:hAnsi="宋体" w:cs="宋体"/>
          <w:kern w:val="0"/>
          <w:szCs w:val="21"/>
          <w:highlight w:val="none"/>
        </w:rPr>
        <w:t xml:space="preserve">    “损失”本合同所指损失是指合同一方因不履行合同义务而遭致另一方及第三方的各种损失及损害的费用，还包括守约方为减轻损害或维护权利而需支付的各种调查费用，车旅费用、律师费用等。</w:t>
      </w:r>
    </w:p>
    <w:p>
      <w:pPr>
        <w:widowControl/>
        <w:numPr>
          <w:ilvl w:val="0"/>
          <w:numId w:val="5"/>
        </w:numPr>
        <w:spacing w:beforeLines="50" w:line="360" w:lineRule="auto"/>
        <w:rPr>
          <w:rFonts w:ascii="宋体" w:hAnsi="宋体" w:cs="宋体"/>
          <w:b/>
          <w:bCs/>
          <w:kern w:val="0"/>
          <w:szCs w:val="21"/>
          <w:highlight w:val="none"/>
        </w:rPr>
      </w:pPr>
      <w:r>
        <w:rPr>
          <w:rFonts w:hint="eastAsia" w:ascii="宋体" w:hAnsi="宋体" w:cs="宋体"/>
          <w:b/>
          <w:bCs/>
          <w:kern w:val="0"/>
          <w:szCs w:val="21"/>
          <w:highlight w:val="none"/>
        </w:rPr>
        <w:t>交货地点</w:t>
      </w:r>
    </w:p>
    <w:p>
      <w:pPr>
        <w:widowControl/>
        <w:spacing w:line="360" w:lineRule="auto"/>
        <w:ind w:left="1" w:firstLine="420"/>
        <w:textAlignment w:val="bottom"/>
        <w:rPr>
          <w:rFonts w:ascii="宋体" w:hAnsi="宋体" w:cs="宋体"/>
          <w:kern w:val="0"/>
          <w:szCs w:val="21"/>
          <w:highlight w:val="none"/>
          <w:u w:val="single"/>
        </w:rPr>
      </w:pPr>
      <w:r>
        <w:rPr>
          <w:rFonts w:hint="eastAsia" w:ascii="宋体" w:hAnsi="宋体" w:cs="宋体"/>
          <w:kern w:val="0"/>
          <w:szCs w:val="21"/>
          <w:highlight w:val="none"/>
        </w:rPr>
        <w:t>项目名称：</w:t>
      </w:r>
      <w:r>
        <w:rPr>
          <w:rFonts w:hint="eastAsia" w:ascii="宋体" w:hAnsi="宋体" w:cs="宋体"/>
          <w:kern w:val="0"/>
          <w:szCs w:val="21"/>
          <w:highlight w:val="none"/>
          <w:u w:val="single"/>
          <w:lang w:val="en-US" w:eastAsia="zh-CN"/>
        </w:rPr>
        <w:t xml:space="preserve">                                                        </w:t>
      </w:r>
    </w:p>
    <w:p>
      <w:pPr>
        <w:widowControl/>
        <w:spacing w:line="360" w:lineRule="auto"/>
        <w:ind w:left="1" w:firstLine="420"/>
        <w:textAlignment w:val="bottom"/>
        <w:rPr>
          <w:rFonts w:hint="eastAsia" w:ascii="宋体" w:hAnsi="宋体" w:cs="宋体"/>
          <w:kern w:val="0"/>
          <w:szCs w:val="21"/>
          <w:highlight w:val="none"/>
          <w:u w:val="single"/>
        </w:rPr>
      </w:pPr>
      <w:r>
        <w:rPr>
          <w:rFonts w:hint="eastAsia" w:ascii="宋体" w:hAnsi="宋体" w:cs="宋体"/>
          <w:kern w:val="0"/>
          <w:szCs w:val="21"/>
          <w:highlight w:val="none"/>
        </w:rPr>
        <w:t>项目地点：</w:t>
      </w:r>
      <w:r>
        <w:rPr>
          <w:rFonts w:hint="eastAsia" w:ascii="宋体" w:hAnsi="宋体" w:cs="宋体"/>
          <w:kern w:val="0"/>
          <w:szCs w:val="21"/>
          <w:highlight w:val="none"/>
          <w:u w:val="single"/>
        </w:rPr>
        <w:t>甲方指定地点。</w:t>
      </w:r>
    </w:p>
    <w:p>
      <w:pPr>
        <w:widowControl/>
        <w:numPr>
          <w:ilvl w:val="0"/>
          <w:numId w:val="5"/>
        </w:numPr>
        <w:spacing w:beforeLines="50" w:line="360" w:lineRule="auto"/>
        <w:rPr>
          <w:rFonts w:ascii="宋体" w:hAnsi="宋体" w:cs="宋体"/>
          <w:b/>
          <w:bCs/>
          <w:kern w:val="0"/>
          <w:szCs w:val="21"/>
          <w:highlight w:val="none"/>
          <w:lang w:val="zh-CN"/>
        </w:rPr>
      </w:pPr>
      <w:r>
        <w:rPr>
          <w:rFonts w:hint="eastAsia" w:ascii="宋体" w:hAnsi="宋体" w:cs="宋体"/>
          <w:b/>
          <w:bCs/>
          <w:kern w:val="0"/>
          <w:szCs w:val="21"/>
          <w:highlight w:val="none"/>
        </w:rPr>
        <w:t>货物或服务名称、数量及价格：</w:t>
      </w:r>
    </w:p>
    <w:tbl>
      <w:tblPr>
        <w:tblStyle w:val="37"/>
        <w:tblW w:w="8437" w:type="dxa"/>
        <w:jc w:val="center"/>
        <w:tblLayout w:type="fixed"/>
        <w:tblCellMar>
          <w:top w:w="0" w:type="dxa"/>
          <w:left w:w="108" w:type="dxa"/>
          <w:bottom w:w="0" w:type="dxa"/>
          <w:right w:w="108" w:type="dxa"/>
        </w:tblCellMar>
      </w:tblPr>
      <w:tblGrid>
        <w:gridCol w:w="878"/>
        <w:gridCol w:w="2560"/>
        <w:gridCol w:w="1906"/>
        <w:gridCol w:w="687"/>
        <w:gridCol w:w="922"/>
        <w:gridCol w:w="1484"/>
      </w:tblGrid>
      <w:tr>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序号</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Cs w:val="21"/>
                <w:highlight w:val="none"/>
              </w:rPr>
            </w:pPr>
            <w:r>
              <w:rPr>
                <w:rStyle w:val="114"/>
                <w:rFonts w:hint="default"/>
                <w:color w:val="auto"/>
                <w:sz w:val="21"/>
                <w:szCs w:val="21"/>
                <w:highlight w:val="none"/>
              </w:rPr>
              <w:t>名称</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规格及型号</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单位</w:t>
            </w: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数量</w:t>
            </w: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kern w:val="0"/>
                <w:szCs w:val="21"/>
                <w:highlight w:val="none"/>
              </w:rPr>
            </w:pPr>
            <w:r>
              <w:rPr>
                <w:rFonts w:hint="eastAsia" w:ascii="宋体" w:hAnsi="宋体" w:cs="宋体"/>
                <w:b/>
                <w:bCs/>
                <w:szCs w:val="21"/>
                <w:highlight w:val="none"/>
                <w:lang w:val="en-US" w:eastAsia="zh-CN"/>
              </w:rPr>
              <w:t>中标</w:t>
            </w:r>
            <w:r>
              <w:rPr>
                <w:rFonts w:hint="eastAsia" w:ascii="宋体" w:hAnsi="宋体" w:cs="宋体"/>
                <w:b/>
                <w:bCs/>
                <w:szCs w:val="21"/>
                <w:highlight w:val="none"/>
              </w:rPr>
              <w:t>单价（元）</w:t>
            </w:r>
          </w:p>
        </w:tc>
      </w:tr>
      <w:tr>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1</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r>
      <w:tr>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2</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r>
      <w:tr>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3</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r>
      <w:tr>
        <w:tblPrEx>
          <w:tblCellMar>
            <w:top w:w="0" w:type="dxa"/>
            <w:left w:w="108" w:type="dxa"/>
            <w:bottom w:w="0" w:type="dxa"/>
            <w:right w:w="108" w:type="dxa"/>
          </w:tblCellMar>
        </w:tblPrEx>
        <w:trPr>
          <w:trHeight w:val="90"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4</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r>
      <w:tr>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5</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r>
      <w:tr>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6</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r>
      <w:tr>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7</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r>
      <w:tr>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8</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r>
      <w:tr>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9</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r>
      <w:tr>
        <w:tblPrEx>
          <w:tblCellMar>
            <w:top w:w="0" w:type="dxa"/>
            <w:left w:w="108" w:type="dxa"/>
            <w:bottom w:w="0" w:type="dxa"/>
            <w:right w:w="108" w:type="dxa"/>
          </w:tblCellMar>
        </w:tblPrEx>
        <w:trPr>
          <w:trHeight w:val="25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highlight w:val="none"/>
              </w:rPr>
            </w:pPr>
            <w:r>
              <w:rPr>
                <w:rFonts w:hint="eastAsia" w:ascii="宋体" w:hAnsi="宋体" w:cs="宋体"/>
                <w:kern w:val="0"/>
                <w:szCs w:val="21"/>
                <w:highlight w:val="none"/>
              </w:rPr>
              <w:t>10</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92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cs="宋体"/>
                <w:kern w:val="0"/>
                <w:sz w:val="21"/>
                <w:szCs w:val="21"/>
                <w:highlight w:val="none"/>
              </w:rPr>
            </w:pPr>
          </w:p>
        </w:tc>
        <w:tc>
          <w:tcPr>
            <w:tcW w:w="148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ascii="宋体" w:hAnsi="宋体" w:cs="宋体"/>
                <w:kern w:val="0"/>
                <w:sz w:val="21"/>
                <w:szCs w:val="21"/>
                <w:highlight w:val="none"/>
              </w:rPr>
            </w:pPr>
          </w:p>
        </w:tc>
      </w:tr>
      <w:tr>
        <w:tblPrEx>
          <w:tblCellMar>
            <w:top w:w="0" w:type="dxa"/>
            <w:left w:w="108" w:type="dxa"/>
            <w:bottom w:w="0" w:type="dxa"/>
            <w:right w:w="108" w:type="dxa"/>
          </w:tblCellMar>
        </w:tblPrEx>
        <w:trPr>
          <w:trHeight w:val="263" w:hRule="atLeast"/>
          <w:jc w:val="center"/>
        </w:trPr>
        <w:tc>
          <w:tcPr>
            <w:tcW w:w="8437"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360" w:lineRule="auto"/>
              <w:ind w:firstLine="211" w:firstLineChars="100"/>
              <w:rPr>
                <w:rFonts w:hint="eastAsia" w:ascii="宋体" w:hAnsi="宋体" w:eastAsia="宋体" w:cs="宋体"/>
                <w:kern w:val="0"/>
                <w:szCs w:val="21"/>
                <w:highlight w:val="none"/>
                <w:lang w:eastAsia="zh-CN"/>
              </w:rPr>
            </w:pPr>
            <w:r>
              <w:rPr>
                <w:rFonts w:hint="eastAsia" w:ascii="宋体" w:hAnsi="宋体" w:cs="宋体"/>
                <w:b/>
                <w:color w:val="FF0000"/>
                <w:szCs w:val="21"/>
                <w:highlight w:val="none"/>
              </w:rPr>
              <w:t>注：</w:t>
            </w:r>
            <w:r>
              <w:rPr>
                <w:rFonts w:hint="eastAsia" w:ascii="宋体" w:hAnsi="宋体" w:cs="宋体"/>
                <w:b/>
                <w:color w:val="FF0000"/>
                <w:szCs w:val="21"/>
                <w:highlight w:val="none"/>
                <w:lang w:eastAsia="zh-CN"/>
              </w:rPr>
              <w:t>以上数量为暂定数量，具体供货数量以采购人实际需求为准</w:t>
            </w:r>
            <w:r>
              <w:rPr>
                <w:rFonts w:hint="eastAsia" w:ascii="宋体" w:hAnsi="宋体" w:cs="宋体"/>
                <w:b/>
                <w:color w:val="FF0000"/>
                <w:szCs w:val="21"/>
                <w:highlight w:val="none"/>
                <w:lang w:val="en-US" w:eastAsia="zh-CN"/>
              </w:rPr>
              <w:t>,在采购期内按实结算</w:t>
            </w:r>
            <w:r>
              <w:rPr>
                <w:rFonts w:hint="eastAsia" w:ascii="宋体" w:hAnsi="宋体" w:cs="宋体"/>
                <w:b/>
                <w:color w:val="FF0000"/>
                <w:szCs w:val="21"/>
                <w:highlight w:val="none"/>
                <w:lang w:eastAsia="zh-CN"/>
              </w:rPr>
              <w:t>。</w:t>
            </w:r>
          </w:p>
        </w:tc>
      </w:tr>
    </w:tbl>
    <w:p>
      <w:pPr>
        <w:widowControl/>
        <w:numPr>
          <w:ilvl w:val="0"/>
          <w:numId w:val="5"/>
        </w:numPr>
        <w:spacing w:beforeLines="50" w:line="360" w:lineRule="auto"/>
        <w:rPr>
          <w:rFonts w:ascii="宋体" w:hAnsi="宋体" w:cs="宋体"/>
          <w:b/>
          <w:bCs/>
          <w:kern w:val="0"/>
          <w:szCs w:val="21"/>
          <w:highlight w:val="none"/>
          <w:lang w:val="zh-CN"/>
        </w:rPr>
      </w:pPr>
      <w:r>
        <w:rPr>
          <w:rFonts w:hint="eastAsia" w:ascii="宋体" w:hAnsi="宋体" w:cs="宋体"/>
          <w:b/>
          <w:bCs/>
          <w:kern w:val="0"/>
          <w:szCs w:val="21"/>
          <w:highlight w:val="none"/>
          <w:lang w:val="zh-CN"/>
        </w:rPr>
        <w:t>质保期</w:t>
      </w:r>
    </w:p>
    <w:p>
      <w:pPr>
        <w:pStyle w:val="21"/>
        <w:spacing w:beforeLines="0" w:afterLines="0" w:line="360" w:lineRule="auto"/>
        <w:ind w:firstLine="420" w:firstLineChars="200"/>
        <w:rPr>
          <w:rFonts w:hAnsi="宋体"/>
          <w:sz w:val="21"/>
          <w:szCs w:val="21"/>
          <w:highlight w:val="none"/>
          <w:lang w:val="zh-CN"/>
        </w:rPr>
      </w:pPr>
      <w:r>
        <w:rPr>
          <w:rFonts w:hint="eastAsia" w:hAnsi="宋体"/>
          <w:sz w:val="21"/>
          <w:szCs w:val="21"/>
          <w:highlight w:val="none"/>
          <w:lang w:val="zh-CN"/>
        </w:rPr>
        <w:t>1. 质保期</w:t>
      </w:r>
      <w:r>
        <w:rPr>
          <w:rFonts w:hint="eastAsia" w:hAnsi="宋体"/>
          <w:sz w:val="21"/>
          <w:szCs w:val="21"/>
          <w:highlight w:val="none"/>
          <w:u w:val="single"/>
          <w:lang w:val="en-US" w:eastAsia="zh-CN"/>
        </w:rPr>
        <w:t xml:space="preserve">   </w:t>
      </w:r>
      <w:r>
        <w:rPr>
          <w:rFonts w:hint="eastAsia" w:hAnsi="宋体"/>
          <w:sz w:val="21"/>
          <w:szCs w:val="21"/>
          <w:highlight w:val="none"/>
          <w:lang w:val="zh-CN"/>
        </w:rPr>
        <w:t>年，</w:t>
      </w:r>
      <w:r>
        <w:rPr>
          <w:rFonts w:hint="eastAsia" w:hAnsi="宋体"/>
          <w:b/>
          <w:bCs/>
          <w:color w:val="FF0000"/>
          <w:sz w:val="21"/>
          <w:szCs w:val="21"/>
          <w:highlight w:val="none"/>
          <w:lang w:val="zh-CN"/>
        </w:rPr>
        <w:t>以最后一批货物验收合格之日起计算</w:t>
      </w:r>
      <w:r>
        <w:rPr>
          <w:rFonts w:hint="eastAsia" w:hAnsi="宋体"/>
          <w:sz w:val="21"/>
          <w:szCs w:val="21"/>
          <w:highlight w:val="none"/>
          <w:lang w:val="zh-CN"/>
        </w:rPr>
        <w:t>。质保期内，非因操作不当造成要更换的零配件及货物由中标人负责</w:t>
      </w:r>
      <w:r>
        <w:rPr>
          <w:rFonts w:hint="eastAsia" w:hAnsi="宋体"/>
          <w:color w:val="000000"/>
          <w:sz w:val="21"/>
          <w:szCs w:val="21"/>
          <w:highlight w:val="none"/>
          <w:lang w:val="zh-CN"/>
        </w:rPr>
        <w:t>包修、包换。</w:t>
      </w:r>
    </w:p>
    <w:p>
      <w:pPr>
        <w:widowControl/>
        <w:numPr>
          <w:ilvl w:val="0"/>
          <w:numId w:val="5"/>
        </w:numPr>
        <w:spacing w:beforeLines="50" w:line="360" w:lineRule="auto"/>
        <w:rPr>
          <w:rFonts w:ascii="宋体" w:hAnsi="宋体" w:cs="宋体"/>
          <w:b/>
          <w:bCs/>
          <w:kern w:val="0"/>
          <w:szCs w:val="21"/>
          <w:highlight w:val="none"/>
          <w:lang w:val="zh-CN"/>
        </w:rPr>
      </w:pPr>
      <w:r>
        <w:rPr>
          <w:rFonts w:hint="eastAsia" w:ascii="宋体" w:hAnsi="宋体" w:cs="宋体"/>
          <w:b/>
          <w:bCs/>
          <w:kern w:val="0"/>
          <w:szCs w:val="21"/>
          <w:highlight w:val="none"/>
          <w:lang w:val="zh-CN"/>
        </w:rPr>
        <w:t>合同金额</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 本合同金额暂估总价为（大写）：</w:t>
      </w:r>
      <w:r>
        <w:rPr>
          <w:rFonts w:hint="eastAsia" w:ascii="宋体" w:hAnsi="宋体" w:cs="宋体"/>
          <w:szCs w:val="21"/>
          <w:highlight w:val="none"/>
          <w:u w:val="single"/>
          <w:lang w:val="en-US" w:eastAsia="zh-CN"/>
        </w:rPr>
        <w:t xml:space="preserve"> </w:t>
      </w:r>
      <w:r>
        <w:rPr>
          <w:rFonts w:hint="eastAsia" w:ascii="宋体" w:hAnsi="宋体" w:cs="宋体"/>
          <w:color w:val="0000FF"/>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w:t>
      </w:r>
      <w:r>
        <w:rPr>
          <w:rFonts w:hint="eastAsia" w:ascii="宋体" w:hAnsi="宋体" w:cs="宋体"/>
          <w:szCs w:val="21"/>
          <w:highlight w:val="none"/>
        </w:rPr>
        <w:t>￥</w:t>
      </w:r>
      <w:r>
        <w:rPr>
          <w:rFonts w:hint="eastAsia" w:ascii="宋体" w:hAnsi="宋体" w:cs="宋体"/>
          <w:szCs w:val="21"/>
          <w:highlight w:val="none"/>
          <w:u w:val="single"/>
          <w:lang w:val="en-US" w:eastAsia="zh-CN"/>
        </w:rPr>
        <w:t xml:space="preserve"> </w:t>
      </w:r>
      <w:r>
        <w:rPr>
          <w:rFonts w:hint="eastAsia" w:ascii="宋体" w:hAnsi="宋体" w:eastAsia="宋体" w:cs="Times New Roman"/>
          <w:color w:val="0000FF"/>
          <w:sz w:val="24"/>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元）人民币。</w:t>
      </w:r>
    </w:p>
    <w:p>
      <w:pPr>
        <w:widowControl/>
        <w:spacing w:line="360" w:lineRule="auto"/>
        <w:ind w:firstLine="420" w:firstLineChars="200"/>
        <w:rPr>
          <w:rFonts w:ascii="宋体" w:hAnsi="宋体" w:cs="宋体"/>
          <w:szCs w:val="21"/>
          <w:highlight w:val="none"/>
        </w:rPr>
      </w:pPr>
      <w:r>
        <w:rPr>
          <w:rFonts w:hint="eastAsia" w:ascii="宋体" w:hAnsi="宋体" w:cs="宋体"/>
          <w:szCs w:val="21"/>
          <w:highlight w:val="none"/>
        </w:rPr>
        <w:t>2. 本合同结算单价为乙方的中标单价，实行固定单价合同，合同结算按照实际供货数量乘以中标单价为准。</w:t>
      </w:r>
    </w:p>
    <w:p>
      <w:pPr>
        <w:widowControl/>
        <w:numPr>
          <w:ilvl w:val="0"/>
          <w:numId w:val="5"/>
        </w:numPr>
        <w:spacing w:beforeLines="50" w:line="360" w:lineRule="auto"/>
        <w:rPr>
          <w:rFonts w:ascii="宋体" w:hAnsi="宋体" w:cs="宋体"/>
          <w:b/>
          <w:bCs/>
          <w:kern w:val="0"/>
          <w:szCs w:val="21"/>
          <w:highlight w:val="none"/>
          <w:lang w:val="zh-CN"/>
        </w:rPr>
      </w:pPr>
      <w:r>
        <w:rPr>
          <w:rFonts w:hint="eastAsia" w:ascii="宋体" w:hAnsi="宋体" w:cs="宋体"/>
          <w:b/>
          <w:bCs/>
          <w:kern w:val="0"/>
          <w:szCs w:val="21"/>
          <w:highlight w:val="none"/>
          <w:lang w:val="zh-CN"/>
        </w:rPr>
        <w:t>合同总价范围：</w:t>
      </w:r>
    </w:p>
    <w:p>
      <w:pPr>
        <w:widowControl/>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1．</w:t>
      </w:r>
      <w:r>
        <w:rPr>
          <w:rFonts w:hint="eastAsia" w:ascii="宋体" w:hAnsi="宋体"/>
          <w:szCs w:val="21"/>
          <w:highlight w:val="none"/>
        </w:rPr>
        <w:t>本合同价格已经包括货款、标准附件、备品备件、专用工具、包装、运输、装卸、保险、税金、</w:t>
      </w:r>
      <w:r>
        <w:rPr>
          <w:rFonts w:hint="eastAsia" w:ascii="宋体" w:hAnsi="宋体" w:cs="宋体"/>
          <w:kern w:val="0"/>
          <w:szCs w:val="21"/>
          <w:highlight w:val="none"/>
        </w:rPr>
        <w:t>检测</w:t>
      </w:r>
      <w:r>
        <w:rPr>
          <w:rFonts w:hint="eastAsia" w:ascii="宋体" w:hAnsi="宋体"/>
          <w:szCs w:val="21"/>
          <w:highlight w:val="none"/>
        </w:rPr>
        <w:t>、验收、保修以及合同包含的所有风险责任等各项费用及不可预见费等所需的全部费用。</w:t>
      </w:r>
    </w:p>
    <w:p>
      <w:pPr>
        <w:widowControl/>
        <w:spacing w:line="360" w:lineRule="auto"/>
        <w:ind w:firstLine="420" w:firstLineChars="200"/>
        <w:textAlignment w:val="bottom"/>
        <w:rPr>
          <w:rFonts w:ascii="宋体" w:hAnsi="宋体" w:cs="宋体"/>
          <w:b/>
          <w:bCs/>
          <w:kern w:val="0"/>
          <w:szCs w:val="21"/>
          <w:highlight w:val="none"/>
        </w:rPr>
      </w:pPr>
      <w:r>
        <w:rPr>
          <w:rFonts w:hint="eastAsia" w:ascii="宋体" w:hAnsi="宋体" w:cs="宋体"/>
          <w:kern w:val="0"/>
          <w:szCs w:val="21"/>
          <w:highlight w:val="none"/>
        </w:rPr>
        <w:t xml:space="preserve">2．中国政府根据现行税法征收的与本合同有关的一切税费。      </w:t>
      </w:r>
    </w:p>
    <w:p>
      <w:pPr>
        <w:widowControl/>
        <w:spacing w:line="360" w:lineRule="auto"/>
        <w:ind w:firstLine="420" w:firstLineChars="200"/>
        <w:textAlignment w:val="bottom"/>
        <w:rPr>
          <w:rFonts w:ascii="宋体" w:hAnsi="宋体" w:cs="宋体"/>
          <w:kern w:val="0"/>
          <w:szCs w:val="21"/>
          <w:highlight w:val="none"/>
          <w:u w:val="single"/>
        </w:rPr>
      </w:pPr>
      <w:r>
        <w:rPr>
          <w:rFonts w:hint="eastAsia" w:ascii="宋体" w:hAnsi="宋体" w:cs="宋体"/>
          <w:kern w:val="0"/>
          <w:szCs w:val="21"/>
          <w:highlight w:val="none"/>
        </w:rPr>
        <w:t>3．甲方有权根据设计变更要求作相应数量调整，乙方应予同意，其单价按投标报价按实结算。</w:t>
      </w:r>
    </w:p>
    <w:p>
      <w:pPr>
        <w:widowControl/>
        <w:numPr>
          <w:ilvl w:val="0"/>
          <w:numId w:val="5"/>
        </w:numPr>
        <w:spacing w:beforeLines="50" w:line="360" w:lineRule="auto"/>
        <w:rPr>
          <w:rFonts w:ascii="宋体" w:hAnsi="宋体" w:cs="宋体"/>
          <w:b/>
          <w:bCs/>
          <w:kern w:val="0"/>
          <w:szCs w:val="21"/>
          <w:highlight w:val="none"/>
          <w:lang w:val="zh-CN"/>
        </w:rPr>
      </w:pPr>
      <w:r>
        <w:rPr>
          <w:rFonts w:hint="eastAsia" w:ascii="宋体" w:hAnsi="宋体" w:cs="宋体"/>
          <w:b/>
          <w:bCs/>
          <w:kern w:val="0"/>
          <w:szCs w:val="21"/>
          <w:highlight w:val="none"/>
          <w:lang w:val="zh-CN"/>
        </w:rPr>
        <w:t>供货有效期：</w:t>
      </w:r>
    </w:p>
    <w:p>
      <w:pPr>
        <w:widowControl/>
        <w:spacing w:line="360" w:lineRule="auto"/>
        <w:ind w:left="1" w:firstLine="420" w:firstLineChars="200"/>
        <w:textAlignment w:val="bottom"/>
        <w:rPr>
          <w:rFonts w:ascii="宋体" w:hAnsi="宋体" w:cs="宋体"/>
          <w:kern w:val="0"/>
          <w:szCs w:val="21"/>
          <w:highlight w:val="none"/>
        </w:rPr>
      </w:pPr>
      <w:r>
        <w:rPr>
          <w:rFonts w:hint="eastAsia" w:ascii="宋体" w:hAnsi="宋体" w:cs="宋体"/>
          <w:kern w:val="0"/>
          <w:szCs w:val="21"/>
          <w:highlight w:val="none"/>
        </w:rPr>
        <w:t>本合同供货期限暂定一年（自合同签订时开始计算）。若暂定供货期内采购人提前完成采购金额的合同即刻终止；若暂定供货期内实际采购金额未达到合同总额的60%，经双方协商后，合同期限可延长供货期6个月（合同期内的供货不得超过中标总金额），到期后即刻终止。</w:t>
      </w:r>
    </w:p>
    <w:p>
      <w:pPr>
        <w:widowControl/>
        <w:numPr>
          <w:ilvl w:val="0"/>
          <w:numId w:val="5"/>
        </w:numPr>
        <w:spacing w:beforeLines="50" w:line="360" w:lineRule="auto"/>
        <w:rPr>
          <w:rFonts w:ascii="宋体" w:hAnsi="宋体" w:cs="宋体"/>
          <w:b/>
          <w:bCs/>
          <w:kern w:val="0"/>
          <w:szCs w:val="21"/>
          <w:highlight w:val="none"/>
          <w:lang w:val="zh-CN"/>
        </w:rPr>
      </w:pPr>
      <w:r>
        <w:rPr>
          <w:rFonts w:hint="eastAsia" w:ascii="宋体" w:hAnsi="宋体" w:cs="宋体"/>
          <w:b/>
          <w:bCs/>
          <w:kern w:val="0"/>
          <w:szCs w:val="21"/>
          <w:highlight w:val="none"/>
          <w:lang w:val="zh-CN"/>
        </w:rPr>
        <w:t>供货内容：</w:t>
      </w:r>
    </w:p>
    <w:p>
      <w:pPr>
        <w:widowControl/>
        <w:spacing w:line="360" w:lineRule="auto"/>
        <w:ind w:left="1" w:firstLine="420" w:firstLineChars="200"/>
        <w:textAlignment w:val="bottom"/>
        <w:rPr>
          <w:rFonts w:ascii="宋体" w:hAnsi="宋体" w:cs="宋体"/>
          <w:kern w:val="0"/>
          <w:szCs w:val="21"/>
          <w:highlight w:val="none"/>
        </w:rPr>
      </w:pPr>
      <w:r>
        <w:rPr>
          <w:rFonts w:hint="eastAsia" w:ascii="宋体" w:hAnsi="宋体" w:cs="宋体"/>
          <w:kern w:val="0"/>
          <w:szCs w:val="21"/>
          <w:highlight w:val="none"/>
        </w:rPr>
        <w:t>1．符合本合同及招标文件规定的货物或服务。</w:t>
      </w:r>
    </w:p>
    <w:p>
      <w:pPr>
        <w:widowControl/>
        <w:spacing w:line="360" w:lineRule="auto"/>
        <w:ind w:left="1" w:firstLine="420" w:firstLineChars="200"/>
        <w:textAlignment w:val="bottom"/>
        <w:rPr>
          <w:rFonts w:ascii="宋体" w:hAnsi="宋体" w:cs="宋体"/>
          <w:kern w:val="0"/>
          <w:szCs w:val="21"/>
          <w:highlight w:val="none"/>
        </w:rPr>
      </w:pPr>
      <w:r>
        <w:rPr>
          <w:rFonts w:hint="eastAsia" w:ascii="宋体" w:hAnsi="宋体" w:cs="宋体"/>
          <w:kern w:val="0"/>
          <w:szCs w:val="21"/>
          <w:highlight w:val="none"/>
        </w:rPr>
        <w:t>2．保证货物使用及维修所需的全部资料和文件，至少应包括以下内容：</w:t>
      </w:r>
    </w:p>
    <w:p>
      <w:pPr>
        <w:widowControl/>
        <w:numPr>
          <w:ilvl w:val="0"/>
          <w:numId w:val="6"/>
        </w:numPr>
        <w:spacing w:line="360" w:lineRule="auto"/>
        <w:ind w:left="0" w:firstLine="420" w:firstLineChars="200"/>
        <w:textAlignment w:val="bottom"/>
        <w:rPr>
          <w:rFonts w:ascii="宋体" w:hAnsi="宋体" w:cs="宋体"/>
          <w:kern w:val="0"/>
          <w:szCs w:val="21"/>
          <w:highlight w:val="none"/>
        </w:rPr>
      </w:pPr>
      <w:r>
        <w:rPr>
          <w:rFonts w:hint="eastAsia" w:ascii="宋体" w:hAnsi="宋体" w:cs="宋体"/>
          <w:kern w:val="0"/>
          <w:szCs w:val="21"/>
          <w:highlight w:val="none"/>
        </w:rPr>
        <w:t>货物清单；</w:t>
      </w:r>
    </w:p>
    <w:p>
      <w:pPr>
        <w:widowControl/>
        <w:numPr>
          <w:ilvl w:val="0"/>
          <w:numId w:val="6"/>
        </w:numPr>
        <w:spacing w:line="360" w:lineRule="auto"/>
        <w:ind w:left="0" w:firstLine="420" w:firstLineChars="200"/>
        <w:textAlignment w:val="bottom"/>
        <w:rPr>
          <w:rFonts w:ascii="宋体" w:hAnsi="宋体" w:cs="宋体"/>
          <w:kern w:val="0"/>
          <w:szCs w:val="21"/>
          <w:highlight w:val="none"/>
        </w:rPr>
      </w:pPr>
      <w:r>
        <w:rPr>
          <w:rFonts w:hint="eastAsia" w:ascii="宋体" w:hAnsi="宋体" w:cs="宋体"/>
          <w:kern w:val="0"/>
          <w:szCs w:val="21"/>
          <w:highlight w:val="none"/>
        </w:rPr>
        <w:t>出厂产品合格证；</w:t>
      </w:r>
    </w:p>
    <w:p>
      <w:pPr>
        <w:widowControl/>
        <w:numPr>
          <w:ilvl w:val="0"/>
          <w:numId w:val="6"/>
        </w:numPr>
        <w:spacing w:line="360" w:lineRule="auto"/>
        <w:ind w:left="0" w:firstLine="420" w:firstLineChars="200"/>
        <w:textAlignment w:val="bottom"/>
        <w:rPr>
          <w:rFonts w:ascii="宋体" w:hAnsi="宋体" w:cs="宋体"/>
          <w:kern w:val="0"/>
          <w:szCs w:val="21"/>
          <w:highlight w:val="none"/>
        </w:rPr>
      </w:pPr>
      <w:r>
        <w:rPr>
          <w:rFonts w:hint="eastAsia" w:ascii="宋体" w:hAnsi="宋体" w:cs="宋体"/>
          <w:kern w:val="0"/>
          <w:szCs w:val="21"/>
          <w:highlight w:val="none"/>
        </w:rPr>
        <w:t>产品检验报告及其他相关资料</w:t>
      </w:r>
    </w:p>
    <w:p>
      <w:pPr>
        <w:widowControl/>
        <w:spacing w:line="360" w:lineRule="auto"/>
        <w:ind w:left="1" w:firstLine="420" w:firstLineChars="200"/>
        <w:textAlignment w:val="bottom"/>
        <w:rPr>
          <w:rFonts w:ascii="宋体" w:hAnsi="宋体" w:cs="宋体"/>
          <w:kern w:val="0"/>
          <w:szCs w:val="21"/>
          <w:highlight w:val="none"/>
        </w:rPr>
      </w:pPr>
      <w:r>
        <w:rPr>
          <w:rFonts w:hint="eastAsia" w:ascii="宋体" w:hAnsi="宋体" w:cs="宋体"/>
          <w:kern w:val="0"/>
          <w:szCs w:val="21"/>
          <w:highlight w:val="none"/>
        </w:rPr>
        <w:t>3．其他必备材料和必备工具、货物等。</w:t>
      </w:r>
    </w:p>
    <w:p>
      <w:pPr>
        <w:widowControl/>
        <w:numPr>
          <w:ilvl w:val="0"/>
          <w:numId w:val="5"/>
        </w:numPr>
        <w:spacing w:beforeLines="50" w:line="360" w:lineRule="auto"/>
        <w:rPr>
          <w:rFonts w:ascii="宋体" w:hAnsi="宋体" w:cs="宋体"/>
          <w:b/>
          <w:bCs/>
          <w:kern w:val="0"/>
          <w:szCs w:val="21"/>
          <w:highlight w:val="none"/>
          <w:lang w:val="zh-CN"/>
        </w:rPr>
      </w:pPr>
      <w:r>
        <w:rPr>
          <w:rFonts w:hint="eastAsia" w:ascii="宋体" w:hAnsi="宋体" w:cs="宋体"/>
          <w:b/>
          <w:bCs/>
          <w:kern w:val="0"/>
          <w:szCs w:val="21"/>
          <w:highlight w:val="none"/>
          <w:lang w:val="zh-CN"/>
        </w:rPr>
        <w:t>交货</w:t>
      </w:r>
      <w:r>
        <w:rPr>
          <w:rFonts w:hint="eastAsia" w:ascii="宋体" w:hAnsi="宋体" w:cs="宋体"/>
          <w:b/>
          <w:bCs/>
          <w:kern w:val="0"/>
          <w:szCs w:val="21"/>
          <w:highlight w:val="none"/>
        </w:rPr>
        <w:t>时间</w:t>
      </w:r>
      <w:r>
        <w:rPr>
          <w:rFonts w:hint="eastAsia" w:ascii="宋体" w:hAnsi="宋体" w:cs="宋体"/>
          <w:b/>
          <w:bCs/>
          <w:kern w:val="0"/>
          <w:szCs w:val="21"/>
          <w:highlight w:val="none"/>
          <w:lang w:val="zh-CN"/>
        </w:rPr>
        <w:t>：</w:t>
      </w:r>
    </w:p>
    <w:p>
      <w:pPr>
        <w:widowControl/>
        <w:spacing w:line="360" w:lineRule="auto"/>
        <w:ind w:left="1" w:firstLine="422" w:firstLineChars="200"/>
        <w:textAlignment w:val="bottom"/>
        <w:rPr>
          <w:rFonts w:ascii="宋体" w:hAnsi="宋体" w:cs="宋体"/>
          <w:b/>
          <w:bCs/>
          <w:kern w:val="0"/>
          <w:szCs w:val="21"/>
          <w:highlight w:val="none"/>
        </w:rPr>
      </w:pPr>
      <w:r>
        <w:rPr>
          <w:rFonts w:hint="eastAsia" w:ascii="宋体" w:hAnsi="宋体" w:cs="宋体"/>
          <w:b/>
          <w:bCs/>
          <w:kern w:val="0"/>
          <w:szCs w:val="21"/>
          <w:highlight w:val="none"/>
        </w:rPr>
        <w:t>乙方在合同期内接到甲方的供货通知后，在</w:t>
      </w:r>
      <w:r>
        <w:rPr>
          <w:rFonts w:hint="eastAsia" w:ascii="宋体" w:hAnsi="宋体" w:cs="宋体"/>
          <w:b/>
          <w:bCs/>
          <w:kern w:val="0"/>
          <w:szCs w:val="21"/>
          <w:highlight w:val="none"/>
          <w:u w:val="single"/>
          <w:lang w:val="en-US" w:eastAsia="zh-CN"/>
        </w:rPr>
        <w:t xml:space="preserve">    </w:t>
      </w:r>
      <w:r>
        <w:rPr>
          <w:rFonts w:hint="eastAsia" w:ascii="宋体" w:hAnsi="宋体" w:cs="宋体"/>
          <w:b/>
          <w:bCs/>
          <w:kern w:val="0"/>
          <w:szCs w:val="21"/>
          <w:highlight w:val="none"/>
        </w:rPr>
        <w:t>天内按甲方要求的规格、尺寸，把货物送至甲方指定地点并堆放整齐。</w:t>
      </w:r>
    </w:p>
    <w:p>
      <w:pPr>
        <w:widowControl/>
        <w:numPr>
          <w:ilvl w:val="0"/>
          <w:numId w:val="5"/>
        </w:numPr>
        <w:spacing w:beforeLines="50" w:line="360" w:lineRule="auto"/>
        <w:rPr>
          <w:rFonts w:ascii="宋体" w:hAnsi="宋体" w:cs="宋体"/>
          <w:b/>
          <w:bCs/>
          <w:kern w:val="0"/>
          <w:szCs w:val="21"/>
          <w:highlight w:val="none"/>
          <w:lang w:val="zh-CN"/>
        </w:rPr>
      </w:pPr>
      <w:r>
        <w:rPr>
          <w:rFonts w:hint="eastAsia" w:ascii="宋体" w:hAnsi="宋体" w:cs="宋体"/>
          <w:b/>
          <w:bCs/>
          <w:kern w:val="0"/>
          <w:szCs w:val="21"/>
          <w:highlight w:val="none"/>
          <w:lang w:val="zh-CN"/>
        </w:rPr>
        <w:t>货物验收及约定事项：</w:t>
      </w:r>
    </w:p>
    <w:p>
      <w:pPr>
        <w:autoSpaceDE w:val="0"/>
        <w:autoSpaceDN w:val="0"/>
        <w:spacing w:line="360" w:lineRule="auto"/>
        <w:ind w:left="315" w:leftChars="150" w:firstLine="102" w:firstLineChars="49"/>
        <w:rPr>
          <w:rFonts w:ascii="宋体" w:hAnsi="宋体" w:cs="宋体"/>
          <w:b/>
          <w:bCs/>
          <w:kern w:val="0"/>
          <w:szCs w:val="21"/>
          <w:highlight w:val="none"/>
        </w:rPr>
      </w:pPr>
      <w:r>
        <w:rPr>
          <w:rFonts w:hint="eastAsia" w:ascii="宋体" w:hAnsi="宋体" w:cs="宋体"/>
          <w:szCs w:val="21"/>
          <w:highlight w:val="none"/>
        </w:rPr>
        <w:t>（一）</w:t>
      </w:r>
      <w:r>
        <w:rPr>
          <w:rFonts w:hint="eastAsia" w:ascii="宋体" w:hAnsi="宋体" w:cs="宋体"/>
          <w:b/>
          <w:bCs/>
          <w:kern w:val="0"/>
          <w:szCs w:val="21"/>
          <w:highlight w:val="none"/>
        </w:rPr>
        <w:t>质量要求</w:t>
      </w:r>
    </w:p>
    <w:p>
      <w:pPr>
        <w:autoSpaceDE w:val="0"/>
        <w:autoSpaceDN w:val="0"/>
        <w:spacing w:line="360" w:lineRule="auto"/>
        <w:ind w:firstLine="420" w:firstLineChars="200"/>
        <w:rPr>
          <w:rFonts w:ascii="宋体" w:hAnsi="宋体" w:cs="宋体"/>
          <w:b/>
          <w:szCs w:val="21"/>
          <w:highlight w:val="none"/>
        </w:rPr>
      </w:pPr>
      <w:r>
        <w:rPr>
          <w:rFonts w:hint="eastAsia" w:ascii="宋体" w:hAnsi="宋体" w:cs="宋体"/>
          <w:szCs w:val="21"/>
          <w:highlight w:val="none"/>
        </w:rPr>
        <w:t>1、出厂产品必须经过清洗，不得有</w:t>
      </w:r>
      <w:r>
        <w:rPr>
          <w:rFonts w:hint="eastAsia" w:ascii="宋体" w:hAnsi="宋体"/>
          <w:szCs w:val="21"/>
          <w:highlight w:val="none"/>
        </w:rPr>
        <w:t>颗粒沉淀物</w:t>
      </w:r>
      <w:r>
        <w:rPr>
          <w:rFonts w:hint="eastAsia" w:ascii="宋体" w:hAnsi="宋体" w:cs="宋体"/>
          <w:szCs w:val="21"/>
          <w:highlight w:val="none"/>
        </w:rPr>
        <w:t>。</w:t>
      </w:r>
    </w:p>
    <w:p>
      <w:pPr>
        <w:autoSpaceDE w:val="0"/>
        <w:autoSpaceDN w:val="0"/>
        <w:spacing w:line="360" w:lineRule="auto"/>
        <w:rPr>
          <w:rFonts w:ascii="宋体" w:hAnsi="宋体" w:cs="宋体"/>
          <w:szCs w:val="21"/>
          <w:highlight w:val="none"/>
        </w:rPr>
      </w:pPr>
      <w:r>
        <w:rPr>
          <w:rFonts w:hint="eastAsia" w:ascii="宋体" w:hAnsi="宋体" w:cs="宋体"/>
          <w:szCs w:val="21"/>
          <w:highlight w:val="none"/>
        </w:rPr>
        <w:t xml:space="preserve">    2、各项技术指标必须符合技术规格书所示要求。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zh-CN"/>
        </w:rPr>
        <w:t>乙方供货前须提供本项目各种规格货物相应资质的质量监督机构出具的检验报告，否则甲方有权不予验收</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4、本次采购的货物应为原品牌原装全新合格产品，不得以次充好；产品来源渠道必须合法，同时应根据国家有关规定、厂家服务承诺及采购人的要求做好售后服务工作。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zh-CN"/>
        </w:rPr>
        <w:t>乙方将所供货物运至交货地点后，由甲方依据招标文件的技术要求和国家有关质量标准进行当场验收，验收不合格的不予签收。必要时将会同有关部门以及聘请的技术顾问履行监督责任。合同货物从验收合格后，出现非甲方人为因素造成的无法排除的故障，由乙方予以调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6、投标人提供的货物制造标准、安装标准及技术规范等，必须符合最新国家标准的要求。各项技术标准应当符合国家强制性标准。</w:t>
      </w:r>
    </w:p>
    <w:p>
      <w:pPr>
        <w:autoSpaceDE w:val="0"/>
        <w:autoSpaceDN w:val="0"/>
        <w:adjustRightInd w:val="0"/>
        <w:spacing w:line="360" w:lineRule="auto"/>
        <w:ind w:right="85" w:firstLine="480"/>
        <w:rPr>
          <w:rFonts w:ascii="宋体"/>
          <w:kern w:val="0"/>
          <w:szCs w:val="21"/>
          <w:highlight w:val="none"/>
          <w:lang w:val="zh-CN"/>
        </w:rPr>
      </w:pPr>
      <w:r>
        <w:rPr>
          <w:rFonts w:hint="eastAsia" w:ascii="宋体" w:hAnsi="宋体"/>
          <w:szCs w:val="21"/>
          <w:highlight w:val="none"/>
        </w:rPr>
        <w:t>7、</w:t>
      </w:r>
      <w:r>
        <w:rPr>
          <w:rFonts w:ascii="宋体"/>
          <w:kern w:val="0"/>
          <w:szCs w:val="21"/>
          <w:highlight w:val="none"/>
          <w:lang w:val="zh-CN"/>
        </w:rPr>
        <w:t>甲方有权对所送货物进行质量检验，可取样送具有相应资质的单位检测。检测报告须经甲方确认。具体约定事项如下：</w:t>
      </w:r>
    </w:p>
    <w:p>
      <w:pPr>
        <w:autoSpaceDE w:val="0"/>
        <w:autoSpaceDN w:val="0"/>
        <w:adjustRightInd w:val="0"/>
        <w:spacing w:line="360" w:lineRule="auto"/>
        <w:ind w:right="85" w:firstLine="480"/>
        <w:rPr>
          <w:rFonts w:ascii="宋体"/>
          <w:kern w:val="0"/>
          <w:szCs w:val="21"/>
          <w:highlight w:val="none"/>
          <w:lang w:val="zh-CN"/>
        </w:rPr>
      </w:pPr>
      <w:r>
        <w:rPr>
          <w:rFonts w:ascii="宋体"/>
          <w:kern w:val="0"/>
          <w:szCs w:val="21"/>
          <w:highlight w:val="none"/>
          <w:lang w:val="zh-CN"/>
        </w:rPr>
        <w:t xml:space="preserve">①供货期内每年可对所送货物（仓库抽检） </w:t>
      </w:r>
      <w:r>
        <w:rPr>
          <w:rFonts w:ascii="宋体"/>
          <w:b/>
          <w:bCs/>
          <w:color w:val="auto"/>
          <w:kern w:val="0"/>
          <w:szCs w:val="21"/>
          <w:highlight w:val="none"/>
          <w:lang w:val="zh-CN"/>
        </w:rPr>
        <w:t>进行</w:t>
      </w:r>
      <w:r>
        <w:rPr>
          <w:rFonts w:hint="eastAsia" w:ascii="宋体"/>
          <w:b/>
          <w:bCs/>
          <w:color w:val="auto"/>
          <w:kern w:val="0"/>
          <w:szCs w:val="21"/>
          <w:highlight w:val="none"/>
          <w:lang w:val="zh-CN"/>
        </w:rPr>
        <w:t>二</w:t>
      </w:r>
      <w:r>
        <w:rPr>
          <w:rFonts w:ascii="宋体"/>
          <w:b/>
          <w:bCs/>
          <w:color w:val="auto"/>
          <w:kern w:val="0"/>
          <w:szCs w:val="21"/>
          <w:highlight w:val="none"/>
          <w:lang w:val="zh-CN"/>
        </w:rPr>
        <w:t>次质量检验</w:t>
      </w:r>
      <w:r>
        <w:rPr>
          <w:rFonts w:ascii="宋体"/>
          <w:kern w:val="0"/>
          <w:szCs w:val="21"/>
          <w:highlight w:val="none"/>
          <w:lang w:val="zh-CN"/>
        </w:rPr>
        <w:t>，送到具有相应资质的单位检测；检测所产生的全部费用均由乙方负责。</w:t>
      </w:r>
    </w:p>
    <w:p>
      <w:pPr>
        <w:spacing w:line="360" w:lineRule="auto"/>
        <w:ind w:firstLine="420" w:firstLineChars="200"/>
        <w:rPr>
          <w:rFonts w:ascii="宋体" w:hAnsi="宋体"/>
          <w:szCs w:val="21"/>
          <w:highlight w:val="none"/>
        </w:rPr>
      </w:pPr>
      <w:r>
        <w:rPr>
          <w:rFonts w:ascii="宋体"/>
          <w:kern w:val="0"/>
          <w:szCs w:val="21"/>
          <w:highlight w:val="none"/>
          <w:lang w:val="zh-CN"/>
        </w:rPr>
        <w:t>②如果抽检检验质量不合格，所产生的全部费用（包括检验费用、路途运输费用等）由乙方负责。本次的中标合同终止； 质量保证金甲方予以全部没收。</w:t>
      </w:r>
    </w:p>
    <w:p>
      <w:pPr>
        <w:spacing w:line="360" w:lineRule="auto"/>
        <w:ind w:firstLine="420" w:firstLineChars="200"/>
        <w:rPr>
          <w:rFonts w:ascii="宋体" w:hAnsi="宋体"/>
          <w:szCs w:val="21"/>
          <w:highlight w:val="none"/>
        </w:rPr>
      </w:pPr>
      <w:r>
        <w:rPr>
          <w:rFonts w:hint="eastAsia" w:ascii="宋体" w:hAnsi="宋体"/>
          <w:szCs w:val="21"/>
          <w:highlight w:val="none"/>
        </w:rPr>
        <w:t>8、中标供应商须对因投标货物使用期内本身的固有缺陷和瑕疵承担责任。</w:t>
      </w:r>
    </w:p>
    <w:p>
      <w:pPr>
        <w:spacing w:line="360" w:lineRule="auto"/>
        <w:ind w:firstLine="422" w:firstLineChars="200"/>
        <w:rPr>
          <w:rFonts w:ascii="宋体" w:hAnsi="宋体"/>
          <w:szCs w:val="21"/>
          <w:highlight w:val="none"/>
        </w:rPr>
      </w:pPr>
      <w:r>
        <w:rPr>
          <w:rFonts w:hint="eastAsia" w:ascii="宋体" w:hAnsi="宋体"/>
          <w:b/>
          <w:szCs w:val="21"/>
          <w:highlight w:val="none"/>
        </w:rPr>
        <w:t>（二）售后服务</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（1）投标人必须有可靠的售后服务保障，包括有固定的维修服务点，能提供正常的技术、备品备件服务。当发生故障时，中标人在接到采购单位通知后，</w:t>
      </w:r>
      <w:r>
        <w:rPr>
          <w:rFonts w:hint="eastAsia" w:ascii="宋体" w:hAnsi="宋体" w:cs="宋体"/>
          <w:b/>
          <w:bCs/>
          <w:kern w:val="0"/>
          <w:szCs w:val="21"/>
          <w:highlight w:val="none"/>
          <w:u w:val="single"/>
          <w:lang w:val="en-US" w:eastAsia="zh-CN"/>
        </w:rPr>
        <w:t xml:space="preserve">    </w:t>
      </w:r>
      <w:r>
        <w:rPr>
          <w:rFonts w:hint="eastAsia" w:ascii="宋体" w:hAnsi="宋体" w:cs="宋体"/>
          <w:szCs w:val="21"/>
          <w:highlight w:val="none"/>
        </w:rPr>
        <w:t>小时内予以答复，在采购人要求时，中标人的技术人员在收到采购人通知后</w:t>
      </w:r>
      <w:r>
        <w:rPr>
          <w:rFonts w:hint="eastAsia" w:ascii="宋体" w:hAnsi="宋体" w:cs="宋体"/>
          <w:b/>
          <w:bCs/>
          <w:kern w:val="0"/>
          <w:szCs w:val="21"/>
          <w:highlight w:val="none"/>
          <w:u w:val="single"/>
          <w:lang w:val="en-US" w:eastAsia="zh-CN"/>
        </w:rPr>
        <w:t xml:space="preserve">    </w:t>
      </w:r>
      <w:r>
        <w:rPr>
          <w:rFonts w:hint="eastAsia" w:ascii="宋体" w:hAnsi="宋体" w:cs="宋体"/>
          <w:szCs w:val="21"/>
          <w:highlight w:val="none"/>
        </w:rPr>
        <w:t>小时之内到现场进行修理。</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（2）中标人服务维修人员均经过良好的系统技术培训，并有丰富的现场维修经验。</w:t>
      </w:r>
    </w:p>
    <w:p>
      <w:pPr>
        <w:spacing w:line="360" w:lineRule="auto"/>
        <w:ind w:firstLine="315" w:firstLineChars="150"/>
        <w:rPr>
          <w:highlight w:val="none"/>
        </w:rPr>
      </w:pPr>
      <w:r>
        <w:rPr>
          <w:rFonts w:hint="eastAsia" w:ascii="宋体" w:hAnsi="宋体" w:cs="宋体"/>
          <w:szCs w:val="21"/>
          <w:highlight w:val="none"/>
        </w:rPr>
        <w:t>（3）若中标人未能满足上述售后服务要求中的任何一条，采购单位有权委托第三方单位提供售后服务，由此产生的一切费用由中标人承担。</w:t>
      </w:r>
    </w:p>
    <w:p>
      <w:pPr>
        <w:widowControl/>
        <w:numPr>
          <w:ilvl w:val="0"/>
          <w:numId w:val="5"/>
        </w:numPr>
        <w:spacing w:beforeLines="50" w:line="360" w:lineRule="auto"/>
        <w:jc w:val="left"/>
        <w:rPr>
          <w:rFonts w:ascii="宋体" w:hAnsi="宋体" w:cs="宋体"/>
          <w:b/>
          <w:bCs/>
          <w:kern w:val="0"/>
          <w:szCs w:val="21"/>
          <w:highlight w:val="none"/>
          <w:lang w:val="zh-CN"/>
        </w:rPr>
      </w:pPr>
      <w:r>
        <w:rPr>
          <w:rFonts w:hint="eastAsia" w:ascii="宋体" w:hAnsi="宋体" w:cs="宋体"/>
          <w:b/>
          <w:bCs/>
          <w:kern w:val="0"/>
          <w:szCs w:val="21"/>
          <w:highlight w:val="none"/>
          <w:lang w:val="zh-CN"/>
        </w:rPr>
        <w:t>履约保证金</w:t>
      </w:r>
    </w:p>
    <w:p>
      <w:pPr>
        <w:numPr>
          <w:ilvl w:val="0"/>
          <w:numId w:val="7"/>
        </w:numPr>
        <w:spacing w:line="360" w:lineRule="auto"/>
        <w:ind w:firstLine="422" w:firstLineChars="200"/>
        <w:jc w:val="left"/>
        <w:rPr>
          <w:rFonts w:ascii="宋体" w:hAnsi="宋体" w:cs="宋体"/>
          <w:b/>
          <w:bCs/>
          <w:snapToGrid w:val="0"/>
          <w:kern w:val="0"/>
          <w:szCs w:val="21"/>
          <w:highlight w:val="none"/>
        </w:rPr>
      </w:pPr>
      <w:r>
        <w:rPr>
          <w:rFonts w:hint="eastAsia" w:ascii="宋体" w:hAnsi="宋体" w:cs="宋体"/>
          <w:b/>
          <w:bCs/>
          <w:snapToGrid w:val="0"/>
          <w:kern w:val="0"/>
          <w:szCs w:val="21"/>
          <w:highlight w:val="none"/>
        </w:rPr>
        <w:t>在合同签订前乙方须向甲方交纳</w:t>
      </w:r>
      <w:r>
        <w:rPr>
          <w:rFonts w:hint="eastAsia" w:ascii="宋体" w:hAnsi="宋体" w:cs="宋体"/>
          <w:b/>
          <w:bCs/>
          <w:snapToGrid w:val="0"/>
          <w:kern w:val="0"/>
          <w:szCs w:val="21"/>
          <w:highlight w:val="none"/>
          <w:u w:val="single"/>
          <w:lang w:val="en-US" w:eastAsia="zh-CN"/>
        </w:rPr>
        <w:t>5</w:t>
      </w:r>
      <w:r>
        <w:rPr>
          <w:rFonts w:hint="eastAsia" w:ascii="宋体" w:hAnsi="宋体" w:cs="宋体"/>
          <w:b/>
          <w:bCs/>
          <w:snapToGrid w:val="0"/>
          <w:kern w:val="0"/>
          <w:szCs w:val="21"/>
          <w:highlight w:val="none"/>
          <w:u w:val="single"/>
        </w:rPr>
        <w:t>%</w:t>
      </w:r>
      <w:r>
        <w:rPr>
          <w:rFonts w:hint="eastAsia" w:ascii="宋体" w:hAnsi="宋体" w:eastAsia="宋体" w:cs="宋体"/>
          <w:b/>
          <w:bCs/>
          <w:snapToGrid w:val="0"/>
          <w:color w:val="000000"/>
          <w:kern w:val="0"/>
          <w:szCs w:val="21"/>
          <w:highlight w:val="none"/>
          <w:u w:val="single"/>
        </w:rPr>
        <w:t>（￥</w:t>
      </w:r>
      <w:r>
        <w:rPr>
          <w:rFonts w:hint="eastAsia" w:ascii="宋体" w:hAnsi="宋体" w:cs="宋体"/>
          <w:b/>
          <w:bCs/>
          <w:snapToGrid w:val="0"/>
          <w:color w:val="000000"/>
          <w:kern w:val="0"/>
          <w:szCs w:val="21"/>
          <w:highlight w:val="none"/>
          <w:u w:val="single"/>
          <w:lang w:val="en-US" w:eastAsia="zh-CN"/>
        </w:rPr>
        <w:t xml:space="preserve">     </w:t>
      </w:r>
      <w:r>
        <w:rPr>
          <w:rFonts w:hint="eastAsia" w:ascii="宋体" w:hAnsi="宋体" w:eastAsia="宋体" w:cs="宋体"/>
          <w:b/>
          <w:bCs/>
          <w:snapToGrid w:val="0"/>
          <w:color w:val="000000"/>
          <w:kern w:val="0"/>
          <w:szCs w:val="21"/>
          <w:highlight w:val="none"/>
          <w:u w:val="single"/>
        </w:rPr>
        <w:t>元）</w:t>
      </w:r>
      <w:r>
        <w:rPr>
          <w:rFonts w:hint="eastAsia" w:ascii="宋体" w:hAnsi="宋体" w:cs="宋体"/>
          <w:b/>
          <w:bCs/>
          <w:snapToGrid w:val="0"/>
          <w:kern w:val="0"/>
          <w:szCs w:val="21"/>
          <w:highlight w:val="none"/>
          <w:u w:val="none"/>
        </w:rPr>
        <w:t>作为</w:t>
      </w:r>
      <w:r>
        <w:rPr>
          <w:rFonts w:hint="eastAsia" w:ascii="宋体" w:hAnsi="宋体" w:cs="宋体"/>
          <w:b/>
          <w:bCs/>
          <w:snapToGrid w:val="0"/>
          <w:kern w:val="0"/>
          <w:szCs w:val="21"/>
          <w:highlight w:val="none"/>
        </w:rPr>
        <w:t>履约保证金</w:t>
      </w:r>
      <w:r>
        <w:rPr>
          <w:rFonts w:hint="eastAsia" w:ascii="宋体" w:hAnsi="宋体" w:cs="宋体"/>
          <w:b/>
          <w:bCs/>
          <w:snapToGrid w:val="0"/>
          <w:color w:val="000000"/>
          <w:kern w:val="0"/>
          <w:szCs w:val="21"/>
          <w:highlight w:val="none"/>
          <w:lang w:val="en-US" w:eastAsia="zh-CN"/>
        </w:rPr>
        <w:t>,</w:t>
      </w:r>
      <w:r>
        <w:rPr>
          <w:rFonts w:hint="eastAsia" w:ascii="宋体" w:hAnsi="宋体" w:cs="宋体"/>
          <w:b/>
          <w:bCs/>
          <w:snapToGrid w:val="0"/>
          <w:kern w:val="0"/>
          <w:szCs w:val="21"/>
          <w:highlight w:val="none"/>
        </w:rPr>
        <w:t>履约保证金交付至甲方指定账户(允许以转账、银行保函形式提交)。乙方在履约期间未出现违约行为，其履约保证金待最后一批货物供货初验合格后7天内退还乙方（不计息）。</w:t>
      </w:r>
    </w:p>
    <w:p>
      <w:pPr>
        <w:widowControl/>
        <w:spacing w:line="360" w:lineRule="auto"/>
        <w:ind w:firstLine="632" w:firstLineChars="300"/>
        <w:textAlignment w:val="bottom"/>
        <w:rPr>
          <w:rFonts w:ascii="宋体" w:hAnsi="宋体" w:cs="宋体"/>
          <w:b/>
          <w:bCs/>
          <w:kern w:val="0"/>
          <w:szCs w:val="21"/>
          <w:highlight w:val="none"/>
        </w:rPr>
      </w:pPr>
      <w:r>
        <w:rPr>
          <w:rFonts w:hint="eastAsia" w:ascii="宋体" w:hAnsi="宋体" w:cs="宋体"/>
          <w:b/>
          <w:bCs/>
          <w:kern w:val="0"/>
          <w:szCs w:val="21"/>
          <w:highlight w:val="none"/>
        </w:rPr>
        <w:t>甲方指定交纳账户信息：</w:t>
      </w:r>
    </w:p>
    <w:p>
      <w:pPr>
        <w:widowControl/>
        <w:spacing w:line="360" w:lineRule="auto"/>
        <w:ind w:firstLine="632" w:firstLineChars="300"/>
        <w:textAlignment w:val="bottom"/>
        <w:rPr>
          <w:rFonts w:ascii="宋体" w:hAnsi="宋体" w:cs="宋体"/>
          <w:b/>
          <w:bCs/>
          <w:kern w:val="0"/>
          <w:szCs w:val="21"/>
          <w:highlight w:val="none"/>
        </w:rPr>
      </w:pPr>
      <w:r>
        <w:rPr>
          <w:rFonts w:hint="eastAsia" w:ascii="宋体" w:hAnsi="宋体" w:cs="宋体"/>
          <w:b/>
          <w:bCs/>
          <w:kern w:val="0"/>
          <w:szCs w:val="21"/>
          <w:highlight w:val="none"/>
        </w:rPr>
        <w:t>公司名称：仙居县力天市政工程有限公司</w:t>
      </w:r>
    </w:p>
    <w:p>
      <w:pPr>
        <w:widowControl/>
        <w:spacing w:line="360" w:lineRule="auto"/>
        <w:ind w:firstLine="632" w:firstLineChars="300"/>
        <w:textAlignment w:val="bottom"/>
        <w:rPr>
          <w:rFonts w:ascii="宋体" w:hAnsi="宋体" w:cs="宋体"/>
          <w:b/>
          <w:bCs/>
          <w:kern w:val="0"/>
          <w:szCs w:val="21"/>
          <w:highlight w:val="none"/>
        </w:rPr>
      </w:pPr>
      <w:r>
        <w:rPr>
          <w:rFonts w:hint="eastAsia" w:ascii="宋体" w:hAnsi="宋体" w:cs="宋体"/>
          <w:b/>
          <w:bCs/>
          <w:kern w:val="0"/>
          <w:szCs w:val="21"/>
          <w:highlight w:val="none"/>
        </w:rPr>
        <w:t>纳税人识别号：91331024571725080L</w:t>
      </w:r>
    </w:p>
    <w:p>
      <w:pPr>
        <w:widowControl/>
        <w:spacing w:line="360" w:lineRule="auto"/>
        <w:ind w:firstLine="632" w:firstLineChars="300"/>
        <w:textAlignment w:val="bottom"/>
        <w:rPr>
          <w:rFonts w:ascii="宋体" w:hAnsi="宋体" w:cs="宋体"/>
          <w:b/>
          <w:bCs/>
          <w:kern w:val="0"/>
          <w:szCs w:val="21"/>
          <w:highlight w:val="none"/>
        </w:rPr>
      </w:pPr>
      <w:r>
        <w:rPr>
          <w:rFonts w:hint="eastAsia" w:ascii="宋体" w:hAnsi="宋体" w:cs="宋体"/>
          <w:b/>
          <w:bCs/>
          <w:kern w:val="0"/>
          <w:szCs w:val="21"/>
          <w:highlight w:val="none"/>
        </w:rPr>
        <w:t>账  号：201000136917239</w:t>
      </w:r>
    </w:p>
    <w:p>
      <w:pPr>
        <w:widowControl/>
        <w:spacing w:line="360" w:lineRule="auto"/>
        <w:ind w:firstLine="632" w:firstLineChars="300"/>
        <w:textAlignment w:val="bottom"/>
        <w:rPr>
          <w:rFonts w:ascii="宋体" w:hAnsi="宋体" w:cs="宋体"/>
          <w:b/>
          <w:bCs/>
          <w:kern w:val="0"/>
          <w:szCs w:val="21"/>
          <w:highlight w:val="none"/>
        </w:rPr>
      </w:pPr>
      <w:r>
        <w:rPr>
          <w:rFonts w:hint="eastAsia" w:ascii="宋体" w:hAnsi="宋体" w:cs="宋体"/>
          <w:b/>
          <w:bCs/>
          <w:kern w:val="0"/>
          <w:szCs w:val="21"/>
          <w:highlight w:val="none"/>
        </w:rPr>
        <w:t>开户行：仙居农商银行营业部</w:t>
      </w:r>
    </w:p>
    <w:p>
      <w:pPr>
        <w:widowControl/>
        <w:numPr>
          <w:ilvl w:val="0"/>
          <w:numId w:val="5"/>
        </w:numPr>
        <w:spacing w:beforeLines="50" w:line="360" w:lineRule="auto"/>
        <w:jc w:val="left"/>
        <w:rPr>
          <w:rFonts w:ascii="宋体" w:hAnsi="宋体" w:cs="宋体"/>
          <w:b/>
          <w:bCs/>
          <w:kern w:val="0"/>
          <w:szCs w:val="21"/>
          <w:highlight w:val="none"/>
          <w:lang w:val="zh-CN"/>
        </w:rPr>
      </w:pPr>
      <w:r>
        <w:rPr>
          <w:rFonts w:hint="eastAsia" w:ascii="宋体" w:hAnsi="宋体" w:cs="宋体"/>
          <w:b/>
          <w:bCs/>
          <w:kern w:val="0"/>
          <w:szCs w:val="21"/>
          <w:highlight w:val="none"/>
          <w:lang w:val="zh-CN"/>
        </w:rPr>
        <w:t>付款方式：</w:t>
      </w:r>
    </w:p>
    <w:p>
      <w:pPr>
        <w:widowControl/>
        <w:numPr>
          <w:ilvl w:val="0"/>
          <w:numId w:val="0"/>
        </w:numPr>
        <w:spacing w:line="360" w:lineRule="auto"/>
        <w:ind w:leftChars="200"/>
        <w:rPr>
          <w:rFonts w:ascii="宋体" w:hAnsi="宋体" w:cs="宋体"/>
          <w:bCs/>
          <w:szCs w:val="21"/>
          <w:highlight w:val="none"/>
        </w:rPr>
      </w:pPr>
      <w:r>
        <w:rPr>
          <w:rFonts w:hint="eastAsia" w:ascii="宋体" w:hAnsi="宋体" w:cs="宋体"/>
          <w:bCs/>
          <w:szCs w:val="21"/>
          <w:highlight w:val="none"/>
          <w:lang w:val="en-US" w:eastAsia="zh-CN"/>
        </w:rPr>
        <w:t>1、</w:t>
      </w:r>
      <w:r>
        <w:rPr>
          <w:rFonts w:hint="eastAsia" w:ascii="宋体" w:hAnsi="宋体" w:cs="宋体"/>
          <w:bCs/>
          <w:szCs w:val="21"/>
          <w:highlight w:val="none"/>
        </w:rPr>
        <w:t>货物价格应按乙方的投标价格（原材料上涨或下跌，本价格保持不变）执行。</w:t>
      </w:r>
    </w:p>
    <w:p>
      <w:pPr>
        <w:widowControl/>
        <w:numPr>
          <w:ilvl w:val="0"/>
          <w:numId w:val="0"/>
        </w:numPr>
        <w:spacing w:line="360" w:lineRule="auto"/>
        <w:ind w:leftChars="200"/>
        <w:rPr>
          <w:rFonts w:hint="eastAsia" w:ascii="宋体" w:cs="宋体"/>
          <w:b/>
          <w:bCs/>
          <w:color w:val="auto"/>
          <w:szCs w:val="21"/>
          <w:highlight w:val="none"/>
          <w:lang w:val="en-US" w:eastAsia="zh-CN"/>
        </w:rPr>
      </w:pPr>
      <w:r>
        <w:rPr>
          <w:rFonts w:hint="eastAsia" w:ascii="宋体" w:hAnsi="宋体" w:cs="宋体"/>
          <w:bCs/>
          <w:szCs w:val="21"/>
          <w:highlight w:val="none"/>
          <w:lang w:val="en-US" w:eastAsia="zh-CN"/>
        </w:rPr>
        <w:t>2、</w:t>
      </w:r>
      <w:r>
        <w:rPr>
          <w:rFonts w:hint="eastAsia" w:ascii="宋体" w:hAnsi="宋体" w:cs="宋体"/>
          <w:bCs/>
          <w:szCs w:val="21"/>
          <w:highlight w:val="none"/>
          <w:lang w:val="zh-CN"/>
        </w:rPr>
        <w:t>付款方式：</w:t>
      </w:r>
      <w:r>
        <w:rPr>
          <w:rFonts w:hint="eastAsia" w:ascii="宋体" w:cs="宋体"/>
          <w:b/>
          <w:bCs/>
          <w:color w:val="auto"/>
          <w:szCs w:val="21"/>
          <w:highlight w:val="none"/>
        </w:rPr>
        <w:t>每批货到仓库或采购人指定地点后，由采购人对该批货物进行验收，待验收合格后的一个月内支付该批次货款的</w:t>
      </w:r>
      <w:r>
        <w:rPr>
          <w:rFonts w:hint="eastAsia" w:ascii="宋体" w:cs="宋体"/>
          <w:b/>
          <w:bCs/>
          <w:color w:val="auto"/>
          <w:szCs w:val="21"/>
          <w:highlight w:val="none"/>
          <w:lang w:val="en-US" w:eastAsia="zh-CN"/>
        </w:rPr>
        <w:t>97</w:t>
      </w:r>
      <w:r>
        <w:rPr>
          <w:rFonts w:hint="eastAsia" w:ascii="宋体" w:cs="宋体"/>
          <w:b/>
          <w:bCs/>
          <w:color w:val="auto"/>
          <w:szCs w:val="21"/>
          <w:highlight w:val="none"/>
        </w:rPr>
        <w:t>%，余下的3%货款在质保期满后一周内付清（不计息）。</w:t>
      </w:r>
      <w:r>
        <w:rPr>
          <w:rFonts w:hint="eastAsia" w:ascii="宋体" w:cs="宋体"/>
          <w:b/>
          <w:bCs/>
          <w:color w:val="auto"/>
          <w:szCs w:val="21"/>
          <w:highlight w:val="none"/>
          <w:lang w:val="en-US" w:eastAsia="zh-CN"/>
        </w:rPr>
        <w:t xml:space="preserve">  </w:t>
      </w:r>
    </w:p>
    <w:p>
      <w:pPr>
        <w:widowControl/>
        <w:numPr>
          <w:ilvl w:val="0"/>
          <w:numId w:val="0"/>
        </w:numPr>
        <w:spacing w:line="360" w:lineRule="auto"/>
        <w:ind w:leftChars="200"/>
        <w:rPr>
          <w:b w:val="0"/>
          <w:bCs w:val="0"/>
          <w:szCs w:val="21"/>
          <w:highlight w:val="none"/>
        </w:rPr>
      </w:pPr>
      <w:r>
        <w:rPr>
          <w:rFonts w:hint="eastAsia" w:ascii="宋体" w:cs="宋体"/>
          <w:b w:val="0"/>
          <w:bCs w:val="0"/>
          <w:color w:val="auto"/>
          <w:szCs w:val="21"/>
          <w:highlight w:val="none"/>
          <w:lang w:val="en-US" w:eastAsia="zh-CN"/>
        </w:rPr>
        <w:t>3、中标人应按采购人要求开具相应金额的增值税专用发票。</w:t>
      </w:r>
    </w:p>
    <w:p>
      <w:pPr>
        <w:widowControl/>
        <w:numPr>
          <w:ilvl w:val="0"/>
          <w:numId w:val="0"/>
        </w:numPr>
        <w:spacing w:line="360" w:lineRule="auto"/>
        <w:ind w:leftChars="200"/>
        <w:rPr>
          <w:szCs w:val="21"/>
          <w:highlight w:val="none"/>
        </w:rPr>
      </w:pPr>
      <w:r>
        <w:rPr>
          <w:rFonts w:hint="eastAsia" w:ascii="宋体" w:hAnsi="宋体" w:cs="宋体"/>
          <w:bCs/>
          <w:szCs w:val="21"/>
          <w:highlight w:val="none"/>
          <w:lang w:val="en-US" w:eastAsia="zh-CN"/>
        </w:rPr>
        <w:t>4、</w:t>
      </w:r>
      <w:r>
        <w:rPr>
          <w:rFonts w:hint="eastAsia" w:ascii="宋体" w:hAnsi="宋体" w:cs="宋体"/>
          <w:bCs/>
          <w:szCs w:val="21"/>
          <w:highlight w:val="none"/>
          <w:lang w:val="zh-CN"/>
        </w:rPr>
        <w:t>当采购数量与实际使用数量不一致时，由乙方根据实际使用量供货，合同的最终结算金额按实际使用量乘以成交单价进行计算。</w:t>
      </w:r>
    </w:p>
    <w:p>
      <w:pPr>
        <w:widowControl/>
        <w:numPr>
          <w:ilvl w:val="0"/>
          <w:numId w:val="5"/>
        </w:numPr>
        <w:spacing w:beforeLines="50" w:line="360" w:lineRule="auto"/>
        <w:jc w:val="left"/>
        <w:rPr>
          <w:rFonts w:ascii="宋体" w:hAnsi="宋体" w:cs="宋体"/>
          <w:b/>
          <w:bCs/>
          <w:kern w:val="0"/>
          <w:szCs w:val="21"/>
          <w:highlight w:val="none"/>
          <w:lang w:val="zh-CN"/>
        </w:rPr>
      </w:pPr>
      <w:r>
        <w:rPr>
          <w:rFonts w:hint="eastAsia" w:ascii="宋体" w:hAnsi="宋体" w:cs="宋体"/>
          <w:b/>
          <w:bCs/>
          <w:kern w:val="0"/>
          <w:szCs w:val="21"/>
          <w:highlight w:val="none"/>
          <w:lang w:val="zh-CN"/>
        </w:rPr>
        <w:t>储放</w:t>
      </w:r>
    </w:p>
    <w:p>
      <w:pPr>
        <w:widowControl/>
        <w:spacing w:line="360" w:lineRule="auto"/>
        <w:ind w:left="1" w:firstLine="420"/>
        <w:textAlignment w:val="bottom"/>
        <w:rPr>
          <w:rFonts w:ascii="宋体" w:hAnsi="宋体" w:cs="宋体"/>
          <w:kern w:val="0"/>
          <w:szCs w:val="21"/>
          <w:highlight w:val="none"/>
        </w:rPr>
      </w:pPr>
      <w:r>
        <w:rPr>
          <w:rFonts w:hint="eastAsia" w:ascii="宋体" w:hAnsi="宋体" w:cs="宋体"/>
          <w:kern w:val="0"/>
          <w:szCs w:val="21"/>
          <w:highlight w:val="none"/>
        </w:rPr>
        <w:t>1.货物由乙方运至甲方指定地点，验收交货前存放及保管概由乙方负责。</w:t>
      </w:r>
    </w:p>
    <w:p>
      <w:pPr>
        <w:widowControl/>
        <w:numPr>
          <w:ilvl w:val="0"/>
          <w:numId w:val="5"/>
        </w:numPr>
        <w:spacing w:beforeLines="50" w:line="360" w:lineRule="auto"/>
        <w:jc w:val="left"/>
        <w:rPr>
          <w:rFonts w:ascii="宋体" w:hAnsi="宋体" w:cs="宋体"/>
          <w:b/>
          <w:bCs/>
          <w:kern w:val="0"/>
          <w:szCs w:val="21"/>
          <w:highlight w:val="none"/>
          <w:lang w:val="zh-CN"/>
        </w:rPr>
      </w:pPr>
      <w:r>
        <w:rPr>
          <w:rFonts w:hint="eastAsia" w:ascii="宋体" w:hAnsi="宋体" w:cs="宋体"/>
          <w:b/>
          <w:bCs/>
          <w:kern w:val="0"/>
          <w:szCs w:val="21"/>
          <w:highlight w:val="none"/>
          <w:lang w:val="zh-CN"/>
        </w:rPr>
        <w:t>技术条款</w:t>
      </w:r>
    </w:p>
    <w:p>
      <w:pPr>
        <w:widowControl/>
        <w:spacing w:line="360" w:lineRule="auto"/>
        <w:ind w:left="1" w:right="-252" w:firstLine="420"/>
        <w:textAlignment w:val="bottom"/>
        <w:rPr>
          <w:rFonts w:ascii="宋体" w:hAnsi="宋体" w:cs="宋体"/>
          <w:kern w:val="0"/>
          <w:szCs w:val="21"/>
          <w:highlight w:val="none"/>
        </w:rPr>
      </w:pPr>
      <w:r>
        <w:rPr>
          <w:rFonts w:hint="eastAsia" w:ascii="宋体" w:hAnsi="宋体" w:cs="宋体"/>
          <w:kern w:val="0"/>
          <w:szCs w:val="21"/>
          <w:highlight w:val="none"/>
        </w:rPr>
        <w:t>乙方所供货物须符合招标文件设计图纸和国家标准及规范要求，乙方投标文件中列明的设备及元器件品牌、生产地、制造厂商、质量保证等必须符合相关的国家标准和规范。</w:t>
      </w:r>
    </w:p>
    <w:p>
      <w:pPr>
        <w:widowControl/>
        <w:numPr>
          <w:ilvl w:val="0"/>
          <w:numId w:val="5"/>
        </w:numPr>
        <w:spacing w:beforeLines="50" w:line="360" w:lineRule="auto"/>
        <w:jc w:val="left"/>
        <w:rPr>
          <w:rFonts w:ascii="宋体" w:hAnsi="宋体" w:cs="宋体"/>
          <w:b/>
          <w:bCs/>
          <w:kern w:val="0"/>
          <w:szCs w:val="21"/>
          <w:highlight w:val="none"/>
          <w:lang w:val="zh-CN"/>
        </w:rPr>
      </w:pPr>
      <w:r>
        <w:rPr>
          <w:rFonts w:hint="eastAsia" w:ascii="宋体" w:hAnsi="宋体" w:cs="宋体"/>
          <w:b/>
          <w:bCs/>
          <w:kern w:val="0"/>
          <w:szCs w:val="21"/>
          <w:highlight w:val="none"/>
          <w:lang w:val="zh-CN"/>
        </w:rPr>
        <w:t>质量保证</w:t>
      </w:r>
    </w:p>
    <w:p>
      <w:pPr>
        <w:widowControl/>
        <w:spacing w:line="360" w:lineRule="auto"/>
        <w:ind w:firstLine="420" w:firstLineChars="200"/>
        <w:textAlignment w:val="bottom"/>
        <w:rPr>
          <w:rFonts w:ascii="宋体" w:hAnsi="宋体" w:cs="宋体"/>
          <w:kern w:val="0"/>
          <w:szCs w:val="21"/>
          <w:highlight w:val="none"/>
          <w:lang w:val="zh-CN"/>
        </w:rPr>
      </w:pPr>
      <w:r>
        <w:rPr>
          <w:rFonts w:hint="eastAsia" w:ascii="宋体" w:hAnsi="宋体" w:cs="宋体"/>
          <w:kern w:val="0"/>
          <w:szCs w:val="21"/>
          <w:highlight w:val="none"/>
          <w:lang w:val="zh-CN"/>
        </w:rPr>
        <w:t>1. 乙方应按招标文件规定的货物性能、技术要求、质量标准向甲方提供未经使用的全新产品。</w:t>
      </w:r>
    </w:p>
    <w:p>
      <w:pPr>
        <w:widowControl/>
        <w:spacing w:line="360" w:lineRule="auto"/>
        <w:ind w:firstLine="420" w:firstLineChars="200"/>
        <w:textAlignment w:val="bottom"/>
        <w:rPr>
          <w:rFonts w:ascii="宋体" w:hAnsi="宋体" w:cs="宋体"/>
          <w:kern w:val="0"/>
          <w:szCs w:val="21"/>
          <w:highlight w:val="none"/>
          <w:lang w:val="zh-CN"/>
        </w:rPr>
      </w:pPr>
      <w:r>
        <w:rPr>
          <w:rFonts w:hint="eastAsia" w:ascii="宋体" w:hAnsi="宋体" w:cs="宋体"/>
          <w:kern w:val="0"/>
          <w:szCs w:val="21"/>
          <w:highlight w:val="none"/>
          <w:lang w:val="zh-CN"/>
        </w:rPr>
        <w:t>2.乙方提供的货物在质保期内因货物本身的质量问题发生故障，乙方应负责免费更换。对达不到技术要求者，根据实际情况，经双方协商，可按以下办法处理：</w:t>
      </w:r>
    </w:p>
    <w:p>
      <w:pPr>
        <w:widowControl/>
        <w:spacing w:line="360" w:lineRule="auto"/>
        <w:ind w:firstLine="420" w:firstLineChars="200"/>
        <w:textAlignment w:val="bottom"/>
        <w:rPr>
          <w:rFonts w:ascii="宋体" w:hAnsi="宋体" w:cs="宋体"/>
          <w:kern w:val="0"/>
          <w:szCs w:val="21"/>
          <w:highlight w:val="none"/>
          <w:lang w:val="zh-CN"/>
        </w:rPr>
      </w:pPr>
      <w:r>
        <w:rPr>
          <w:rFonts w:hint="eastAsia" w:ascii="宋体" w:hAnsi="宋体" w:cs="宋体"/>
          <w:kern w:val="0"/>
          <w:szCs w:val="21"/>
          <w:highlight w:val="none"/>
          <w:lang w:val="zh-CN"/>
        </w:rPr>
        <w:t>⑴更换：由乙方承担所发生的全部费用。</w:t>
      </w:r>
    </w:p>
    <w:p>
      <w:pPr>
        <w:widowControl/>
        <w:spacing w:line="360" w:lineRule="auto"/>
        <w:ind w:firstLine="420" w:firstLineChars="200"/>
        <w:textAlignment w:val="bottom"/>
        <w:rPr>
          <w:rFonts w:ascii="宋体" w:hAnsi="宋体" w:cs="宋体"/>
          <w:kern w:val="0"/>
          <w:szCs w:val="21"/>
          <w:highlight w:val="none"/>
          <w:lang w:val="zh-CN"/>
        </w:rPr>
      </w:pPr>
      <w:r>
        <w:rPr>
          <w:rFonts w:hint="eastAsia" w:ascii="宋体" w:hAnsi="宋体" w:cs="宋体"/>
          <w:kern w:val="0"/>
          <w:szCs w:val="21"/>
          <w:highlight w:val="none"/>
          <w:lang w:val="zh-CN"/>
        </w:rPr>
        <w:t>⑵贬值处理：由甲乙双方合议定价。</w:t>
      </w:r>
    </w:p>
    <w:p>
      <w:pPr>
        <w:widowControl/>
        <w:spacing w:line="360" w:lineRule="auto"/>
        <w:ind w:firstLine="420" w:firstLineChars="200"/>
        <w:textAlignment w:val="bottom"/>
        <w:rPr>
          <w:rFonts w:ascii="宋体" w:hAnsi="宋体" w:cs="宋体"/>
          <w:kern w:val="0"/>
          <w:szCs w:val="21"/>
          <w:highlight w:val="none"/>
          <w:lang w:val="zh-CN"/>
        </w:rPr>
      </w:pPr>
      <w:r>
        <w:rPr>
          <w:rFonts w:hint="eastAsia" w:ascii="宋体" w:hAnsi="宋体" w:cs="宋体"/>
          <w:kern w:val="0"/>
          <w:szCs w:val="21"/>
          <w:highlight w:val="none"/>
          <w:lang w:val="zh-CN"/>
        </w:rPr>
        <w:t>⑶退货处理：乙方应退还甲方支付的合同款，同时应承担该货物的直接费用（运输、保险、检验、货款利息及银行手续费等）。</w:t>
      </w:r>
    </w:p>
    <w:p>
      <w:pPr>
        <w:widowControl/>
        <w:spacing w:line="360" w:lineRule="auto"/>
        <w:ind w:firstLine="420" w:firstLineChars="200"/>
        <w:textAlignment w:val="bottom"/>
        <w:rPr>
          <w:rFonts w:ascii="宋体" w:hAnsi="宋体" w:cs="宋体"/>
          <w:kern w:val="0"/>
          <w:szCs w:val="21"/>
          <w:highlight w:val="none"/>
          <w:lang w:val="zh-CN"/>
        </w:rPr>
      </w:pPr>
      <w:r>
        <w:rPr>
          <w:rFonts w:hint="eastAsia" w:ascii="宋体" w:hAnsi="宋体" w:cs="宋体"/>
          <w:kern w:val="0"/>
          <w:szCs w:val="21"/>
          <w:highlight w:val="none"/>
          <w:lang w:val="zh-CN"/>
        </w:rPr>
        <w:t>3.如在使用过程中发生质量问题，乙方在接到甲方通知后在</w:t>
      </w:r>
      <w:r>
        <w:rPr>
          <w:rFonts w:hint="eastAsia" w:ascii="宋体" w:hAnsi="宋体" w:cs="宋体"/>
          <w:b/>
          <w:bCs/>
          <w:kern w:val="0"/>
          <w:szCs w:val="21"/>
          <w:highlight w:val="none"/>
          <w:u w:val="single"/>
          <w:lang w:val="en-US" w:eastAsia="zh-CN"/>
        </w:rPr>
        <w:t xml:space="preserve">    </w:t>
      </w:r>
      <w:r>
        <w:rPr>
          <w:rFonts w:hint="eastAsia" w:ascii="宋体" w:hAnsi="宋体" w:cs="宋体"/>
          <w:kern w:val="0"/>
          <w:szCs w:val="21"/>
          <w:highlight w:val="none"/>
          <w:lang w:val="zh-CN"/>
        </w:rPr>
        <w:t>小时内到达甲方现场。</w:t>
      </w:r>
    </w:p>
    <w:p>
      <w:pPr>
        <w:widowControl/>
        <w:spacing w:line="360" w:lineRule="auto"/>
        <w:ind w:firstLine="420" w:firstLineChars="200"/>
        <w:textAlignment w:val="bottom"/>
        <w:rPr>
          <w:rFonts w:ascii="宋体" w:hAnsi="宋体" w:cs="宋体"/>
          <w:kern w:val="0"/>
          <w:szCs w:val="21"/>
          <w:highlight w:val="none"/>
          <w:lang w:val="zh-CN"/>
        </w:rPr>
      </w:pPr>
      <w:r>
        <w:rPr>
          <w:rFonts w:hint="eastAsia" w:ascii="宋体" w:hAnsi="宋体" w:cs="宋体"/>
          <w:kern w:val="0"/>
          <w:szCs w:val="21"/>
          <w:highlight w:val="none"/>
          <w:lang w:val="zh-CN"/>
        </w:rPr>
        <w:t>4.在质保期内，乙方应对货物出现的质量及安全问题负责处理解决并承担一切费用。</w:t>
      </w:r>
    </w:p>
    <w:p>
      <w:pPr>
        <w:widowControl/>
        <w:numPr>
          <w:ilvl w:val="0"/>
          <w:numId w:val="5"/>
        </w:numPr>
        <w:spacing w:beforeLines="50" w:line="360" w:lineRule="auto"/>
        <w:jc w:val="left"/>
        <w:rPr>
          <w:rFonts w:ascii="宋体" w:hAnsi="宋体" w:cs="宋体"/>
          <w:b/>
          <w:bCs/>
          <w:kern w:val="0"/>
          <w:szCs w:val="21"/>
          <w:highlight w:val="none"/>
          <w:lang w:val="zh-CN"/>
        </w:rPr>
      </w:pPr>
      <w:r>
        <w:rPr>
          <w:rFonts w:hint="eastAsia" w:ascii="宋体" w:hAnsi="宋体" w:cs="宋体"/>
          <w:b/>
          <w:bCs/>
          <w:kern w:val="0"/>
          <w:szCs w:val="21"/>
          <w:highlight w:val="none"/>
          <w:lang w:val="zh-CN"/>
        </w:rPr>
        <w:t>本合同应为完整货物及功能的提供</w:t>
      </w:r>
    </w:p>
    <w:p>
      <w:pPr>
        <w:widowControl/>
        <w:spacing w:line="360" w:lineRule="auto"/>
        <w:ind w:left="1" w:right="-252" w:firstLine="420"/>
        <w:textAlignment w:val="bottom"/>
        <w:rPr>
          <w:rFonts w:ascii="宋体" w:hAnsi="宋体" w:cs="宋体"/>
          <w:kern w:val="0"/>
          <w:szCs w:val="21"/>
          <w:highlight w:val="none"/>
        </w:rPr>
      </w:pPr>
      <w:r>
        <w:rPr>
          <w:rFonts w:hint="eastAsia" w:ascii="宋体" w:hAnsi="宋体" w:cs="宋体"/>
          <w:kern w:val="0"/>
          <w:szCs w:val="21"/>
          <w:highlight w:val="none"/>
        </w:rPr>
        <w:t>对于甲方在标书中所要求的及乙方在投标文件和合同中所承诺提供的功能，乙方应无条件提供，由于设计及其他原因所造成的额外费用由乙方自行承担。由于甲方要求删除的部分及功能，乙方应予以在合同总价中扣除该部分的价格。</w:t>
      </w:r>
    </w:p>
    <w:p>
      <w:pPr>
        <w:widowControl/>
        <w:numPr>
          <w:ilvl w:val="0"/>
          <w:numId w:val="5"/>
        </w:numPr>
        <w:spacing w:beforeLines="50" w:line="360" w:lineRule="auto"/>
        <w:jc w:val="left"/>
        <w:rPr>
          <w:rFonts w:ascii="宋体" w:hAnsi="宋体" w:cs="宋体"/>
          <w:b/>
          <w:bCs/>
          <w:kern w:val="0"/>
          <w:szCs w:val="21"/>
          <w:highlight w:val="none"/>
          <w:lang w:val="zh-CN"/>
        </w:rPr>
      </w:pPr>
      <w:r>
        <w:rPr>
          <w:rFonts w:hint="eastAsia" w:ascii="宋体" w:hAnsi="宋体" w:cs="宋体"/>
          <w:b/>
          <w:bCs/>
          <w:kern w:val="0"/>
          <w:szCs w:val="21"/>
          <w:highlight w:val="none"/>
          <w:lang w:val="zh-CN"/>
        </w:rPr>
        <w:t>不可抗拒事故</w:t>
      </w:r>
    </w:p>
    <w:p>
      <w:pPr>
        <w:widowControl/>
        <w:spacing w:line="360" w:lineRule="auto"/>
        <w:ind w:left="1" w:right="-252" w:firstLine="420"/>
        <w:textAlignment w:val="bottom"/>
        <w:rPr>
          <w:rFonts w:ascii="宋体" w:hAnsi="宋体" w:cs="宋体"/>
          <w:kern w:val="0"/>
          <w:szCs w:val="21"/>
          <w:highlight w:val="none"/>
        </w:rPr>
      </w:pPr>
      <w:r>
        <w:rPr>
          <w:rFonts w:hint="eastAsia" w:ascii="宋体" w:hAnsi="宋体" w:cs="宋体"/>
          <w:kern w:val="0"/>
          <w:szCs w:val="21"/>
          <w:highlight w:val="none"/>
        </w:rPr>
        <w:t>由于不可抗力的原因造成延期或不能服务，乙方将不承担责任，但乙方应立即通知甲方，不可抗力发生后15天内乙方将当地有关部门出具的事故证明书以书面形式通知甲方。在上述情况下，乙方仍应采取必要措施尽快服务。意外事故持续15天以上，甲方有权取消此合同，并保留要求乙方赔偿的权利。</w:t>
      </w:r>
    </w:p>
    <w:p>
      <w:pPr>
        <w:widowControl/>
        <w:numPr>
          <w:ilvl w:val="0"/>
          <w:numId w:val="5"/>
        </w:numPr>
        <w:spacing w:beforeLines="50" w:line="360" w:lineRule="auto"/>
        <w:jc w:val="left"/>
        <w:rPr>
          <w:rFonts w:ascii="宋体" w:hAnsi="宋体" w:cs="宋体"/>
          <w:b/>
          <w:bCs/>
          <w:kern w:val="0"/>
          <w:szCs w:val="21"/>
          <w:highlight w:val="none"/>
          <w:lang w:val="zh-CN"/>
        </w:rPr>
      </w:pPr>
      <w:r>
        <w:rPr>
          <w:rFonts w:hint="eastAsia" w:ascii="宋体" w:hAnsi="宋体" w:cs="宋体"/>
          <w:b/>
          <w:bCs/>
          <w:kern w:val="0"/>
          <w:szCs w:val="21"/>
          <w:highlight w:val="none"/>
          <w:lang w:val="zh-CN"/>
        </w:rPr>
        <w:t>违约责任</w:t>
      </w:r>
    </w:p>
    <w:p>
      <w:pPr>
        <w:spacing w:line="360" w:lineRule="auto"/>
        <w:ind w:right="-252" w:rightChars="-120" w:firstLine="420" w:firstLineChars="200"/>
        <w:rPr>
          <w:rFonts w:ascii="宋体" w:hAnsi="宋体" w:cs="宋体"/>
          <w:szCs w:val="21"/>
          <w:highlight w:val="none"/>
        </w:rPr>
      </w:pPr>
      <w:r>
        <w:rPr>
          <w:rFonts w:hint="eastAsia" w:ascii="宋体" w:hAnsi="宋体" w:cs="宋体"/>
          <w:szCs w:val="21"/>
          <w:highlight w:val="none"/>
        </w:rPr>
        <w:t>乙方有下列违约情况之一，并在收到甲方发出的“乙方违约通知书”的当日或经甲方书面认可延长的时间内未能纠正过失，甲方有权单方终止部分或全部合同，在这种情况下，并不影响甲方向乙方提出索赔。</w:t>
      </w:r>
    </w:p>
    <w:p>
      <w:pPr>
        <w:spacing w:line="360" w:lineRule="auto"/>
        <w:ind w:right="-252" w:rightChars="-120" w:firstLine="420" w:firstLineChars="200"/>
        <w:rPr>
          <w:rFonts w:ascii="宋体" w:hAnsi="宋体" w:cs="宋体"/>
          <w:b/>
          <w:szCs w:val="21"/>
          <w:highlight w:val="none"/>
        </w:rPr>
      </w:pPr>
      <w:r>
        <w:rPr>
          <w:rFonts w:hint="eastAsia" w:ascii="宋体" w:hAnsi="宋体" w:cs="宋体"/>
          <w:szCs w:val="21"/>
          <w:highlight w:val="none"/>
        </w:rPr>
        <w:t>1．除人力不可抗拒因素</w:t>
      </w:r>
      <w:r>
        <w:rPr>
          <w:rFonts w:hint="eastAsia" w:ascii="宋体" w:hAnsi="宋体" w:cs="宋体"/>
          <w:b/>
          <w:szCs w:val="21"/>
          <w:highlight w:val="none"/>
        </w:rPr>
        <w:t>（不包括原材料上涨、环保因素以及雾霾等）</w:t>
      </w:r>
      <w:r>
        <w:rPr>
          <w:rFonts w:hint="eastAsia" w:ascii="宋体" w:hAnsi="宋体" w:cs="宋体"/>
          <w:szCs w:val="21"/>
          <w:highlight w:val="none"/>
        </w:rPr>
        <w:t>外，乙方不能按期交货（因运输、生产或其他原因，造成本公司安装中需用货物而影响工程交付使用）时，</w:t>
      </w:r>
      <w:r>
        <w:rPr>
          <w:rFonts w:hint="eastAsia" w:ascii="宋体" w:hAnsi="宋体" w:cs="宋体"/>
          <w:b/>
          <w:szCs w:val="21"/>
          <w:highlight w:val="none"/>
        </w:rPr>
        <w:t>乙方必须向甲方支付延期交货或延期交付使用的违约金，具体标准按合同总价每日千分之二计算。</w:t>
      </w:r>
    </w:p>
    <w:p>
      <w:pPr>
        <w:spacing w:line="360" w:lineRule="auto"/>
        <w:ind w:right="-252" w:rightChars="-120" w:firstLine="420" w:firstLineChars="200"/>
        <w:rPr>
          <w:rFonts w:ascii="宋体" w:hAnsi="宋体" w:cs="宋体"/>
          <w:szCs w:val="21"/>
          <w:highlight w:val="none"/>
        </w:rPr>
      </w:pPr>
      <w:r>
        <w:rPr>
          <w:rFonts w:hint="eastAsia" w:ascii="宋体" w:hAnsi="宋体" w:cs="宋体"/>
          <w:szCs w:val="21"/>
          <w:highlight w:val="none"/>
        </w:rPr>
        <w:t>2．延期交货时间超过15天或交货产品质量不合格，从而影响甲方按期正常使用的视为乙方严重违约，甲方有权立即终止合同。</w:t>
      </w:r>
      <w:r>
        <w:rPr>
          <w:rFonts w:hint="eastAsia" w:ascii="宋体" w:hAnsi="宋体" w:cs="宋体"/>
          <w:b/>
          <w:szCs w:val="21"/>
          <w:highlight w:val="none"/>
        </w:rPr>
        <w:t>因原材料上涨、环保因素以及雾霾、产量等因素不能按期交货的没收全部</w:t>
      </w:r>
      <w:r>
        <w:rPr>
          <w:rFonts w:hint="eastAsia" w:ascii="宋体" w:hAnsi="宋体" w:cs="宋体"/>
          <w:b/>
          <w:snapToGrid w:val="0"/>
          <w:kern w:val="0"/>
          <w:szCs w:val="21"/>
          <w:highlight w:val="none"/>
        </w:rPr>
        <w:t>履约保证金，</w:t>
      </w:r>
      <w:r>
        <w:rPr>
          <w:rFonts w:hint="eastAsia" w:ascii="宋体" w:hAnsi="宋体" w:cs="宋体"/>
          <w:szCs w:val="21"/>
          <w:highlight w:val="none"/>
        </w:rPr>
        <w:t>并赔偿甲方由此造成的一切损失，双倍返还甲方已支付的合同款。</w:t>
      </w:r>
    </w:p>
    <w:p>
      <w:pPr>
        <w:spacing w:line="360" w:lineRule="auto"/>
        <w:ind w:right="-252" w:rightChars="-120" w:firstLine="420" w:firstLineChars="200"/>
        <w:rPr>
          <w:rFonts w:ascii="宋体" w:hAnsi="宋体" w:cs="宋体"/>
          <w:szCs w:val="21"/>
          <w:highlight w:val="none"/>
        </w:rPr>
      </w:pPr>
      <w:r>
        <w:rPr>
          <w:rFonts w:hint="eastAsia" w:ascii="宋体" w:hAnsi="宋体" w:cs="宋体"/>
          <w:szCs w:val="21"/>
          <w:highlight w:val="none"/>
        </w:rPr>
        <w:t>3．乙方全部履行合同，甲方在收到乙方的付款（正式发票）通知后并审定无误按约定付款，如有违约，甲方按合同总价每日</w:t>
      </w:r>
      <w:r>
        <w:rPr>
          <w:rFonts w:hint="eastAsia" w:ascii="宋体" w:hAnsi="宋体" w:cs="宋体"/>
          <w:szCs w:val="21"/>
          <w:highlight w:val="none"/>
          <w:lang w:val="en-US" w:eastAsia="zh-CN"/>
        </w:rPr>
        <w:t>万</w:t>
      </w:r>
      <w:r>
        <w:rPr>
          <w:rFonts w:hint="eastAsia" w:ascii="宋体" w:hAnsi="宋体" w:cs="宋体"/>
          <w:szCs w:val="21"/>
          <w:highlight w:val="none"/>
        </w:rPr>
        <w:t>分之</w:t>
      </w:r>
      <w:r>
        <w:rPr>
          <w:rFonts w:hint="eastAsia" w:ascii="宋体" w:hAnsi="宋体" w:cs="宋体"/>
          <w:szCs w:val="21"/>
          <w:highlight w:val="none"/>
          <w:lang w:val="en-US" w:eastAsia="zh-CN"/>
        </w:rPr>
        <w:t>一</w:t>
      </w:r>
      <w:r>
        <w:rPr>
          <w:rFonts w:hint="eastAsia" w:ascii="宋体" w:hAnsi="宋体" w:cs="宋体"/>
          <w:szCs w:val="21"/>
          <w:highlight w:val="none"/>
        </w:rPr>
        <w:t>支付延期付款违约金。</w:t>
      </w:r>
    </w:p>
    <w:p>
      <w:pPr>
        <w:widowControl/>
        <w:numPr>
          <w:ilvl w:val="0"/>
          <w:numId w:val="5"/>
        </w:numPr>
        <w:spacing w:beforeLines="50" w:line="360" w:lineRule="auto"/>
        <w:jc w:val="left"/>
        <w:rPr>
          <w:rFonts w:ascii="宋体" w:hAnsi="宋体" w:cs="宋体"/>
          <w:b/>
          <w:bCs/>
          <w:kern w:val="0"/>
          <w:szCs w:val="21"/>
          <w:highlight w:val="none"/>
          <w:lang w:val="zh-CN"/>
        </w:rPr>
      </w:pPr>
      <w:r>
        <w:rPr>
          <w:rFonts w:hint="eastAsia" w:ascii="宋体" w:hAnsi="宋体" w:cs="宋体"/>
          <w:b/>
          <w:bCs/>
          <w:kern w:val="0"/>
          <w:szCs w:val="21"/>
          <w:highlight w:val="none"/>
          <w:lang w:val="zh-CN"/>
        </w:rPr>
        <w:t>索赔</w:t>
      </w:r>
    </w:p>
    <w:p>
      <w:pPr>
        <w:widowControl/>
        <w:spacing w:line="360" w:lineRule="auto"/>
        <w:ind w:left="1" w:right="-252" w:firstLine="420"/>
        <w:textAlignment w:val="bottom"/>
        <w:rPr>
          <w:rFonts w:ascii="宋体" w:hAnsi="宋体" w:cs="宋体"/>
          <w:kern w:val="0"/>
          <w:szCs w:val="21"/>
          <w:highlight w:val="none"/>
        </w:rPr>
      </w:pPr>
      <w:r>
        <w:rPr>
          <w:rFonts w:hint="eastAsia" w:ascii="宋体" w:hAnsi="宋体" w:cs="宋体"/>
          <w:kern w:val="0"/>
          <w:szCs w:val="21"/>
          <w:highlight w:val="none"/>
        </w:rPr>
        <w:t>如在货物交货、使用过程中，甲方发现货物或货物中设备的品质与合同内容有不符及根据甲方按国家标准或行业标准自己检验的结果或当地技监部门的检验结果，或者在质量保证期限内，如果货物的数量、质量或规格与合同不符或证实货物是有缺陷的，包括潜在缺陷或使用不符合要求的材料等时，有权向乙方提出索赔，乙方在收到甲方索赔通知后2-5天内应免费维修或更换有缺陷的货物或部件。如果乙方在收到通知后5天内没有弥补缺陷，甲方可采取必要的补救措施，但风险和费用将由乙方承担，同时甲方对乙方行使的其它权利不受影响。</w:t>
      </w:r>
    </w:p>
    <w:p>
      <w:pPr>
        <w:widowControl/>
        <w:spacing w:line="360" w:lineRule="auto"/>
        <w:ind w:left="1" w:firstLine="420"/>
        <w:textAlignment w:val="bottom"/>
        <w:rPr>
          <w:rFonts w:ascii="宋体" w:hAnsi="宋体" w:cs="宋体"/>
          <w:kern w:val="0"/>
          <w:szCs w:val="21"/>
          <w:highlight w:val="none"/>
        </w:rPr>
      </w:pPr>
      <w:r>
        <w:rPr>
          <w:rFonts w:hint="eastAsia" w:ascii="宋体" w:hAnsi="宋体" w:cs="宋体"/>
          <w:kern w:val="0"/>
          <w:szCs w:val="21"/>
          <w:highlight w:val="none"/>
        </w:rPr>
        <w:t>索赔方式除上述规定之外，甲方还有权选择以下方式进行索赔：</w:t>
      </w:r>
    </w:p>
    <w:p>
      <w:pPr>
        <w:widowControl/>
        <w:spacing w:line="360" w:lineRule="auto"/>
        <w:ind w:left="1" w:right="-252" w:firstLine="420"/>
        <w:textAlignment w:val="bottom"/>
        <w:rPr>
          <w:rFonts w:ascii="宋体" w:hAnsi="宋体" w:cs="宋体"/>
          <w:kern w:val="0"/>
          <w:szCs w:val="21"/>
          <w:highlight w:val="none"/>
        </w:rPr>
      </w:pPr>
      <w:r>
        <w:rPr>
          <w:rFonts w:hint="eastAsia" w:ascii="宋体" w:hAnsi="宋体" w:cs="宋体"/>
          <w:kern w:val="0"/>
          <w:szCs w:val="21"/>
          <w:highlight w:val="none"/>
        </w:rPr>
        <w:t>1．乙方同意退货，并返还甲方已支付的合同款，并承担由此发生的一切损失和费用，包括给甲方造成直接损失、利息、银行手续费、运费、保险费、仓储费、装车费以及为保护退回货物所需的其它必要费用。</w:t>
      </w:r>
    </w:p>
    <w:p>
      <w:pPr>
        <w:widowControl/>
        <w:spacing w:line="360" w:lineRule="auto"/>
        <w:ind w:left="1" w:firstLine="420"/>
        <w:textAlignment w:val="bottom"/>
        <w:rPr>
          <w:rFonts w:ascii="宋体" w:hAnsi="宋体" w:cs="宋体"/>
          <w:kern w:val="0"/>
          <w:szCs w:val="21"/>
          <w:highlight w:val="none"/>
        </w:rPr>
      </w:pPr>
      <w:r>
        <w:rPr>
          <w:rFonts w:hint="eastAsia" w:ascii="宋体" w:hAnsi="宋体" w:cs="宋体"/>
          <w:kern w:val="0"/>
          <w:szCs w:val="21"/>
          <w:highlight w:val="none"/>
        </w:rPr>
        <w:t>2．根据货物的损坏程度以及甲方遭受损失的数额，经甲方、乙方双方商定降低货物的价格。</w:t>
      </w:r>
    </w:p>
    <w:p>
      <w:pPr>
        <w:widowControl/>
        <w:spacing w:line="360" w:lineRule="auto"/>
        <w:ind w:left="1" w:right="-252" w:firstLine="420"/>
        <w:textAlignment w:val="bottom"/>
        <w:rPr>
          <w:rFonts w:ascii="宋体" w:hAnsi="宋体" w:cs="宋体"/>
          <w:kern w:val="0"/>
          <w:szCs w:val="21"/>
          <w:highlight w:val="none"/>
        </w:rPr>
      </w:pPr>
      <w:r>
        <w:rPr>
          <w:rFonts w:hint="eastAsia" w:ascii="宋体" w:hAnsi="宋体" w:cs="宋体"/>
          <w:kern w:val="0"/>
          <w:szCs w:val="21"/>
          <w:highlight w:val="none"/>
        </w:rPr>
        <w:t>3．用符合规格、质量和性能要求的新零件、部件或货物来更换有缺陷的部分或修补缺陷部分，乙方应承担一切费用和风险并负担甲方所发生的一切直接费用。同时，乙方应按合同规定，相应延长修补或被更换部件或货物的质量保证期。</w:t>
      </w:r>
    </w:p>
    <w:p>
      <w:pPr>
        <w:widowControl/>
        <w:spacing w:line="360" w:lineRule="auto"/>
        <w:ind w:left="1" w:right="-252" w:firstLine="420"/>
        <w:textAlignment w:val="bottom"/>
        <w:rPr>
          <w:rFonts w:ascii="宋体" w:hAnsi="宋体" w:cs="宋体"/>
          <w:kern w:val="0"/>
          <w:szCs w:val="21"/>
          <w:highlight w:val="none"/>
        </w:rPr>
      </w:pPr>
      <w:r>
        <w:rPr>
          <w:rFonts w:hint="eastAsia" w:ascii="宋体" w:hAnsi="宋体" w:cs="宋体"/>
          <w:kern w:val="0"/>
          <w:szCs w:val="21"/>
          <w:highlight w:val="none"/>
        </w:rPr>
        <w:t>4．从尚未支付的合同价款或履约保证金中扣除乙方应承担的违约金、赔偿金以及甲方因急需更换有关部件或紧急维修而支付的各种费用以及因索赔而发生的合理费用，包括律师费用。如果这些金额不足以补偿索赔金额，甲方有权向乙方提出对不足部分的补偿。</w:t>
      </w:r>
    </w:p>
    <w:p>
      <w:pPr>
        <w:widowControl/>
        <w:numPr>
          <w:ilvl w:val="0"/>
          <w:numId w:val="5"/>
        </w:numPr>
        <w:spacing w:beforeLines="50" w:line="360" w:lineRule="auto"/>
        <w:jc w:val="left"/>
        <w:rPr>
          <w:rFonts w:ascii="宋体" w:hAnsi="宋体" w:cs="宋体"/>
          <w:b/>
          <w:bCs/>
          <w:kern w:val="0"/>
          <w:szCs w:val="21"/>
          <w:highlight w:val="none"/>
          <w:lang w:val="zh-CN"/>
        </w:rPr>
      </w:pPr>
      <w:r>
        <w:rPr>
          <w:rFonts w:hint="eastAsia" w:ascii="宋体" w:hAnsi="宋体" w:cs="宋体"/>
          <w:b/>
          <w:bCs/>
          <w:kern w:val="0"/>
          <w:szCs w:val="21"/>
          <w:highlight w:val="none"/>
          <w:lang w:val="zh-CN"/>
        </w:rPr>
        <w:t>特别条款</w:t>
      </w:r>
    </w:p>
    <w:p>
      <w:pPr>
        <w:widowControl/>
        <w:spacing w:line="360" w:lineRule="auto"/>
        <w:ind w:left="1" w:firstLine="420"/>
        <w:textAlignment w:val="bottom"/>
        <w:rPr>
          <w:rFonts w:ascii="宋体" w:hAnsi="宋体" w:cs="宋体"/>
          <w:kern w:val="0"/>
          <w:szCs w:val="21"/>
          <w:highlight w:val="none"/>
        </w:rPr>
      </w:pPr>
      <w:r>
        <w:rPr>
          <w:rFonts w:hint="eastAsia" w:ascii="宋体" w:hAnsi="宋体" w:cs="宋体"/>
          <w:kern w:val="0"/>
          <w:szCs w:val="21"/>
          <w:highlight w:val="none"/>
        </w:rPr>
        <w:t>1．双方签约人为各自法定代表人或被授权代表。</w:t>
      </w:r>
    </w:p>
    <w:p>
      <w:pPr>
        <w:widowControl/>
        <w:spacing w:line="360" w:lineRule="auto"/>
        <w:ind w:left="1" w:right="-252" w:firstLine="420"/>
        <w:textAlignment w:val="bottom"/>
        <w:rPr>
          <w:rFonts w:ascii="宋体" w:hAnsi="宋体" w:cs="宋体"/>
          <w:kern w:val="0"/>
          <w:szCs w:val="21"/>
          <w:highlight w:val="none"/>
        </w:rPr>
      </w:pPr>
      <w:r>
        <w:rPr>
          <w:rFonts w:hint="eastAsia" w:ascii="宋体" w:hAnsi="宋体" w:cs="宋体"/>
          <w:kern w:val="0"/>
          <w:szCs w:val="21"/>
          <w:highlight w:val="none"/>
        </w:rPr>
        <w:t>2．本合同系指本文件及其附件中的所有部分；其中招标文件、中标的投标文件、乙方在招标过程中的澄清、承诺等为本合同不可缺少的必要组成部分。</w:t>
      </w:r>
    </w:p>
    <w:p>
      <w:pPr>
        <w:widowControl/>
        <w:numPr>
          <w:ilvl w:val="0"/>
          <w:numId w:val="5"/>
        </w:numPr>
        <w:spacing w:beforeLines="50" w:line="360" w:lineRule="auto"/>
        <w:jc w:val="left"/>
        <w:rPr>
          <w:rFonts w:ascii="宋体" w:hAnsi="宋体" w:cs="宋体"/>
          <w:b/>
          <w:bCs/>
          <w:kern w:val="0"/>
          <w:szCs w:val="21"/>
          <w:highlight w:val="none"/>
          <w:lang w:val="zh-CN"/>
        </w:rPr>
      </w:pPr>
      <w:r>
        <w:rPr>
          <w:rFonts w:hint="eastAsia" w:ascii="宋体" w:hAnsi="宋体" w:cs="宋体"/>
          <w:b/>
          <w:bCs/>
          <w:kern w:val="0"/>
          <w:szCs w:val="21"/>
          <w:highlight w:val="none"/>
          <w:lang w:val="zh-CN"/>
        </w:rPr>
        <w:t>其他</w:t>
      </w:r>
    </w:p>
    <w:p>
      <w:pPr>
        <w:widowControl/>
        <w:spacing w:line="360" w:lineRule="auto"/>
        <w:ind w:left="1" w:right="-252" w:firstLine="420"/>
        <w:textAlignment w:val="bottom"/>
        <w:rPr>
          <w:rFonts w:ascii="宋体" w:hAnsi="宋体" w:cs="宋体"/>
          <w:kern w:val="0"/>
          <w:szCs w:val="21"/>
          <w:highlight w:val="none"/>
        </w:rPr>
      </w:pPr>
      <w:r>
        <w:rPr>
          <w:rFonts w:hint="eastAsia" w:ascii="宋体" w:hAnsi="宋体" w:cs="宋体"/>
          <w:kern w:val="0"/>
          <w:szCs w:val="21"/>
          <w:highlight w:val="none"/>
        </w:rPr>
        <w:t>1、本合同未尽事宜，签约双方应友好协商解决。协商不成，任何一方均可向甲方所在地人民法院提起诉讼。</w:t>
      </w:r>
    </w:p>
    <w:p>
      <w:pPr>
        <w:pStyle w:val="21"/>
        <w:snapToGrid w:val="0"/>
        <w:spacing w:beforeLines="0" w:afterLines="0" w:line="360" w:lineRule="auto"/>
        <w:ind w:firstLine="420" w:firstLineChars="200"/>
        <w:rPr>
          <w:rFonts w:hAnsi="宋体"/>
          <w:sz w:val="21"/>
          <w:szCs w:val="21"/>
          <w:highlight w:val="none"/>
          <w:lang w:val="zh-CN"/>
        </w:rPr>
      </w:pPr>
      <w:r>
        <w:rPr>
          <w:rFonts w:hint="eastAsia" w:hAnsi="宋体"/>
          <w:sz w:val="21"/>
          <w:szCs w:val="21"/>
          <w:highlight w:val="none"/>
        </w:rPr>
        <w:t>2</w:t>
      </w:r>
      <w:r>
        <w:rPr>
          <w:rFonts w:hint="eastAsia" w:hAnsi="宋体"/>
          <w:sz w:val="21"/>
          <w:szCs w:val="21"/>
          <w:highlight w:val="none"/>
          <w:lang w:val="zh-CN"/>
        </w:rPr>
        <w:t>.合同经双方法定代表人或授权代表签字并加盖单位公章后生效。</w:t>
      </w:r>
    </w:p>
    <w:p>
      <w:pPr>
        <w:pStyle w:val="21"/>
        <w:snapToGrid w:val="0"/>
        <w:spacing w:beforeLines="0" w:afterLines="0" w:line="360" w:lineRule="auto"/>
        <w:ind w:firstLine="420" w:firstLineChars="200"/>
        <w:rPr>
          <w:rFonts w:hAnsi="宋体"/>
          <w:sz w:val="21"/>
          <w:szCs w:val="21"/>
          <w:highlight w:val="none"/>
          <w:lang w:val="zh-CN"/>
        </w:rPr>
      </w:pPr>
      <w:r>
        <w:rPr>
          <w:rFonts w:hint="eastAsia" w:hAnsi="宋体"/>
          <w:sz w:val="21"/>
          <w:szCs w:val="21"/>
          <w:highlight w:val="none"/>
        </w:rPr>
        <w:t>3</w:t>
      </w:r>
      <w:r>
        <w:rPr>
          <w:rFonts w:hint="eastAsia" w:hAnsi="宋体"/>
          <w:sz w:val="21"/>
          <w:szCs w:val="21"/>
          <w:highlight w:val="none"/>
          <w:lang w:val="zh-CN"/>
        </w:rPr>
        <w:t>.合同执行中涉及采购资金和采购内容修改或补充的，须经</w:t>
      </w:r>
      <w:r>
        <w:rPr>
          <w:rFonts w:hint="eastAsia" w:hAnsi="宋体"/>
          <w:sz w:val="21"/>
          <w:szCs w:val="21"/>
          <w:highlight w:val="none"/>
        </w:rPr>
        <w:t>双方协商一致</w:t>
      </w:r>
      <w:r>
        <w:rPr>
          <w:rFonts w:hint="eastAsia" w:hAnsi="宋体"/>
          <w:sz w:val="21"/>
          <w:szCs w:val="21"/>
          <w:highlight w:val="none"/>
          <w:lang w:val="zh-CN"/>
        </w:rPr>
        <w:t>，并签书面补充协议报采购监督管理部门备案，方可作为主合同不可分割的一部分。</w:t>
      </w:r>
    </w:p>
    <w:p>
      <w:pPr>
        <w:pStyle w:val="21"/>
        <w:snapToGrid w:val="0"/>
        <w:spacing w:beforeLines="0" w:afterLines="0" w:line="360" w:lineRule="auto"/>
        <w:ind w:firstLine="420" w:firstLineChars="200"/>
        <w:rPr>
          <w:rFonts w:hAnsi="宋体"/>
          <w:sz w:val="21"/>
          <w:szCs w:val="21"/>
          <w:highlight w:val="none"/>
          <w:lang w:val="zh-CN"/>
        </w:rPr>
      </w:pPr>
      <w:r>
        <w:rPr>
          <w:rFonts w:hint="eastAsia" w:hAnsi="宋体"/>
          <w:sz w:val="21"/>
          <w:szCs w:val="21"/>
          <w:highlight w:val="none"/>
        </w:rPr>
        <w:t>4、</w:t>
      </w:r>
      <w:r>
        <w:rPr>
          <w:rFonts w:hint="eastAsia" w:hAnsi="宋体"/>
          <w:sz w:val="21"/>
          <w:szCs w:val="21"/>
          <w:highlight w:val="none"/>
          <w:lang w:val="zh-CN"/>
        </w:rPr>
        <w:t>本合同未尽事宜，遵照《中华人民共和国民法典》有关条文执行。</w:t>
      </w:r>
    </w:p>
    <w:p>
      <w:pPr>
        <w:pStyle w:val="21"/>
        <w:snapToGrid w:val="0"/>
        <w:spacing w:beforeLines="0" w:afterLines="0" w:line="360" w:lineRule="auto"/>
        <w:ind w:firstLine="420" w:firstLineChars="200"/>
        <w:rPr>
          <w:rFonts w:hAnsi="宋体"/>
          <w:sz w:val="21"/>
          <w:szCs w:val="21"/>
          <w:highlight w:val="none"/>
          <w:lang w:val="zh-CN"/>
        </w:rPr>
      </w:pPr>
      <w:r>
        <w:rPr>
          <w:rFonts w:hint="eastAsia" w:hAnsi="宋体"/>
          <w:sz w:val="21"/>
          <w:szCs w:val="21"/>
          <w:highlight w:val="none"/>
        </w:rPr>
        <w:t>5</w:t>
      </w:r>
      <w:r>
        <w:rPr>
          <w:rFonts w:hint="eastAsia" w:hAnsi="宋体"/>
          <w:sz w:val="21"/>
          <w:szCs w:val="21"/>
          <w:highlight w:val="none"/>
          <w:lang w:val="zh-CN"/>
        </w:rPr>
        <w:t>.本合同一式</w:t>
      </w:r>
      <w:r>
        <w:rPr>
          <w:rFonts w:hint="eastAsia" w:hAnsi="宋体"/>
          <w:sz w:val="21"/>
          <w:szCs w:val="21"/>
          <w:highlight w:val="none"/>
        </w:rPr>
        <w:t>陆</w:t>
      </w:r>
      <w:r>
        <w:rPr>
          <w:rFonts w:hint="eastAsia" w:hAnsi="宋体"/>
          <w:sz w:val="21"/>
          <w:szCs w:val="21"/>
          <w:highlight w:val="none"/>
          <w:lang w:val="zh-CN"/>
        </w:rPr>
        <w:t>份，具有同等法律效力，甲乙双方各执</w:t>
      </w:r>
      <w:r>
        <w:rPr>
          <w:rFonts w:hint="eastAsia" w:hAnsi="宋体"/>
          <w:sz w:val="21"/>
          <w:szCs w:val="21"/>
          <w:highlight w:val="none"/>
        </w:rPr>
        <w:t>贰</w:t>
      </w:r>
      <w:r>
        <w:rPr>
          <w:rFonts w:hint="eastAsia" w:hAnsi="宋体"/>
          <w:sz w:val="21"/>
          <w:szCs w:val="21"/>
          <w:highlight w:val="none"/>
          <w:lang w:val="zh-CN"/>
        </w:rPr>
        <w:t>份；招标代理机构、仙居县国资工作中心各</w:t>
      </w:r>
      <w:r>
        <w:rPr>
          <w:rFonts w:hint="eastAsia" w:hAnsi="宋体"/>
          <w:sz w:val="21"/>
          <w:szCs w:val="21"/>
          <w:highlight w:val="none"/>
        </w:rPr>
        <w:t>壹</w:t>
      </w:r>
      <w:r>
        <w:rPr>
          <w:rFonts w:hint="eastAsia" w:hAnsi="宋体"/>
          <w:sz w:val="21"/>
          <w:szCs w:val="21"/>
          <w:highlight w:val="none"/>
          <w:lang w:val="zh-CN"/>
        </w:rPr>
        <w:t>份。</w:t>
      </w:r>
    </w:p>
    <w:p>
      <w:pPr>
        <w:spacing w:line="360" w:lineRule="auto"/>
        <w:textAlignment w:val="bottom"/>
        <w:rPr>
          <w:rFonts w:ascii="宋体" w:hAnsi="宋体" w:cs="宋体"/>
          <w:kern w:val="0"/>
          <w:szCs w:val="21"/>
          <w:highlight w:val="none"/>
        </w:rPr>
      </w:pPr>
    </w:p>
    <w:p>
      <w:pPr>
        <w:spacing w:line="360" w:lineRule="auto"/>
        <w:ind w:firstLine="420" w:firstLineChars="200"/>
        <w:textAlignment w:val="bottom"/>
        <w:rPr>
          <w:rFonts w:ascii="宋体" w:hAnsi="宋体" w:cs="宋体"/>
          <w:kern w:val="0"/>
          <w:szCs w:val="21"/>
          <w:highlight w:val="none"/>
        </w:rPr>
      </w:pPr>
      <w:r>
        <w:rPr>
          <w:rFonts w:hint="eastAsia" w:ascii="宋体" w:hAnsi="宋体" w:cs="宋体"/>
          <w:kern w:val="0"/>
          <w:szCs w:val="21"/>
          <w:highlight w:val="none"/>
        </w:rPr>
        <w:t>甲     方（</w:t>
      </w:r>
      <w:r>
        <w:rPr>
          <w:rFonts w:hint="eastAsia" w:ascii="宋体" w:hAnsi="宋体" w:cs="宋体"/>
          <w:kern w:val="0"/>
          <w:szCs w:val="21"/>
          <w:highlight w:val="none"/>
          <w:lang w:eastAsia="zh-CN"/>
        </w:rPr>
        <w:t>盖</w:t>
      </w:r>
      <w:r>
        <w:rPr>
          <w:rFonts w:hint="eastAsia" w:ascii="宋体" w:hAnsi="宋体" w:cs="宋体"/>
          <w:kern w:val="0"/>
          <w:szCs w:val="21"/>
          <w:highlight w:val="none"/>
        </w:rPr>
        <w:t>章）：                     乙     方（</w:t>
      </w:r>
      <w:r>
        <w:rPr>
          <w:rFonts w:hint="eastAsia" w:ascii="宋体" w:hAnsi="宋体" w:cs="宋体"/>
          <w:kern w:val="0"/>
          <w:szCs w:val="21"/>
          <w:highlight w:val="none"/>
          <w:lang w:eastAsia="zh-CN"/>
        </w:rPr>
        <w:t>盖</w:t>
      </w:r>
      <w:r>
        <w:rPr>
          <w:rFonts w:hint="eastAsia" w:ascii="宋体" w:hAnsi="宋体" w:cs="宋体"/>
          <w:kern w:val="0"/>
          <w:szCs w:val="21"/>
          <w:highlight w:val="none"/>
        </w:rPr>
        <w:t>章）：</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法定代表人（委托代理人）：              法定代表人（委托代理人）：</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电    话：</w:t>
      </w:r>
      <w:r>
        <w:rPr>
          <w:rFonts w:hint="eastAsia" w:ascii="宋体" w:hAnsi="宋体" w:cs="宋体"/>
          <w:kern w:val="0"/>
          <w:szCs w:val="21"/>
          <w:highlight w:val="none"/>
          <w:lang w:val="en-US" w:eastAsia="zh-CN"/>
        </w:rPr>
        <w:t xml:space="preserve">0576-87761757              </w:t>
      </w:r>
      <w:r>
        <w:rPr>
          <w:rFonts w:hint="eastAsia" w:ascii="宋体" w:hAnsi="宋体" w:cs="宋体"/>
          <w:kern w:val="0"/>
          <w:szCs w:val="21"/>
          <w:highlight w:val="none"/>
        </w:rPr>
        <w:t xml:space="preserve">   电    话：                       </w:t>
      </w:r>
    </w:p>
    <w:p>
      <w:pPr>
        <w:widowControl/>
        <w:spacing w:line="360" w:lineRule="auto"/>
        <w:ind w:firstLine="388" w:firstLineChars="200"/>
        <w:rPr>
          <w:rFonts w:ascii="宋体" w:hAnsi="宋体" w:cs="宋体"/>
          <w:kern w:val="0"/>
          <w:szCs w:val="21"/>
          <w:highlight w:val="none"/>
        </w:rPr>
      </w:pPr>
      <w:r>
        <w:rPr>
          <w:rFonts w:hint="eastAsia" w:ascii="宋体" w:hAnsi="宋体" w:cs="宋体"/>
          <w:spacing w:val="-8"/>
          <w:kern w:val="0"/>
          <w:szCs w:val="21"/>
          <w:highlight w:val="none"/>
        </w:rPr>
        <w:t>开 户 银 行</w:t>
      </w:r>
      <w:r>
        <w:rPr>
          <w:rFonts w:hint="eastAsia" w:ascii="宋体" w:hAnsi="宋体" w:cs="宋体"/>
          <w:kern w:val="0"/>
          <w:szCs w:val="21"/>
          <w:highlight w:val="none"/>
        </w:rPr>
        <w:t>：</w:t>
      </w:r>
      <w:r>
        <w:rPr>
          <w:rFonts w:hint="eastAsia" w:ascii="宋体" w:hAnsi="宋体" w:cs="宋体"/>
          <w:kern w:val="0"/>
          <w:szCs w:val="21"/>
          <w:highlight w:val="none"/>
          <w:lang w:val="en-US" w:eastAsia="zh-CN"/>
        </w:rPr>
        <w:t xml:space="preserve">仙居农商银行营业部          </w:t>
      </w:r>
      <w:r>
        <w:rPr>
          <w:rFonts w:hint="eastAsia" w:ascii="宋体" w:hAnsi="宋体" w:cs="宋体"/>
          <w:spacing w:val="-8"/>
          <w:kern w:val="0"/>
          <w:szCs w:val="21"/>
          <w:highlight w:val="none"/>
        </w:rPr>
        <w:t>开 户 银 行</w:t>
      </w:r>
      <w:r>
        <w:rPr>
          <w:rFonts w:hint="eastAsia" w:ascii="宋体" w:hAnsi="宋体" w:cs="宋体"/>
          <w:kern w:val="0"/>
          <w:szCs w:val="21"/>
          <w:highlight w:val="none"/>
        </w:rPr>
        <w:t xml:space="preserve">： </w:t>
      </w:r>
    </w:p>
    <w:p>
      <w:pPr>
        <w:widowControl/>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账    号：</w:t>
      </w:r>
      <w:r>
        <w:rPr>
          <w:rFonts w:hint="eastAsia" w:ascii="宋体" w:hAnsi="宋体" w:cs="宋体"/>
          <w:kern w:val="0"/>
          <w:szCs w:val="21"/>
          <w:highlight w:val="none"/>
          <w:lang w:val="en-US" w:eastAsia="zh-CN"/>
        </w:rPr>
        <w:t xml:space="preserve">201000136917239               </w:t>
      </w:r>
      <w:r>
        <w:rPr>
          <w:rFonts w:hint="eastAsia" w:ascii="宋体" w:hAnsi="宋体" w:cs="宋体"/>
          <w:kern w:val="0"/>
          <w:szCs w:val="21"/>
          <w:highlight w:val="none"/>
        </w:rPr>
        <w:t>账    号：</w:t>
      </w:r>
    </w:p>
    <w:p>
      <w:pPr>
        <w:spacing w:line="360" w:lineRule="auto"/>
        <w:ind w:firstLine="420" w:firstLineChars="200"/>
        <w:rPr>
          <w:rFonts w:hint="eastAsia" w:asciiTheme="minorEastAsia" w:hAnsiTheme="minorEastAsia" w:eastAsiaTheme="minorEastAsia" w:cstheme="minorEastAsia"/>
          <w:szCs w:val="21"/>
          <w:highlight w:val="none"/>
        </w:rPr>
      </w:pPr>
      <w:r>
        <w:rPr>
          <w:rFonts w:hint="eastAsia" w:hAnsi="宋体" w:cs="宋体"/>
          <w:szCs w:val="21"/>
          <w:highlight w:val="none"/>
          <w:lang w:val="en-US" w:eastAsia="zh-CN"/>
        </w:rPr>
        <w:t xml:space="preserve">      </w:t>
      </w:r>
      <w:r>
        <w:rPr>
          <w:rFonts w:hint="eastAsia" w:hAnsi="宋体" w:cs="宋体"/>
          <w:szCs w:val="21"/>
          <w:highlight w:val="none"/>
        </w:rPr>
        <w:t xml:space="preserve">                      </w:t>
      </w:r>
      <w:r>
        <w:rPr>
          <w:rFonts w:hint="eastAsia" w:hAnsi="宋体" w:cs="宋体"/>
          <w:szCs w:val="21"/>
          <w:highlight w:val="none"/>
          <w:lang w:val="en-US" w:eastAsia="zh-CN"/>
        </w:rPr>
        <w:t xml:space="preserve">           </w:t>
      </w:r>
      <w:r>
        <w:rPr>
          <w:rFonts w:hint="eastAsia" w:hAnsi="宋体" w:cs="宋体"/>
          <w:szCs w:val="21"/>
          <w:highlight w:val="none"/>
        </w:rPr>
        <w:t xml:space="preserve"> </w:t>
      </w:r>
      <w:r>
        <w:rPr>
          <w:rFonts w:hint="eastAsia" w:hAnsi="宋体" w:cs="宋体"/>
          <w:szCs w:val="21"/>
          <w:highlight w:val="none"/>
          <w:lang w:eastAsia="zh-CN"/>
        </w:rPr>
        <w:t>签订</w:t>
      </w:r>
      <w:r>
        <w:rPr>
          <w:rFonts w:hint="eastAsia" w:hAnsi="宋体" w:cs="宋体"/>
          <w:szCs w:val="21"/>
          <w:highlight w:val="none"/>
        </w:rPr>
        <w:t xml:space="preserve">日期：    </w:t>
      </w:r>
      <w:r>
        <w:rPr>
          <w:rFonts w:hint="eastAsia" w:hAnsi="宋体" w:cs="宋体"/>
          <w:szCs w:val="21"/>
          <w:highlight w:val="none"/>
          <w:lang w:val="en-US" w:eastAsia="zh-CN"/>
        </w:rPr>
        <w:t xml:space="preserve"> </w:t>
      </w:r>
      <w:r>
        <w:rPr>
          <w:rFonts w:hint="eastAsia" w:hAnsi="宋体" w:cs="宋体"/>
          <w:szCs w:val="21"/>
          <w:highlight w:val="none"/>
        </w:rPr>
        <w:t>年</w:t>
      </w:r>
      <w:r>
        <w:rPr>
          <w:rFonts w:hint="eastAsia" w:hAnsi="宋体" w:cs="宋体"/>
          <w:szCs w:val="21"/>
          <w:highlight w:val="none"/>
          <w:lang w:val="en-US" w:eastAsia="zh-CN"/>
        </w:rPr>
        <w:t xml:space="preserve"> </w:t>
      </w:r>
      <w:r>
        <w:rPr>
          <w:rFonts w:hint="eastAsia" w:hAnsi="宋体" w:cs="宋体"/>
          <w:szCs w:val="21"/>
          <w:highlight w:val="none"/>
        </w:rPr>
        <w:t xml:space="preserve"> 月</w:t>
      </w:r>
      <w:r>
        <w:rPr>
          <w:rFonts w:hint="eastAsia" w:hAnsi="宋体" w:cs="宋体"/>
          <w:szCs w:val="21"/>
          <w:highlight w:val="none"/>
          <w:lang w:val="en-US" w:eastAsia="zh-CN"/>
        </w:rPr>
        <w:t xml:space="preserve"> </w:t>
      </w:r>
      <w:r>
        <w:rPr>
          <w:rFonts w:hint="eastAsia" w:hAnsi="宋体" w:cs="宋体"/>
          <w:szCs w:val="21"/>
          <w:highlight w:val="none"/>
        </w:rPr>
        <w:t xml:space="preserve"> 日</w:t>
      </w:r>
    </w:p>
    <w:p>
      <w:pPr>
        <w:rPr>
          <w:rFonts w:hint="eastAsia" w:ascii="宋体" w:hAnsi="宋体" w:cs="宋体"/>
          <w:sz w:val="32"/>
          <w:szCs w:val="32"/>
          <w:highlight w:val="none"/>
        </w:rPr>
      </w:pPr>
      <w:r>
        <w:rPr>
          <w:rFonts w:hint="eastAsia" w:ascii="宋体" w:hAnsi="宋体" w:cs="宋体"/>
          <w:sz w:val="32"/>
          <w:szCs w:val="32"/>
          <w:highlight w:val="none"/>
        </w:rPr>
        <w:br w:type="page"/>
      </w:r>
    </w:p>
    <w:p>
      <w:pPr>
        <w:pStyle w:val="4"/>
        <w:spacing w:before="0" w:after="0" w:line="360" w:lineRule="auto"/>
        <w:jc w:val="center"/>
        <w:rPr>
          <w:rFonts w:hint="eastAsia" w:ascii="宋体" w:hAnsi="宋体" w:cs="宋体"/>
          <w:sz w:val="32"/>
          <w:szCs w:val="32"/>
          <w:highlight w:val="none"/>
        </w:rPr>
      </w:pPr>
      <w:bookmarkStart w:id="204" w:name="_Toc27016"/>
      <w:r>
        <w:rPr>
          <w:rFonts w:hint="eastAsia" w:ascii="宋体" w:hAnsi="宋体" w:cs="宋体"/>
          <w:sz w:val="32"/>
          <w:szCs w:val="32"/>
          <w:highlight w:val="none"/>
        </w:rPr>
        <w:t>第六章  投标文件格式</w:t>
      </w:r>
      <w:bookmarkEnd w:id="204"/>
    </w:p>
    <w:p>
      <w:pPr>
        <w:pStyle w:val="5"/>
        <w:spacing w:before="0" w:after="0" w:line="360" w:lineRule="auto"/>
        <w:rPr>
          <w:rFonts w:hint="eastAsia" w:ascii="宋体" w:hAnsi="宋体" w:eastAsia="宋体" w:cs="宋体"/>
          <w:sz w:val="24"/>
          <w:szCs w:val="24"/>
          <w:highlight w:val="none"/>
          <w:lang w:val="zh-CN"/>
        </w:rPr>
      </w:pPr>
    </w:p>
    <w:p>
      <w:pPr>
        <w:pStyle w:val="5"/>
        <w:spacing w:before="0" w:after="0" w:line="360" w:lineRule="auto"/>
        <w:jc w:val="center"/>
        <w:rPr>
          <w:rFonts w:hint="eastAsia" w:ascii="宋体" w:hAnsi="宋体" w:eastAsia="宋体" w:cs="宋体"/>
          <w:sz w:val="24"/>
          <w:szCs w:val="24"/>
          <w:highlight w:val="none"/>
          <w:lang w:val="zh-CN"/>
        </w:rPr>
      </w:pPr>
    </w:p>
    <w:p>
      <w:pPr>
        <w:pStyle w:val="5"/>
        <w:spacing w:before="0" w:after="0" w:line="360" w:lineRule="auto"/>
        <w:jc w:val="center"/>
        <w:rPr>
          <w:rFonts w:hint="eastAsia" w:ascii="宋体" w:hAnsi="宋体" w:eastAsia="宋体" w:cs="宋体"/>
          <w:sz w:val="24"/>
          <w:szCs w:val="24"/>
          <w:highlight w:val="none"/>
          <w:lang w:val="zh-CN"/>
        </w:rPr>
      </w:pPr>
    </w:p>
    <w:p>
      <w:pPr>
        <w:pStyle w:val="5"/>
        <w:spacing w:before="0" w:after="0" w:line="360" w:lineRule="auto"/>
        <w:jc w:val="center"/>
        <w:rPr>
          <w:rFonts w:hint="eastAsia" w:ascii="宋体" w:hAnsi="宋体" w:eastAsia="宋体" w:cs="宋体"/>
          <w:sz w:val="24"/>
          <w:szCs w:val="24"/>
          <w:highlight w:val="none"/>
          <w:lang w:val="zh-CN"/>
        </w:rPr>
      </w:pPr>
    </w:p>
    <w:p>
      <w:pPr>
        <w:pStyle w:val="5"/>
        <w:spacing w:before="0" w:after="0" w:line="360" w:lineRule="auto"/>
        <w:jc w:val="center"/>
        <w:rPr>
          <w:rFonts w:hint="eastAsia" w:ascii="宋体" w:hAnsi="宋体" w:eastAsia="宋体" w:cs="宋体"/>
          <w:sz w:val="24"/>
          <w:szCs w:val="24"/>
          <w:highlight w:val="none"/>
          <w:lang w:val="zh-CN"/>
        </w:rPr>
      </w:pPr>
      <w:bookmarkStart w:id="205" w:name="_Toc31355"/>
      <w:bookmarkStart w:id="206" w:name="_Toc15131"/>
      <w:bookmarkStart w:id="207" w:name="_Toc26704"/>
      <w:bookmarkStart w:id="208" w:name="_Toc17406"/>
      <w:r>
        <w:rPr>
          <w:rFonts w:ascii="宋体" w:hAnsi="宋体" w:eastAsia="宋体" w:cs="宋体"/>
          <w:sz w:val="24"/>
          <w:szCs w:val="24"/>
          <w:highlight w:val="none"/>
          <w:lang w:val="zh-CN"/>
        </w:rPr>
        <w:t>1</w:t>
      </w:r>
      <w:r>
        <w:rPr>
          <w:rFonts w:hint="eastAsia" w:ascii="宋体" w:hAnsi="宋体" w:eastAsia="宋体" w:cs="宋体"/>
          <w:sz w:val="24"/>
          <w:szCs w:val="24"/>
          <w:highlight w:val="none"/>
          <w:lang w:val="zh-CN"/>
        </w:rPr>
        <w:t>、资格证明文件格式</w:t>
      </w:r>
      <w:bookmarkEnd w:id="205"/>
      <w:bookmarkEnd w:id="206"/>
      <w:bookmarkEnd w:id="207"/>
      <w:bookmarkEnd w:id="208"/>
    </w:p>
    <w:p>
      <w:pPr>
        <w:spacing w:line="360" w:lineRule="auto"/>
        <w:jc w:val="center"/>
        <w:rPr>
          <w:rFonts w:ascii="宋体" w:cs="宋体"/>
          <w:b/>
          <w:bCs/>
          <w:sz w:val="24"/>
          <w:highlight w:val="none"/>
        </w:rPr>
      </w:pPr>
      <w:r>
        <w:rPr>
          <w:rFonts w:hint="eastAsia" w:ascii="宋体" w:hAnsi="宋体" w:cs="宋体"/>
          <w:b/>
          <w:bCs/>
          <w:sz w:val="24"/>
          <w:highlight w:val="none"/>
        </w:rPr>
        <w:t>目</w:t>
      </w:r>
      <w:r>
        <w:rPr>
          <w:rFonts w:ascii="宋体" w:hAnsi="宋体" w:cs="宋体"/>
          <w:b/>
          <w:bCs/>
          <w:sz w:val="24"/>
          <w:highlight w:val="none"/>
        </w:rPr>
        <w:t xml:space="preserve">  </w:t>
      </w:r>
      <w:r>
        <w:rPr>
          <w:rFonts w:hint="eastAsia" w:ascii="宋体" w:hAnsi="宋体" w:cs="宋体"/>
          <w:b/>
          <w:bCs/>
          <w:sz w:val="24"/>
          <w:highlight w:val="none"/>
        </w:rPr>
        <w:t>录</w:t>
      </w:r>
    </w:p>
    <w:p>
      <w:pPr>
        <w:pStyle w:val="21"/>
        <w:spacing w:before="120" w:after="120" w:line="360" w:lineRule="auto"/>
        <w:jc w:val="center"/>
        <w:rPr>
          <w:rFonts w:hint="eastAsia" w:hAnsi="宋体" w:cs="宋体"/>
          <w:b/>
          <w:bCs/>
          <w:highlight w:val="none"/>
        </w:rPr>
      </w:pPr>
      <w:r>
        <w:rPr>
          <w:rFonts w:hint="eastAsia" w:hAnsi="宋体" w:cs="宋体"/>
          <w:highlight w:val="none"/>
        </w:rPr>
        <w:t>（按照“第三部分</w:t>
      </w:r>
      <w:r>
        <w:rPr>
          <w:rFonts w:hAnsi="宋体" w:cs="宋体"/>
          <w:highlight w:val="none"/>
        </w:rPr>
        <w:t xml:space="preserve"> </w:t>
      </w:r>
      <w:r>
        <w:rPr>
          <w:rFonts w:hint="eastAsia" w:hAnsi="宋体" w:cs="宋体"/>
          <w:highlight w:val="none"/>
        </w:rPr>
        <w:t>投标人须知”有关资格证明文件组成要求编排）</w:t>
      </w:r>
    </w:p>
    <w:p>
      <w:pPr>
        <w:spacing w:after="240" w:afterLines="100" w:line="480" w:lineRule="auto"/>
        <w:jc w:val="center"/>
        <w:rPr>
          <w:rFonts w:ascii="宋体" w:cs="宋体"/>
          <w:b/>
          <w:bCs/>
          <w:kern w:val="0"/>
          <w:sz w:val="32"/>
          <w:szCs w:val="32"/>
          <w:highlight w:val="none"/>
          <w:lang w:val="zh-CN"/>
        </w:rPr>
      </w:pPr>
    </w:p>
    <w:p>
      <w:pPr>
        <w:spacing w:after="240" w:afterLines="100" w:line="480" w:lineRule="auto"/>
        <w:jc w:val="center"/>
        <w:rPr>
          <w:rFonts w:ascii="宋体" w:cs="宋体"/>
          <w:b/>
          <w:bCs/>
          <w:kern w:val="0"/>
          <w:sz w:val="32"/>
          <w:szCs w:val="32"/>
          <w:highlight w:val="none"/>
          <w:lang w:val="zh-CN"/>
        </w:rPr>
      </w:pPr>
    </w:p>
    <w:p>
      <w:pPr>
        <w:spacing w:after="240" w:afterLines="100" w:line="480" w:lineRule="auto"/>
        <w:jc w:val="center"/>
        <w:rPr>
          <w:rFonts w:ascii="宋体" w:cs="宋体"/>
          <w:b/>
          <w:bCs/>
          <w:kern w:val="0"/>
          <w:sz w:val="32"/>
          <w:szCs w:val="32"/>
          <w:highlight w:val="none"/>
          <w:lang w:val="zh-CN"/>
        </w:rPr>
      </w:pPr>
    </w:p>
    <w:p>
      <w:pPr>
        <w:spacing w:after="240" w:afterLines="100" w:line="480" w:lineRule="auto"/>
        <w:rPr>
          <w:rFonts w:ascii="宋体" w:cs="宋体"/>
          <w:b/>
          <w:bCs/>
          <w:kern w:val="0"/>
          <w:sz w:val="32"/>
          <w:szCs w:val="32"/>
          <w:highlight w:val="none"/>
          <w:lang w:val="zh-CN"/>
        </w:rPr>
      </w:pPr>
    </w:p>
    <w:p>
      <w:pPr>
        <w:spacing w:line="360" w:lineRule="auto"/>
        <w:rPr>
          <w:rFonts w:hint="eastAsia" w:ascii="宋体" w:hAnsi="宋体" w:cs="宋体"/>
          <w:b/>
          <w:bCs/>
          <w:sz w:val="24"/>
          <w:highlight w:val="none"/>
        </w:rPr>
      </w:pPr>
    </w:p>
    <w:p>
      <w:pPr>
        <w:spacing w:line="360" w:lineRule="auto"/>
        <w:rPr>
          <w:rFonts w:hint="eastAsia" w:ascii="宋体" w:hAnsi="宋体" w:cs="宋体"/>
          <w:b/>
          <w:bCs/>
          <w:sz w:val="24"/>
          <w:highlight w:val="none"/>
        </w:rPr>
      </w:pPr>
    </w:p>
    <w:p>
      <w:pPr>
        <w:spacing w:line="360" w:lineRule="auto"/>
        <w:rPr>
          <w:rFonts w:hint="eastAsia" w:ascii="宋体" w:hAnsi="宋体" w:cs="宋体"/>
          <w:b/>
          <w:bCs/>
          <w:sz w:val="24"/>
          <w:highlight w:val="none"/>
        </w:rPr>
      </w:pPr>
    </w:p>
    <w:p>
      <w:pPr>
        <w:spacing w:line="360" w:lineRule="auto"/>
        <w:rPr>
          <w:rFonts w:hint="eastAsia" w:ascii="宋体" w:hAnsi="宋体" w:cs="宋体"/>
          <w:b/>
          <w:bCs/>
          <w:sz w:val="24"/>
          <w:highlight w:val="none"/>
        </w:rPr>
      </w:pPr>
    </w:p>
    <w:p>
      <w:pPr>
        <w:spacing w:line="360" w:lineRule="auto"/>
        <w:rPr>
          <w:rFonts w:hint="eastAsia" w:ascii="宋体" w:hAnsi="宋体" w:cs="宋体"/>
          <w:b/>
          <w:bCs/>
          <w:sz w:val="24"/>
          <w:highlight w:val="none"/>
        </w:rPr>
      </w:pPr>
    </w:p>
    <w:p>
      <w:pPr>
        <w:spacing w:line="360" w:lineRule="auto"/>
        <w:rPr>
          <w:rFonts w:hint="eastAsia" w:ascii="宋体" w:hAnsi="宋体" w:cs="宋体"/>
          <w:b/>
          <w:bCs/>
          <w:sz w:val="24"/>
          <w:highlight w:val="none"/>
        </w:rPr>
      </w:pPr>
    </w:p>
    <w:p>
      <w:pPr>
        <w:spacing w:line="360" w:lineRule="auto"/>
        <w:rPr>
          <w:rFonts w:ascii="宋体" w:cs="宋体"/>
          <w:b/>
          <w:bCs/>
          <w:kern w:val="0"/>
          <w:sz w:val="32"/>
          <w:szCs w:val="32"/>
          <w:highlight w:val="none"/>
          <w:lang w:val="zh-CN"/>
        </w:rPr>
      </w:pPr>
      <w:r>
        <w:rPr>
          <w:rFonts w:hint="eastAsia" w:ascii="宋体" w:hAnsi="宋体" w:cs="宋体"/>
          <w:b/>
          <w:bCs/>
          <w:sz w:val="24"/>
          <w:highlight w:val="none"/>
        </w:rPr>
        <w:br w:type="column"/>
      </w:r>
      <w:r>
        <w:rPr>
          <w:rFonts w:hint="eastAsia" w:ascii="宋体" w:hAnsi="宋体" w:cs="宋体"/>
          <w:b/>
          <w:bCs/>
          <w:sz w:val="24"/>
          <w:highlight w:val="none"/>
        </w:rPr>
        <w:t>附件</w:t>
      </w:r>
      <w:r>
        <w:rPr>
          <w:rFonts w:ascii="宋体" w:hAnsi="宋体" w:cs="宋体"/>
          <w:b/>
          <w:bCs/>
          <w:sz w:val="24"/>
          <w:highlight w:val="none"/>
        </w:rPr>
        <w:t>1</w:t>
      </w:r>
      <w:r>
        <w:rPr>
          <w:rFonts w:hint="eastAsia" w:ascii="宋体" w:hAnsi="宋体" w:cs="宋体"/>
          <w:b/>
          <w:bCs/>
          <w:sz w:val="24"/>
          <w:highlight w:val="none"/>
        </w:rPr>
        <w:t>：</w:t>
      </w:r>
    </w:p>
    <w:p>
      <w:pPr>
        <w:spacing w:after="240" w:afterLines="100" w:line="480" w:lineRule="auto"/>
        <w:jc w:val="center"/>
        <w:rPr>
          <w:rFonts w:ascii="宋体" w:cs="宋体"/>
          <w:highlight w:val="none"/>
        </w:rPr>
      </w:pPr>
      <w:r>
        <w:rPr>
          <w:rFonts w:hint="eastAsia" w:ascii="宋体" w:hAnsi="宋体" w:cs="宋体"/>
          <w:b/>
          <w:bCs/>
          <w:kern w:val="0"/>
          <w:sz w:val="32"/>
          <w:szCs w:val="32"/>
          <w:highlight w:val="none"/>
          <w:lang w:val="zh-CN"/>
        </w:rPr>
        <w:t>健全的财务会计制度承诺函</w:t>
      </w:r>
    </w:p>
    <w:p>
      <w:pPr>
        <w:widowControl/>
        <w:spacing w:line="480" w:lineRule="auto"/>
        <w:rPr>
          <w:rFonts w:ascii="宋体" w:cs="宋体"/>
          <w:sz w:val="28"/>
          <w:szCs w:val="28"/>
          <w:highlight w:val="none"/>
        </w:rPr>
      </w:pPr>
      <w:r>
        <w:rPr>
          <w:rFonts w:hint="eastAsia" w:ascii="宋体" w:hAnsi="宋体" w:cs="宋体"/>
          <w:kern w:val="0"/>
          <w:sz w:val="28"/>
          <w:szCs w:val="28"/>
          <w:highlight w:val="none"/>
        </w:rPr>
        <w:t>致</w:t>
      </w:r>
      <w:r>
        <w:rPr>
          <w:rFonts w:ascii="宋体" w:hAnsi="宋体" w:cs="宋体"/>
          <w:kern w:val="0"/>
          <w:sz w:val="28"/>
          <w:szCs w:val="28"/>
          <w:highlight w:val="none"/>
        </w:rPr>
        <w:t xml:space="preserve"> </w:t>
      </w:r>
      <w:r>
        <w:rPr>
          <w:rFonts w:hint="eastAsia" w:ascii="宋体" w:hAnsi="宋体" w:cs="宋体"/>
          <w:sz w:val="28"/>
          <w:szCs w:val="28"/>
          <w:highlight w:val="none"/>
          <w:lang w:eastAsia="zh-CN"/>
        </w:rPr>
        <w:t>仙居县力天市政工程有限公司</w:t>
      </w:r>
      <w:r>
        <w:rPr>
          <w:rFonts w:hint="eastAsia" w:ascii="宋体" w:hAnsi="宋体" w:cs="宋体"/>
          <w:sz w:val="28"/>
          <w:szCs w:val="28"/>
          <w:highlight w:val="none"/>
        </w:rPr>
        <w:t xml:space="preserve"> </w:t>
      </w:r>
      <w:r>
        <w:rPr>
          <w:rFonts w:hint="eastAsia" w:ascii="宋体" w:hAnsi="宋体" w:cs="宋体"/>
          <w:kern w:val="0"/>
          <w:sz w:val="28"/>
          <w:szCs w:val="28"/>
          <w:highlight w:val="none"/>
        </w:rPr>
        <w:t>：</w:t>
      </w:r>
      <w:r>
        <w:rPr>
          <w:rFonts w:ascii="宋体" w:hAnsi="宋体" w:cs="宋体"/>
          <w:sz w:val="28"/>
          <w:szCs w:val="28"/>
          <w:highlight w:val="none"/>
        </w:rPr>
        <w:t xml:space="preserve"> </w:t>
      </w:r>
    </w:p>
    <w:p>
      <w:pPr>
        <w:pStyle w:val="16"/>
        <w:spacing w:line="480" w:lineRule="auto"/>
        <w:rPr>
          <w:rFonts w:ascii="宋体" w:cs="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本公司参加</w:t>
      </w:r>
      <w:r>
        <w:rPr>
          <w:rFonts w:ascii="宋体" w:hAnsi="宋体" w:cs="宋体"/>
          <w:sz w:val="28"/>
          <w:szCs w:val="28"/>
          <w:highlight w:val="none"/>
          <w:u w:val="single"/>
        </w:rPr>
        <w:t xml:space="preserve">  </w:t>
      </w:r>
      <w:r>
        <w:rPr>
          <w:rFonts w:hint="eastAsia" w:ascii="宋体" w:hAnsi="宋体" w:cs="宋体"/>
          <w:sz w:val="28"/>
          <w:szCs w:val="28"/>
          <w:highlight w:val="none"/>
          <w:u w:val="single"/>
          <w:lang w:eastAsia="zh-CN"/>
        </w:rPr>
        <w:t>仙居县力天市政工程有限公司PE管材及配件、PPR管材及配件采购项目</w:t>
      </w:r>
      <w:r>
        <w:rPr>
          <w:rFonts w:hint="eastAsia" w:ascii="宋体" w:hAnsi="宋体" w:cs="宋体"/>
          <w:sz w:val="28"/>
          <w:szCs w:val="28"/>
          <w:highlight w:val="none"/>
          <w:u w:val="single"/>
        </w:rPr>
        <w:t>（项目编号：</w:t>
      </w:r>
      <w:r>
        <w:rPr>
          <w:rFonts w:hint="eastAsia" w:ascii="宋体" w:hAnsi="宋体" w:cs="宋体"/>
          <w:sz w:val="28"/>
          <w:szCs w:val="28"/>
          <w:highlight w:val="none"/>
          <w:u w:val="single"/>
          <w:lang w:eastAsia="zh-CN"/>
        </w:rPr>
        <w:t>ZJJX-25CG-002</w:t>
      </w:r>
      <w:r>
        <w:rPr>
          <w:rFonts w:hint="eastAsia" w:ascii="宋体" w:hAnsi="宋体" w:cs="宋体"/>
          <w:sz w:val="28"/>
          <w:szCs w:val="28"/>
          <w:highlight w:val="none"/>
          <w:u w:val="single"/>
        </w:rPr>
        <w:t>）</w:t>
      </w:r>
      <w:r>
        <w:rPr>
          <w:rFonts w:ascii="宋体" w:hAnsi="宋体" w:cs="宋体"/>
          <w:sz w:val="28"/>
          <w:szCs w:val="28"/>
          <w:highlight w:val="none"/>
          <w:u w:val="single"/>
        </w:rPr>
        <w:t xml:space="preserve">  </w:t>
      </w:r>
      <w:r>
        <w:rPr>
          <w:rFonts w:hint="eastAsia" w:ascii="宋体" w:hAnsi="宋体" w:cs="宋体"/>
          <w:sz w:val="28"/>
          <w:szCs w:val="28"/>
          <w:highlight w:val="none"/>
        </w:rPr>
        <w:t>的采购活动，现承诺我公司在参加本项目政府采购活动前，</w:t>
      </w:r>
      <w:r>
        <w:rPr>
          <w:rFonts w:hint="eastAsia" w:ascii="宋体" w:hAnsi="宋体" w:cs="宋体"/>
          <w:kern w:val="0"/>
          <w:sz w:val="28"/>
          <w:szCs w:val="28"/>
          <w:highlight w:val="none"/>
        </w:rPr>
        <w:t>没有处于被责令停产、财产被接管、冻结或破产状态，具有足够的流动资金，有能力履行合同；我公司</w:t>
      </w:r>
      <w:r>
        <w:rPr>
          <w:rFonts w:hint="eastAsia" w:ascii="宋体" w:hAnsi="宋体" w:cs="宋体"/>
          <w:sz w:val="28"/>
          <w:szCs w:val="28"/>
          <w:highlight w:val="none"/>
        </w:rPr>
        <w:t>具有良好的商业信誉和健全的财务会计制度。</w:t>
      </w:r>
    </w:p>
    <w:p>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如本公司对以上条款提供虚假承诺，愿承担一切法律责任。</w:t>
      </w:r>
    </w:p>
    <w:p>
      <w:pPr>
        <w:pStyle w:val="16"/>
        <w:rPr>
          <w:rFonts w:ascii="宋体" w:cs="宋体"/>
          <w:sz w:val="28"/>
          <w:szCs w:val="28"/>
          <w:highlight w:val="none"/>
        </w:rPr>
      </w:pPr>
    </w:p>
    <w:p>
      <w:pPr>
        <w:pStyle w:val="16"/>
        <w:spacing w:line="480" w:lineRule="auto"/>
        <w:rPr>
          <w:rFonts w:ascii="宋体" w:cs="宋体"/>
          <w:sz w:val="28"/>
          <w:szCs w:val="28"/>
          <w:highlight w:val="none"/>
        </w:rPr>
      </w:pPr>
    </w:p>
    <w:p>
      <w:pPr>
        <w:spacing w:line="480" w:lineRule="auto"/>
        <w:jc w:val="left"/>
        <w:rPr>
          <w:rFonts w:ascii="宋体" w:cs="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承诺人</w:t>
      </w:r>
      <w:r>
        <w:rPr>
          <w:rFonts w:ascii="宋体" w:hAnsi="宋体" w:cs="宋体"/>
          <w:sz w:val="28"/>
          <w:szCs w:val="28"/>
          <w:highlight w:val="none"/>
        </w:rPr>
        <w:t xml:space="preserve"> </w:t>
      </w:r>
      <w:r>
        <w:rPr>
          <w:rFonts w:hint="eastAsia" w:ascii="宋体" w:hAnsi="宋体" w:cs="宋体"/>
          <w:sz w:val="28"/>
          <w:szCs w:val="28"/>
          <w:highlight w:val="none"/>
        </w:rPr>
        <w:t>（盖单位章）：</w:t>
      </w:r>
      <w:r>
        <w:rPr>
          <w:rFonts w:ascii="宋体" w:cs="宋体"/>
          <w:sz w:val="28"/>
          <w:szCs w:val="28"/>
          <w:highlight w:val="none"/>
        </w:rPr>
        <w:t> </w:t>
      </w:r>
    </w:p>
    <w:p>
      <w:pPr>
        <w:pStyle w:val="21"/>
        <w:spacing w:before="120" w:after="120" w:line="480" w:lineRule="auto"/>
        <w:ind w:firstLine="5460" w:firstLineChars="1950"/>
        <w:rPr>
          <w:rFonts w:hint="eastAsia" w:hAnsi="宋体" w:cs="宋体"/>
          <w:bCs/>
          <w:sz w:val="28"/>
          <w:szCs w:val="28"/>
          <w:highlight w:val="none"/>
        </w:rPr>
      </w:pPr>
      <w:r>
        <w:rPr>
          <w:rFonts w:hAnsi="宋体" w:cs="宋体"/>
          <w:bCs/>
          <w:sz w:val="28"/>
          <w:szCs w:val="28"/>
          <w:highlight w:val="none"/>
        </w:rPr>
        <w:t xml:space="preserve">  </w:t>
      </w:r>
      <w:r>
        <w:rPr>
          <w:rFonts w:hint="eastAsia" w:hAnsi="宋体" w:cs="宋体"/>
          <w:bCs/>
          <w:sz w:val="28"/>
          <w:szCs w:val="28"/>
          <w:highlight w:val="none"/>
        </w:rPr>
        <w:t>日　期：</w:t>
      </w:r>
    </w:p>
    <w:p>
      <w:pPr>
        <w:pStyle w:val="5"/>
        <w:spacing w:before="240" w:beforeLines="100" w:after="0"/>
        <w:jc w:val="center"/>
        <w:rPr>
          <w:rFonts w:hint="eastAsia" w:ascii="宋体" w:hAnsi="宋体" w:eastAsia="宋体" w:cs="宋体"/>
          <w:bCs w:val="0"/>
          <w:highlight w:val="none"/>
          <w:lang w:val="zh-CN"/>
        </w:rPr>
        <w:sectPr>
          <w:pgSz w:w="11906" w:h="16838"/>
          <w:pgMar w:top="1418" w:right="1418" w:bottom="1418" w:left="1418" w:header="851" w:footer="992" w:gutter="0"/>
          <w:cols w:space="720" w:num="1"/>
          <w:docGrid w:linePitch="312" w:charSpace="0"/>
        </w:sectPr>
      </w:pPr>
    </w:p>
    <w:p>
      <w:pPr>
        <w:spacing w:line="360" w:lineRule="auto"/>
        <w:rPr>
          <w:rFonts w:ascii="宋体" w:cs="宋体"/>
          <w:b/>
          <w:bCs/>
          <w:sz w:val="24"/>
          <w:highlight w:val="none"/>
        </w:rPr>
      </w:pPr>
      <w:r>
        <w:rPr>
          <w:rFonts w:hint="eastAsia" w:ascii="宋体" w:hAnsi="宋体" w:cs="宋体"/>
          <w:b/>
          <w:bCs/>
          <w:sz w:val="24"/>
          <w:highlight w:val="none"/>
        </w:rPr>
        <w:t>附件</w:t>
      </w:r>
      <w:r>
        <w:rPr>
          <w:rFonts w:ascii="宋体" w:hAnsi="宋体" w:cs="宋体"/>
          <w:b/>
          <w:bCs/>
          <w:sz w:val="24"/>
          <w:highlight w:val="none"/>
        </w:rPr>
        <w:t>2</w:t>
      </w:r>
      <w:r>
        <w:rPr>
          <w:rFonts w:hint="eastAsia" w:ascii="宋体" w:hAnsi="宋体" w:cs="宋体"/>
          <w:b/>
          <w:bCs/>
          <w:sz w:val="24"/>
          <w:highlight w:val="none"/>
        </w:rPr>
        <w:t>：</w:t>
      </w:r>
    </w:p>
    <w:p>
      <w:pPr>
        <w:spacing w:line="480" w:lineRule="auto"/>
        <w:jc w:val="left"/>
        <w:rPr>
          <w:rFonts w:ascii="宋体" w:cs="宋体"/>
          <w:sz w:val="28"/>
          <w:szCs w:val="28"/>
          <w:highlight w:val="none"/>
          <w:lang w:val="zh-CN"/>
        </w:rPr>
      </w:pPr>
    </w:p>
    <w:p>
      <w:pPr>
        <w:spacing w:after="304" w:afterLines="100" w:line="480" w:lineRule="auto"/>
        <w:jc w:val="center"/>
        <w:rPr>
          <w:rFonts w:ascii="宋体" w:cs="宋体"/>
          <w:b/>
          <w:bCs/>
          <w:kern w:val="0"/>
          <w:sz w:val="32"/>
          <w:szCs w:val="32"/>
          <w:highlight w:val="none"/>
          <w:lang w:val="zh-CN"/>
        </w:rPr>
      </w:pPr>
      <w:r>
        <w:rPr>
          <w:rFonts w:hint="eastAsia" w:ascii="宋体" w:hAnsi="宋体" w:cs="宋体"/>
          <w:b/>
          <w:bCs/>
          <w:kern w:val="0"/>
          <w:sz w:val="32"/>
          <w:szCs w:val="32"/>
          <w:highlight w:val="none"/>
          <w:lang w:val="zh-CN"/>
        </w:rPr>
        <w:t>具有履行合同所必须的设备和专业技术能力的承诺函</w:t>
      </w:r>
    </w:p>
    <w:p>
      <w:pPr>
        <w:spacing w:line="480" w:lineRule="auto"/>
        <w:jc w:val="left"/>
        <w:rPr>
          <w:rFonts w:ascii="宋体" w:cs="宋体"/>
          <w:sz w:val="28"/>
          <w:szCs w:val="28"/>
          <w:highlight w:val="none"/>
        </w:rPr>
      </w:pPr>
      <w:r>
        <w:rPr>
          <w:rFonts w:hint="eastAsia" w:ascii="宋体" w:hAnsi="宋体" w:cs="宋体"/>
          <w:sz w:val="28"/>
          <w:szCs w:val="28"/>
          <w:highlight w:val="none"/>
        </w:rPr>
        <w:t>致</w:t>
      </w:r>
      <w:r>
        <w:rPr>
          <w:rFonts w:ascii="宋体" w:hAnsi="宋体" w:cs="宋体"/>
          <w:sz w:val="28"/>
          <w:szCs w:val="28"/>
          <w:highlight w:val="none"/>
        </w:rPr>
        <w:t xml:space="preserve"> </w:t>
      </w:r>
      <w:r>
        <w:rPr>
          <w:rFonts w:hint="eastAsia" w:ascii="宋体" w:hAnsi="宋体" w:cs="宋体"/>
          <w:sz w:val="28"/>
          <w:szCs w:val="28"/>
          <w:highlight w:val="none"/>
          <w:lang w:eastAsia="zh-CN"/>
        </w:rPr>
        <w:t>仙居县力天市政工程有限公司</w:t>
      </w:r>
      <w:r>
        <w:rPr>
          <w:rFonts w:hint="eastAsia" w:ascii="宋体" w:hAnsi="宋体" w:cs="宋体"/>
          <w:sz w:val="28"/>
          <w:szCs w:val="28"/>
          <w:highlight w:val="none"/>
        </w:rPr>
        <w:t xml:space="preserve"> ：</w:t>
      </w:r>
    </w:p>
    <w:p>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在贵方组织的</w:t>
      </w:r>
      <w:r>
        <w:rPr>
          <w:rFonts w:ascii="宋体" w:hAnsi="宋体" w:cs="宋体"/>
          <w:sz w:val="28"/>
          <w:szCs w:val="28"/>
          <w:highlight w:val="none"/>
          <w:u w:val="single"/>
        </w:rPr>
        <w:t xml:space="preserve">  </w:t>
      </w:r>
      <w:r>
        <w:rPr>
          <w:rFonts w:hint="eastAsia" w:ascii="宋体" w:hAnsi="宋体" w:cs="宋体"/>
          <w:sz w:val="28"/>
          <w:szCs w:val="28"/>
          <w:highlight w:val="none"/>
          <w:u w:val="single"/>
          <w:lang w:eastAsia="zh-CN"/>
        </w:rPr>
        <w:t>仙居县力天市政工程有限公司PE管材及配件、PPR管材及配件采购项目</w:t>
      </w:r>
      <w:r>
        <w:rPr>
          <w:rFonts w:hint="eastAsia" w:ascii="宋体" w:hAnsi="宋体" w:cs="宋体"/>
          <w:sz w:val="28"/>
          <w:szCs w:val="28"/>
          <w:highlight w:val="none"/>
          <w:u w:val="single"/>
        </w:rPr>
        <w:t>（项目编号：</w:t>
      </w:r>
      <w:r>
        <w:rPr>
          <w:rFonts w:hint="eastAsia" w:ascii="宋体" w:hAnsi="宋体" w:cs="宋体"/>
          <w:sz w:val="28"/>
          <w:szCs w:val="28"/>
          <w:highlight w:val="none"/>
          <w:u w:val="single"/>
          <w:lang w:eastAsia="zh-CN"/>
        </w:rPr>
        <w:t>ZJJX-25CG-002</w:t>
      </w:r>
      <w:r>
        <w:rPr>
          <w:rFonts w:hint="eastAsia" w:ascii="宋体" w:hAnsi="宋体" w:cs="宋体"/>
          <w:sz w:val="28"/>
          <w:szCs w:val="28"/>
          <w:highlight w:val="none"/>
          <w:u w:val="single"/>
        </w:rPr>
        <w:t>）</w:t>
      </w:r>
      <w:r>
        <w:rPr>
          <w:rFonts w:hint="eastAsia" w:ascii="宋体" w:hAnsi="宋体" w:cs="宋体"/>
          <w:sz w:val="28"/>
          <w:szCs w:val="28"/>
          <w:highlight w:val="none"/>
        </w:rPr>
        <w:t>投标邀请，我公司在完全理解本项目采购的技术要求、商务条款及其他内容后，决定参与该项目的采购活动。并承诺，如中标，我公司将提供足够的设备和专业技术能力保证本合同履行。</w:t>
      </w:r>
    </w:p>
    <w:p>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本公司对上述承诺的真实性负责。如有虚假，我公司同意按我方合同违约处理，并依法承担相应法律责任。</w:t>
      </w:r>
    </w:p>
    <w:p>
      <w:pPr>
        <w:spacing w:line="450" w:lineRule="atLeast"/>
        <w:ind w:right="480" w:firstLine="5040" w:firstLineChars="1800"/>
        <w:rPr>
          <w:rFonts w:ascii="宋体" w:cs="宋体"/>
          <w:sz w:val="28"/>
          <w:szCs w:val="28"/>
          <w:highlight w:val="none"/>
        </w:rPr>
      </w:pPr>
    </w:p>
    <w:p>
      <w:pPr>
        <w:spacing w:line="450" w:lineRule="atLeast"/>
        <w:jc w:val="left"/>
        <w:rPr>
          <w:rFonts w:ascii="宋体" w:cs="宋体"/>
          <w:sz w:val="28"/>
          <w:szCs w:val="28"/>
          <w:highlight w:val="none"/>
        </w:rPr>
      </w:pPr>
      <w:r>
        <w:rPr>
          <w:rFonts w:ascii="宋体" w:cs="宋体"/>
          <w:sz w:val="28"/>
          <w:szCs w:val="28"/>
          <w:highlight w:val="none"/>
        </w:rPr>
        <w:t> </w:t>
      </w:r>
      <w:r>
        <w:rPr>
          <w:rFonts w:ascii="宋体" w:hAnsi="宋体" w:cs="宋体"/>
          <w:sz w:val="28"/>
          <w:szCs w:val="28"/>
          <w:highlight w:val="none"/>
        </w:rPr>
        <w:t xml:space="preserve">                     </w:t>
      </w:r>
      <w:r>
        <w:rPr>
          <w:rFonts w:hint="eastAsia" w:ascii="宋体" w:hAnsi="宋体" w:cs="宋体"/>
          <w:sz w:val="28"/>
          <w:szCs w:val="28"/>
          <w:highlight w:val="none"/>
        </w:rPr>
        <w:t>声明人</w:t>
      </w:r>
      <w:r>
        <w:rPr>
          <w:rFonts w:ascii="宋体" w:hAnsi="宋体" w:cs="宋体"/>
          <w:sz w:val="28"/>
          <w:szCs w:val="28"/>
          <w:highlight w:val="none"/>
        </w:rPr>
        <w:t xml:space="preserve"> </w:t>
      </w:r>
      <w:r>
        <w:rPr>
          <w:rFonts w:hint="eastAsia" w:ascii="宋体" w:hAnsi="宋体" w:cs="宋体"/>
          <w:sz w:val="28"/>
          <w:szCs w:val="28"/>
          <w:highlight w:val="none"/>
        </w:rPr>
        <w:t>（盖单位章）：</w:t>
      </w:r>
    </w:p>
    <w:p>
      <w:pPr>
        <w:pStyle w:val="21"/>
        <w:spacing w:before="152" w:after="152" w:line="360" w:lineRule="auto"/>
        <w:ind w:firstLine="4760" w:firstLineChars="1700"/>
        <w:rPr>
          <w:rFonts w:hint="eastAsia" w:hAnsi="宋体" w:cs="宋体"/>
          <w:bCs/>
          <w:sz w:val="28"/>
          <w:szCs w:val="28"/>
          <w:highlight w:val="none"/>
          <w:lang w:val="zh-CN"/>
        </w:rPr>
      </w:pPr>
      <w:r>
        <w:rPr>
          <w:rFonts w:hint="eastAsia" w:hAnsi="宋体" w:cs="宋体"/>
          <w:bCs/>
          <w:sz w:val="28"/>
          <w:szCs w:val="28"/>
          <w:highlight w:val="none"/>
        </w:rPr>
        <w:t>日　期：</w:t>
      </w:r>
    </w:p>
    <w:p>
      <w:pPr>
        <w:spacing w:before="100" w:beforeAutospacing="1" w:line="360" w:lineRule="auto"/>
        <w:rPr>
          <w:rFonts w:ascii="宋体" w:cs="宋体"/>
          <w:b/>
          <w:bCs/>
          <w:sz w:val="24"/>
          <w:highlight w:val="none"/>
        </w:rPr>
      </w:pPr>
    </w:p>
    <w:p>
      <w:pPr>
        <w:pStyle w:val="16"/>
        <w:rPr>
          <w:rFonts w:ascii="宋体" w:cs="宋体"/>
          <w:b/>
          <w:bCs/>
          <w:sz w:val="24"/>
          <w:highlight w:val="none"/>
        </w:rPr>
      </w:pPr>
    </w:p>
    <w:p>
      <w:pPr>
        <w:pStyle w:val="17"/>
        <w:ind w:firstLine="482"/>
        <w:rPr>
          <w:rFonts w:ascii="宋体" w:cs="宋体"/>
          <w:b/>
          <w:bCs/>
          <w:sz w:val="24"/>
          <w:highlight w:val="none"/>
        </w:rPr>
      </w:pPr>
    </w:p>
    <w:p>
      <w:pPr>
        <w:spacing w:after="304" w:afterLines="100" w:line="480" w:lineRule="auto"/>
        <w:jc w:val="center"/>
        <w:rPr>
          <w:rFonts w:ascii="宋体" w:cs="宋体"/>
          <w:b/>
          <w:bCs/>
          <w:kern w:val="0"/>
          <w:sz w:val="32"/>
          <w:szCs w:val="32"/>
          <w:highlight w:val="none"/>
          <w:lang w:val="zh-CN"/>
        </w:rPr>
      </w:pPr>
      <w:bookmarkStart w:id="209" w:name="_Toc51489575"/>
    </w:p>
    <w:p>
      <w:pPr>
        <w:spacing w:after="304" w:afterLines="100" w:line="480" w:lineRule="auto"/>
        <w:jc w:val="center"/>
        <w:rPr>
          <w:rFonts w:ascii="宋体" w:cs="宋体"/>
          <w:b/>
          <w:bCs/>
          <w:kern w:val="0"/>
          <w:sz w:val="32"/>
          <w:szCs w:val="32"/>
          <w:highlight w:val="none"/>
          <w:lang w:val="zh-CN"/>
        </w:rPr>
      </w:pPr>
    </w:p>
    <w:p>
      <w:pPr>
        <w:spacing w:after="304" w:afterLines="100" w:line="480" w:lineRule="auto"/>
        <w:jc w:val="center"/>
        <w:rPr>
          <w:rFonts w:ascii="宋体" w:cs="宋体"/>
          <w:b/>
          <w:bCs/>
          <w:kern w:val="0"/>
          <w:sz w:val="32"/>
          <w:szCs w:val="32"/>
          <w:highlight w:val="none"/>
          <w:lang w:val="zh-CN"/>
        </w:rPr>
      </w:pPr>
    </w:p>
    <w:p>
      <w:pPr>
        <w:rPr>
          <w:rFonts w:hint="eastAsia" w:ascii="宋体" w:hAnsi="宋体" w:cs="宋体"/>
          <w:b/>
          <w:bCs/>
          <w:sz w:val="24"/>
          <w:highlight w:val="none"/>
        </w:rPr>
      </w:pPr>
    </w:p>
    <w:p>
      <w:pPr>
        <w:spacing w:line="360" w:lineRule="auto"/>
        <w:rPr>
          <w:rFonts w:ascii="宋体" w:cs="宋体"/>
          <w:b/>
          <w:bCs/>
          <w:kern w:val="0"/>
          <w:sz w:val="32"/>
          <w:szCs w:val="32"/>
          <w:highlight w:val="none"/>
          <w:lang w:val="zh-CN"/>
        </w:rPr>
      </w:pPr>
      <w:r>
        <w:rPr>
          <w:rFonts w:hint="eastAsia" w:ascii="宋体" w:hAnsi="宋体" w:cs="宋体"/>
          <w:b/>
          <w:bCs/>
          <w:sz w:val="24"/>
          <w:highlight w:val="none"/>
        </w:rPr>
        <w:t>附件</w:t>
      </w:r>
      <w:r>
        <w:rPr>
          <w:rFonts w:ascii="宋体" w:hAnsi="宋体" w:cs="宋体"/>
          <w:b/>
          <w:bCs/>
          <w:sz w:val="24"/>
          <w:highlight w:val="none"/>
        </w:rPr>
        <w:t>3</w:t>
      </w:r>
      <w:r>
        <w:rPr>
          <w:rFonts w:hint="eastAsia" w:ascii="宋体" w:hAnsi="宋体" w:cs="宋体"/>
          <w:b/>
          <w:bCs/>
          <w:sz w:val="24"/>
          <w:highlight w:val="none"/>
        </w:rPr>
        <w:t>：</w:t>
      </w:r>
    </w:p>
    <w:p>
      <w:pPr>
        <w:spacing w:after="304" w:afterLines="100" w:line="480" w:lineRule="auto"/>
        <w:jc w:val="center"/>
        <w:rPr>
          <w:rFonts w:ascii="宋体" w:cs="宋体"/>
          <w:sz w:val="28"/>
          <w:szCs w:val="28"/>
          <w:highlight w:val="none"/>
        </w:rPr>
      </w:pPr>
      <w:r>
        <w:rPr>
          <w:rFonts w:hint="eastAsia" w:ascii="宋体" w:hAnsi="宋体" w:cs="宋体"/>
          <w:b/>
          <w:bCs/>
          <w:kern w:val="0"/>
          <w:sz w:val="32"/>
          <w:szCs w:val="32"/>
          <w:highlight w:val="none"/>
          <w:lang w:val="zh-CN"/>
        </w:rPr>
        <w:t>依法缴纳税收及社会保障资金的书面承诺</w:t>
      </w:r>
      <w:bookmarkEnd w:id="209"/>
    </w:p>
    <w:p>
      <w:pPr>
        <w:spacing w:line="480" w:lineRule="auto"/>
        <w:jc w:val="left"/>
        <w:rPr>
          <w:rFonts w:ascii="宋体" w:cs="宋体"/>
          <w:sz w:val="28"/>
          <w:szCs w:val="28"/>
          <w:highlight w:val="none"/>
        </w:rPr>
      </w:pPr>
      <w:r>
        <w:rPr>
          <w:rFonts w:hint="eastAsia" w:ascii="宋体" w:hAnsi="宋体" w:cs="宋体"/>
          <w:kern w:val="0"/>
          <w:sz w:val="28"/>
          <w:szCs w:val="28"/>
          <w:highlight w:val="none"/>
        </w:rPr>
        <w:t>致</w:t>
      </w:r>
      <w:r>
        <w:rPr>
          <w:rFonts w:ascii="宋体" w:hAnsi="宋体" w:cs="宋体"/>
          <w:kern w:val="0"/>
          <w:sz w:val="28"/>
          <w:szCs w:val="28"/>
          <w:highlight w:val="none"/>
        </w:rPr>
        <w:t xml:space="preserve"> </w:t>
      </w:r>
      <w:r>
        <w:rPr>
          <w:rFonts w:hint="eastAsia" w:ascii="宋体" w:hAnsi="宋体" w:cs="宋体"/>
          <w:sz w:val="28"/>
          <w:szCs w:val="28"/>
          <w:highlight w:val="none"/>
          <w:lang w:eastAsia="zh-CN"/>
        </w:rPr>
        <w:t>仙居县力天市政工程有限公司</w:t>
      </w:r>
      <w:r>
        <w:rPr>
          <w:rFonts w:hint="eastAsia" w:ascii="宋体" w:hAnsi="宋体" w:cs="宋体"/>
          <w:sz w:val="28"/>
          <w:szCs w:val="28"/>
          <w:highlight w:val="none"/>
        </w:rPr>
        <w:t xml:space="preserve"> ：</w:t>
      </w:r>
    </w:p>
    <w:p>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我公司作为本次采购项目的供应商，参加</w:t>
      </w:r>
      <w:r>
        <w:rPr>
          <w:rFonts w:ascii="宋体" w:hAnsi="宋体" w:cs="宋体"/>
          <w:sz w:val="28"/>
          <w:szCs w:val="28"/>
          <w:highlight w:val="none"/>
          <w:u w:val="single"/>
        </w:rPr>
        <w:t xml:space="preserve"> </w:t>
      </w:r>
      <w:r>
        <w:rPr>
          <w:rFonts w:hint="eastAsia" w:ascii="宋体" w:hAnsi="宋体" w:cs="宋体"/>
          <w:sz w:val="28"/>
          <w:szCs w:val="28"/>
          <w:highlight w:val="none"/>
          <w:u w:val="single"/>
          <w:lang w:eastAsia="zh-CN"/>
        </w:rPr>
        <w:t>仙居县力天市政工程有限公司PE管材及配件、PPR管材及配件采购项目</w:t>
      </w:r>
      <w:r>
        <w:rPr>
          <w:rFonts w:hint="eastAsia" w:ascii="宋体" w:hAnsi="宋体" w:cs="宋体"/>
          <w:sz w:val="28"/>
          <w:szCs w:val="28"/>
          <w:highlight w:val="none"/>
          <w:u w:val="single"/>
        </w:rPr>
        <w:t>（项目编号：</w:t>
      </w:r>
      <w:r>
        <w:rPr>
          <w:rFonts w:hint="eastAsia" w:ascii="宋体" w:hAnsi="宋体" w:cs="宋体"/>
          <w:sz w:val="28"/>
          <w:szCs w:val="28"/>
          <w:highlight w:val="none"/>
          <w:u w:val="single"/>
          <w:lang w:eastAsia="zh-CN"/>
        </w:rPr>
        <w:t>ZJJX-25CG-002</w:t>
      </w:r>
      <w:r>
        <w:rPr>
          <w:rFonts w:hint="eastAsia" w:ascii="宋体" w:hAnsi="宋体" w:cs="宋体"/>
          <w:sz w:val="28"/>
          <w:szCs w:val="28"/>
          <w:highlight w:val="none"/>
          <w:u w:val="single"/>
        </w:rPr>
        <w:t>）</w:t>
      </w:r>
      <w:r>
        <w:rPr>
          <w:rFonts w:ascii="宋体" w:hAnsi="宋体" w:cs="宋体"/>
          <w:sz w:val="28"/>
          <w:szCs w:val="28"/>
          <w:highlight w:val="none"/>
          <w:u w:val="single"/>
        </w:rPr>
        <w:t xml:space="preserve"> </w:t>
      </w:r>
      <w:r>
        <w:rPr>
          <w:rFonts w:hint="eastAsia" w:ascii="宋体" w:hAnsi="宋体" w:cs="宋体"/>
          <w:sz w:val="28"/>
          <w:szCs w:val="28"/>
          <w:highlight w:val="none"/>
        </w:rPr>
        <w:t>采购活动，根据采购文件要求，现郑重承诺：</w:t>
      </w:r>
    </w:p>
    <w:p>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我公司已依法缴纳税收及社会保障资金，符合参与政府采购活动的资格条件，不存在税收缴纳、社会保障等方面的失信记录。</w:t>
      </w:r>
    </w:p>
    <w:p>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如本公司对以上条款提供虚假承诺，愿承担一切法律责任。</w:t>
      </w:r>
    </w:p>
    <w:p>
      <w:pPr>
        <w:spacing w:line="480" w:lineRule="auto"/>
        <w:jc w:val="left"/>
        <w:rPr>
          <w:rFonts w:ascii="宋体" w:cs="宋体"/>
          <w:sz w:val="28"/>
          <w:szCs w:val="28"/>
          <w:highlight w:val="none"/>
        </w:rPr>
      </w:pPr>
    </w:p>
    <w:p>
      <w:pPr>
        <w:spacing w:line="480" w:lineRule="auto"/>
        <w:jc w:val="left"/>
        <w:rPr>
          <w:rFonts w:ascii="宋体" w:cs="宋体"/>
          <w:sz w:val="28"/>
          <w:szCs w:val="28"/>
          <w:highlight w:val="none"/>
        </w:rPr>
      </w:pPr>
    </w:p>
    <w:p>
      <w:pPr>
        <w:spacing w:line="450" w:lineRule="atLeast"/>
        <w:jc w:val="left"/>
        <w:rPr>
          <w:rFonts w:ascii="宋体" w:cs="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承诺人</w:t>
      </w:r>
      <w:r>
        <w:rPr>
          <w:rFonts w:ascii="宋体" w:hAnsi="宋体" w:cs="宋体"/>
          <w:sz w:val="28"/>
          <w:szCs w:val="28"/>
          <w:highlight w:val="none"/>
        </w:rPr>
        <w:t xml:space="preserve"> </w:t>
      </w:r>
      <w:r>
        <w:rPr>
          <w:rFonts w:hint="eastAsia" w:ascii="宋体" w:hAnsi="宋体" w:cs="宋体"/>
          <w:sz w:val="28"/>
          <w:szCs w:val="28"/>
          <w:highlight w:val="none"/>
        </w:rPr>
        <w:t>（盖单位章）：</w:t>
      </w:r>
      <w:r>
        <w:rPr>
          <w:rFonts w:ascii="宋体" w:cs="宋体"/>
          <w:sz w:val="28"/>
          <w:szCs w:val="28"/>
          <w:highlight w:val="none"/>
        </w:rPr>
        <w:t> </w:t>
      </w:r>
    </w:p>
    <w:p>
      <w:pPr>
        <w:pStyle w:val="21"/>
        <w:spacing w:before="152" w:after="152" w:line="360" w:lineRule="auto"/>
        <w:ind w:firstLine="5460" w:firstLineChars="1950"/>
        <w:rPr>
          <w:rFonts w:hint="eastAsia" w:hAnsi="宋体" w:cs="宋体"/>
          <w:bCs/>
          <w:sz w:val="28"/>
          <w:szCs w:val="28"/>
          <w:highlight w:val="none"/>
        </w:rPr>
      </w:pPr>
      <w:r>
        <w:rPr>
          <w:rFonts w:hAnsi="宋体" w:cs="宋体"/>
          <w:bCs/>
          <w:sz w:val="28"/>
          <w:szCs w:val="28"/>
          <w:highlight w:val="none"/>
        </w:rPr>
        <w:t xml:space="preserve">  </w:t>
      </w:r>
      <w:r>
        <w:rPr>
          <w:rFonts w:hint="eastAsia" w:hAnsi="宋体" w:cs="宋体"/>
          <w:bCs/>
          <w:sz w:val="28"/>
          <w:szCs w:val="28"/>
          <w:highlight w:val="none"/>
        </w:rPr>
        <w:t>日　期：</w:t>
      </w:r>
    </w:p>
    <w:p>
      <w:pPr>
        <w:pStyle w:val="18"/>
        <w:rPr>
          <w:highlight w:val="none"/>
        </w:rPr>
        <w:sectPr>
          <w:pgSz w:w="11905" w:h="16838"/>
          <w:pgMar w:top="1417" w:right="1587" w:bottom="1417" w:left="1587" w:header="907" w:footer="924" w:gutter="0"/>
          <w:cols w:space="0" w:num="1"/>
          <w:docGrid w:type="lines" w:linePitch="304" w:charSpace="0"/>
        </w:sectPr>
      </w:pPr>
    </w:p>
    <w:p>
      <w:pPr>
        <w:spacing w:line="360" w:lineRule="auto"/>
        <w:rPr>
          <w:rFonts w:ascii="宋体" w:cs="宋体"/>
          <w:b/>
          <w:bCs/>
          <w:sz w:val="24"/>
          <w:highlight w:val="none"/>
        </w:rPr>
      </w:pPr>
      <w:r>
        <w:rPr>
          <w:rFonts w:hint="eastAsia" w:ascii="宋体" w:hAnsi="宋体" w:cs="宋体"/>
          <w:b/>
          <w:bCs/>
          <w:sz w:val="24"/>
          <w:highlight w:val="none"/>
        </w:rPr>
        <w:t>附件</w:t>
      </w:r>
      <w:r>
        <w:rPr>
          <w:rFonts w:ascii="宋体" w:hAnsi="宋体" w:cs="宋体"/>
          <w:b/>
          <w:bCs/>
          <w:sz w:val="24"/>
          <w:highlight w:val="none"/>
        </w:rPr>
        <w:t>4</w:t>
      </w:r>
      <w:r>
        <w:rPr>
          <w:rFonts w:hint="eastAsia" w:ascii="宋体" w:hAnsi="宋体" w:cs="宋体"/>
          <w:b/>
          <w:bCs/>
          <w:sz w:val="24"/>
          <w:highlight w:val="none"/>
        </w:rPr>
        <w:t>：</w:t>
      </w:r>
    </w:p>
    <w:p>
      <w:pPr>
        <w:spacing w:line="480" w:lineRule="auto"/>
        <w:jc w:val="left"/>
        <w:rPr>
          <w:rFonts w:ascii="宋体" w:cs="宋体"/>
          <w:sz w:val="28"/>
          <w:szCs w:val="28"/>
          <w:highlight w:val="none"/>
          <w:lang w:val="zh-CN"/>
        </w:rPr>
      </w:pPr>
    </w:p>
    <w:p>
      <w:pPr>
        <w:spacing w:after="304" w:afterLines="100" w:line="480" w:lineRule="auto"/>
        <w:jc w:val="center"/>
        <w:rPr>
          <w:rFonts w:ascii="宋体" w:cs="宋体"/>
          <w:sz w:val="32"/>
          <w:szCs w:val="32"/>
          <w:highlight w:val="none"/>
        </w:rPr>
      </w:pPr>
      <w:r>
        <w:rPr>
          <w:rFonts w:hint="eastAsia" w:ascii="宋体" w:hAnsi="宋体" w:cs="宋体"/>
          <w:b/>
          <w:bCs/>
          <w:kern w:val="0"/>
          <w:sz w:val="32"/>
          <w:szCs w:val="32"/>
          <w:highlight w:val="none"/>
          <w:lang w:val="zh-CN"/>
        </w:rPr>
        <w:t>无重大违法记录声明书</w:t>
      </w:r>
    </w:p>
    <w:p>
      <w:pPr>
        <w:spacing w:line="480" w:lineRule="auto"/>
        <w:jc w:val="left"/>
        <w:rPr>
          <w:rFonts w:ascii="宋体" w:cs="宋体"/>
          <w:sz w:val="28"/>
          <w:szCs w:val="28"/>
          <w:highlight w:val="none"/>
        </w:rPr>
      </w:pPr>
      <w:r>
        <w:rPr>
          <w:rFonts w:hint="eastAsia" w:ascii="宋体" w:hAnsi="宋体"/>
          <w:kern w:val="0"/>
          <w:sz w:val="28"/>
          <w:szCs w:val="28"/>
          <w:highlight w:val="none"/>
        </w:rPr>
        <w:t>致</w:t>
      </w:r>
      <w:r>
        <w:rPr>
          <w:rFonts w:ascii="宋体" w:hAnsi="宋体"/>
          <w:kern w:val="0"/>
          <w:sz w:val="28"/>
          <w:szCs w:val="28"/>
          <w:highlight w:val="none"/>
        </w:rPr>
        <w:t xml:space="preserve"> </w:t>
      </w:r>
      <w:r>
        <w:rPr>
          <w:rFonts w:hint="eastAsia" w:ascii="宋体" w:hAnsi="宋体" w:cs="宋体"/>
          <w:sz w:val="28"/>
          <w:szCs w:val="28"/>
          <w:highlight w:val="none"/>
          <w:lang w:eastAsia="zh-CN"/>
        </w:rPr>
        <w:t>仙居县力天市政工程有限公司</w:t>
      </w:r>
      <w:r>
        <w:rPr>
          <w:rFonts w:hint="eastAsia" w:ascii="宋体" w:hAnsi="宋体" w:cs="宋体"/>
          <w:sz w:val="28"/>
          <w:szCs w:val="28"/>
          <w:highlight w:val="none"/>
        </w:rPr>
        <w:t xml:space="preserve"> ：</w:t>
      </w:r>
    </w:p>
    <w:p>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我方郑重声明：我方参加本项目采购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spacing w:line="480" w:lineRule="auto"/>
        <w:ind w:firstLine="560" w:firstLineChars="200"/>
        <w:jc w:val="left"/>
        <w:rPr>
          <w:rFonts w:ascii="宋体" w:cs="宋体"/>
          <w:spacing w:val="6"/>
          <w:sz w:val="28"/>
          <w:szCs w:val="28"/>
          <w:highlight w:val="none"/>
        </w:rPr>
      </w:pPr>
      <w:r>
        <w:rPr>
          <w:rFonts w:hint="eastAsia" w:ascii="宋体" w:hAnsi="宋体" w:cs="宋体"/>
          <w:sz w:val="28"/>
          <w:szCs w:val="28"/>
          <w:highlight w:val="none"/>
        </w:rPr>
        <w:t>特此声明。</w:t>
      </w:r>
    </w:p>
    <w:p>
      <w:pPr>
        <w:pStyle w:val="21"/>
        <w:spacing w:before="152" w:after="152"/>
        <w:jc w:val="center"/>
        <w:rPr>
          <w:rFonts w:hint="eastAsia" w:hAnsi="宋体" w:cs="宋体"/>
          <w:sz w:val="28"/>
          <w:szCs w:val="28"/>
          <w:highlight w:val="none"/>
        </w:rPr>
      </w:pPr>
    </w:p>
    <w:p>
      <w:pPr>
        <w:spacing w:line="450" w:lineRule="atLeast"/>
        <w:jc w:val="left"/>
        <w:rPr>
          <w:rFonts w:ascii="宋体" w:cs="宋体"/>
          <w:sz w:val="28"/>
          <w:szCs w:val="28"/>
          <w:highlight w:val="none"/>
        </w:rPr>
      </w:pPr>
      <w:bookmarkStart w:id="210" w:name="_Toc16632"/>
      <w:r>
        <w:rPr>
          <w:rFonts w:ascii="宋体" w:cs="宋体"/>
          <w:sz w:val="28"/>
          <w:szCs w:val="28"/>
          <w:highlight w:val="none"/>
        </w:rPr>
        <w:t> </w:t>
      </w:r>
      <w:r>
        <w:rPr>
          <w:rFonts w:ascii="宋体" w:hAnsi="宋体" w:cs="宋体"/>
          <w:sz w:val="28"/>
          <w:szCs w:val="28"/>
          <w:highlight w:val="none"/>
        </w:rPr>
        <w:t xml:space="preserve">                     </w:t>
      </w:r>
      <w:r>
        <w:rPr>
          <w:rFonts w:hint="eastAsia" w:ascii="宋体" w:hAnsi="宋体" w:cs="宋体"/>
          <w:sz w:val="28"/>
          <w:szCs w:val="28"/>
          <w:highlight w:val="none"/>
        </w:rPr>
        <w:t>声明人</w:t>
      </w:r>
      <w:r>
        <w:rPr>
          <w:rFonts w:ascii="宋体" w:hAnsi="宋体" w:cs="宋体"/>
          <w:sz w:val="28"/>
          <w:szCs w:val="28"/>
          <w:highlight w:val="none"/>
        </w:rPr>
        <w:t xml:space="preserve"> </w:t>
      </w:r>
      <w:r>
        <w:rPr>
          <w:rFonts w:hint="eastAsia" w:ascii="宋体" w:hAnsi="宋体" w:cs="宋体"/>
          <w:sz w:val="28"/>
          <w:szCs w:val="28"/>
          <w:highlight w:val="none"/>
        </w:rPr>
        <w:t>（盖单位章）：</w:t>
      </w:r>
    </w:p>
    <w:p>
      <w:pPr>
        <w:pStyle w:val="16"/>
        <w:rPr>
          <w:highlight w:val="none"/>
        </w:rPr>
      </w:pPr>
    </w:p>
    <w:p>
      <w:pPr>
        <w:pStyle w:val="21"/>
        <w:spacing w:before="152" w:after="152" w:line="360" w:lineRule="auto"/>
        <w:ind w:firstLine="4760" w:firstLineChars="1700"/>
        <w:rPr>
          <w:rFonts w:hint="eastAsia" w:hAnsi="宋体" w:cs="宋体"/>
          <w:bCs/>
          <w:sz w:val="28"/>
          <w:szCs w:val="28"/>
          <w:highlight w:val="none"/>
          <w:lang w:val="zh-CN"/>
        </w:rPr>
      </w:pPr>
      <w:r>
        <w:rPr>
          <w:rFonts w:hint="eastAsia" w:hAnsi="宋体" w:cs="宋体"/>
          <w:bCs/>
          <w:sz w:val="28"/>
          <w:szCs w:val="28"/>
          <w:highlight w:val="none"/>
        </w:rPr>
        <w:t>日　期：</w:t>
      </w:r>
    </w:p>
    <w:p>
      <w:pPr>
        <w:rPr>
          <w:rFonts w:ascii="宋体" w:cs="宋体"/>
          <w:b/>
          <w:sz w:val="28"/>
          <w:szCs w:val="28"/>
          <w:highlight w:val="none"/>
        </w:rPr>
      </w:pPr>
      <w:r>
        <w:rPr>
          <w:rFonts w:ascii="宋体" w:cs="宋体"/>
          <w:b/>
          <w:bCs/>
          <w:sz w:val="24"/>
          <w:highlight w:val="none"/>
        </w:rPr>
        <w:br w:type="page"/>
      </w:r>
    </w:p>
    <w:p>
      <w:pPr>
        <w:pStyle w:val="16"/>
        <w:rPr>
          <w:rFonts w:ascii="宋体" w:cs="宋体"/>
          <w:b/>
          <w:bCs/>
          <w:highlight w:val="none"/>
        </w:rPr>
      </w:pPr>
    </w:p>
    <w:p>
      <w:pPr>
        <w:pStyle w:val="17"/>
        <w:ind w:firstLine="420"/>
        <w:rPr>
          <w:highlight w:val="none"/>
        </w:rPr>
      </w:pPr>
    </w:p>
    <w:p>
      <w:pPr>
        <w:pStyle w:val="5"/>
        <w:spacing w:before="304" w:beforeLines="100" w:after="0"/>
        <w:jc w:val="center"/>
        <w:rPr>
          <w:rFonts w:hint="eastAsia" w:ascii="宋体" w:hAnsi="宋体" w:eastAsia="宋体" w:cs="宋体"/>
          <w:bCs w:val="0"/>
          <w:highlight w:val="none"/>
          <w:lang w:val="zh-CN"/>
        </w:rPr>
      </w:pPr>
      <w:bookmarkStart w:id="211" w:name="_Toc4203"/>
      <w:bookmarkStart w:id="212" w:name="_Toc20257"/>
      <w:bookmarkStart w:id="213" w:name="_Toc25707"/>
      <w:bookmarkStart w:id="214" w:name="_Toc20856"/>
      <w:bookmarkStart w:id="215" w:name="_Toc12040"/>
      <w:bookmarkStart w:id="216" w:name="_Toc29828"/>
      <w:r>
        <w:rPr>
          <w:rFonts w:ascii="宋体" w:hAnsi="宋体" w:eastAsia="宋体" w:cs="宋体"/>
          <w:bCs w:val="0"/>
          <w:highlight w:val="none"/>
          <w:lang w:val="zh-CN"/>
        </w:rPr>
        <w:t>2</w:t>
      </w:r>
      <w:r>
        <w:rPr>
          <w:rFonts w:hint="eastAsia" w:ascii="宋体" w:hAnsi="宋体" w:eastAsia="宋体" w:cs="宋体"/>
          <w:bCs w:val="0"/>
          <w:highlight w:val="none"/>
          <w:lang w:val="zh-CN"/>
        </w:rPr>
        <w:t>、商务与技术文件格式</w:t>
      </w:r>
      <w:bookmarkEnd w:id="202"/>
      <w:bookmarkEnd w:id="203"/>
      <w:bookmarkEnd w:id="210"/>
      <w:bookmarkEnd w:id="211"/>
      <w:bookmarkEnd w:id="212"/>
      <w:bookmarkEnd w:id="213"/>
      <w:bookmarkEnd w:id="214"/>
      <w:bookmarkEnd w:id="215"/>
      <w:bookmarkEnd w:id="216"/>
    </w:p>
    <w:p>
      <w:pPr>
        <w:spacing w:before="100" w:beforeAutospacing="1" w:after="100" w:afterAutospacing="1"/>
        <w:jc w:val="center"/>
        <w:rPr>
          <w:rFonts w:ascii="宋体" w:cs="宋体"/>
          <w:b/>
          <w:sz w:val="32"/>
          <w:szCs w:val="32"/>
          <w:highlight w:val="none"/>
        </w:rPr>
      </w:pPr>
      <w:r>
        <w:rPr>
          <w:rFonts w:hint="eastAsia" w:ascii="宋体" w:hAnsi="宋体" w:cs="宋体"/>
          <w:b/>
          <w:sz w:val="32"/>
          <w:szCs w:val="32"/>
          <w:highlight w:val="none"/>
        </w:rPr>
        <w:t>目</w:t>
      </w:r>
      <w:r>
        <w:rPr>
          <w:rFonts w:ascii="宋体" w:hAnsi="宋体" w:cs="宋体"/>
          <w:b/>
          <w:sz w:val="32"/>
          <w:szCs w:val="32"/>
          <w:highlight w:val="none"/>
        </w:rPr>
        <w:t xml:space="preserve">  </w:t>
      </w:r>
      <w:r>
        <w:rPr>
          <w:rFonts w:hint="eastAsia" w:ascii="宋体" w:hAnsi="宋体" w:cs="宋体"/>
          <w:b/>
          <w:sz w:val="32"/>
          <w:szCs w:val="32"/>
          <w:highlight w:val="none"/>
        </w:rPr>
        <w:t>录</w:t>
      </w:r>
    </w:p>
    <w:p>
      <w:pPr>
        <w:spacing w:line="480" w:lineRule="auto"/>
        <w:jc w:val="center"/>
        <w:rPr>
          <w:rFonts w:ascii="宋体" w:cs="宋体"/>
          <w:sz w:val="24"/>
          <w:highlight w:val="none"/>
        </w:rPr>
      </w:pPr>
      <w:r>
        <w:rPr>
          <w:rFonts w:hint="eastAsia" w:ascii="宋体" w:hAnsi="宋体" w:cs="宋体"/>
          <w:sz w:val="24"/>
          <w:highlight w:val="none"/>
        </w:rPr>
        <w:t>（供应商可参考采购文件“第三章</w:t>
      </w:r>
      <w:r>
        <w:rPr>
          <w:rFonts w:ascii="宋体" w:hAnsi="宋体" w:cs="宋体"/>
          <w:sz w:val="24"/>
          <w:highlight w:val="none"/>
        </w:rPr>
        <w:t xml:space="preserve"> </w:t>
      </w:r>
      <w:r>
        <w:rPr>
          <w:rFonts w:hint="eastAsia" w:ascii="宋体" w:hAnsi="宋体" w:cs="宋体"/>
          <w:sz w:val="24"/>
          <w:highlight w:val="none"/>
        </w:rPr>
        <w:t>投标须知”商务与技术文件组成要求编排）</w:t>
      </w:r>
    </w:p>
    <w:p>
      <w:pPr>
        <w:spacing w:before="100" w:beforeAutospacing="1" w:line="360" w:lineRule="auto"/>
        <w:rPr>
          <w:rFonts w:ascii="宋体" w:cs="宋体"/>
          <w:b/>
          <w:bCs/>
          <w:sz w:val="24"/>
          <w:highlight w:val="none"/>
        </w:rPr>
        <w:sectPr>
          <w:pgSz w:w="11905" w:h="16838"/>
          <w:pgMar w:top="1417" w:right="1587" w:bottom="1417" w:left="1587" w:header="907" w:footer="924" w:gutter="0"/>
          <w:cols w:space="0" w:num="1"/>
          <w:docGrid w:type="lines" w:linePitch="304" w:charSpace="0"/>
        </w:sectPr>
      </w:pPr>
      <w:bookmarkStart w:id="217" w:name="_Toc481505164"/>
      <w:bookmarkStart w:id="218" w:name="_Toc434090250"/>
    </w:p>
    <w:bookmarkEnd w:id="217"/>
    <w:bookmarkEnd w:id="218"/>
    <w:p>
      <w:pPr>
        <w:spacing w:line="360" w:lineRule="auto"/>
        <w:rPr>
          <w:rFonts w:ascii="宋体" w:cs="宋体"/>
          <w:b/>
          <w:bCs/>
          <w:sz w:val="24"/>
          <w:highlight w:val="none"/>
        </w:rPr>
      </w:pPr>
      <w:bookmarkStart w:id="219" w:name="_Toc481505160"/>
      <w:r>
        <w:rPr>
          <w:rFonts w:hint="eastAsia" w:ascii="宋体" w:hAnsi="宋体" w:cs="宋体"/>
          <w:b/>
          <w:bCs/>
          <w:sz w:val="24"/>
          <w:highlight w:val="none"/>
        </w:rPr>
        <w:t>附件</w:t>
      </w:r>
      <w:r>
        <w:rPr>
          <w:rFonts w:ascii="宋体" w:hAnsi="宋体" w:cs="宋体"/>
          <w:b/>
          <w:bCs/>
          <w:sz w:val="24"/>
          <w:highlight w:val="none"/>
        </w:rPr>
        <w:t>5</w:t>
      </w:r>
      <w:r>
        <w:rPr>
          <w:rFonts w:hint="eastAsia" w:ascii="宋体" w:hAnsi="宋体" w:cs="宋体"/>
          <w:b/>
          <w:bCs/>
          <w:sz w:val="24"/>
          <w:highlight w:val="none"/>
        </w:rPr>
        <w:t>：</w:t>
      </w:r>
    </w:p>
    <w:p>
      <w:pPr>
        <w:jc w:val="center"/>
        <w:rPr>
          <w:snapToGrid w:val="0"/>
          <w:sz w:val="30"/>
          <w:szCs w:val="30"/>
          <w:highlight w:val="none"/>
        </w:rPr>
      </w:pPr>
    </w:p>
    <w:p>
      <w:pPr>
        <w:jc w:val="center"/>
        <w:rPr>
          <w:snapToGrid w:val="0"/>
          <w:sz w:val="30"/>
          <w:szCs w:val="30"/>
          <w:highlight w:val="none"/>
        </w:rPr>
      </w:pPr>
      <w:r>
        <w:rPr>
          <w:snapToGrid w:val="0"/>
          <w:sz w:val="30"/>
          <w:szCs w:val="30"/>
          <w:highlight w:val="none"/>
        </w:rPr>
        <w:t xml:space="preserve">       </w:t>
      </w:r>
      <w:r>
        <w:rPr>
          <w:rFonts w:hint="eastAsia"/>
          <w:snapToGrid w:val="0"/>
          <w:sz w:val="30"/>
          <w:szCs w:val="30"/>
          <w:highlight w:val="none"/>
        </w:rPr>
        <w:t>（</w:t>
      </w:r>
      <w:r>
        <w:rPr>
          <w:snapToGrid w:val="0"/>
          <w:sz w:val="30"/>
          <w:szCs w:val="30"/>
          <w:highlight w:val="none"/>
        </w:rPr>
        <w:t>1</w:t>
      </w:r>
      <w:r>
        <w:rPr>
          <w:rFonts w:hint="eastAsia"/>
          <w:snapToGrid w:val="0"/>
          <w:sz w:val="30"/>
          <w:szCs w:val="30"/>
          <w:highlight w:val="none"/>
        </w:rPr>
        <w:t>）法定代表人身份证明书</w:t>
      </w:r>
      <w:r>
        <w:rPr>
          <w:snapToGrid w:val="0"/>
          <w:sz w:val="30"/>
          <w:szCs w:val="30"/>
          <w:highlight w:val="none"/>
        </w:rPr>
        <w:t xml:space="preserve">  </w:t>
      </w:r>
      <w:r>
        <w:rPr>
          <w:rFonts w:hint="eastAsia"/>
          <w:i/>
          <w:iCs/>
          <w:snapToGrid w:val="0"/>
          <w:sz w:val="24"/>
          <w:highlight w:val="none"/>
          <w:u w:val="single"/>
        </w:rPr>
        <w:t>（以下二选一）</w:t>
      </w:r>
    </w:p>
    <w:p>
      <w:pPr>
        <w:rPr>
          <w:snapToGrid w:val="0"/>
          <w:szCs w:val="21"/>
          <w:highlight w:val="none"/>
        </w:rPr>
      </w:pPr>
    </w:p>
    <w:p>
      <w:pPr>
        <w:rPr>
          <w:snapToGrid w:val="0"/>
          <w:szCs w:val="21"/>
          <w:highlight w:val="none"/>
        </w:rPr>
      </w:pPr>
    </w:p>
    <w:p>
      <w:pPr>
        <w:spacing w:line="500" w:lineRule="exact"/>
        <w:rPr>
          <w:snapToGrid w:val="0"/>
          <w:sz w:val="24"/>
          <w:highlight w:val="none"/>
        </w:rPr>
      </w:pPr>
      <w:r>
        <w:rPr>
          <w:rFonts w:hint="eastAsia"/>
          <w:snapToGrid w:val="0"/>
          <w:sz w:val="24"/>
          <w:highlight w:val="none"/>
        </w:rPr>
        <w:t>投标人名称：</w:t>
      </w:r>
      <w:r>
        <w:rPr>
          <w:snapToGrid w:val="0"/>
          <w:sz w:val="24"/>
          <w:highlight w:val="none"/>
          <w:u w:val="single"/>
        </w:rPr>
        <w:t xml:space="preserve">                                         </w:t>
      </w:r>
    </w:p>
    <w:p>
      <w:pPr>
        <w:spacing w:line="500" w:lineRule="exact"/>
        <w:rPr>
          <w:snapToGrid w:val="0"/>
          <w:sz w:val="24"/>
          <w:highlight w:val="none"/>
        </w:rPr>
      </w:pPr>
      <w:r>
        <w:rPr>
          <w:rFonts w:hint="eastAsia"/>
          <w:snapToGrid w:val="0"/>
          <w:sz w:val="24"/>
          <w:highlight w:val="none"/>
        </w:rPr>
        <w:t>单位性质：</w:t>
      </w:r>
      <w:r>
        <w:rPr>
          <w:snapToGrid w:val="0"/>
          <w:sz w:val="24"/>
          <w:highlight w:val="none"/>
          <w:u w:val="single"/>
        </w:rPr>
        <w:t xml:space="preserve">                                           </w:t>
      </w:r>
      <w:r>
        <w:rPr>
          <w:snapToGrid w:val="0"/>
          <w:sz w:val="24"/>
          <w:highlight w:val="none"/>
        </w:rPr>
        <w:t xml:space="preserve"> </w:t>
      </w:r>
    </w:p>
    <w:p>
      <w:pPr>
        <w:spacing w:line="500" w:lineRule="exact"/>
        <w:rPr>
          <w:snapToGrid w:val="0"/>
          <w:sz w:val="24"/>
          <w:highlight w:val="none"/>
        </w:rPr>
      </w:pPr>
      <w:r>
        <w:rPr>
          <w:rFonts w:hint="eastAsia"/>
          <w:snapToGrid w:val="0"/>
          <w:sz w:val="24"/>
          <w:highlight w:val="none"/>
        </w:rPr>
        <w:t>地址：</w:t>
      </w:r>
      <w:r>
        <w:rPr>
          <w:snapToGrid w:val="0"/>
          <w:sz w:val="24"/>
          <w:highlight w:val="none"/>
          <w:u w:val="single"/>
        </w:rPr>
        <w:t xml:space="preserve">                                               </w:t>
      </w:r>
      <w:r>
        <w:rPr>
          <w:snapToGrid w:val="0"/>
          <w:sz w:val="24"/>
          <w:highlight w:val="none"/>
        </w:rPr>
        <w:t xml:space="preserve"> </w:t>
      </w:r>
    </w:p>
    <w:p>
      <w:pPr>
        <w:spacing w:line="500" w:lineRule="exact"/>
        <w:rPr>
          <w:snapToGrid w:val="0"/>
          <w:sz w:val="24"/>
          <w:highlight w:val="none"/>
        </w:rPr>
      </w:pPr>
      <w:r>
        <w:rPr>
          <w:rFonts w:hint="eastAsia"/>
          <w:snapToGrid w:val="0"/>
          <w:sz w:val="24"/>
          <w:highlight w:val="none"/>
        </w:rPr>
        <w:t>成立时间：</w:t>
      </w:r>
      <w:r>
        <w:rPr>
          <w:snapToGrid w:val="0"/>
          <w:sz w:val="24"/>
          <w:highlight w:val="none"/>
          <w:u w:val="single"/>
        </w:rPr>
        <w:t xml:space="preserve">        </w:t>
      </w:r>
      <w:r>
        <w:rPr>
          <w:rFonts w:hint="eastAsia"/>
          <w:snapToGrid w:val="0"/>
          <w:sz w:val="24"/>
          <w:highlight w:val="none"/>
        </w:rPr>
        <w:t>年</w:t>
      </w:r>
      <w:r>
        <w:rPr>
          <w:snapToGrid w:val="0"/>
          <w:sz w:val="24"/>
          <w:highlight w:val="none"/>
          <w:u w:val="single"/>
        </w:rPr>
        <w:t xml:space="preserve">    </w:t>
      </w:r>
      <w:r>
        <w:rPr>
          <w:rFonts w:hint="eastAsia"/>
          <w:snapToGrid w:val="0"/>
          <w:sz w:val="24"/>
          <w:highlight w:val="none"/>
        </w:rPr>
        <w:t>月</w:t>
      </w:r>
      <w:r>
        <w:rPr>
          <w:snapToGrid w:val="0"/>
          <w:sz w:val="24"/>
          <w:highlight w:val="none"/>
          <w:u w:val="single"/>
        </w:rPr>
        <w:t xml:space="preserve">    </w:t>
      </w:r>
      <w:r>
        <w:rPr>
          <w:rFonts w:hint="eastAsia"/>
          <w:snapToGrid w:val="0"/>
          <w:sz w:val="24"/>
          <w:highlight w:val="none"/>
        </w:rPr>
        <w:t>日</w:t>
      </w:r>
    </w:p>
    <w:p>
      <w:pPr>
        <w:spacing w:line="500" w:lineRule="exact"/>
        <w:rPr>
          <w:snapToGrid w:val="0"/>
          <w:sz w:val="24"/>
          <w:highlight w:val="none"/>
        </w:rPr>
      </w:pPr>
      <w:r>
        <w:rPr>
          <w:rFonts w:hint="eastAsia"/>
          <w:snapToGrid w:val="0"/>
          <w:sz w:val="24"/>
          <w:highlight w:val="none"/>
        </w:rPr>
        <w:t>经营期限：</w:t>
      </w:r>
      <w:r>
        <w:rPr>
          <w:snapToGrid w:val="0"/>
          <w:sz w:val="24"/>
          <w:highlight w:val="none"/>
          <w:u w:val="single"/>
        </w:rPr>
        <w:t xml:space="preserve">                                </w:t>
      </w:r>
      <w:r>
        <w:rPr>
          <w:snapToGrid w:val="0"/>
          <w:sz w:val="24"/>
          <w:highlight w:val="none"/>
        </w:rPr>
        <w:t xml:space="preserve"> </w:t>
      </w:r>
    </w:p>
    <w:p>
      <w:pPr>
        <w:spacing w:line="500" w:lineRule="exact"/>
        <w:rPr>
          <w:snapToGrid w:val="0"/>
          <w:sz w:val="24"/>
          <w:highlight w:val="none"/>
          <w:u w:val="single"/>
        </w:rPr>
      </w:pPr>
      <w:r>
        <w:rPr>
          <w:rFonts w:hint="eastAsia"/>
          <w:snapToGrid w:val="0"/>
          <w:sz w:val="24"/>
          <w:highlight w:val="none"/>
        </w:rPr>
        <w:t>姓名：</w:t>
      </w:r>
      <w:r>
        <w:rPr>
          <w:snapToGrid w:val="0"/>
          <w:sz w:val="24"/>
          <w:highlight w:val="none"/>
          <w:u w:val="single"/>
        </w:rPr>
        <w:t xml:space="preserve">       </w:t>
      </w:r>
      <w:r>
        <w:rPr>
          <w:rFonts w:hint="eastAsia"/>
          <w:snapToGrid w:val="0"/>
          <w:sz w:val="24"/>
          <w:highlight w:val="none"/>
        </w:rPr>
        <w:t>性别：</w:t>
      </w:r>
      <w:r>
        <w:rPr>
          <w:snapToGrid w:val="0"/>
          <w:sz w:val="24"/>
          <w:highlight w:val="none"/>
          <w:u w:val="single"/>
        </w:rPr>
        <w:t xml:space="preserve">    </w:t>
      </w:r>
      <w:r>
        <w:rPr>
          <w:rFonts w:hint="eastAsia"/>
          <w:snapToGrid w:val="0"/>
          <w:sz w:val="24"/>
          <w:highlight w:val="none"/>
        </w:rPr>
        <w:t>年龄：</w:t>
      </w:r>
      <w:r>
        <w:rPr>
          <w:snapToGrid w:val="0"/>
          <w:sz w:val="24"/>
          <w:highlight w:val="none"/>
          <w:u w:val="single"/>
        </w:rPr>
        <w:t xml:space="preserve">    </w:t>
      </w:r>
      <w:r>
        <w:rPr>
          <w:rFonts w:hint="eastAsia"/>
          <w:snapToGrid w:val="0"/>
          <w:sz w:val="24"/>
          <w:highlight w:val="none"/>
        </w:rPr>
        <w:t>身份证号码</w:t>
      </w:r>
      <w:r>
        <w:rPr>
          <w:snapToGrid w:val="0"/>
          <w:sz w:val="24"/>
          <w:highlight w:val="none"/>
          <w:u w:val="single"/>
        </w:rPr>
        <w:t xml:space="preserve">               </w:t>
      </w:r>
    </w:p>
    <w:p>
      <w:pPr>
        <w:spacing w:line="500" w:lineRule="exact"/>
        <w:rPr>
          <w:snapToGrid w:val="0"/>
          <w:sz w:val="24"/>
          <w:highlight w:val="none"/>
        </w:rPr>
      </w:pPr>
      <w:r>
        <w:rPr>
          <w:rFonts w:hint="eastAsia"/>
          <w:snapToGrid w:val="0"/>
          <w:sz w:val="24"/>
          <w:highlight w:val="none"/>
        </w:rPr>
        <w:t>职务：</w:t>
      </w:r>
      <w:r>
        <w:rPr>
          <w:snapToGrid w:val="0"/>
          <w:sz w:val="24"/>
          <w:highlight w:val="none"/>
          <w:u w:val="single"/>
        </w:rPr>
        <w:t xml:space="preserve">          </w:t>
      </w:r>
      <w:r>
        <w:rPr>
          <w:rFonts w:hint="eastAsia"/>
          <w:snapToGrid w:val="0"/>
          <w:sz w:val="24"/>
          <w:highlight w:val="none"/>
        </w:rPr>
        <w:t>系</w:t>
      </w:r>
      <w:r>
        <w:rPr>
          <w:snapToGrid w:val="0"/>
          <w:sz w:val="24"/>
          <w:highlight w:val="none"/>
          <w:u w:val="single"/>
        </w:rPr>
        <w:t xml:space="preserve">                          </w:t>
      </w:r>
      <w:r>
        <w:rPr>
          <w:rFonts w:hint="eastAsia"/>
          <w:snapToGrid w:val="0"/>
          <w:sz w:val="24"/>
          <w:highlight w:val="none"/>
        </w:rPr>
        <w:t>（投标人名称）的法定代表人。</w:t>
      </w:r>
    </w:p>
    <w:p>
      <w:pPr>
        <w:spacing w:line="500" w:lineRule="exact"/>
        <w:rPr>
          <w:snapToGrid w:val="0"/>
          <w:sz w:val="24"/>
          <w:highlight w:val="none"/>
        </w:rPr>
      </w:pPr>
      <w:r>
        <w:rPr>
          <w:rFonts w:hint="eastAsia"/>
          <w:snapToGrid w:val="0"/>
          <w:sz w:val="24"/>
          <w:highlight w:val="none"/>
        </w:rPr>
        <w:t>特此证明。</w:t>
      </w:r>
    </w:p>
    <w:p>
      <w:pPr>
        <w:spacing w:line="500" w:lineRule="exact"/>
        <w:rPr>
          <w:snapToGrid w:val="0"/>
          <w:sz w:val="24"/>
          <w:highlight w:val="none"/>
        </w:rPr>
      </w:pPr>
      <w:r>
        <w:rPr>
          <w:snapToGrid w:val="0"/>
          <w:sz w:val="24"/>
          <w:highlight w:val="none"/>
        </w:rPr>
        <w:t xml:space="preserve">                            </w:t>
      </w:r>
      <w:r>
        <w:rPr>
          <w:rFonts w:hint="eastAsia"/>
          <w:snapToGrid w:val="0"/>
          <w:sz w:val="24"/>
          <w:highlight w:val="none"/>
        </w:rPr>
        <w:t>供应商：</w:t>
      </w:r>
      <w:r>
        <w:rPr>
          <w:snapToGrid w:val="0"/>
          <w:sz w:val="24"/>
          <w:highlight w:val="none"/>
          <w:u w:val="single"/>
        </w:rPr>
        <w:t xml:space="preserve">                 </w:t>
      </w:r>
      <w:r>
        <w:rPr>
          <w:rFonts w:hint="eastAsia"/>
          <w:snapToGrid w:val="0"/>
          <w:sz w:val="24"/>
          <w:highlight w:val="none"/>
        </w:rPr>
        <w:t>（盖单位章）</w:t>
      </w:r>
    </w:p>
    <w:p>
      <w:pPr>
        <w:spacing w:line="500" w:lineRule="exact"/>
        <w:rPr>
          <w:snapToGrid w:val="0"/>
          <w:sz w:val="24"/>
          <w:highlight w:val="none"/>
        </w:rPr>
      </w:pPr>
      <w:r>
        <w:rPr>
          <w:snapToGrid w:val="0"/>
          <w:sz w:val="24"/>
          <w:highlight w:val="none"/>
        </w:rPr>
        <w:t xml:space="preserve">                                   </w:t>
      </w:r>
      <w:r>
        <w:rPr>
          <w:snapToGrid w:val="0"/>
          <w:sz w:val="24"/>
          <w:highlight w:val="none"/>
          <w:u w:val="single"/>
        </w:rPr>
        <w:t xml:space="preserve">        </w:t>
      </w:r>
      <w:r>
        <w:rPr>
          <w:rFonts w:hint="eastAsia"/>
          <w:snapToGrid w:val="0"/>
          <w:sz w:val="24"/>
          <w:highlight w:val="none"/>
        </w:rPr>
        <w:t>年</w:t>
      </w:r>
      <w:r>
        <w:rPr>
          <w:snapToGrid w:val="0"/>
          <w:sz w:val="24"/>
          <w:highlight w:val="none"/>
          <w:u w:val="single"/>
        </w:rPr>
        <w:t xml:space="preserve">    </w:t>
      </w:r>
      <w:r>
        <w:rPr>
          <w:rFonts w:hint="eastAsia"/>
          <w:snapToGrid w:val="0"/>
          <w:sz w:val="24"/>
          <w:highlight w:val="none"/>
        </w:rPr>
        <w:t>月</w:t>
      </w:r>
      <w:r>
        <w:rPr>
          <w:snapToGrid w:val="0"/>
          <w:sz w:val="24"/>
          <w:highlight w:val="none"/>
          <w:u w:val="single"/>
        </w:rPr>
        <w:t xml:space="preserve">     </w:t>
      </w:r>
      <w:r>
        <w:rPr>
          <w:rFonts w:hint="eastAsia"/>
          <w:snapToGrid w:val="0"/>
          <w:sz w:val="24"/>
          <w:highlight w:val="none"/>
        </w:rPr>
        <w:t>日</w:t>
      </w:r>
    </w:p>
    <w:p>
      <w:pPr>
        <w:spacing w:line="500" w:lineRule="exact"/>
        <w:rPr>
          <w:snapToGrid w:val="0"/>
          <w:sz w:val="28"/>
          <w:szCs w:val="28"/>
          <w:highlight w:val="none"/>
        </w:rPr>
      </w:pPr>
    </w:p>
    <w:p>
      <w:pPr>
        <w:spacing w:line="500" w:lineRule="exact"/>
        <w:rPr>
          <w:snapToGrid w:val="0"/>
          <w:sz w:val="24"/>
          <w:highlight w:val="none"/>
        </w:rPr>
      </w:pPr>
      <w:r>
        <w:rPr>
          <w:rFonts w:hint="eastAsia"/>
          <w:snapToGrid w:val="0"/>
          <w:sz w:val="24"/>
          <w:highlight w:val="none"/>
        </w:rPr>
        <w:t>注：此证明用于法定代表人本人参加本项目的采购活动。</w:t>
      </w:r>
    </w:p>
    <w:p>
      <w:pPr>
        <w:pStyle w:val="10"/>
        <w:spacing w:line="600" w:lineRule="exact"/>
        <w:ind w:firstLine="0"/>
        <w:rPr>
          <w:sz w:val="24"/>
          <w:highlight w:val="none"/>
        </w:rPr>
      </w:pPr>
      <w:r>
        <w:rPr>
          <w:sz w:val="24"/>
          <w:highlight w:val="none"/>
        </w:rPr>
        <w:t>------------------------------------------------------------------------------------------------------------</w:t>
      </w:r>
    </w:p>
    <w:p>
      <w:pPr>
        <w:pStyle w:val="10"/>
        <w:spacing w:line="600" w:lineRule="exact"/>
        <w:ind w:firstLine="374" w:firstLineChars="156"/>
        <w:jc w:val="center"/>
        <w:rPr>
          <w:sz w:val="24"/>
          <w:highlight w:val="none"/>
        </w:rPr>
      </w:pPr>
    </w:p>
    <w:p>
      <w:pPr>
        <w:pStyle w:val="10"/>
        <w:spacing w:line="600" w:lineRule="exact"/>
        <w:ind w:firstLine="374" w:firstLineChars="156"/>
        <w:jc w:val="center"/>
        <w:rPr>
          <w:sz w:val="24"/>
          <w:highlight w:val="none"/>
        </w:rPr>
      </w:pPr>
    </w:p>
    <w:p>
      <w:pPr>
        <w:pStyle w:val="10"/>
        <w:spacing w:line="600" w:lineRule="exact"/>
        <w:ind w:firstLine="0"/>
        <w:jc w:val="center"/>
        <w:rPr>
          <w:sz w:val="24"/>
          <w:highlight w:val="none"/>
        </w:rPr>
      </w:pPr>
      <w:r>
        <w:rPr>
          <w:rFonts w:hint="eastAsia"/>
          <w:sz w:val="24"/>
          <w:highlight w:val="none"/>
        </w:rPr>
        <w:t>（有效身份证复印件）</w:t>
      </w:r>
    </w:p>
    <w:p>
      <w:pPr>
        <w:spacing w:line="480" w:lineRule="auto"/>
        <w:ind w:firstLine="361" w:firstLineChars="100"/>
        <w:jc w:val="center"/>
        <w:rPr>
          <w:b/>
          <w:sz w:val="36"/>
          <w:szCs w:val="36"/>
          <w:highlight w:val="none"/>
        </w:rPr>
        <w:sectPr>
          <w:pgSz w:w="11905" w:h="16838"/>
          <w:pgMar w:top="1417" w:right="1587" w:bottom="1417" w:left="1587" w:header="907" w:footer="924" w:gutter="0"/>
          <w:cols w:space="0" w:num="1"/>
          <w:docGrid w:type="lines" w:linePitch="304" w:charSpace="0"/>
        </w:sectPr>
      </w:pPr>
    </w:p>
    <w:p>
      <w:pPr>
        <w:snapToGrid w:val="0"/>
        <w:spacing w:before="152" w:beforeLines="50" w:after="50"/>
        <w:jc w:val="center"/>
        <w:rPr>
          <w:rFonts w:ascii="宋体" w:cs="宋体"/>
          <w:b/>
          <w:sz w:val="30"/>
          <w:szCs w:val="30"/>
          <w:highlight w:val="none"/>
        </w:rPr>
      </w:pPr>
      <w:r>
        <w:rPr>
          <w:rFonts w:hint="eastAsia" w:ascii="宋体" w:hAnsi="宋体" w:cs="宋体"/>
          <w:b/>
          <w:sz w:val="30"/>
          <w:szCs w:val="30"/>
          <w:highlight w:val="none"/>
        </w:rPr>
        <w:t>（</w:t>
      </w:r>
      <w:r>
        <w:rPr>
          <w:rFonts w:ascii="宋体" w:hAnsi="宋体" w:cs="宋体"/>
          <w:b/>
          <w:sz w:val="30"/>
          <w:szCs w:val="30"/>
          <w:highlight w:val="none"/>
        </w:rPr>
        <w:t>2</w:t>
      </w:r>
      <w:r>
        <w:rPr>
          <w:rFonts w:hint="eastAsia" w:ascii="宋体" w:hAnsi="宋体" w:cs="宋体"/>
          <w:b/>
          <w:sz w:val="30"/>
          <w:szCs w:val="30"/>
          <w:highlight w:val="none"/>
        </w:rPr>
        <w:t>）法定代表人授权委托书</w:t>
      </w:r>
    </w:p>
    <w:p>
      <w:pPr>
        <w:snapToGrid w:val="0"/>
        <w:spacing w:before="152" w:beforeLines="50" w:after="50"/>
        <w:rPr>
          <w:rFonts w:ascii="宋体" w:cs="宋体"/>
          <w:bCs/>
          <w:sz w:val="24"/>
          <w:highlight w:val="none"/>
        </w:rPr>
      </w:pPr>
    </w:p>
    <w:p>
      <w:pPr>
        <w:snapToGrid w:val="0"/>
        <w:spacing w:before="152" w:beforeLines="50" w:after="50"/>
        <w:rPr>
          <w:rFonts w:ascii="宋体" w:cs="宋体"/>
          <w:b/>
          <w:bCs/>
          <w:sz w:val="24"/>
          <w:highlight w:val="none"/>
        </w:rPr>
      </w:pPr>
      <w:r>
        <w:rPr>
          <w:rFonts w:hint="eastAsia" w:ascii="宋体" w:hAnsi="宋体" w:cs="宋体"/>
          <w:bCs/>
          <w:sz w:val="24"/>
          <w:highlight w:val="none"/>
        </w:rPr>
        <w:t>致：</w:t>
      </w:r>
      <w:r>
        <w:rPr>
          <w:rFonts w:ascii="宋体" w:hAnsi="宋体" w:cs="宋体"/>
          <w:bCs/>
          <w:sz w:val="24"/>
          <w:highlight w:val="none"/>
          <w:u w:val="single"/>
        </w:rPr>
        <w:t xml:space="preserve">  </w:t>
      </w:r>
      <w:r>
        <w:rPr>
          <w:rFonts w:hint="eastAsia" w:ascii="宋体" w:hAnsi="宋体" w:cs="宋体"/>
          <w:sz w:val="24"/>
          <w:highlight w:val="none"/>
          <w:u w:val="single"/>
        </w:rPr>
        <w:t>（采购单位名称）</w:t>
      </w:r>
      <w:r>
        <w:rPr>
          <w:rFonts w:hint="eastAsia" w:ascii="宋体" w:hAnsi="宋体" w:cs="宋体"/>
          <w:sz w:val="24"/>
          <w:highlight w:val="none"/>
        </w:rPr>
        <w:t>：</w:t>
      </w:r>
    </w:p>
    <w:p>
      <w:pPr>
        <w:spacing w:line="700" w:lineRule="exact"/>
        <w:ind w:firstLine="840" w:firstLineChars="350"/>
        <w:rPr>
          <w:rFonts w:ascii="宋体" w:cs="宋体"/>
          <w:sz w:val="24"/>
          <w:highlight w:val="none"/>
        </w:rPr>
      </w:pPr>
      <w:r>
        <w:rPr>
          <w:rFonts w:ascii="宋体" w:hAnsi="宋体" w:cs="宋体"/>
          <w:sz w:val="24"/>
          <w:highlight w:val="none"/>
          <w:u w:val="single"/>
        </w:rPr>
        <w:t xml:space="preserve">                      </w:t>
      </w:r>
      <w:r>
        <w:rPr>
          <w:rFonts w:hint="eastAsia" w:ascii="宋体" w:hAnsi="宋体" w:cs="宋体"/>
          <w:sz w:val="24"/>
          <w:highlight w:val="none"/>
        </w:rPr>
        <w:t>（投标供应商全称）法定代表人</w:t>
      </w:r>
      <w:r>
        <w:rPr>
          <w:rFonts w:ascii="宋体" w:hAnsi="宋体" w:cs="宋体"/>
          <w:sz w:val="24"/>
          <w:highlight w:val="none"/>
          <w:u w:val="single"/>
        </w:rPr>
        <w:t xml:space="preserve">            </w:t>
      </w:r>
      <w:r>
        <w:rPr>
          <w:rFonts w:hint="eastAsia" w:ascii="宋体" w:hAnsi="宋体" w:cs="宋体"/>
          <w:sz w:val="24"/>
          <w:highlight w:val="none"/>
        </w:rPr>
        <w:t>授权</w:t>
      </w:r>
      <w:r>
        <w:rPr>
          <w:rFonts w:ascii="宋体" w:hAnsi="宋体" w:cs="宋体"/>
          <w:sz w:val="24"/>
          <w:highlight w:val="none"/>
          <w:u w:val="single"/>
        </w:rPr>
        <w:t xml:space="preserve">                   </w:t>
      </w:r>
      <w:r>
        <w:rPr>
          <w:rFonts w:hint="eastAsia" w:ascii="宋体" w:hAnsi="宋体" w:cs="宋体"/>
          <w:sz w:val="24"/>
          <w:highlight w:val="none"/>
        </w:rPr>
        <w:t>（全称代表姓名）为全权代表，参加贵单位组织的</w:t>
      </w:r>
      <w:r>
        <w:rPr>
          <w:rFonts w:ascii="宋体" w:hAnsi="宋体" w:cs="宋体"/>
          <w:sz w:val="24"/>
          <w:highlight w:val="none"/>
          <w:u w:val="single"/>
        </w:rPr>
        <w:t xml:space="preserve"> </w:t>
      </w:r>
      <w:r>
        <w:rPr>
          <w:rFonts w:hint="eastAsia" w:ascii="宋体" w:hAnsi="宋体" w:cs="宋体"/>
          <w:sz w:val="24"/>
          <w:highlight w:val="none"/>
          <w:u w:val="single"/>
          <w:lang w:eastAsia="zh-CN"/>
        </w:rPr>
        <w:t>仙居县力天市政工程有限公司PE管材及配件、PPR管材及配件采购项目</w:t>
      </w:r>
      <w:r>
        <w:rPr>
          <w:rFonts w:ascii="宋体" w:hAnsi="宋体" w:cs="宋体"/>
          <w:sz w:val="24"/>
          <w:highlight w:val="none"/>
          <w:u w:val="single"/>
        </w:rPr>
        <w:t xml:space="preserve"> </w:t>
      </w:r>
      <w:r>
        <w:rPr>
          <w:rFonts w:hint="eastAsia" w:ascii="宋体" w:hAnsi="宋体" w:cs="宋体"/>
          <w:sz w:val="24"/>
          <w:highlight w:val="none"/>
        </w:rPr>
        <w:t>编号：</w:t>
      </w:r>
      <w:r>
        <w:rPr>
          <w:rFonts w:ascii="宋体" w:hAnsi="宋体" w:cs="宋体"/>
          <w:sz w:val="24"/>
          <w:highlight w:val="none"/>
          <w:u w:val="single"/>
        </w:rPr>
        <w:t xml:space="preserve"> </w:t>
      </w:r>
      <w:r>
        <w:rPr>
          <w:rFonts w:hint="eastAsia" w:ascii="宋体" w:hAnsi="宋体" w:cs="宋体"/>
          <w:sz w:val="24"/>
          <w:highlight w:val="none"/>
          <w:u w:val="single"/>
          <w:lang w:eastAsia="zh-CN"/>
        </w:rPr>
        <w:t>ZJJX-25CG-002</w:t>
      </w:r>
      <w:r>
        <w:rPr>
          <w:rFonts w:hint="eastAsia" w:ascii="宋体" w:hAnsi="宋体" w:cs="宋体"/>
          <w:sz w:val="24"/>
          <w:highlight w:val="none"/>
        </w:rPr>
        <w:t>的投标活动，全权代表我方处理投标活动中的一切事务，我均予以承认。</w:t>
      </w:r>
    </w:p>
    <w:p>
      <w:pPr>
        <w:spacing w:line="360" w:lineRule="auto"/>
        <w:ind w:firstLine="4094" w:firstLineChars="1706"/>
        <w:rPr>
          <w:rFonts w:ascii="宋体" w:cs="宋体"/>
          <w:sz w:val="24"/>
          <w:highlight w:val="none"/>
        </w:rPr>
      </w:pPr>
    </w:p>
    <w:p>
      <w:pPr>
        <w:spacing w:line="360" w:lineRule="auto"/>
        <w:ind w:firstLine="3360" w:firstLineChars="1400"/>
        <w:rPr>
          <w:rFonts w:ascii="宋体" w:cs="宋体"/>
          <w:sz w:val="24"/>
          <w:highlight w:val="none"/>
        </w:rPr>
      </w:pPr>
    </w:p>
    <w:p>
      <w:pPr>
        <w:spacing w:line="480" w:lineRule="auto"/>
        <w:ind w:firstLine="3360" w:firstLineChars="1400"/>
        <w:rPr>
          <w:rFonts w:ascii="宋体" w:cs="宋体"/>
          <w:sz w:val="24"/>
          <w:highlight w:val="none"/>
        </w:rPr>
      </w:pPr>
      <w:r>
        <w:rPr>
          <w:rFonts w:hint="eastAsia" w:ascii="宋体" w:hAnsi="宋体" w:cs="宋体"/>
          <w:sz w:val="24"/>
          <w:highlight w:val="none"/>
        </w:rPr>
        <w:t>法定代表人（签字或盖章）：</w:t>
      </w:r>
      <w:r>
        <w:rPr>
          <w:rFonts w:ascii="宋体" w:hAnsi="宋体" w:cs="宋体"/>
          <w:sz w:val="24"/>
          <w:highlight w:val="none"/>
        </w:rPr>
        <w:t xml:space="preserve">  </w:t>
      </w:r>
    </w:p>
    <w:p>
      <w:pPr>
        <w:spacing w:line="480" w:lineRule="auto"/>
        <w:ind w:firstLine="3360" w:firstLineChars="1400"/>
        <w:rPr>
          <w:rFonts w:ascii="宋体" w:cs="宋体"/>
          <w:sz w:val="24"/>
          <w:highlight w:val="none"/>
        </w:rPr>
      </w:pPr>
      <w:r>
        <w:rPr>
          <w:rFonts w:ascii="宋体" w:hAnsi="宋体" w:cs="宋体"/>
          <w:sz w:val="24"/>
          <w:highlight w:val="none"/>
        </w:rPr>
        <w:t xml:space="preserve"> </w:t>
      </w:r>
      <w:r>
        <w:rPr>
          <w:rFonts w:hint="eastAsia" w:ascii="宋体" w:hAnsi="宋体" w:cs="宋体"/>
          <w:sz w:val="24"/>
          <w:highlight w:val="none"/>
        </w:rPr>
        <w:t>供应商</w:t>
      </w:r>
      <w:r>
        <w:rPr>
          <w:rFonts w:ascii="宋体" w:hAnsi="宋体" w:cs="宋体"/>
          <w:sz w:val="24"/>
          <w:highlight w:val="none"/>
        </w:rPr>
        <w:t xml:space="preserve"> </w:t>
      </w:r>
      <w:r>
        <w:rPr>
          <w:rFonts w:hint="eastAsia" w:ascii="宋体" w:hAnsi="宋体" w:cs="宋体"/>
          <w:sz w:val="24"/>
          <w:highlight w:val="none"/>
        </w:rPr>
        <w:t>（盖单位章）：</w:t>
      </w:r>
    </w:p>
    <w:p>
      <w:pPr>
        <w:pStyle w:val="21"/>
        <w:spacing w:beforeLines="0" w:afterLines="0" w:line="480" w:lineRule="auto"/>
        <w:rPr>
          <w:rFonts w:hint="eastAsia" w:hAnsi="宋体"/>
          <w:highlight w:val="none"/>
        </w:rPr>
      </w:pPr>
      <w:r>
        <w:rPr>
          <w:rFonts w:hAnsi="宋体"/>
          <w:highlight w:val="none"/>
        </w:rPr>
        <w:tab/>
      </w:r>
      <w:r>
        <w:rPr>
          <w:rFonts w:hAnsi="宋体"/>
          <w:highlight w:val="none"/>
        </w:rPr>
        <w:tab/>
      </w:r>
      <w:r>
        <w:rPr>
          <w:rFonts w:hAnsi="宋体"/>
          <w:highlight w:val="none"/>
        </w:rPr>
        <w:t xml:space="preserve">                                </w:t>
      </w:r>
      <w:r>
        <w:rPr>
          <w:rFonts w:hint="eastAsia" w:hAnsi="宋体"/>
          <w:highlight w:val="none"/>
        </w:rPr>
        <w:t>日</w:t>
      </w:r>
      <w:r>
        <w:rPr>
          <w:rFonts w:hAnsi="宋体"/>
          <w:highlight w:val="none"/>
        </w:rPr>
        <w:t xml:space="preserve">    </w:t>
      </w:r>
      <w:r>
        <w:rPr>
          <w:rFonts w:hint="eastAsia" w:hAnsi="宋体"/>
          <w:highlight w:val="none"/>
        </w:rPr>
        <w:t>期：</w:t>
      </w:r>
    </w:p>
    <w:p>
      <w:pPr>
        <w:spacing w:line="360" w:lineRule="auto"/>
        <w:rPr>
          <w:rFonts w:ascii="宋体" w:cs="宋体"/>
          <w:b/>
          <w:bCs/>
          <w:sz w:val="24"/>
          <w:highlight w:val="none"/>
        </w:rPr>
      </w:pPr>
    </w:p>
    <w:p>
      <w:pPr>
        <w:rPr>
          <w:highlight w:val="none"/>
        </w:rPr>
      </w:pPr>
      <w:r>
        <w:rPr>
          <w:rFonts w:hint="eastAsia" w:ascii="宋体" w:hAnsi="宋体" w:cs="宋体"/>
          <w:b/>
          <w:bCs/>
          <w:szCs w:val="21"/>
          <w:highlight w:val="none"/>
        </w:rPr>
        <w:t>注：本表后附法定代表人身份证复印件及委托代理人身份证复印件。</w:t>
      </w:r>
    </w:p>
    <w:p>
      <w:pPr>
        <w:pStyle w:val="10"/>
        <w:spacing w:line="600" w:lineRule="exact"/>
        <w:ind w:firstLine="0"/>
        <w:rPr>
          <w:sz w:val="24"/>
          <w:highlight w:val="none"/>
        </w:rPr>
      </w:pPr>
      <w:r>
        <w:rPr>
          <w:sz w:val="24"/>
          <w:highlight w:val="none"/>
        </w:rPr>
        <w:t>------------------------------------------------------------------------------------------------------------</w:t>
      </w:r>
    </w:p>
    <w:p>
      <w:pPr>
        <w:rPr>
          <w:highlight w:val="none"/>
        </w:rPr>
        <w:sectPr>
          <w:pgSz w:w="11905" w:h="16838"/>
          <w:pgMar w:top="1417" w:right="1587" w:bottom="1417" w:left="1587" w:header="907" w:footer="924" w:gutter="0"/>
          <w:cols w:space="0" w:num="1"/>
          <w:docGrid w:type="lines" w:linePitch="304" w:charSpace="0"/>
        </w:sectPr>
      </w:pPr>
    </w:p>
    <w:p>
      <w:pPr>
        <w:spacing w:line="360" w:lineRule="auto"/>
        <w:rPr>
          <w:rFonts w:ascii="宋体" w:cs="宋体"/>
          <w:b/>
          <w:bCs/>
          <w:sz w:val="24"/>
          <w:highlight w:val="none"/>
        </w:rPr>
      </w:pPr>
      <w:r>
        <w:rPr>
          <w:rFonts w:hint="eastAsia" w:ascii="宋体" w:hAnsi="宋体" w:cs="宋体"/>
          <w:b/>
          <w:bCs/>
          <w:sz w:val="24"/>
          <w:highlight w:val="none"/>
        </w:rPr>
        <w:t>附件</w:t>
      </w:r>
      <w:r>
        <w:rPr>
          <w:rFonts w:ascii="宋体" w:hAnsi="宋体" w:cs="宋体"/>
          <w:b/>
          <w:bCs/>
          <w:sz w:val="24"/>
          <w:highlight w:val="none"/>
        </w:rPr>
        <w:t>6</w:t>
      </w:r>
      <w:r>
        <w:rPr>
          <w:rFonts w:hint="eastAsia" w:ascii="宋体" w:hAnsi="宋体" w:cs="宋体"/>
          <w:b/>
          <w:bCs/>
          <w:sz w:val="24"/>
          <w:highlight w:val="none"/>
        </w:rPr>
        <w:t>：</w:t>
      </w:r>
    </w:p>
    <w:p>
      <w:pPr>
        <w:spacing w:line="450" w:lineRule="atLeast"/>
        <w:jc w:val="center"/>
        <w:rPr>
          <w:rFonts w:ascii="宋体" w:cs="宋体"/>
          <w:b/>
          <w:bCs/>
          <w:kern w:val="0"/>
          <w:sz w:val="32"/>
          <w:szCs w:val="32"/>
          <w:highlight w:val="none"/>
          <w:lang w:val="zh-CN"/>
        </w:rPr>
      </w:pPr>
      <w:r>
        <w:rPr>
          <w:rFonts w:hint="eastAsia" w:ascii="宋体" w:hAnsi="宋体" w:cs="宋体"/>
          <w:b/>
          <w:bCs/>
          <w:kern w:val="0"/>
          <w:sz w:val="32"/>
          <w:szCs w:val="32"/>
          <w:highlight w:val="none"/>
          <w:lang w:val="zh-CN"/>
        </w:rPr>
        <w:t>投标声明书</w:t>
      </w:r>
    </w:p>
    <w:p>
      <w:pPr>
        <w:spacing w:line="360" w:lineRule="auto"/>
        <w:jc w:val="left"/>
        <w:rPr>
          <w:rFonts w:ascii="宋体" w:cs="宋体"/>
          <w:szCs w:val="21"/>
          <w:highlight w:val="none"/>
          <w:u w:val="single"/>
        </w:rPr>
      </w:pPr>
      <w:r>
        <w:rPr>
          <w:rFonts w:hint="eastAsia" w:ascii="宋体" w:hAnsi="宋体" w:cs="宋体"/>
          <w:szCs w:val="21"/>
          <w:highlight w:val="none"/>
          <w:u w:val="single"/>
          <w:lang w:eastAsia="zh-CN"/>
        </w:rPr>
        <w:t>仙居县力天市政工程有限公司</w:t>
      </w:r>
      <w:r>
        <w:rPr>
          <w:rFonts w:hint="eastAsia" w:ascii="宋体" w:hAnsi="宋体" w:cs="宋体"/>
          <w:szCs w:val="21"/>
          <w:highlight w:val="none"/>
          <w:u w:val="single"/>
        </w:rPr>
        <w:t xml:space="preserve"> ：</w:t>
      </w:r>
    </w:p>
    <w:p>
      <w:pPr>
        <w:spacing w:line="360" w:lineRule="auto"/>
        <w:ind w:firstLine="420" w:firstLineChars="200"/>
        <w:jc w:val="left"/>
        <w:rPr>
          <w:rFonts w:ascii="宋体" w:cs="宋体"/>
          <w:szCs w:val="21"/>
          <w:highlight w:val="none"/>
        </w:rPr>
      </w:pPr>
      <w:r>
        <w:rPr>
          <w:rFonts w:ascii="宋体" w:hAnsi="宋体" w:cs="宋体"/>
          <w:szCs w:val="21"/>
          <w:highlight w:val="none"/>
        </w:rPr>
        <w:t>______________________________</w:t>
      </w:r>
      <w:r>
        <w:rPr>
          <w:rFonts w:hint="eastAsia" w:ascii="宋体" w:hAnsi="宋体" w:cs="宋体"/>
          <w:szCs w:val="21"/>
          <w:highlight w:val="none"/>
        </w:rPr>
        <w:t>（供应商全称）授权</w:t>
      </w:r>
      <w:r>
        <w:rPr>
          <w:rFonts w:ascii="宋体" w:hAnsi="宋体" w:cs="宋体"/>
          <w:szCs w:val="21"/>
          <w:highlight w:val="none"/>
        </w:rPr>
        <w:t xml:space="preserve">____________ </w:t>
      </w:r>
      <w:r>
        <w:rPr>
          <w:rFonts w:hint="eastAsia" w:ascii="宋体" w:hAnsi="宋体" w:cs="宋体"/>
          <w:szCs w:val="21"/>
          <w:highlight w:val="none"/>
        </w:rPr>
        <w:t>（全权代表姓名）</w:t>
      </w:r>
      <w:r>
        <w:rPr>
          <w:rFonts w:ascii="宋体" w:hAnsi="宋体" w:cs="宋体"/>
          <w:szCs w:val="21"/>
          <w:highlight w:val="none"/>
        </w:rPr>
        <w:t>___________</w:t>
      </w:r>
      <w:r>
        <w:rPr>
          <w:rFonts w:hint="eastAsia" w:ascii="宋体" w:hAnsi="宋体" w:cs="宋体"/>
          <w:szCs w:val="21"/>
          <w:highlight w:val="none"/>
        </w:rPr>
        <w:t>（职务、职称）为全权代表，参加贵方组织的</w:t>
      </w:r>
      <w:r>
        <w:rPr>
          <w:rFonts w:ascii="宋体" w:hAnsi="宋体" w:cs="宋体"/>
          <w:szCs w:val="21"/>
          <w:highlight w:val="none"/>
          <w:u w:val="single"/>
        </w:rPr>
        <w:t xml:space="preserve"> </w:t>
      </w:r>
      <w:r>
        <w:rPr>
          <w:rFonts w:hint="eastAsia" w:ascii="宋体" w:hAnsi="宋体" w:cs="宋体"/>
          <w:b/>
          <w:szCs w:val="21"/>
          <w:highlight w:val="none"/>
          <w:u w:val="single"/>
          <w:lang w:eastAsia="zh-CN"/>
        </w:rPr>
        <w:t>仙居县力天市政工程有限公司PE管材及配件、PPR管材及配件采购项目</w:t>
      </w:r>
      <w:r>
        <w:rPr>
          <w:rFonts w:hint="eastAsia" w:ascii="宋体" w:hAnsi="宋体" w:cs="宋体"/>
          <w:b/>
          <w:szCs w:val="21"/>
          <w:highlight w:val="none"/>
          <w:u w:val="single"/>
        </w:rPr>
        <w:t>（项目编号：</w:t>
      </w:r>
      <w:r>
        <w:rPr>
          <w:rFonts w:hint="eastAsia" w:ascii="宋体" w:hAnsi="宋体" w:cs="宋体"/>
          <w:b/>
          <w:szCs w:val="21"/>
          <w:highlight w:val="none"/>
          <w:u w:val="single"/>
          <w:lang w:eastAsia="zh-CN"/>
        </w:rPr>
        <w:t>ZJJX-25CG-002</w:t>
      </w:r>
      <w:r>
        <w:rPr>
          <w:rFonts w:hint="eastAsia" w:ascii="宋体" w:hAnsi="宋体" w:cs="宋体"/>
          <w:b/>
          <w:szCs w:val="21"/>
          <w:highlight w:val="none"/>
          <w:u w:val="single"/>
        </w:rPr>
        <w:t>）</w:t>
      </w:r>
      <w:r>
        <w:rPr>
          <w:rFonts w:ascii="宋体" w:hAnsi="宋体" w:cs="宋体"/>
          <w:b/>
          <w:szCs w:val="21"/>
          <w:highlight w:val="none"/>
          <w:u w:val="single"/>
        </w:rPr>
        <w:t xml:space="preserve"> </w:t>
      </w:r>
      <w:r>
        <w:rPr>
          <w:rFonts w:hint="eastAsia" w:ascii="宋体" w:hAnsi="宋体" w:cs="宋体"/>
          <w:szCs w:val="21"/>
          <w:highlight w:val="none"/>
        </w:rPr>
        <w:t>采购的有关活动，并对此项目进行投标。为此：</w:t>
      </w:r>
    </w:p>
    <w:p>
      <w:pPr>
        <w:spacing w:line="360" w:lineRule="auto"/>
        <w:ind w:firstLine="420" w:firstLineChars="200"/>
        <w:jc w:val="left"/>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、我方同意在投标须知规定的开标日期起遵守本投标书中的承诺且在投标有效期满之前均具有约束力。</w:t>
      </w:r>
    </w:p>
    <w:p>
      <w:pPr>
        <w:spacing w:line="360" w:lineRule="auto"/>
        <w:ind w:firstLine="420" w:firstLineChars="200"/>
        <w:jc w:val="left"/>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、我方承诺已经具备采购文件中规定的参加采购活动的供应商应当具备的条件：</w:t>
      </w:r>
    </w:p>
    <w:p>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）具有独立承担民事责任的能力；</w:t>
      </w:r>
    </w:p>
    <w:p>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）遵守国家法律、行政法规，具有良好的信誉和商业道德；</w:t>
      </w:r>
    </w:p>
    <w:p>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）具有履行合同的能力和良好的履行合同记录；</w:t>
      </w:r>
    </w:p>
    <w:p>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）良好的资金、财务状况；</w:t>
      </w:r>
    </w:p>
    <w:p>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）产品及生产所需装备符合中国政府规定的相应技术标准和环保标准；</w:t>
      </w:r>
    </w:p>
    <w:p>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6</w:t>
      </w:r>
      <w:r>
        <w:rPr>
          <w:rFonts w:hint="eastAsia" w:ascii="宋体" w:hAnsi="宋体" w:cs="宋体"/>
          <w:szCs w:val="21"/>
          <w:highlight w:val="none"/>
        </w:rPr>
        <w:t>）没有违反政府采购法规、政策的记录；</w:t>
      </w:r>
    </w:p>
    <w:p>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7</w:t>
      </w:r>
      <w:r>
        <w:rPr>
          <w:rFonts w:hint="eastAsia" w:ascii="宋体" w:hAnsi="宋体" w:cs="宋体"/>
          <w:szCs w:val="21"/>
          <w:highlight w:val="none"/>
        </w:rPr>
        <w:t>）没有发生重大经济纠纷和走私犯罪记录；</w:t>
      </w:r>
    </w:p>
    <w:p>
      <w:pPr>
        <w:spacing w:line="450" w:lineRule="atLeast"/>
        <w:ind w:firstLine="420" w:firstLineChars="200"/>
        <w:jc w:val="left"/>
        <w:rPr>
          <w:rFonts w:ascii="宋体" w:cs="宋体"/>
          <w:szCs w:val="21"/>
          <w:highlight w:val="none"/>
        </w:rPr>
      </w:pPr>
      <w:r>
        <w:rPr>
          <w:rFonts w:ascii="宋体" w:hAnsi="宋体" w:cs="宋体"/>
          <w:szCs w:val="21"/>
          <w:highlight w:val="none"/>
        </w:rPr>
        <w:t xml:space="preserve"> 3</w:t>
      </w:r>
      <w:r>
        <w:rPr>
          <w:rFonts w:hint="eastAsia" w:ascii="宋体" w:hAnsi="宋体" w:cs="宋体"/>
          <w:szCs w:val="21"/>
          <w:highlight w:val="none"/>
        </w:rPr>
        <w:t>、提供投标须知规定的全部响应文件，具体内容为：</w:t>
      </w:r>
    </w:p>
    <w:p>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）报价文件；</w:t>
      </w:r>
    </w:p>
    <w:p>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）商务与技术文件；</w:t>
      </w:r>
    </w:p>
    <w:p>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）投标须知要求供应商提交的全部文件；</w:t>
      </w:r>
    </w:p>
    <w:p>
      <w:pPr>
        <w:spacing w:line="450" w:lineRule="atLeast"/>
        <w:ind w:firstLine="420" w:firstLineChars="200"/>
        <w:jc w:val="left"/>
        <w:rPr>
          <w:rFonts w:ascii="宋体" w:cs="宋体"/>
          <w:szCs w:val="21"/>
          <w:highlight w:val="none"/>
        </w:rPr>
      </w:pPr>
      <w:r>
        <w:rPr>
          <w:rFonts w:ascii="宋体" w:hAnsi="宋体" w:cs="宋体"/>
          <w:szCs w:val="21"/>
          <w:highlight w:val="none"/>
        </w:rPr>
        <w:t>4</w:t>
      </w:r>
      <w:r>
        <w:rPr>
          <w:rFonts w:hint="eastAsia" w:ascii="宋体" w:hAnsi="宋体" w:cs="宋体"/>
          <w:szCs w:val="21"/>
          <w:highlight w:val="none"/>
        </w:rPr>
        <w:t>、按采购文件要求提供和交付的货物或服务的投标报价详见开标一览表。</w:t>
      </w:r>
    </w:p>
    <w:p>
      <w:pPr>
        <w:spacing w:line="450" w:lineRule="atLeast"/>
        <w:ind w:firstLine="420" w:firstLineChars="200"/>
        <w:jc w:val="left"/>
        <w:rPr>
          <w:rFonts w:ascii="宋体" w:cs="宋体"/>
          <w:szCs w:val="21"/>
          <w:highlight w:val="none"/>
        </w:rPr>
      </w:pPr>
      <w:r>
        <w:rPr>
          <w:rFonts w:ascii="宋体" w:hAnsi="宋体" w:cs="宋体"/>
          <w:szCs w:val="21"/>
          <w:highlight w:val="none"/>
        </w:rPr>
        <w:t>5</w:t>
      </w:r>
      <w:r>
        <w:rPr>
          <w:rFonts w:hint="eastAsia" w:ascii="宋体" w:hAnsi="宋体" w:cs="宋体"/>
          <w:szCs w:val="21"/>
          <w:highlight w:val="none"/>
        </w:rPr>
        <w:t>、保证忠实地执行双方所签订的合同，并承担合同规定的责任和义务。</w:t>
      </w:r>
    </w:p>
    <w:p>
      <w:pPr>
        <w:spacing w:line="450" w:lineRule="atLeast"/>
        <w:ind w:firstLine="420" w:firstLineChars="200"/>
        <w:jc w:val="left"/>
        <w:rPr>
          <w:rFonts w:ascii="宋体" w:cs="宋体"/>
          <w:szCs w:val="21"/>
          <w:highlight w:val="none"/>
        </w:rPr>
      </w:pPr>
      <w:r>
        <w:rPr>
          <w:rFonts w:ascii="宋体" w:hAnsi="宋体" w:cs="宋体"/>
          <w:szCs w:val="21"/>
          <w:highlight w:val="none"/>
        </w:rPr>
        <w:t>6</w:t>
      </w:r>
      <w:r>
        <w:rPr>
          <w:rFonts w:hint="eastAsia" w:ascii="宋体" w:hAnsi="宋体" w:cs="宋体"/>
          <w:szCs w:val="21"/>
          <w:highlight w:val="none"/>
        </w:rPr>
        <w:t>、保证遵守采购文件中的其他有关规定。</w:t>
      </w:r>
    </w:p>
    <w:p>
      <w:pPr>
        <w:spacing w:line="450" w:lineRule="atLeast"/>
        <w:ind w:firstLine="420" w:firstLineChars="200"/>
        <w:jc w:val="left"/>
        <w:rPr>
          <w:rFonts w:ascii="宋体" w:cs="宋体"/>
          <w:szCs w:val="21"/>
          <w:highlight w:val="none"/>
        </w:rPr>
      </w:pPr>
      <w:r>
        <w:rPr>
          <w:rFonts w:ascii="宋体" w:hAnsi="宋体" w:cs="宋体"/>
          <w:szCs w:val="21"/>
          <w:highlight w:val="none"/>
        </w:rPr>
        <w:t>7</w:t>
      </w:r>
      <w:r>
        <w:rPr>
          <w:rFonts w:hint="eastAsia" w:ascii="宋体" w:hAnsi="宋体" w:cs="宋体"/>
          <w:szCs w:val="21"/>
          <w:highlight w:val="none"/>
        </w:rPr>
        <w:t>、如果在开标后规定的投标有效期内撤回投标书，我方的投标保证金可不予退回。</w:t>
      </w:r>
    </w:p>
    <w:p>
      <w:pPr>
        <w:spacing w:line="450" w:lineRule="atLeast"/>
        <w:ind w:firstLine="420" w:firstLineChars="200"/>
        <w:jc w:val="left"/>
        <w:rPr>
          <w:rFonts w:ascii="宋体" w:cs="宋体"/>
          <w:szCs w:val="21"/>
          <w:highlight w:val="none"/>
        </w:rPr>
      </w:pPr>
      <w:r>
        <w:rPr>
          <w:rFonts w:ascii="宋体" w:hAnsi="宋体" w:cs="宋体"/>
          <w:szCs w:val="21"/>
          <w:highlight w:val="none"/>
        </w:rPr>
        <w:t>8</w:t>
      </w:r>
      <w:r>
        <w:rPr>
          <w:rFonts w:hint="eastAsia" w:ascii="宋体" w:hAnsi="宋体" w:cs="宋体"/>
          <w:szCs w:val="21"/>
          <w:highlight w:val="none"/>
        </w:rPr>
        <w:t>、我方完全理解贵方不一定要接受最低价的投标。</w:t>
      </w:r>
    </w:p>
    <w:p>
      <w:pPr>
        <w:spacing w:line="450" w:lineRule="atLeast"/>
        <w:ind w:firstLine="420" w:firstLineChars="200"/>
        <w:jc w:val="left"/>
        <w:rPr>
          <w:rFonts w:ascii="宋体" w:cs="宋体"/>
          <w:szCs w:val="21"/>
          <w:highlight w:val="none"/>
        </w:rPr>
      </w:pPr>
      <w:r>
        <w:rPr>
          <w:rFonts w:ascii="宋体" w:hAnsi="宋体" w:cs="宋体"/>
          <w:szCs w:val="21"/>
          <w:highlight w:val="none"/>
        </w:rPr>
        <w:t>9</w:t>
      </w:r>
      <w:r>
        <w:rPr>
          <w:rFonts w:hint="eastAsia" w:ascii="宋体" w:hAnsi="宋体" w:cs="宋体"/>
          <w:szCs w:val="21"/>
          <w:highlight w:val="none"/>
        </w:rPr>
        <w:t>、我方愿意向贵方提供任何与该项投标有关的数据、情况和技术资料。若贵方需要，我方愿意提供我方作出的一切承诺的证明材料。</w:t>
      </w:r>
    </w:p>
    <w:p>
      <w:pPr>
        <w:spacing w:line="450" w:lineRule="atLeast"/>
        <w:ind w:firstLine="420" w:firstLineChars="200"/>
        <w:jc w:val="left"/>
        <w:rPr>
          <w:rFonts w:ascii="宋体" w:cs="宋体"/>
          <w:szCs w:val="21"/>
          <w:highlight w:val="none"/>
        </w:rPr>
      </w:pPr>
      <w:r>
        <w:rPr>
          <w:rFonts w:ascii="宋体" w:hAnsi="宋体" w:cs="宋体"/>
          <w:szCs w:val="21"/>
          <w:highlight w:val="none"/>
        </w:rPr>
        <w:t>10</w:t>
      </w:r>
      <w:r>
        <w:rPr>
          <w:rFonts w:hint="eastAsia" w:ascii="宋体" w:hAnsi="宋体" w:cs="宋体"/>
          <w:szCs w:val="21"/>
          <w:highlight w:val="none"/>
        </w:rPr>
        <w:t>、我方已详细审核全部采购文件，包括采购文件修改书（如有的话）、参考资料及有关附件，确认无误。</w:t>
      </w:r>
    </w:p>
    <w:p>
      <w:pPr>
        <w:spacing w:line="450" w:lineRule="atLeast"/>
        <w:ind w:firstLine="420" w:firstLineChars="200"/>
        <w:jc w:val="left"/>
        <w:rPr>
          <w:rFonts w:ascii="宋体" w:cs="宋体"/>
          <w:szCs w:val="21"/>
          <w:highlight w:val="none"/>
        </w:rPr>
      </w:pPr>
      <w:r>
        <w:rPr>
          <w:rFonts w:ascii="宋体" w:hAnsi="宋体" w:cs="宋体"/>
          <w:szCs w:val="21"/>
          <w:highlight w:val="none"/>
        </w:rPr>
        <w:t>11</w:t>
      </w:r>
      <w:r>
        <w:rPr>
          <w:rFonts w:hint="eastAsia" w:ascii="宋体" w:hAnsi="宋体" w:cs="宋体"/>
          <w:szCs w:val="21"/>
          <w:highlight w:val="none"/>
        </w:rPr>
        <w:t>、我方将严格遵守《中华人民共和国政府采购法》第七十七条规定：供应商有下列情形之一的，处以采购金额</w:t>
      </w:r>
      <w:r>
        <w:rPr>
          <w:rFonts w:ascii="宋体" w:hAnsi="宋体" w:cs="宋体"/>
          <w:szCs w:val="21"/>
          <w:highlight w:val="none"/>
        </w:rPr>
        <w:t>5</w:t>
      </w:r>
      <w:r>
        <w:rPr>
          <w:rFonts w:hint="eastAsia" w:ascii="宋体" w:hAnsi="宋体" w:cs="宋体"/>
          <w:szCs w:val="21"/>
          <w:highlight w:val="none"/>
        </w:rPr>
        <w:t>‰以上</w:t>
      </w:r>
      <w:r>
        <w:rPr>
          <w:rFonts w:ascii="宋体" w:hAnsi="宋体" w:cs="宋体"/>
          <w:szCs w:val="21"/>
          <w:highlight w:val="none"/>
        </w:rPr>
        <w:t>10</w:t>
      </w:r>
      <w:r>
        <w:rPr>
          <w:rFonts w:hint="eastAsia" w:ascii="宋体" w:hAnsi="宋体" w:cs="宋体"/>
          <w:szCs w:val="21"/>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spacing w:line="450" w:lineRule="atLeast"/>
        <w:ind w:firstLine="420" w:firstLineChars="200"/>
        <w:jc w:val="left"/>
        <w:rPr>
          <w:rFonts w:ascii="宋体" w:cs="宋体"/>
          <w:szCs w:val="21"/>
          <w:highlight w:val="none"/>
        </w:rPr>
      </w:pPr>
      <w:r>
        <w:rPr>
          <w:rFonts w:ascii="宋体" w:hAnsi="宋体" w:cs="宋体"/>
          <w:szCs w:val="21"/>
          <w:highlight w:val="none"/>
        </w:rPr>
        <w:t>a</w:t>
      </w:r>
      <w:r>
        <w:rPr>
          <w:rFonts w:hint="eastAsia" w:ascii="宋体" w:hAnsi="宋体" w:cs="宋体"/>
          <w:szCs w:val="21"/>
          <w:highlight w:val="none"/>
        </w:rPr>
        <w:t>、提供虚假材料谋取中标、成交的；</w:t>
      </w:r>
    </w:p>
    <w:p>
      <w:pPr>
        <w:spacing w:line="450" w:lineRule="atLeast"/>
        <w:ind w:firstLine="420" w:firstLineChars="200"/>
        <w:jc w:val="left"/>
        <w:rPr>
          <w:rFonts w:ascii="宋体" w:cs="宋体"/>
          <w:szCs w:val="21"/>
          <w:highlight w:val="none"/>
        </w:rPr>
      </w:pPr>
      <w:r>
        <w:rPr>
          <w:rFonts w:ascii="宋体" w:hAnsi="宋体" w:cs="宋体"/>
          <w:szCs w:val="21"/>
          <w:highlight w:val="none"/>
        </w:rPr>
        <w:t>b</w:t>
      </w:r>
      <w:r>
        <w:rPr>
          <w:rFonts w:hint="eastAsia" w:ascii="宋体" w:hAnsi="宋体" w:cs="宋体"/>
          <w:szCs w:val="21"/>
          <w:highlight w:val="none"/>
        </w:rPr>
        <w:t>、采取不正当手段诋毁、排挤其他供应商的；</w:t>
      </w:r>
    </w:p>
    <w:p>
      <w:pPr>
        <w:spacing w:line="450" w:lineRule="atLeast"/>
        <w:ind w:firstLine="420" w:firstLineChars="200"/>
        <w:jc w:val="left"/>
        <w:rPr>
          <w:rFonts w:ascii="宋体" w:cs="宋体"/>
          <w:szCs w:val="21"/>
          <w:highlight w:val="none"/>
        </w:rPr>
      </w:pPr>
      <w:r>
        <w:rPr>
          <w:rFonts w:ascii="宋体" w:hAnsi="宋体" w:cs="宋体"/>
          <w:szCs w:val="21"/>
          <w:highlight w:val="none"/>
        </w:rPr>
        <w:t>c</w:t>
      </w:r>
      <w:r>
        <w:rPr>
          <w:rFonts w:hint="eastAsia" w:ascii="宋体" w:hAnsi="宋体" w:cs="宋体"/>
          <w:szCs w:val="21"/>
          <w:highlight w:val="none"/>
        </w:rPr>
        <w:t>、与采购人、其它供应商恶意串通的；</w:t>
      </w:r>
    </w:p>
    <w:p>
      <w:pPr>
        <w:spacing w:line="450" w:lineRule="atLeast"/>
        <w:ind w:firstLine="420" w:firstLineChars="200"/>
        <w:jc w:val="left"/>
        <w:rPr>
          <w:rFonts w:ascii="宋体" w:cs="宋体"/>
          <w:szCs w:val="21"/>
          <w:highlight w:val="none"/>
        </w:rPr>
      </w:pPr>
      <w:r>
        <w:rPr>
          <w:rFonts w:ascii="宋体" w:hAnsi="宋体" w:cs="宋体"/>
          <w:szCs w:val="21"/>
          <w:highlight w:val="none"/>
        </w:rPr>
        <w:t>d</w:t>
      </w:r>
      <w:r>
        <w:rPr>
          <w:rFonts w:hint="eastAsia" w:ascii="宋体" w:hAnsi="宋体" w:cs="宋体"/>
          <w:szCs w:val="21"/>
          <w:highlight w:val="none"/>
        </w:rPr>
        <w:t>、向采购人行贿或者提供其他不正当利益的；</w:t>
      </w:r>
    </w:p>
    <w:p>
      <w:pPr>
        <w:spacing w:line="450" w:lineRule="atLeast"/>
        <w:ind w:firstLine="420" w:firstLineChars="200"/>
        <w:jc w:val="left"/>
        <w:rPr>
          <w:rFonts w:ascii="宋体" w:cs="宋体"/>
          <w:szCs w:val="21"/>
          <w:highlight w:val="none"/>
        </w:rPr>
      </w:pPr>
      <w:r>
        <w:rPr>
          <w:rFonts w:ascii="宋体" w:hAnsi="宋体" w:cs="宋体"/>
          <w:szCs w:val="21"/>
          <w:highlight w:val="none"/>
        </w:rPr>
        <w:t>e</w:t>
      </w:r>
      <w:r>
        <w:rPr>
          <w:rFonts w:hint="eastAsia" w:ascii="宋体" w:hAnsi="宋体" w:cs="宋体"/>
          <w:szCs w:val="21"/>
          <w:highlight w:val="none"/>
        </w:rPr>
        <w:t>、拒绝有关部门监督检查或提供虚假情况的。</w:t>
      </w:r>
    </w:p>
    <w:p>
      <w:pPr>
        <w:spacing w:line="450" w:lineRule="atLeast"/>
        <w:ind w:firstLine="420" w:firstLineChars="200"/>
        <w:jc w:val="left"/>
        <w:rPr>
          <w:rFonts w:ascii="宋体" w:cs="宋体"/>
          <w:szCs w:val="21"/>
          <w:highlight w:val="none"/>
        </w:rPr>
      </w:pPr>
      <w:r>
        <w:rPr>
          <w:rFonts w:ascii="宋体" w:hAnsi="宋体" w:cs="宋体"/>
          <w:szCs w:val="21"/>
          <w:highlight w:val="none"/>
        </w:rPr>
        <w:t>12</w:t>
      </w:r>
      <w:r>
        <w:rPr>
          <w:rFonts w:hint="eastAsia" w:ascii="宋体" w:hAnsi="宋体" w:cs="宋体"/>
          <w:szCs w:val="21"/>
          <w:highlight w:val="none"/>
        </w:rPr>
        <w:t>、我方的响应文件自响应文件递交截止之日起</w:t>
      </w:r>
      <w:r>
        <w:rPr>
          <w:rFonts w:ascii="宋体" w:hAnsi="宋体" w:cs="宋体"/>
          <w:szCs w:val="21"/>
          <w:highlight w:val="none"/>
          <w:u w:val="single"/>
        </w:rPr>
        <w:t>90</w:t>
      </w:r>
      <w:r>
        <w:rPr>
          <w:rFonts w:hint="eastAsia" w:ascii="宋体" w:hAnsi="宋体" w:cs="宋体"/>
          <w:szCs w:val="21"/>
          <w:highlight w:val="none"/>
        </w:rPr>
        <w:t>天内有效。</w:t>
      </w:r>
    </w:p>
    <w:p>
      <w:pPr>
        <w:spacing w:line="450" w:lineRule="atLeast"/>
        <w:ind w:firstLine="420" w:firstLineChars="200"/>
        <w:jc w:val="left"/>
        <w:rPr>
          <w:rFonts w:ascii="宋体" w:cs="宋体"/>
          <w:szCs w:val="21"/>
          <w:highlight w:val="none"/>
        </w:rPr>
      </w:pPr>
    </w:p>
    <w:p>
      <w:pPr>
        <w:spacing w:line="450" w:lineRule="atLeast"/>
        <w:jc w:val="left"/>
        <w:rPr>
          <w:rFonts w:ascii="宋体" w:cs="宋体"/>
          <w:szCs w:val="21"/>
          <w:highlight w:val="none"/>
        </w:rPr>
      </w:pPr>
      <w:r>
        <w:rPr>
          <w:rFonts w:ascii="宋体" w:cs="宋体"/>
          <w:szCs w:val="21"/>
          <w:highlight w:val="none"/>
        </w:rPr>
        <w:t> </w:t>
      </w:r>
    </w:p>
    <w:p>
      <w:pPr>
        <w:spacing w:line="450" w:lineRule="atLeast"/>
        <w:ind w:firstLine="420" w:firstLineChars="200"/>
        <w:jc w:val="left"/>
        <w:rPr>
          <w:rFonts w:ascii="宋体" w:cs="宋体"/>
          <w:szCs w:val="21"/>
          <w:highlight w:val="none"/>
        </w:rPr>
      </w:pPr>
      <w:r>
        <w:rPr>
          <w:rFonts w:hint="eastAsia" w:ascii="宋体" w:hAnsi="宋体" w:cs="宋体"/>
          <w:szCs w:val="21"/>
          <w:highlight w:val="none"/>
        </w:rPr>
        <w:t>与本投标有关的一切往来通讯请寄：</w:t>
      </w:r>
    </w:p>
    <w:p>
      <w:pPr>
        <w:spacing w:line="450" w:lineRule="atLeast"/>
        <w:ind w:firstLine="420" w:firstLineChars="200"/>
        <w:jc w:val="left"/>
        <w:rPr>
          <w:rFonts w:ascii="宋体" w:cs="宋体"/>
          <w:szCs w:val="21"/>
          <w:highlight w:val="none"/>
        </w:rPr>
      </w:pPr>
      <w:r>
        <w:rPr>
          <w:rFonts w:hint="eastAsia" w:ascii="宋体" w:hAnsi="宋体" w:cs="宋体"/>
          <w:szCs w:val="21"/>
          <w:highlight w:val="none"/>
        </w:rPr>
        <w:t>地</w:t>
      </w:r>
      <w:r>
        <w:rPr>
          <w:rFonts w:ascii="宋体" w:hAnsi="宋体" w:cs="宋体"/>
          <w:szCs w:val="21"/>
          <w:highlight w:val="none"/>
        </w:rPr>
        <w:t xml:space="preserve">  </w:t>
      </w:r>
      <w:r>
        <w:rPr>
          <w:rFonts w:hint="eastAsia" w:ascii="宋体" w:hAnsi="宋体" w:cs="宋体"/>
          <w:szCs w:val="21"/>
          <w:highlight w:val="none"/>
        </w:rPr>
        <w:t>址：</w:t>
      </w:r>
      <w:r>
        <w:rPr>
          <w:rFonts w:ascii="宋体" w:hAnsi="宋体" w:cs="宋体"/>
          <w:szCs w:val="21"/>
          <w:highlight w:val="none"/>
        </w:rPr>
        <w:t xml:space="preserve">____________________                   </w:t>
      </w:r>
    </w:p>
    <w:p>
      <w:pPr>
        <w:spacing w:line="450" w:lineRule="atLeast"/>
        <w:ind w:firstLine="420" w:firstLineChars="200"/>
        <w:jc w:val="left"/>
        <w:rPr>
          <w:rFonts w:ascii="宋体" w:cs="宋体"/>
          <w:szCs w:val="21"/>
          <w:highlight w:val="none"/>
        </w:rPr>
      </w:pPr>
      <w:r>
        <w:rPr>
          <w:rFonts w:hint="eastAsia" w:ascii="宋体" w:hAnsi="宋体" w:cs="宋体"/>
          <w:szCs w:val="21"/>
          <w:highlight w:val="none"/>
        </w:rPr>
        <w:t>邮</w:t>
      </w:r>
      <w:r>
        <w:rPr>
          <w:rFonts w:ascii="宋体" w:hAnsi="宋体" w:cs="宋体"/>
          <w:szCs w:val="21"/>
          <w:highlight w:val="none"/>
        </w:rPr>
        <w:t xml:space="preserve">  </w:t>
      </w:r>
      <w:r>
        <w:rPr>
          <w:rFonts w:hint="eastAsia" w:ascii="宋体" w:hAnsi="宋体" w:cs="宋体"/>
          <w:szCs w:val="21"/>
          <w:highlight w:val="none"/>
        </w:rPr>
        <w:t>编：</w:t>
      </w:r>
      <w:r>
        <w:rPr>
          <w:rFonts w:ascii="宋体" w:hAnsi="宋体" w:cs="宋体"/>
          <w:szCs w:val="21"/>
          <w:highlight w:val="none"/>
        </w:rPr>
        <w:t>____________________</w:t>
      </w:r>
      <w:r>
        <w:rPr>
          <w:rFonts w:hint="eastAsia" w:ascii="宋体" w:hAnsi="宋体" w:cs="宋体"/>
          <w:szCs w:val="21"/>
          <w:highlight w:val="none"/>
        </w:rPr>
        <w:t>　</w:t>
      </w:r>
    </w:p>
    <w:p>
      <w:pPr>
        <w:spacing w:line="450" w:lineRule="atLeast"/>
        <w:ind w:firstLine="420" w:firstLineChars="200"/>
        <w:jc w:val="left"/>
        <w:rPr>
          <w:rFonts w:ascii="宋体" w:cs="宋体"/>
          <w:szCs w:val="21"/>
          <w:highlight w:val="none"/>
          <w:u w:val="single"/>
        </w:rPr>
      </w:pPr>
      <w:r>
        <w:rPr>
          <w:rFonts w:hint="eastAsia" w:ascii="宋体" w:hAnsi="宋体" w:cs="宋体"/>
          <w:szCs w:val="21"/>
          <w:highlight w:val="none"/>
        </w:rPr>
        <w:t>联系人：</w:t>
      </w:r>
      <w:r>
        <w:rPr>
          <w:rFonts w:ascii="宋体" w:hAnsi="宋体" w:cs="宋体"/>
          <w:szCs w:val="21"/>
          <w:highlight w:val="none"/>
        </w:rPr>
        <w:t>____________________</w:t>
      </w:r>
    </w:p>
    <w:p>
      <w:pPr>
        <w:spacing w:line="450" w:lineRule="atLeast"/>
        <w:ind w:firstLine="420" w:firstLineChars="200"/>
        <w:jc w:val="left"/>
        <w:rPr>
          <w:rFonts w:ascii="宋体" w:cs="宋体"/>
          <w:szCs w:val="21"/>
          <w:highlight w:val="none"/>
        </w:rPr>
      </w:pPr>
      <w:r>
        <w:rPr>
          <w:rFonts w:hint="eastAsia" w:ascii="宋体" w:hAnsi="宋体" w:cs="宋体"/>
          <w:szCs w:val="21"/>
          <w:highlight w:val="none"/>
        </w:rPr>
        <w:t>电</w:t>
      </w:r>
      <w:r>
        <w:rPr>
          <w:rFonts w:ascii="宋体" w:hAnsi="宋体" w:cs="宋体"/>
          <w:szCs w:val="21"/>
          <w:highlight w:val="none"/>
        </w:rPr>
        <w:t xml:space="preserve">  </w:t>
      </w:r>
      <w:r>
        <w:rPr>
          <w:rFonts w:hint="eastAsia" w:ascii="宋体" w:hAnsi="宋体" w:cs="宋体"/>
          <w:szCs w:val="21"/>
          <w:highlight w:val="none"/>
        </w:rPr>
        <w:t>话：</w:t>
      </w:r>
      <w:r>
        <w:rPr>
          <w:rFonts w:ascii="宋体" w:hAnsi="宋体" w:cs="宋体"/>
          <w:szCs w:val="21"/>
          <w:highlight w:val="none"/>
        </w:rPr>
        <w:t>____________________</w:t>
      </w:r>
      <w:r>
        <w:rPr>
          <w:rFonts w:hint="eastAsia" w:ascii="宋体" w:hAnsi="宋体" w:cs="宋体"/>
          <w:szCs w:val="21"/>
          <w:highlight w:val="none"/>
        </w:rPr>
        <w:t>　</w:t>
      </w:r>
      <w:r>
        <w:rPr>
          <w:rFonts w:hint="eastAsia" w:ascii="宋体" w:hAnsi="宋体" w:cs="宋体"/>
          <w:i/>
          <w:iCs/>
          <w:szCs w:val="21"/>
          <w:highlight w:val="none"/>
        </w:rPr>
        <w:t>（填写固定、移动电话）</w:t>
      </w:r>
      <w:r>
        <w:rPr>
          <w:rFonts w:ascii="宋体" w:hAnsi="宋体" w:cs="宋体"/>
          <w:i/>
          <w:iCs/>
          <w:szCs w:val="21"/>
          <w:highlight w:val="none"/>
        </w:rPr>
        <w:t xml:space="preserve">  </w:t>
      </w:r>
      <w:r>
        <w:rPr>
          <w:rFonts w:ascii="宋体" w:hAnsi="宋体" w:cs="宋体"/>
          <w:szCs w:val="21"/>
          <w:highlight w:val="none"/>
        </w:rPr>
        <w:t xml:space="preserve">               </w:t>
      </w:r>
    </w:p>
    <w:p>
      <w:pPr>
        <w:spacing w:line="450" w:lineRule="atLeast"/>
        <w:ind w:firstLine="420" w:firstLineChars="200"/>
        <w:jc w:val="left"/>
        <w:rPr>
          <w:rFonts w:ascii="宋体" w:cs="宋体"/>
          <w:szCs w:val="21"/>
          <w:highlight w:val="none"/>
        </w:rPr>
      </w:pPr>
      <w:r>
        <w:rPr>
          <w:rFonts w:hint="eastAsia" w:ascii="宋体" w:hAnsi="宋体" w:cs="宋体"/>
          <w:szCs w:val="21"/>
          <w:highlight w:val="none"/>
        </w:rPr>
        <w:t>传</w:t>
      </w:r>
      <w:r>
        <w:rPr>
          <w:rFonts w:ascii="宋体" w:hAnsi="宋体" w:cs="宋体"/>
          <w:szCs w:val="21"/>
          <w:highlight w:val="none"/>
        </w:rPr>
        <w:t xml:space="preserve">  </w:t>
      </w:r>
      <w:r>
        <w:rPr>
          <w:rFonts w:hint="eastAsia" w:ascii="宋体" w:hAnsi="宋体" w:cs="宋体"/>
          <w:szCs w:val="21"/>
          <w:highlight w:val="none"/>
        </w:rPr>
        <w:t>真：</w:t>
      </w:r>
      <w:r>
        <w:rPr>
          <w:rFonts w:ascii="宋体" w:hAnsi="宋体" w:cs="宋体"/>
          <w:szCs w:val="21"/>
          <w:highlight w:val="none"/>
        </w:rPr>
        <w:t>____________________</w:t>
      </w:r>
    </w:p>
    <w:p>
      <w:pPr>
        <w:spacing w:line="450" w:lineRule="atLeast"/>
        <w:ind w:firstLine="420" w:firstLineChars="200"/>
        <w:jc w:val="left"/>
        <w:rPr>
          <w:rFonts w:ascii="宋体" w:cs="宋体"/>
          <w:szCs w:val="21"/>
          <w:highlight w:val="none"/>
          <w:u w:val="single"/>
        </w:rPr>
      </w:pPr>
      <w:r>
        <w:rPr>
          <w:rFonts w:ascii="宋体" w:hAnsi="宋体" w:cs="宋体"/>
          <w:szCs w:val="21"/>
          <w:highlight w:val="none"/>
        </w:rPr>
        <w:t>E-mail</w:t>
      </w:r>
      <w:r>
        <w:rPr>
          <w:rFonts w:hint="eastAsia" w:ascii="宋体" w:hAnsi="宋体" w:cs="宋体"/>
          <w:szCs w:val="21"/>
          <w:highlight w:val="none"/>
        </w:rPr>
        <w:t>：</w:t>
      </w:r>
      <w:r>
        <w:rPr>
          <w:rFonts w:ascii="宋体" w:hAnsi="宋体" w:cs="宋体"/>
          <w:szCs w:val="21"/>
          <w:highlight w:val="none"/>
        </w:rPr>
        <w:t>____________________</w:t>
      </w:r>
    </w:p>
    <w:p>
      <w:pPr>
        <w:spacing w:line="450" w:lineRule="atLeast"/>
        <w:jc w:val="left"/>
        <w:rPr>
          <w:rFonts w:ascii="宋体" w:cs="宋体"/>
          <w:sz w:val="24"/>
          <w:highlight w:val="none"/>
        </w:rPr>
      </w:pPr>
      <w:r>
        <w:rPr>
          <w:rFonts w:ascii="宋体" w:cs="宋体"/>
          <w:sz w:val="24"/>
          <w:highlight w:val="none"/>
        </w:rPr>
        <w:t> </w:t>
      </w:r>
    </w:p>
    <w:p>
      <w:pPr>
        <w:spacing w:line="450" w:lineRule="atLeast"/>
        <w:jc w:val="left"/>
        <w:rPr>
          <w:rFonts w:ascii="宋体" w:cs="宋体"/>
          <w:sz w:val="24"/>
          <w:highlight w:val="none"/>
        </w:rPr>
      </w:pPr>
    </w:p>
    <w:p>
      <w:pPr>
        <w:spacing w:line="360" w:lineRule="auto"/>
        <w:jc w:val="left"/>
        <w:rPr>
          <w:rFonts w:ascii="宋体" w:cs="宋体"/>
          <w:b/>
          <w:szCs w:val="21"/>
          <w:highlight w:val="none"/>
        </w:rPr>
      </w:pPr>
      <w:r>
        <w:rPr>
          <w:rFonts w:ascii="宋体" w:hAnsi="宋体" w:cs="宋体"/>
          <w:b/>
          <w:sz w:val="24"/>
          <w:highlight w:val="none"/>
        </w:rPr>
        <w:t xml:space="preserve">                             </w:t>
      </w:r>
      <w:r>
        <w:rPr>
          <w:rFonts w:hint="eastAsia" w:ascii="宋体" w:hAnsi="宋体" w:cs="宋体"/>
          <w:b/>
          <w:szCs w:val="21"/>
          <w:highlight w:val="none"/>
        </w:rPr>
        <w:t>供应商</w:t>
      </w:r>
      <w:r>
        <w:rPr>
          <w:rFonts w:ascii="宋体" w:hAnsi="宋体" w:cs="宋体"/>
          <w:b/>
          <w:szCs w:val="21"/>
          <w:highlight w:val="none"/>
        </w:rPr>
        <w:t xml:space="preserve"> </w:t>
      </w:r>
      <w:r>
        <w:rPr>
          <w:rFonts w:hint="eastAsia" w:ascii="宋体" w:hAnsi="宋体" w:cs="宋体"/>
          <w:b/>
          <w:szCs w:val="21"/>
          <w:highlight w:val="none"/>
        </w:rPr>
        <w:t>（盖单位章）：</w:t>
      </w:r>
      <w:r>
        <w:rPr>
          <w:rFonts w:ascii="宋体" w:hAnsi="宋体" w:cs="宋体"/>
          <w:b/>
          <w:szCs w:val="21"/>
          <w:highlight w:val="none"/>
        </w:rPr>
        <w:t xml:space="preserve">             </w:t>
      </w:r>
    </w:p>
    <w:p>
      <w:pPr>
        <w:spacing w:line="360" w:lineRule="auto"/>
        <w:ind w:firstLine="1265" w:firstLineChars="600"/>
        <w:jc w:val="left"/>
        <w:rPr>
          <w:rFonts w:ascii="宋体" w:cs="宋体"/>
          <w:b/>
          <w:szCs w:val="21"/>
          <w:highlight w:val="none"/>
        </w:rPr>
      </w:pPr>
      <w:r>
        <w:rPr>
          <w:rFonts w:hint="eastAsia" w:ascii="宋体" w:hAnsi="宋体" w:cs="宋体"/>
          <w:b/>
          <w:szCs w:val="21"/>
          <w:highlight w:val="none"/>
        </w:rPr>
        <w:t>法定代表人或其授权代表人（签字或盖章）：</w:t>
      </w:r>
    </w:p>
    <w:p>
      <w:pPr>
        <w:spacing w:line="360" w:lineRule="auto"/>
        <w:ind w:firstLine="4638" w:firstLineChars="2200"/>
        <w:jc w:val="left"/>
        <w:rPr>
          <w:rFonts w:ascii="宋体" w:cs="宋体"/>
          <w:b/>
          <w:szCs w:val="21"/>
          <w:highlight w:val="none"/>
          <w:lang w:val="zh-CN"/>
        </w:rPr>
      </w:pPr>
      <w:r>
        <w:rPr>
          <w:rFonts w:hint="eastAsia" w:ascii="宋体" w:hAnsi="宋体" w:cs="宋体"/>
          <w:b/>
          <w:szCs w:val="21"/>
          <w:highlight w:val="none"/>
        </w:rPr>
        <w:t>日　期：</w:t>
      </w:r>
    </w:p>
    <w:p>
      <w:pPr>
        <w:spacing w:line="450" w:lineRule="atLeast"/>
        <w:jc w:val="left"/>
        <w:rPr>
          <w:rFonts w:ascii="宋体" w:cs="宋体"/>
          <w:b/>
          <w:sz w:val="24"/>
          <w:highlight w:val="none"/>
        </w:rPr>
        <w:sectPr>
          <w:pgSz w:w="11905" w:h="16838"/>
          <w:pgMar w:top="1417" w:right="1587" w:bottom="1417" w:left="1587" w:header="907" w:footer="924" w:gutter="0"/>
          <w:cols w:space="0" w:num="1"/>
          <w:docGrid w:type="lines" w:linePitch="304" w:charSpace="0"/>
        </w:sectPr>
      </w:pPr>
    </w:p>
    <w:p>
      <w:pPr>
        <w:spacing w:line="360" w:lineRule="auto"/>
        <w:rPr>
          <w:rFonts w:ascii="宋体" w:cs="宋体"/>
          <w:b/>
          <w:bCs/>
          <w:sz w:val="24"/>
          <w:highlight w:val="none"/>
        </w:rPr>
      </w:pPr>
      <w:r>
        <w:rPr>
          <w:rFonts w:hint="eastAsia" w:ascii="宋体" w:hAnsi="宋体" w:cs="宋体"/>
          <w:b/>
          <w:bCs/>
          <w:sz w:val="24"/>
          <w:highlight w:val="none"/>
        </w:rPr>
        <w:t>附件</w:t>
      </w:r>
      <w:r>
        <w:rPr>
          <w:rFonts w:ascii="宋体" w:hAnsi="宋体" w:cs="宋体"/>
          <w:b/>
          <w:bCs/>
          <w:sz w:val="24"/>
          <w:highlight w:val="none"/>
        </w:rPr>
        <w:t>7</w:t>
      </w:r>
      <w:r>
        <w:rPr>
          <w:rFonts w:hint="eastAsia" w:ascii="宋体" w:hAnsi="宋体" w:cs="宋体"/>
          <w:b/>
          <w:bCs/>
          <w:sz w:val="24"/>
          <w:highlight w:val="none"/>
        </w:rPr>
        <w:t>：</w:t>
      </w:r>
      <w:r>
        <w:rPr>
          <w:rFonts w:ascii="宋体" w:hAnsi="宋体" w:cs="宋体"/>
          <w:b/>
          <w:bCs/>
          <w:sz w:val="24"/>
          <w:highlight w:val="none"/>
        </w:rPr>
        <w:t xml:space="preserve"> </w:t>
      </w:r>
    </w:p>
    <w:p>
      <w:pPr>
        <w:tabs>
          <w:tab w:val="left" w:pos="2790"/>
          <w:tab w:val="left" w:pos="4230"/>
        </w:tabs>
        <w:autoSpaceDE w:val="0"/>
        <w:autoSpaceDN w:val="0"/>
        <w:spacing w:line="440" w:lineRule="exact"/>
        <w:jc w:val="center"/>
        <w:rPr>
          <w:rFonts w:ascii="宋体" w:cs="宋体"/>
          <w:b/>
          <w:bCs/>
          <w:kern w:val="0"/>
          <w:sz w:val="28"/>
          <w:szCs w:val="28"/>
          <w:highlight w:val="none"/>
          <w:lang w:val="zh-CN"/>
        </w:rPr>
      </w:pPr>
      <w:r>
        <w:rPr>
          <w:rFonts w:hint="eastAsia" w:ascii="宋体" w:hAnsi="宋体" w:cs="宋体"/>
          <w:b/>
          <w:bCs/>
          <w:kern w:val="0"/>
          <w:sz w:val="28"/>
          <w:szCs w:val="28"/>
          <w:highlight w:val="none"/>
          <w:lang w:val="zh-CN"/>
        </w:rPr>
        <w:t>商务响应表</w:t>
      </w:r>
    </w:p>
    <w:p>
      <w:pPr>
        <w:pStyle w:val="21"/>
        <w:spacing w:beforeLines="0" w:afterLines="0" w:line="320" w:lineRule="exact"/>
        <w:rPr>
          <w:rFonts w:hint="eastAsia" w:hAnsi="宋体" w:cs="宋体"/>
          <w:sz w:val="21"/>
          <w:szCs w:val="21"/>
          <w:highlight w:val="none"/>
        </w:rPr>
      </w:pPr>
      <w:r>
        <w:rPr>
          <w:rFonts w:hint="eastAsia" w:hAnsi="宋体" w:cs="宋体"/>
          <w:sz w:val="21"/>
          <w:szCs w:val="21"/>
          <w:highlight w:val="none"/>
        </w:rPr>
        <w:t>项目编号：</w:t>
      </w:r>
      <w:r>
        <w:rPr>
          <w:rFonts w:hint="eastAsia" w:hAnsi="宋体" w:cs="宋体"/>
          <w:sz w:val="21"/>
          <w:szCs w:val="21"/>
          <w:highlight w:val="none"/>
          <w:lang w:val="zh-CN"/>
        </w:rPr>
        <w:t>ZJJX-25CG-002</w:t>
      </w:r>
    </w:p>
    <w:p>
      <w:pPr>
        <w:autoSpaceDE w:val="0"/>
        <w:autoSpaceDN w:val="0"/>
        <w:spacing w:line="440" w:lineRule="exact"/>
        <w:rPr>
          <w:rFonts w:ascii="宋体" w:cs="宋体"/>
          <w:szCs w:val="21"/>
          <w:highlight w:val="none"/>
          <w:lang w:val="zh-CN"/>
        </w:rPr>
      </w:pPr>
      <w:r>
        <w:rPr>
          <w:rFonts w:hint="eastAsia" w:ascii="宋体" w:hAnsi="宋体" w:cs="宋体"/>
          <w:szCs w:val="21"/>
          <w:highlight w:val="none"/>
        </w:rPr>
        <w:t>项目名称：</w:t>
      </w:r>
      <w:r>
        <w:rPr>
          <w:rFonts w:hint="eastAsia" w:ascii="宋体" w:hAnsi="宋体" w:cs="宋体"/>
          <w:szCs w:val="21"/>
          <w:highlight w:val="none"/>
          <w:lang w:val="zh-CN"/>
        </w:rPr>
        <w:t>仙居县力天市政工程有限公司PE管材及配件、PPR管材及配件采购项目</w:t>
      </w:r>
    </w:p>
    <w:tbl>
      <w:tblPr>
        <w:tblStyle w:val="3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65"/>
        <w:gridCol w:w="6288"/>
        <w:gridCol w:w="853"/>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内  容</w:t>
            </w:r>
          </w:p>
        </w:tc>
        <w:tc>
          <w:tcPr>
            <w:tcW w:w="62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采购文件要求</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供应商承诺</w:t>
            </w: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bCs/>
                <w:color w:val="000000" w:themeColor="text1"/>
                <w:kern w:val="0"/>
                <w:sz w:val="21"/>
                <w:szCs w:val="21"/>
                <w:highlight w:val="none"/>
                <w:lang w:val="zh-CN"/>
                <w14:textFill>
                  <w14:solidFill>
                    <w14:schemeClr w14:val="tx1"/>
                  </w14:solidFill>
                </w14:textFill>
              </w:rPr>
              <w:t>供货有效期</w:t>
            </w:r>
          </w:p>
        </w:tc>
        <w:tc>
          <w:tcPr>
            <w:tcW w:w="6288" w:type="dxa"/>
            <w:vAlign w:val="center"/>
          </w:tcPr>
          <w:p>
            <w:pPr>
              <w:pStyle w:val="21"/>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14:textFill>
                  <w14:solidFill>
                    <w14:schemeClr w14:val="tx1"/>
                  </w14:solidFill>
                </w14:textFill>
              </w:rPr>
              <w:t>本合同供货期限暂定一年（自合同签订时开始计算）。若暂定供货期内采购人提前完成采购金额的合同即刻终止；若暂定供货期内实际采购金额未达到合同总额的60%，经双方协商后，合同期限可延长供货期6个月（合同期内的供货不得超过中标总金额），到期后即刻终止。</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交货时间及地点</w:t>
            </w:r>
          </w:p>
        </w:tc>
        <w:tc>
          <w:tcPr>
            <w:tcW w:w="6288" w:type="dxa"/>
            <w:vAlign w:val="center"/>
          </w:tcPr>
          <w:p>
            <w:pPr>
              <w:pStyle w:val="35"/>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（1）交货时间：中标人在合同期内接到采购人的供货通知后，在</w:t>
            </w:r>
            <w:r>
              <w:rPr>
                <w:rFonts w:hint="eastAsia" w:ascii="宋体" w:hAnsi="宋体" w:eastAsia="宋体" w:cs="宋体"/>
                <w:color w:val="000000" w:themeColor="text1"/>
                <w:kern w:val="0"/>
                <w:sz w:val="21"/>
                <w:szCs w:val="21"/>
                <w:highlight w:val="none"/>
                <w:u w:val="single"/>
                <w14:textFill>
                  <w14:solidFill>
                    <w14:schemeClr w14:val="tx1"/>
                  </w14:solidFill>
                </w14:textFill>
              </w:rPr>
              <w:t xml:space="preserve"> 10 </w:t>
            </w:r>
            <w:r>
              <w:rPr>
                <w:rFonts w:hint="eastAsia" w:ascii="宋体" w:hAnsi="宋体" w:eastAsia="宋体" w:cs="宋体"/>
                <w:color w:val="000000" w:themeColor="text1"/>
                <w:kern w:val="0"/>
                <w:sz w:val="21"/>
                <w:szCs w:val="21"/>
                <w:highlight w:val="none"/>
                <w14:textFill>
                  <w14:solidFill>
                    <w14:schemeClr w14:val="tx1"/>
                  </w14:solidFill>
                </w14:textFill>
              </w:rPr>
              <w:t>天内按采购人要求的规格、尺寸，把货物送至指定地点并堆放整齐。</w:t>
            </w:r>
            <w:r>
              <w:rPr>
                <w:rFonts w:hint="eastAsia" w:ascii="宋体" w:hAnsi="宋体" w:eastAsia="宋体" w:cs="宋体"/>
                <w:b/>
                <w:color w:val="000000" w:themeColor="text1"/>
                <w:kern w:val="0"/>
                <w:sz w:val="21"/>
                <w:szCs w:val="21"/>
                <w:highlight w:val="none"/>
                <w14:textFill>
                  <w14:solidFill>
                    <w14:schemeClr w14:val="tx1"/>
                  </w14:solidFill>
                </w14:textFill>
              </w:rPr>
              <w:t>（供应商可以提供更快更优交货承诺）</w:t>
            </w:r>
          </w:p>
          <w:p>
            <w:pPr>
              <w:pStyle w:val="21"/>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14:textFill>
                  <w14:solidFill>
                    <w14:schemeClr w14:val="tx1"/>
                  </w14:solidFill>
                </w14:textFill>
              </w:rPr>
              <w:t>（2）交货地点：根据采购人每批次送货地点执行。</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质保期</w:t>
            </w:r>
          </w:p>
        </w:tc>
        <w:tc>
          <w:tcPr>
            <w:tcW w:w="6288" w:type="dxa"/>
            <w:vAlign w:val="center"/>
          </w:tcPr>
          <w:p>
            <w:pPr>
              <w:pStyle w:val="21"/>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14:textFill>
                  <w14:solidFill>
                    <w14:schemeClr w14:val="tx1"/>
                  </w14:solidFill>
                </w14:textFill>
              </w:rPr>
              <w:t>本项目的质保期要求至少2年，以最后一批货物验收合格之日起计算。质保期内，非因操作不当造成要更换的零配件及货物由中标人负责包修、包换。</w:t>
            </w:r>
            <w:r>
              <w:rPr>
                <w:rFonts w:hint="eastAsia" w:ascii="宋体" w:hAnsi="宋体" w:eastAsia="宋体" w:cs="宋体"/>
                <w:b/>
                <w:color w:val="000000" w:themeColor="text1"/>
                <w:kern w:val="0"/>
                <w:sz w:val="21"/>
                <w:szCs w:val="21"/>
                <w:highlight w:val="none"/>
                <w14:textFill>
                  <w14:solidFill>
                    <w14:schemeClr w14:val="tx1"/>
                  </w14:solidFill>
                </w14:textFill>
              </w:rPr>
              <w:t>（供应商可以提供更优惠的承诺）</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付款方式</w:t>
            </w:r>
          </w:p>
        </w:tc>
        <w:tc>
          <w:tcPr>
            <w:tcW w:w="6288" w:type="dxa"/>
            <w:vAlign w:val="center"/>
          </w:tcPr>
          <w:p>
            <w:pPr>
              <w:pStyle w:val="35"/>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（1）货物价格应按中标</w:t>
            </w:r>
            <w:r>
              <w:rPr>
                <w:rFonts w:hint="eastAsia" w:ascii="宋体" w:hAnsi="宋体" w:eastAsia="宋体" w:cs="宋体"/>
                <w:bCs/>
                <w:color w:val="000000" w:themeColor="text1"/>
                <w:kern w:val="0"/>
                <w:sz w:val="21"/>
                <w:szCs w:val="21"/>
                <w:highlight w:val="none"/>
                <w14:textFill>
                  <w14:solidFill>
                    <w14:schemeClr w14:val="tx1"/>
                  </w14:solidFill>
                </w14:textFill>
              </w:rPr>
              <w:t>单价</w:t>
            </w:r>
            <w:r>
              <w:rPr>
                <w:rFonts w:hint="eastAsia" w:ascii="宋体" w:hAnsi="宋体" w:eastAsia="宋体" w:cs="宋体"/>
                <w:color w:val="000000" w:themeColor="text1"/>
                <w:kern w:val="0"/>
                <w:sz w:val="21"/>
                <w:szCs w:val="21"/>
                <w:highlight w:val="none"/>
                <w14:textFill>
                  <w14:solidFill>
                    <w14:schemeClr w14:val="tx1"/>
                  </w14:solidFill>
                </w14:textFill>
              </w:rPr>
              <w:t>（原材料上涨或下跌，本价格保持不变）执行。</w:t>
            </w:r>
          </w:p>
          <w:p>
            <w:pPr>
              <w:pStyle w:val="35"/>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（2）付款方式：每批货到仓库或采购人指定地点后，由采购人对该批货物进行验收，待验收合格后的一个月内支付该批次货款的97%，余下的3%货款在质保期满后一周内付清（不计息）。</w:t>
            </w:r>
          </w:p>
          <w:p>
            <w:pPr>
              <w:pStyle w:val="35"/>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（3）中标人应按采购人要求开具相应金额的增值税专用发票。</w:t>
            </w:r>
          </w:p>
          <w:p>
            <w:pPr>
              <w:pStyle w:val="21"/>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14:textFill>
                  <w14:solidFill>
                    <w14:schemeClr w14:val="tx1"/>
                  </w14:solidFill>
                </w14:textFill>
              </w:rPr>
              <w:t>（4）当采购数量与实际使用数量不一致时，由中标人根据实际使用量供货，合同的最终结算金额按实际使用量乘以成交单价进行计算。</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售后服务</w:t>
            </w:r>
          </w:p>
        </w:tc>
        <w:tc>
          <w:tcPr>
            <w:tcW w:w="6288" w:type="dxa"/>
            <w:vAlign w:val="center"/>
          </w:tcPr>
          <w:p>
            <w:pPr>
              <w:pStyle w:val="35"/>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投标人必须有可靠的售后服务保障，包括有固定的维修服务点，能提供正常的技术、备品备件服务。当发生故障时，中标人在接到采购单位通知后，2小时内予以答复，在采购人要求时，中标人的技术人员在收到采购人通知后12小时之内到现场进行修理。</w:t>
            </w:r>
          </w:p>
          <w:p>
            <w:pPr>
              <w:pStyle w:val="35"/>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（2）中标人服务维修人员均经过良好的系统技术培训，并有丰富的现场维修经验。</w:t>
            </w:r>
          </w:p>
          <w:p>
            <w:pPr>
              <w:pStyle w:val="21"/>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kern w:val="0"/>
                <w:sz w:val="21"/>
                <w:szCs w:val="21"/>
                <w:highlight w:val="none"/>
              </w:rPr>
            </w:pPr>
            <w:r>
              <w:rPr>
                <w:rFonts w:hint="eastAsia" w:ascii="宋体" w:hAnsi="宋体" w:eastAsia="宋体" w:cs="宋体"/>
                <w:color w:val="000000" w:themeColor="text1"/>
                <w:kern w:val="0"/>
                <w:sz w:val="21"/>
                <w:szCs w:val="21"/>
                <w:highlight w:val="none"/>
                <w14:textFill>
                  <w14:solidFill>
                    <w14:schemeClr w14:val="tx1"/>
                  </w14:solidFill>
                </w14:textFill>
              </w:rPr>
              <w:t>（3）若中标人未能满足上述售后服务要求中的任何一条，采购单位有权委托第三方单位提供售后服务，由此产生的一切费用由中标人承担。</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62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bl>
    <w:p>
      <w:pPr>
        <w:pStyle w:val="21"/>
        <w:spacing w:beforeLines="0" w:afterLines="0" w:line="360" w:lineRule="auto"/>
        <w:rPr>
          <w:rFonts w:hint="eastAsia" w:hAnsi="宋体" w:cs="宋体"/>
          <w:b/>
          <w:kern w:val="0"/>
          <w:sz w:val="21"/>
          <w:szCs w:val="21"/>
          <w:highlight w:val="none"/>
        </w:rPr>
      </w:pPr>
      <w:r>
        <w:rPr>
          <w:rFonts w:hint="eastAsia" w:hAnsi="宋体" w:cs="宋体"/>
          <w:b/>
          <w:kern w:val="0"/>
          <w:sz w:val="21"/>
          <w:szCs w:val="21"/>
          <w:highlight w:val="none"/>
        </w:rPr>
        <w:t>特别提醒：</w:t>
      </w:r>
    </w:p>
    <w:p>
      <w:pPr>
        <w:pStyle w:val="21"/>
        <w:spacing w:beforeLines="0" w:afterLines="0" w:line="360" w:lineRule="auto"/>
        <w:ind w:firstLine="420" w:firstLineChars="200"/>
        <w:rPr>
          <w:rFonts w:hint="eastAsia" w:hAnsi="宋体" w:cs="宋体"/>
          <w:kern w:val="0"/>
          <w:sz w:val="21"/>
          <w:szCs w:val="21"/>
          <w:highlight w:val="none"/>
          <w:u w:val="single"/>
        </w:rPr>
      </w:pPr>
      <w:r>
        <w:rPr>
          <w:rFonts w:hAnsi="宋体" w:cs="宋体"/>
          <w:kern w:val="0"/>
          <w:sz w:val="21"/>
          <w:szCs w:val="21"/>
          <w:highlight w:val="none"/>
        </w:rPr>
        <w:t>1</w:t>
      </w:r>
      <w:r>
        <w:rPr>
          <w:rFonts w:hint="eastAsia" w:hAnsi="宋体" w:cs="宋体"/>
          <w:kern w:val="0"/>
          <w:sz w:val="21"/>
          <w:szCs w:val="21"/>
          <w:highlight w:val="none"/>
        </w:rPr>
        <w:t>、供应商在填写其中的响应内容时，必须对照本采购文件“第二章</w:t>
      </w:r>
      <w:r>
        <w:rPr>
          <w:rFonts w:hAnsi="宋体" w:cs="宋体"/>
          <w:kern w:val="0"/>
          <w:sz w:val="21"/>
          <w:szCs w:val="21"/>
          <w:highlight w:val="none"/>
        </w:rPr>
        <w:t xml:space="preserve"> </w:t>
      </w:r>
      <w:r>
        <w:rPr>
          <w:rFonts w:hint="eastAsia" w:hAnsi="宋体" w:cs="宋体"/>
          <w:kern w:val="0"/>
          <w:sz w:val="21"/>
          <w:szCs w:val="21"/>
          <w:highlight w:val="none"/>
        </w:rPr>
        <w:t>采购需求”中商务要求的各指标项逐条说明，写出各自响应服务的具体参数响应内容，响应情况作为重要评审指标。</w:t>
      </w:r>
    </w:p>
    <w:p>
      <w:pPr>
        <w:pStyle w:val="21"/>
        <w:spacing w:beforeLines="0" w:afterLines="0" w:line="360" w:lineRule="auto"/>
        <w:ind w:firstLine="420" w:firstLineChars="200"/>
        <w:rPr>
          <w:rFonts w:hint="eastAsia" w:hAnsi="宋体" w:cs="宋体"/>
          <w:kern w:val="0"/>
          <w:sz w:val="21"/>
          <w:szCs w:val="21"/>
          <w:highlight w:val="none"/>
          <w:u w:val="single"/>
        </w:rPr>
      </w:pPr>
      <w:r>
        <w:rPr>
          <w:rFonts w:hAnsi="宋体" w:cs="宋体"/>
          <w:kern w:val="0"/>
          <w:sz w:val="21"/>
          <w:szCs w:val="21"/>
          <w:highlight w:val="none"/>
        </w:rPr>
        <w:t>2</w:t>
      </w:r>
      <w:r>
        <w:rPr>
          <w:rFonts w:hint="eastAsia" w:hAnsi="宋体" w:cs="宋体"/>
          <w:kern w:val="0"/>
          <w:sz w:val="21"/>
          <w:szCs w:val="21"/>
          <w:highlight w:val="none"/>
        </w:rPr>
        <w:t>、</w:t>
      </w:r>
      <w:r>
        <w:rPr>
          <w:rFonts w:hint="eastAsia" w:hAnsi="宋体" w:cs="宋体"/>
          <w:kern w:val="0"/>
          <w:sz w:val="21"/>
          <w:szCs w:val="21"/>
          <w:highlight w:val="none"/>
          <w:u w:val="single"/>
        </w:rPr>
        <w:t>如响应表格无法清晰完整描述响应内容的，可在文本另行描述，并在对应页码中标识页码，引导评标委员会审阅响应内容，因响应文件编制原因引起评审错误责任由供应商承担。</w:t>
      </w:r>
    </w:p>
    <w:p>
      <w:pPr>
        <w:pStyle w:val="22"/>
        <w:ind w:left="0" w:leftChars="0" w:firstLine="420" w:firstLineChars="200"/>
        <w:rPr>
          <w:rFonts w:hint="eastAsia"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3、投标人承诺栏可以填写更优惠的承诺，但不能低于招标人给定的商务要求，否则将导致无效。</w:t>
      </w:r>
    </w:p>
    <w:p>
      <w:pPr>
        <w:pStyle w:val="22"/>
        <w:ind w:left="0" w:leftChars="0" w:firstLine="420" w:firstLineChars="200"/>
        <w:rPr>
          <w:color w:val="000000" w:themeColor="text1"/>
          <w:highlight w:val="none"/>
          <w14:textFill>
            <w14:solidFill>
              <w14:schemeClr w14:val="tx1"/>
            </w14:solidFill>
          </w14:textFill>
        </w:rPr>
      </w:pPr>
      <w:r>
        <w:rPr>
          <w:rFonts w:hint="eastAsia" w:hAnsi="宋体" w:cs="宋体"/>
          <w:color w:val="000000" w:themeColor="text1"/>
          <w:kern w:val="0"/>
          <w:szCs w:val="21"/>
          <w:highlight w:val="none"/>
          <w:lang w:val="en-US" w:eastAsia="zh-CN"/>
          <w14:textFill>
            <w14:solidFill>
              <w14:schemeClr w14:val="tx1"/>
            </w14:solidFill>
          </w14:textFill>
        </w:rPr>
        <w:t>4、</w:t>
      </w:r>
      <w:r>
        <w:rPr>
          <w:rFonts w:hint="eastAsia" w:hAnsi="宋体" w:cs="宋体"/>
          <w:color w:val="000000" w:themeColor="text1"/>
          <w:kern w:val="0"/>
          <w:szCs w:val="21"/>
          <w:highlight w:val="none"/>
          <w14:textFill>
            <w14:solidFill>
              <w14:schemeClr w14:val="tx1"/>
            </w14:solidFill>
          </w14:textFill>
        </w:rPr>
        <w:t>此表可延续，如不填写将视为对招标文件要求完全响应。</w:t>
      </w:r>
    </w:p>
    <w:p>
      <w:pPr>
        <w:pStyle w:val="22"/>
        <w:ind w:left="5250"/>
        <w:rPr>
          <w:highlight w:val="none"/>
        </w:rPr>
      </w:pPr>
    </w:p>
    <w:p>
      <w:pPr>
        <w:pStyle w:val="22"/>
        <w:ind w:left="5250"/>
        <w:rPr>
          <w:highlight w:val="none"/>
        </w:rPr>
      </w:pPr>
    </w:p>
    <w:p>
      <w:pPr>
        <w:spacing w:line="480" w:lineRule="auto"/>
        <w:jc w:val="left"/>
        <w:rPr>
          <w:rFonts w:ascii="宋体" w:cs="宋体"/>
          <w:b/>
          <w:szCs w:val="21"/>
          <w:highlight w:val="none"/>
        </w:rPr>
      </w:pPr>
      <w:r>
        <w:rPr>
          <w:rFonts w:ascii="宋体" w:hAnsi="宋体" w:cs="宋体"/>
          <w:b/>
          <w:sz w:val="24"/>
          <w:highlight w:val="none"/>
        </w:rPr>
        <w:t xml:space="preserve">                            </w:t>
      </w:r>
      <w:r>
        <w:rPr>
          <w:rFonts w:ascii="宋体" w:hAnsi="宋体" w:cs="宋体"/>
          <w:b/>
          <w:szCs w:val="21"/>
          <w:highlight w:val="none"/>
        </w:rPr>
        <w:t xml:space="preserve"> </w:t>
      </w:r>
      <w:r>
        <w:rPr>
          <w:rFonts w:hint="eastAsia" w:ascii="宋体" w:hAnsi="宋体" w:cs="宋体"/>
          <w:b/>
          <w:szCs w:val="21"/>
          <w:highlight w:val="none"/>
        </w:rPr>
        <w:t>供应商</w:t>
      </w:r>
      <w:r>
        <w:rPr>
          <w:rFonts w:ascii="宋体" w:hAnsi="宋体" w:cs="宋体"/>
          <w:b/>
          <w:szCs w:val="21"/>
          <w:highlight w:val="none"/>
        </w:rPr>
        <w:t xml:space="preserve"> </w:t>
      </w:r>
      <w:r>
        <w:rPr>
          <w:rFonts w:hint="eastAsia" w:ascii="宋体" w:hAnsi="宋体" w:cs="宋体"/>
          <w:b/>
          <w:szCs w:val="21"/>
          <w:highlight w:val="none"/>
        </w:rPr>
        <w:t>（盖单位章）：</w:t>
      </w:r>
      <w:r>
        <w:rPr>
          <w:rFonts w:ascii="宋体" w:hAnsi="宋体" w:cs="宋体"/>
          <w:b/>
          <w:szCs w:val="21"/>
          <w:highlight w:val="none"/>
        </w:rPr>
        <w:t xml:space="preserve">             </w:t>
      </w:r>
    </w:p>
    <w:p>
      <w:pPr>
        <w:spacing w:line="480" w:lineRule="auto"/>
        <w:ind w:firstLine="1265" w:firstLineChars="600"/>
        <w:jc w:val="left"/>
        <w:rPr>
          <w:rFonts w:ascii="宋体" w:cs="宋体"/>
          <w:b/>
          <w:szCs w:val="21"/>
          <w:highlight w:val="none"/>
        </w:rPr>
      </w:pPr>
      <w:r>
        <w:rPr>
          <w:rFonts w:hint="eastAsia" w:ascii="宋体" w:hAnsi="宋体" w:cs="宋体"/>
          <w:b/>
          <w:szCs w:val="21"/>
          <w:highlight w:val="none"/>
        </w:rPr>
        <w:t>法定代表人或其授权代表人（签字或盖章）：</w:t>
      </w:r>
    </w:p>
    <w:p>
      <w:pPr>
        <w:spacing w:line="480" w:lineRule="auto"/>
        <w:ind w:firstLine="4638" w:firstLineChars="2200"/>
        <w:jc w:val="left"/>
        <w:rPr>
          <w:rFonts w:ascii="宋体" w:cs="宋体"/>
          <w:b/>
          <w:szCs w:val="21"/>
          <w:highlight w:val="none"/>
          <w:lang w:val="zh-CN"/>
        </w:rPr>
      </w:pPr>
      <w:r>
        <w:rPr>
          <w:rFonts w:hint="eastAsia" w:ascii="宋体" w:hAnsi="宋体" w:cs="宋体"/>
          <w:b/>
          <w:szCs w:val="21"/>
          <w:highlight w:val="none"/>
        </w:rPr>
        <w:t>日　期：</w:t>
      </w:r>
    </w:p>
    <w:p>
      <w:pPr>
        <w:rPr>
          <w:rFonts w:ascii="宋体" w:cs="宋体"/>
          <w:b/>
          <w:bCs/>
          <w:kern w:val="0"/>
          <w:sz w:val="28"/>
          <w:szCs w:val="28"/>
          <w:highlight w:val="none"/>
        </w:rPr>
      </w:pPr>
    </w:p>
    <w:p>
      <w:pPr>
        <w:spacing w:before="60" w:after="60" w:line="360" w:lineRule="auto"/>
        <w:ind w:firstLine="3855" w:firstLineChars="1200"/>
        <w:rPr>
          <w:b/>
          <w:sz w:val="32"/>
          <w:szCs w:val="32"/>
          <w:highlight w:val="none"/>
        </w:rPr>
      </w:pPr>
    </w:p>
    <w:p>
      <w:pPr>
        <w:spacing w:before="60" w:after="60" w:line="360" w:lineRule="auto"/>
        <w:ind w:firstLine="3855" w:firstLineChars="1200"/>
        <w:rPr>
          <w:b/>
          <w:sz w:val="32"/>
          <w:szCs w:val="32"/>
          <w:highlight w:val="none"/>
        </w:rPr>
      </w:pPr>
    </w:p>
    <w:p>
      <w:pPr>
        <w:spacing w:before="60" w:after="60" w:line="360" w:lineRule="auto"/>
        <w:rPr>
          <w:b/>
          <w:sz w:val="32"/>
          <w:szCs w:val="32"/>
          <w:highlight w:val="none"/>
        </w:rPr>
      </w:pPr>
    </w:p>
    <w:p>
      <w:pPr>
        <w:rPr>
          <w:rFonts w:hint="eastAsia" w:ascii="宋体" w:hAnsi="宋体" w:cs="宋体"/>
          <w:b/>
          <w:bCs/>
          <w:sz w:val="24"/>
          <w:highlight w:val="none"/>
        </w:rPr>
      </w:pPr>
      <w:r>
        <w:rPr>
          <w:rFonts w:hint="eastAsia" w:ascii="宋体" w:hAnsi="宋体" w:cs="宋体"/>
          <w:b/>
          <w:bCs/>
          <w:sz w:val="24"/>
          <w:highlight w:val="none"/>
        </w:rPr>
        <w:br w:type="page"/>
      </w:r>
    </w:p>
    <w:p>
      <w:pPr>
        <w:spacing w:before="100" w:beforeAutospacing="1" w:line="360" w:lineRule="auto"/>
        <w:rPr>
          <w:rFonts w:ascii="宋体" w:cs="宋体"/>
          <w:b/>
          <w:bCs/>
          <w:sz w:val="24"/>
          <w:highlight w:val="none"/>
        </w:rPr>
      </w:pPr>
      <w:r>
        <w:rPr>
          <w:rFonts w:hint="eastAsia" w:ascii="宋体" w:hAnsi="宋体" w:cs="宋体"/>
          <w:b/>
          <w:bCs/>
          <w:sz w:val="24"/>
          <w:highlight w:val="none"/>
        </w:rPr>
        <w:t>附件</w:t>
      </w:r>
      <w:r>
        <w:rPr>
          <w:rFonts w:ascii="宋体" w:hAnsi="宋体" w:cs="宋体"/>
          <w:b/>
          <w:bCs/>
          <w:sz w:val="24"/>
          <w:highlight w:val="none"/>
        </w:rPr>
        <w:t>8</w:t>
      </w:r>
      <w:r>
        <w:rPr>
          <w:rFonts w:hint="eastAsia" w:ascii="宋体" w:hAnsi="宋体" w:cs="宋体"/>
          <w:b/>
          <w:bCs/>
          <w:sz w:val="24"/>
          <w:highlight w:val="none"/>
        </w:rPr>
        <w:t>：</w:t>
      </w:r>
      <w:r>
        <w:rPr>
          <w:rFonts w:ascii="宋体" w:hAnsi="宋体" w:cs="宋体"/>
          <w:b/>
          <w:bCs/>
          <w:sz w:val="24"/>
          <w:highlight w:val="none"/>
        </w:rPr>
        <w:t xml:space="preserve"> </w:t>
      </w:r>
    </w:p>
    <w:p>
      <w:pPr>
        <w:tabs>
          <w:tab w:val="left" w:pos="2790"/>
          <w:tab w:val="left" w:pos="4230"/>
        </w:tabs>
        <w:autoSpaceDE w:val="0"/>
        <w:autoSpaceDN w:val="0"/>
        <w:spacing w:line="440" w:lineRule="exact"/>
        <w:jc w:val="center"/>
        <w:rPr>
          <w:rFonts w:ascii="宋体" w:cs="宋体"/>
          <w:b/>
          <w:sz w:val="28"/>
          <w:szCs w:val="28"/>
          <w:highlight w:val="none"/>
        </w:rPr>
      </w:pPr>
      <w:r>
        <w:rPr>
          <w:rFonts w:hint="eastAsia" w:ascii="宋体" w:hAnsi="宋体" w:cs="宋体"/>
          <w:b/>
          <w:sz w:val="28"/>
          <w:szCs w:val="28"/>
          <w:highlight w:val="none"/>
        </w:rPr>
        <w:t>类似项目业绩一览表</w:t>
      </w:r>
    </w:p>
    <w:p>
      <w:pPr>
        <w:pStyle w:val="21"/>
        <w:spacing w:beforeLines="0" w:afterLines="0" w:line="320" w:lineRule="exact"/>
        <w:rPr>
          <w:rFonts w:hint="eastAsia" w:hAnsi="宋体" w:cs="宋体"/>
          <w:sz w:val="21"/>
          <w:szCs w:val="21"/>
          <w:highlight w:val="none"/>
        </w:rPr>
      </w:pPr>
      <w:r>
        <w:rPr>
          <w:rFonts w:hint="eastAsia" w:hAnsi="宋体" w:cs="宋体"/>
          <w:sz w:val="21"/>
          <w:szCs w:val="21"/>
          <w:highlight w:val="none"/>
        </w:rPr>
        <w:t>项目编号：</w:t>
      </w:r>
      <w:r>
        <w:rPr>
          <w:rFonts w:hint="eastAsia" w:hAnsi="宋体" w:cs="宋体"/>
          <w:sz w:val="21"/>
          <w:szCs w:val="21"/>
          <w:highlight w:val="none"/>
          <w:lang w:val="zh-CN"/>
        </w:rPr>
        <w:t>ZJJX-25CG-002</w:t>
      </w:r>
    </w:p>
    <w:p>
      <w:pPr>
        <w:autoSpaceDE w:val="0"/>
        <w:autoSpaceDN w:val="0"/>
        <w:spacing w:line="440" w:lineRule="exact"/>
        <w:rPr>
          <w:rFonts w:ascii="宋体" w:cs="宋体"/>
          <w:szCs w:val="21"/>
          <w:highlight w:val="none"/>
          <w:lang w:val="zh-CN"/>
        </w:rPr>
      </w:pPr>
      <w:r>
        <w:rPr>
          <w:rFonts w:hint="eastAsia" w:ascii="宋体" w:hAnsi="宋体" w:cs="宋体"/>
          <w:szCs w:val="21"/>
          <w:highlight w:val="none"/>
        </w:rPr>
        <w:t>项目名称：</w:t>
      </w:r>
      <w:r>
        <w:rPr>
          <w:rFonts w:hint="eastAsia" w:ascii="宋体" w:hAnsi="宋体" w:cs="宋体"/>
          <w:szCs w:val="21"/>
          <w:highlight w:val="none"/>
          <w:lang w:val="zh-CN"/>
        </w:rPr>
        <w:t>仙居县力天市政工程有限公司PE管材及配件、PPR管材及配件采购项目</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49"/>
        <w:gridCol w:w="1744"/>
        <w:gridCol w:w="1260"/>
        <w:gridCol w:w="1800"/>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vAlign w:val="center"/>
          </w:tcPr>
          <w:p>
            <w:pPr>
              <w:pStyle w:val="21"/>
              <w:spacing w:before="152" w:after="152"/>
              <w:jc w:val="center"/>
              <w:rPr>
                <w:rFonts w:hint="eastAsia" w:hAnsi="宋体" w:cs="宋体"/>
                <w:b/>
                <w:bCs/>
                <w:kern w:val="0"/>
                <w:sz w:val="21"/>
                <w:szCs w:val="21"/>
                <w:highlight w:val="none"/>
              </w:rPr>
            </w:pPr>
            <w:r>
              <w:rPr>
                <w:rFonts w:hint="eastAsia" w:hAnsi="宋体" w:cs="宋体"/>
                <w:bCs/>
                <w:kern w:val="0"/>
                <w:sz w:val="21"/>
                <w:szCs w:val="21"/>
                <w:highlight w:val="none"/>
              </w:rPr>
              <w:t>序号</w:t>
            </w:r>
          </w:p>
        </w:tc>
        <w:tc>
          <w:tcPr>
            <w:tcW w:w="1649" w:type="dxa"/>
            <w:vAlign w:val="center"/>
          </w:tcPr>
          <w:p>
            <w:pPr>
              <w:pStyle w:val="21"/>
              <w:spacing w:before="152" w:after="152"/>
              <w:jc w:val="center"/>
              <w:rPr>
                <w:rFonts w:hint="eastAsia" w:hAnsi="宋体" w:cs="宋体"/>
                <w:b/>
                <w:bCs/>
                <w:kern w:val="0"/>
                <w:sz w:val="21"/>
                <w:szCs w:val="21"/>
                <w:highlight w:val="none"/>
              </w:rPr>
            </w:pPr>
            <w:r>
              <w:rPr>
                <w:rFonts w:hint="eastAsia" w:hAnsi="宋体" w:cs="宋体"/>
                <w:bCs/>
                <w:kern w:val="0"/>
                <w:sz w:val="21"/>
                <w:szCs w:val="21"/>
                <w:highlight w:val="none"/>
              </w:rPr>
              <w:t>项目名称</w:t>
            </w:r>
          </w:p>
        </w:tc>
        <w:tc>
          <w:tcPr>
            <w:tcW w:w="1744" w:type="dxa"/>
            <w:vAlign w:val="center"/>
          </w:tcPr>
          <w:p>
            <w:pPr>
              <w:pStyle w:val="21"/>
              <w:spacing w:before="152" w:after="152"/>
              <w:jc w:val="center"/>
              <w:rPr>
                <w:rFonts w:hint="eastAsia" w:hAnsi="宋体" w:cs="宋体"/>
                <w:b/>
                <w:bCs/>
                <w:kern w:val="0"/>
                <w:sz w:val="21"/>
                <w:szCs w:val="21"/>
                <w:highlight w:val="none"/>
              </w:rPr>
            </w:pPr>
            <w:r>
              <w:rPr>
                <w:rFonts w:hint="eastAsia" w:hAnsi="宋体" w:cs="宋体"/>
                <w:bCs/>
                <w:kern w:val="0"/>
                <w:sz w:val="21"/>
                <w:szCs w:val="21"/>
                <w:highlight w:val="none"/>
              </w:rPr>
              <w:t>业主单位</w:t>
            </w:r>
          </w:p>
        </w:tc>
        <w:tc>
          <w:tcPr>
            <w:tcW w:w="1260" w:type="dxa"/>
            <w:vAlign w:val="center"/>
          </w:tcPr>
          <w:p>
            <w:pPr>
              <w:pStyle w:val="21"/>
              <w:spacing w:before="152" w:after="152"/>
              <w:jc w:val="center"/>
              <w:rPr>
                <w:rFonts w:hint="eastAsia" w:hAnsi="宋体" w:cs="宋体"/>
                <w:b/>
                <w:bCs/>
                <w:kern w:val="0"/>
                <w:sz w:val="21"/>
                <w:szCs w:val="21"/>
                <w:highlight w:val="none"/>
              </w:rPr>
            </w:pPr>
            <w:r>
              <w:rPr>
                <w:rFonts w:hint="eastAsia" w:hAnsi="宋体" w:cs="宋体"/>
                <w:bCs/>
                <w:kern w:val="0"/>
                <w:sz w:val="21"/>
                <w:szCs w:val="21"/>
                <w:highlight w:val="none"/>
              </w:rPr>
              <w:t>合同金额</w:t>
            </w:r>
          </w:p>
        </w:tc>
        <w:tc>
          <w:tcPr>
            <w:tcW w:w="1800" w:type="dxa"/>
            <w:vAlign w:val="center"/>
          </w:tcPr>
          <w:p>
            <w:pPr>
              <w:pStyle w:val="21"/>
              <w:spacing w:before="152" w:after="152"/>
              <w:jc w:val="center"/>
              <w:rPr>
                <w:rFonts w:hint="eastAsia" w:hAnsi="宋体" w:cs="宋体"/>
                <w:b/>
                <w:bCs/>
                <w:kern w:val="0"/>
                <w:sz w:val="21"/>
                <w:szCs w:val="21"/>
                <w:highlight w:val="none"/>
              </w:rPr>
            </w:pPr>
            <w:r>
              <w:rPr>
                <w:rFonts w:hint="eastAsia" w:hAnsi="宋体" w:cs="宋体"/>
                <w:bCs/>
                <w:kern w:val="0"/>
                <w:sz w:val="21"/>
                <w:szCs w:val="21"/>
                <w:highlight w:val="none"/>
              </w:rPr>
              <w:t>合同签订时间</w:t>
            </w:r>
          </w:p>
        </w:tc>
        <w:tc>
          <w:tcPr>
            <w:tcW w:w="2194" w:type="dxa"/>
            <w:vAlign w:val="center"/>
          </w:tcPr>
          <w:p>
            <w:pPr>
              <w:pStyle w:val="21"/>
              <w:spacing w:before="152" w:after="152"/>
              <w:jc w:val="center"/>
              <w:rPr>
                <w:rFonts w:hint="eastAsia" w:hAnsi="宋体" w:cs="宋体"/>
                <w:b/>
                <w:bCs/>
                <w:kern w:val="0"/>
                <w:sz w:val="21"/>
                <w:szCs w:val="21"/>
                <w:highlight w:val="none"/>
              </w:rPr>
            </w:pPr>
            <w:r>
              <w:rPr>
                <w:rFonts w:hint="eastAsia" w:hAnsi="宋体" w:cs="宋体"/>
                <w:bCs/>
                <w:kern w:val="0"/>
                <w:sz w:val="21"/>
                <w:szCs w:val="21"/>
                <w:highlight w:val="none"/>
              </w:rPr>
              <w:t>联系人</w:t>
            </w:r>
            <w:r>
              <w:rPr>
                <w:rFonts w:hAnsi="宋体" w:cs="宋体"/>
                <w:bCs/>
                <w:kern w:val="0"/>
                <w:sz w:val="21"/>
                <w:szCs w:val="21"/>
                <w:highlight w:val="none"/>
              </w:rPr>
              <w:t>/</w:t>
            </w:r>
            <w:r>
              <w:rPr>
                <w:rFonts w:hint="eastAsia" w:hAnsi="宋体" w:cs="宋体"/>
                <w:bCs/>
                <w:kern w:val="0"/>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1"/>
              <w:spacing w:before="152" w:after="152"/>
              <w:rPr>
                <w:rFonts w:hint="eastAsia" w:hAnsi="宋体" w:cs="宋体"/>
                <w:b/>
                <w:kern w:val="0"/>
                <w:sz w:val="21"/>
                <w:szCs w:val="21"/>
                <w:highlight w:val="none"/>
              </w:rPr>
            </w:pPr>
          </w:p>
        </w:tc>
        <w:tc>
          <w:tcPr>
            <w:tcW w:w="1649" w:type="dxa"/>
            <w:vAlign w:val="center"/>
          </w:tcPr>
          <w:p>
            <w:pPr>
              <w:pStyle w:val="21"/>
              <w:spacing w:before="152" w:after="152"/>
              <w:rPr>
                <w:rFonts w:hint="eastAsia" w:hAnsi="宋体" w:cs="宋体"/>
                <w:b/>
                <w:kern w:val="0"/>
                <w:sz w:val="21"/>
                <w:szCs w:val="21"/>
                <w:highlight w:val="none"/>
              </w:rPr>
            </w:pPr>
          </w:p>
        </w:tc>
        <w:tc>
          <w:tcPr>
            <w:tcW w:w="1744" w:type="dxa"/>
            <w:vAlign w:val="center"/>
          </w:tcPr>
          <w:p>
            <w:pPr>
              <w:pStyle w:val="21"/>
              <w:spacing w:before="152" w:after="152"/>
              <w:rPr>
                <w:rFonts w:hint="eastAsia" w:hAnsi="宋体" w:cs="宋体"/>
                <w:b/>
                <w:kern w:val="0"/>
                <w:sz w:val="21"/>
                <w:szCs w:val="21"/>
                <w:highlight w:val="none"/>
              </w:rPr>
            </w:pPr>
          </w:p>
        </w:tc>
        <w:tc>
          <w:tcPr>
            <w:tcW w:w="1260" w:type="dxa"/>
            <w:vAlign w:val="center"/>
          </w:tcPr>
          <w:p>
            <w:pPr>
              <w:pStyle w:val="21"/>
              <w:spacing w:before="152" w:after="152"/>
              <w:rPr>
                <w:rFonts w:hint="eastAsia" w:hAnsi="宋体" w:cs="宋体"/>
                <w:b/>
                <w:kern w:val="0"/>
                <w:sz w:val="21"/>
                <w:szCs w:val="21"/>
                <w:highlight w:val="none"/>
              </w:rPr>
            </w:pPr>
          </w:p>
        </w:tc>
        <w:tc>
          <w:tcPr>
            <w:tcW w:w="1800" w:type="dxa"/>
            <w:vAlign w:val="center"/>
          </w:tcPr>
          <w:p>
            <w:pPr>
              <w:pStyle w:val="21"/>
              <w:spacing w:before="152" w:after="152"/>
              <w:rPr>
                <w:rFonts w:hint="eastAsia" w:hAnsi="宋体" w:cs="宋体"/>
                <w:b/>
                <w:kern w:val="0"/>
                <w:sz w:val="21"/>
                <w:szCs w:val="21"/>
                <w:highlight w:val="none"/>
              </w:rPr>
            </w:pPr>
          </w:p>
        </w:tc>
        <w:tc>
          <w:tcPr>
            <w:tcW w:w="2194" w:type="dxa"/>
            <w:vAlign w:val="center"/>
          </w:tcPr>
          <w:p>
            <w:pPr>
              <w:pStyle w:val="21"/>
              <w:spacing w:before="152" w:after="152"/>
              <w:rPr>
                <w:rFonts w:hint="eastAsia" w:hAnsi="宋体" w:cs="宋体"/>
                <w:b/>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1"/>
              <w:spacing w:before="152" w:after="152"/>
              <w:rPr>
                <w:rFonts w:hint="eastAsia" w:hAnsi="宋体" w:cs="宋体"/>
                <w:b/>
                <w:kern w:val="0"/>
                <w:sz w:val="21"/>
                <w:szCs w:val="21"/>
                <w:highlight w:val="none"/>
              </w:rPr>
            </w:pPr>
          </w:p>
        </w:tc>
        <w:tc>
          <w:tcPr>
            <w:tcW w:w="1649" w:type="dxa"/>
            <w:vAlign w:val="center"/>
          </w:tcPr>
          <w:p>
            <w:pPr>
              <w:pStyle w:val="21"/>
              <w:spacing w:before="152" w:after="152"/>
              <w:rPr>
                <w:rFonts w:hint="eastAsia" w:hAnsi="宋体" w:cs="宋体"/>
                <w:b/>
                <w:kern w:val="0"/>
                <w:sz w:val="21"/>
                <w:szCs w:val="21"/>
                <w:highlight w:val="none"/>
              </w:rPr>
            </w:pPr>
          </w:p>
        </w:tc>
        <w:tc>
          <w:tcPr>
            <w:tcW w:w="1744" w:type="dxa"/>
            <w:vAlign w:val="center"/>
          </w:tcPr>
          <w:p>
            <w:pPr>
              <w:pStyle w:val="21"/>
              <w:spacing w:before="152" w:after="152"/>
              <w:rPr>
                <w:rFonts w:hint="eastAsia" w:hAnsi="宋体" w:cs="宋体"/>
                <w:b/>
                <w:kern w:val="0"/>
                <w:sz w:val="21"/>
                <w:szCs w:val="21"/>
                <w:highlight w:val="none"/>
              </w:rPr>
            </w:pPr>
          </w:p>
        </w:tc>
        <w:tc>
          <w:tcPr>
            <w:tcW w:w="1260" w:type="dxa"/>
            <w:vAlign w:val="center"/>
          </w:tcPr>
          <w:p>
            <w:pPr>
              <w:pStyle w:val="21"/>
              <w:spacing w:before="152" w:after="152"/>
              <w:rPr>
                <w:rFonts w:hint="eastAsia" w:hAnsi="宋体" w:cs="宋体"/>
                <w:b/>
                <w:kern w:val="0"/>
                <w:sz w:val="21"/>
                <w:szCs w:val="21"/>
                <w:highlight w:val="none"/>
              </w:rPr>
            </w:pPr>
          </w:p>
        </w:tc>
        <w:tc>
          <w:tcPr>
            <w:tcW w:w="1800" w:type="dxa"/>
            <w:vAlign w:val="center"/>
          </w:tcPr>
          <w:p>
            <w:pPr>
              <w:pStyle w:val="21"/>
              <w:spacing w:before="152" w:after="152"/>
              <w:rPr>
                <w:rFonts w:hint="eastAsia" w:hAnsi="宋体" w:cs="宋体"/>
                <w:b/>
                <w:kern w:val="0"/>
                <w:sz w:val="21"/>
                <w:szCs w:val="21"/>
                <w:highlight w:val="none"/>
              </w:rPr>
            </w:pPr>
          </w:p>
        </w:tc>
        <w:tc>
          <w:tcPr>
            <w:tcW w:w="2194" w:type="dxa"/>
            <w:vAlign w:val="center"/>
          </w:tcPr>
          <w:p>
            <w:pPr>
              <w:pStyle w:val="21"/>
              <w:spacing w:before="152" w:after="152"/>
              <w:rPr>
                <w:rFonts w:hint="eastAsia" w:hAnsi="宋体" w:cs="宋体"/>
                <w:b/>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1"/>
              <w:spacing w:before="152" w:after="152"/>
              <w:rPr>
                <w:rFonts w:hint="eastAsia" w:hAnsi="宋体" w:cs="宋体"/>
                <w:b/>
                <w:kern w:val="0"/>
                <w:sz w:val="21"/>
                <w:szCs w:val="21"/>
                <w:highlight w:val="none"/>
              </w:rPr>
            </w:pPr>
          </w:p>
        </w:tc>
        <w:tc>
          <w:tcPr>
            <w:tcW w:w="1649" w:type="dxa"/>
            <w:vAlign w:val="center"/>
          </w:tcPr>
          <w:p>
            <w:pPr>
              <w:pStyle w:val="21"/>
              <w:spacing w:before="152" w:after="152"/>
              <w:rPr>
                <w:rFonts w:hint="eastAsia" w:hAnsi="宋体" w:cs="宋体"/>
                <w:b/>
                <w:kern w:val="0"/>
                <w:sz w:val="21"/>
                <w:szCs w:val="21"/>
                <w:highlight w:val="none"/>
              </w:rPr>
            </w:pPr>
          </w:p>
        </w:tc>
        <w:tc>
          <w:tcPr>
            <w:tcW w:w="1744" w:type="dxa"/>
            <w:vAlign w:val="center"/>
          </w:tcPr>
          <w:p>
            <w:pPr>
              <w:pStyle w:val="21"/>
              <w:spacing w:before="152" w:after="152"/>
              <w:rPr>
                <w:rFonts w:hint="eastAsia" w:hAnsi="宋体" w:cs="宋体"/>
                <w:b/>
                <w:kern w:val="0"/>
                <w:sz w:val="21"/>
                <w:szCs w:val="21"/>
                <w:highlight w:val="none"/>
              </w:rPr>
            </w:pPr>
          </w:p>
        </w:tc>
        <w:tc>
          <w:tcPr>
            <w:tcW w:w="1260" w:type="dxa"/>
            <w:vAlign w:val="center"/>
          </w:tcPr>
          <w:p>
            <w:pPr>
              <w:pStyle w:val="21"/>
              <w:spacing w:before="152" w:after="152"/>
              <w:rPr>
                <w:rFonts w:hint="eastAsia" w:hAnsi="宋体" w:cs="宋体"/>
                <w:b/>
                <w:kern w:val="0"/>
                <w:sz w:val="21"/>
                <w:szCs w:val="21"/>
                <w:highlight w:val="none"/>
              </w:rPr>
            </w:pPr>
          </w:p>
        </w:tc>
        <w:tc>
          <w:tcPr>
            <w:tcW w:w="1800" w:type="dxa"/>
            <w:vAlign w:val="center"/>
          </w:tcPr>
          <w:p>
            <w:pPr>
              <w:pStyle w:val="21"/>
              <w:spacing w:before="152" w:after="152"/>
              <w:rPr>
                <w:rFonts w:hint="eastAsia" w:hAnsi="宋体" w:cs="宋体"/>
                <w:b/>
                <w:kern w:val="0"/>
                <w:sz w:val="21"/>
                <w:szCs w:val="21"/>
                <w:highlight w:val="none"/>
              </w:rPr>
            </w:pPr>
          </w:p>
        </w:tc>
        <w:tc>
          <w:tcPr>
            <w:tcW w:w="2194" w:type="dxa"/>
            <w:vAlign w:val="center"/>
          </w:tcPr>
          <w:p>
            <w:pPr>
              <w:pStyle w:val="21"/>
              <w:spacing w:before="152" w:after="152"/>
              <w:rPr>
                <w:rFonts w:hint="eastAsia" w:hAnsi="宋体" w:cs="宋体"/>
                <w:b/>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1"/>
              <w:spacing w:before="152" w:after="152"/>
              <w:rPr>
                <w:rFonts w:hint="eastAsia" w:hAnsi="宋体" w:cs="宋体"/>
                <w:b/>
                <w:kern w:val="0"/>
                <w:sz w:val="21"/>
                <w:szCs w:val="21"/>
                <w:highlight w:val="none"/>
              </w:rPr>
            </w:pPr>
          </w:p>
        </w:tc>
        <w:tc>
          <w:tcPr>
            <w:tcW w:w="1649" w:type="dxa"/>
            <w:vAlign w:val="center"/>
          </w:tcPr>
          <w:p>
            <w:pPr>
              <w:pStyle w:val="21"/>
              <w:spacing w:before="152" w:after="152"/>
              <w:rPr>
                <w:rFonts w:hint="eastAsia" w:hAnsi="宋体" w:cs="宋体"/>
                <w:b/>
                <w:kern w:val="0"/>
                <w:sz w:val="21"/>
                <w:szCs w:val="21"/>
                <w:highlight w:val="none"/>
              </w:rPr>
            </w:pPr>
          </w:p>
        </w:tc>
        <w:tc>
          <w:tcPr>
            <w:tcW w:w="1744" w:type="dxa"/>
            <w:vAlign w:val="center"/>
          </w:tcPr>
          <w:p>
            <w:pPr>
              <w:pStyle w:val="21"/>
              <w:spacing w:before="152" w:after="152"/>
              <w:rPr>
                <w:rFonts w:hint="eastAsia" w:hAnsi="宋体" w:cs="宋体"/>
                <w:b/>
                <w:kern w:val="0"/>
                <w:sz w:val="21"/>
                <w:szCs w:val="21"/>
                <w:highlight w:val="none"/>
              </w:rPr>
            </w:pPr>
          </w:p>
        </w:tc>
        <w:tc>
          <w:tcPr>
            <w:tcW w:w="1260" w:type="dxa"/>
            <w:vAlign w:val="center"/>
          </w:tcPr>
          <w:p>
            <w:pPr>
              <w:pStyle w:val="21"/>
              <w:spacing w:before="152" w:after="152"/>
              <w:rPr>
                <w:rFonts w:hint="eastAsia" w:hAnsi="宋体" w:cs="宋体"/>
                <w:b/>
                <w:kern w:val="0"/>
                <w:sz w:val="21"/>
                <w:szCs w:val="21"/>
                <w:highlight w:val="none"/>
              </w:rPr>
            </w:pPr>
          </w:p>
        </w:tc>
        <w:tc>
          <w:tcPr>
            <w:tcW w:w="1800" w:type="dxa"/>
            <w:vAlign w:val="center"/>
          </w:tcPr>
          <w:p>
            <w:pPr>
              <w:pStyle w:val="21"/>
              <w:spacing w:before="152" w:after="152"/>
              <w:rPr>
                <w:rFonts w:hint="eastAsia" w:hAnsi="宋体" w:cs="宋体"/>
                <w:b/>
                <w:kern w:val="0"/>
                <w:sz w:val="21"/>
                <w:szCs w:val="21"/>
                <w:highlight w:val="none"/>
              </w:rPr>
            </w:pPr>
          </w:p>
        </w:tc>
        <w:tc>
          <w:tcPr>
            <w:tcW w:w="2194" w:type="dxa"/>
            <w:vAlign w:val="center"/>
          </w:tcPr>
          <w:p>
            <w:pPr>
              <w:pStyle w:val="21"/>
              <w:spacing w:before="152" w:after="152"/>
              <w:rPr>
                <w:rFonts w:hint="eastAsia" w:hAnsi="宋体" w:cs="宋体"/>
                <w:b/>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1"/>
              <w:spacing w:before="152" w:after="152"/>
              <w:rPr>
                <w:rFonts w:hint="eastAsia" w:hAnsi="宋体" w:cs="宋体"/>
                <w:b/>
                <w:kern w:val="0"/>
                <w:sz w:val="21"/>
                <w:szCs w:val="21"/>
                <w:highlight w:val="none"/>
              </w:rPr>
            </w:pPr>
          </w:p>
        </w:tc>
        <w:tc>
          <w:tcPr>
            <w:tcW w:w="1649" w:type="dxa"/>
            <w:vAlign w:val="center"/>
          </w:tcPr>
          <w:p>
            <w:pPr>
              <w:pStyle w:val="21"/>
              <w:spacing w:before="152" w:after="152"/>
              <w:rPr>
                <w:rFonts w:hint="eastAsia" w:hAnsi="宋体" w:cs="宋体"/>
                <w:b/>
                <w:kern w:val="0"/>
                <w:sz w:val="21"/>
                <w:szCs w:val="21"/>
                <w:highlight w:val="none"/>
              </w:rPr>
            </w:pPr>
          </w:p>
        </w:tc>
        <w:tc>
          <w:tcPr>
            <w:tcW w:w="1744" w:type="dxa"/>
            <w:vAlign w:val="center"/>
          </w:tcPr>
          <w:p>
            <w:pPr>
              <w:pStyle w:val="21"/>
              <w:spacing w:before="152" w:after="152"/>
              <w:rPr>
                <w:rFonts w:hint="eastAsia" w:hAnsi="宋体" w:cs="宋体"/>
                <w:b/>
                <w:kern w:val="0"/>
                <w:sz w:val="21"/>
                <w:szCs w:val="21"/>
                <w:highlight w:val="none"/>
              </w:rPr>
            </w:pPr>
          </w:p>
        </w:tc>
        <w:tc>
          <w:tcPr>
            <w:tcW w:w="1260" w:type="dxa"/>
            <w:vAlign w:val="center"/>
          </w:tcPr>
          <w:p>
            <w:pPr>
              <w:pStyle w:val="21"/>
              <w:spacing w:before="152" w:after="152"/>
              <w:rPr>
                <w:rFonts w:hint="eastAsia" w:hAnsi="宋体" w:cs="宋体"/>
                <w:b/>
                <w:kern w:val="0"/>
                <w:sz w:val="21"/>
                <w:szCs w:val="21"/>
                <w:highlight w:val="none"/>
              </w:rPr>
            </w:pPr>
          </w:p>
        </w:tc>
        <w:tc>
          <w:tcPr>
            <w:tcW w:w="1800" w:type="dxa"/>
            <w:vAlign w:val="center"/>
          </w:tcPr>
          <w:p>
            <w:pPr>
              <w:pStyle w:val="21"/>
              <w:spacing w:before="152" w:after="152"/>
              <w:rPr>
                <w:rFonts w:hint="eastAsia" w:hAnsi="宋体" w:cs="宋体"/>
                <w:b/>
                <w:kern w:val="0"/>
                <w:sz w:val="21"/>
                <w:szCs w:val="21"/>
                <w:highlight w:val="none"/>
              </w:rPr>
            </w:pPr>
          </w:p>
        </w:tc>
        <w:tc>
          <w:tcPr>
            <w:tcW w:w="2194" w:type="dxa"/>
            <w:vAlign w:val="center"/>
          </w:tcPr>
          <w:p>
            <w:pPr>
              <w:pStyle w:val="21"/>
              <w:spacing w:before="152" w:after="152"/>
              <w:rPr>
                <w:rFonts w:hint="eastAsia" w:hAnsi="宋体" w:cs="宋体"/>
                <w:b/>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1"/>
              <w:spacing w:before="152" w:after="152"/>
              <w:rPr>
                <w:rFonts w:hint="eastAsia" w:hAnsi="宋体" w:cs="宋体"/>
                <w:b/>
                <w:kern w:val="0"/>
                <w:sz w:val="21"/>
                <w:szCs w:val="21"/>
                <w:highlight w:val="none"/>
              </w:rPr>
            </w:pPr>
          </w:p>
        </w:tc>
        <w:tc>
          <w:tcPr>
            <w:tcW w:w="1649" w:type="dxa"/>
            <w:vAlign w:val="center"/>
          </w:tcPr>
          <w:p>
            <w:pPr>
              <w:pStyle w:val="21"/>
              <w:spacing w:before="152" w:after="152"/>
              <w:rPr>
                <w:rFonts w:hint="eastAsia" w:hAnsi="宋体" w:cs="宋体"/>
                <w:b/>
                <w:kern w:val="0"/>
                <w:sz w:val="21"/>
                <w:szCs w:val="21"/>
                <w:highlight w:val="none"/>
              </w:rPr>
            </w:pPr>
          </w:p>
        </w:tc>
        <w:tc>
          <w:tcPr>
            <w:tcW w:w="1744" w:type="dxa"/>
            <w:vAlign w:val="center"/>
          </w:tcPr>
          <w:p>
            <w:pPr>
              <w:pStyle w:val="21"/>
              <w:spacing w:before="152" w:after="152"/>
              <w:rPr>
                <w:rFonts w:hint="eastAsia" w:hAnsi="宋体" w:cs="宋体"/>
                <w:b/>
                <w:kern w:val="0"/>
                <w:sz w:val="21"/>
                <w:szCs w:val="21"/>
                <w:highlight w:val="none"/>
              </w:rPr>
            </w:pPr>
          </w:p>
        </w:tc>
        <w:tc>
          <w:tcPr>
            <w:tcW w:w="1260" w:type="dxa"/>
            <w:vAlign w:val="center"/>
          </w:tcPr>
          <w:p>
            <w:pPr>
              <w:pStyle w:val="21"/>
              <w:spacing w:before="152" w:after="152"/>
              <w:rPr>
                <w:rFonts w:hint="eastAsia" w:hAnsi="宋体" w:cs="宋体"/>
                <w:b/>
                <w:kern w:val="0"/>
                <w:sz w:val="21"/>
                <w:szCs w:val="21"/>
                <w:highlight w:val="none"/>
              </w:rPr>
            </w:pPr>
          </w:p>
        </w:tc>
        <w:tc>
          <w:tcPr>
            <w:tcW w:w="1800" w:type="dxa"/>
            <w:vAlign w:val="center"/>
          </w:tcPr>
          <w:p>
            <w:pPr>
              <w:pStyle w:val="21"/>
              <w:spacing w:before="152" w:after="152"/>
              <w:rPr>
                <w:rFonts w:hint="eastAsia" w:hAnsi="宋体" w:cs="宋体"/>
                <w:b/>
                <w:kern w:val="0"/>
                <w:sz w:val="21"/>
                <w:szCs w:val="21"/>
                <w:highlight w:val="none"/>
              </w:rPr>
            </w:pPr>
          </w:p>
        </w:tc>
        <w:tc>
          <w:tcPr>
            <w:tcW w:w="2194" w:type="dxa"/>
            <w:vAlign w:val="center"/>
          </w:tcPr>
          <w:p>
            <w:pPr>
              <w:pStyle w:val="21"/>
              <w:spacing w:before="152" w:after="152"/>
              <w:rPr>
                <w:rFonts w:hint="eastAsia" w:hAnsi="宋体" w:cs="宋体"/>
                <w:b/>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1"/>
              <w:spacing w:before="152" w:after="152"/>
              <w:rPr>
                <w:rFonts w:hint="eastAsia" w:hAnsi="宋体" w:cs="宋体"/>
                <w:b/>
                <w:kern w:val="0"/>
                <w:sz w:val="21"/>
                <w:szCs w:val="21"/>
                <w:highlight w:val="none"/>
              </w:rPr>
            </w:pPr>
          </w:p>
        </w:tc>
        <w:tc>
          <w:tcPr>
            <w:tcW w:w="1649" w:type="dxa"/>
            <w:vAlign w:val="center"/>
          </w:tcPr>
          <w:p>
            <w:pPr>
              <w:pStyle w:val="21"/>
              <w:spacing w:before="152" w:after="152"/>
              <w:rPr>
                <w:rFonts w:hint="eastAsia" w:hAnsi="宋体" w:cs="宋体"/>
                <w:b/>
                <w:kern w:val="0"/>
                <w:sz w:val="21"/>
                <w:szCs w:val="21"/>
                <w:highlight w:val="none"/>
              </w:rPr>
            </w:pPr>
          </w:p>
        </w:tc>
        <w:tc>
          <w:tcPr>
            <w:tcW w:w="1744" w:type="dxa"/>
            <w:vAlign w:val="center"/>
          </w:tcPr>
          <w:p>
            <w:pPr>
              <w:pStyle w:val="21"/>
              <w:spacing w:before="152" w:after="152"/>
              <w:rPr>
                <w:rFonts w:hint="eastAsia" w:hAnsi="宋体" w:cs="宋体"/>
                <w:b/>
                <w:kern w:val="0"/>
                <w:sz w:val="21"/>
                <w:szCs w:val="21"/>
                <w:highlight w:val="none"/>
              </w:rPr>
            </w:pPr>
          </w:p>
        </w:tc>
        <w:tc>
          <w:tcPr>
            <w:tcW w:w="1260" w:type="dxa"/>
            <w:vAlign w:val="center"/>
          </w:tcPr>
          <w:p>
            <w:pPr>
              <w:pStyle w:val="21"/>
              <w:spacing w:before="152" w:after="152"/>
              <w:rPr>
                <w:rFonts w:hint="eastAsia" w:hAnsi="宋体" w:cs="宋体"/>
                <w:b/>
                <w:kern w:val="0"/>
                <w:sz w:val="21"/>
                <w:szCs w:val="21"/>
                <w:highlight w:val="none"/>
              </w:rPr>
            </w:pPr>
          </w:p>
        </w:tc>
        <w:tc>
          <w:tcPr>
            <w:tcW w:w="1800" w:type="dxa"/>
            <w:vAlign w:val="center"/>
          </w:tcPr>
          <w:p>
            <w:pPr>
              <w:pStyle w:val="21"/>
              <w:spacing w:before="152" w:after="152"/>
              <w:rPr>
                <w:rFonts w:hint="eastAsia" w:hAnsi="宋体" w:cs="宋体"/>
                <w:b/>
                <w:kern w:val="0"/>
                <w:sz w:val="21"/>
                <w:szCs w:val="21"/>
                <w:highlight w:val="none"/>
              </w:rPr>
            </w:pPr>
          </w:p>
        </w:tc>
        <w:tc>
          <w:tcPr>
            <w:tcW w:w="2194" w:type="dxa"/>
            <w:vAlign w:val="center"/>
          </w:tcPr>
          <w:p>
            <w:pPr>
              <w:pStyle w:val="21"/>
              <w:spacing w:before="152" w:after="152"/>
              <w:rPr>
                <w:rFonts w:hint="eastAsia" w:hAnsi="宋体" w:cs="宋体"/>
                <w:b/>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75" w:type="dxa"/>
            <w:vAlign w:val="center"/>
          </w:tcPr>
          <w:p>
            <w:pPr>
              <w:pStyle w:val="21"/>
              <w:spacing w:before="152" w:after="152"/>
              <w:rPr>
                <w:rFonts w:hint="eastAsia" w:hAnsi="宋体" w:cs="宋体"/>
                <w:b/>
                <w:kern w:val="0"/>
                <w:sz w:val="21"/>
                <w:szCs w:val="21"/>
                <w:highlight w:val="none"/>
              </w:rPr>
            </w:pPr>
          </w:p>
        </w:tc>
        <w:tc>
          <w:tcPr>
            <w:tcW w:w="1649" w:type="dxa"/>
            <w:vAlign w:val="center"/>
          </w:tcPr>
          <w:p>
            <w:pPr>
              <w:pStyle w:val="21"/>
              <w:spacing w:before="152" w:after="152"/>
              <w:rPr>
                <w:rFonts w:hint="eastAsia" w:hAnsi="宋体" w:cs="宋体"/>
                <w:b/>
                <w:kern w:val="0"/>
                <w:sz w:val="21"/>
                <w:szCs w:val="21"/>
                <w:highlight w:val="none"/>
              </w:rPr>
            </w:pPr>
          </w:p>
        </w:tc>
        <w:tc>
          <w:tcPr>
            <w:tcW w:w="1744" w:type="dxa"/>
            <w:vAlign w:val="center"/>
          </w:tcPr>
          <w:p>
            <w:pPr>
              <w:pStyle w:val="21"/>
              <w:spacing w:before="152" w:after="152"/>
              <w:rPr>
                <w:rFonts w:hint="eastAsia" w:hAnsi="宋体" w:cs="宋体"/>
                <w:b/>
                <w:kern w:val="0"/>
                <w:sz w:val="21"/>
                <w:szCs w:val="21"/>
                <w:highlight w:val="none"/>
              </w:rPr>
            </w:pPr>
          </w:p>
        </w:tc>
        <w:tc>
          <w:tcPr>
            <w:tcW w:w="1260" w:type="dxa"/>
            <w:vAlign w:val="center"/>
          </w:tcPr>
          <w:p>
            <w:pPr>
              <w:pStyle w:val="21"/>
              <w:spacing w:before="152" w:after="152"/>
              <w:rPr>
                <w:rFonts w:hint="eastAsia" w:hAnsi="宋体" w:cs="宋体"/>
                <w:b/>
                <w:kern w:val="0"/>
                <w:sz w:val="21"/>
                <w:szCs w:val="21"/>
                <w:highlight w:val="none"/>
              </w:rPr>
            </w:pPr>
          </w:p>
        </w:tc>
        <w:tc>
          <w:tcPr>
            <w:tcW w:w="1800" w:type="dxa"/>
            <w:vAlign w:val="center"/>
          </w:tcPr>
          <w:p>
            <w:pPr>
              <w:pStyle w:val="21"/>
              <w:spacing w:before="152" w:after="152"/>
              <w:rPr>
                <w:rFonts w:hint="eastAsia" w:hAnsi="宋体" w:cs="宋体"/>
                <w:b/>
                <w:kern w:val="0"/>
                <w:sz w:val="21"/>
                <w:szCs w:val="21"/>
                <w:highlight w:val="none"/>
              </w:rPr>
            </w:pPr>
          </w:p>
        </w:tc>
        <w:tc>
          <w:tcPr>
            <w:tcW w:w="2194" w:type="dxa"/>
            <w:vAlign w:val="center"/>
          </w:tcPr>
          <w:p>
            <w:pPr>
              <w:pStyle w:val="21"/>
              <w:spacing w:before="152" w:after="152"/>
              <w:rPr>
                <w:rFonts w:hint="eastAsia" w:hAnsi="宋体" w:cs="宋体"/>
                <w:b/>
                <w:kern w:val="0"/>
                <w:sz w:val="21"/>
                <w:szCs w:val="21"/>
                <w:highlight w:val="none"/>
              </w:rPr>
            </w:pPr>
          </w:p>
        </w:tc>
      </w:tr>
    </w:tbl>
    <w:p>
      <w:pPr>
        <w:pStyle w:val="21"/>
        <w:spacing w:beforeLines="0" w:afterLines="0" w:line="360" w:lineRule="auto"/>
        <w:rPr>
          <w:rFonts w:hint="eastAsia" w:hAnsi="宋体" w:cs="宋体"/>
          <w:b/>
          <w:bCs/>
          <w:kern w:val="0"/>
          <w:sz w:val="21"/>
          <w:szCs w:val="21"/>
          <w:highlight w:val="none"/>
        </w:rPr>
      </w:pPr>
      <w:r>
        <w:rPr>
          <w:rFonts w:hint="eastAsia" w:hAnsi="宋体" w:cs="宋体"/>
          <w:bCs/>
          <w:kern w:val="0"/>
          <w:sz w:val="21"/>
          <w:szCs w:val="21"/>
          <w:highlight w:val="none"/>
        </w:rPr>
        <w:t>注：</w:t>
      </w:r>
      <w:r>
        <w:rPr>
          <w:rFonts w:hAnsi="宋体" w:cs="宋体"/>
          <w:bCs/>
          <w:kern w:val="0"/>
          <w:sz w:val="21"/>
          <w:szCs w:val="21"/>
          <w:highlight w:val="none"/>
        </w:rPr>
        <w:t>1.</w:t>
      </w:r>
      <w:r>
        <w:rPr>
          <w:rFonts w:hint="eastAsia" w:hAnsi="宋体" w:cs="宋体"/>
          <w:bCs/>
          <w:kern w:val="0"/>
          <w:sz w:val="21"/>
          <w:szCs w:val="21"/>
          <w:highlight w:val="none"/>
        </w:rPr>
        <w:t>表中业绩参照“第四章</w:t>
      </w:r>
      <w:r>
        <w:rPr>
          <w:rFonts w:hAnsi="宋体" w:cs="宋体"/>
          <w:bCs/>
          <w:kern w:val="0"/>
          <w:sz w:val="21"/>
          <w:szCs w:val="21"/>
          <w:highlight w:val="none"/>
        </w:rPr>
        <w:t xml:space="preserve"> </w:t>
      </w:r>
      <w:r>
        <w:rPr>
          <w:rFonts w:hint="eastAsia" w:hAnsi="宋体" w:cs="宋体"/>
          <w:bCs/>
          <w:kern w:val="0"/>
          <w:sz w:val="21"/>
          <w:szCs w:val="21"/>
          <w:highlight w:val="none"/>
        </w:rPr>
        <w:t>评审办法”中要求提供，并附上每个业绩相关材料。</w:t>
      </w:r>
    </w:p>
    <w:p>
      <w:pPr>
        <w:pStyle w:val="21"/>
        <w:spacing w:beforeLines="0" w:afterLines="0" w:line="360" w:lineRule="auto"/>
        <w:ind w:firstLine="420" w:firstLineChars="200"/>
        <w:rPr>
          <w:rFonts w:hint="eastAsia" w:hAnsi="宋体" w:cs="宋体"/>
          <w:b/>
          <w:bCs/>
          <w:kern w:val="0"/>
          <w:sz w:val="21"/>
          <w:szCs w:val="21"/>
          <w:highlight w:val="none"/>
        </w:rPr>
      </w:pPr>
      <w:r>
        <w:rPr>
          <w:rFonts w:hAnsi="宋体" w:cs="宋体"/>
          <w:bCs/>
          <w:kern w:val="0"/>
          <w:sz w:val="21"/>
          <w:szCs w:val="21"/>
          <w:highlight w:val="none"/>
        </w:rPr>
        <w:t>2.</w:t>
      </w:r>
      <w:r>
        <w:rPr>
          <w:rFonts w:hint="eastAsia" w:hAnsi="宋体" w:cs="宋体"/>
          <w:bCs/>
          <w:kern w:val="0"/>
          <w:sz w:val="21"/>
          <w:szCs w:val="21"/>
          <w:highlight w:val="none"/>
        </w:rPr>
        <w:t>供应商承诺提供的上述业绩相关材料真实不假，否则作为响应文件提供虚假材料，按照采购文件相关条款处理，承担一切责任。</w:t>
      </w:r>
    </w:p>
    <w:p>
      <w:pPr>
        <w:spacing w:line="480" w:lineRule="auto"/>
        <w:jc w:val="left"/>
        <w:rPr>
          <w:rFonts w:ascii="宋体" w:cs="宋体"/>
          <w:b/>
          <w:sz w:val="24"/>
          <w:highlight w:val="none"/>
        </w:rPr>
      </w:pPr>
      <w:r>
        <w:rPr>
          <w:rFonts w:ascii="宋体" w:hAnsi="宋体" w:cs="宋体"/>
          <w:b/>
          <w:sz w:val="24"/>
          <w:highlight w:val="none"/>
        </w:rPr>
        <w:t xml:space="preserve">                                 </w:t>
      </w:r>
      <w:r>
        <w:rPr>
          <w:rFonts w:hint="eastAsia" w:ascii="宋体" w:hAnsi="宋体" w:cs="宋体"/>
          <w:b/>
          <w:sz w:val="24"/>
          <w:highlight w:val="none"/>
        </w:rPr>
        <w:t>供应商</w:t>
      </w:r>
      <w:r>
        <w:rPr>
          <w:rFonts w:ascii="宋体" w:hAnsi="宋体" w:cs="宋体"/>
          <w:b/>
          <w:sz w:val="24"/>
          <w:highlight w:val="none"/>
        </w:rPr>
        <w:t xml:space="preserve"> </w:t>
      </w:r>
      <w:r>
        <w:rPr>
          <w:rFonts w:hint="eastAsia" w:ascii="宋体" w:hAnsi="宋体" w:cs="宋体"/>
          <w:b/>
          <w:sz w:val="24"/>
          <w:highlight w:val="none"/>
        </w:rPr>
        <w:t>（盖单位章）：</w:t>
      </w:r>
      <w:r>
        <w:rPr>
          <w:rFonts w:ascii="宋体" w:hAnsi="宋体" w:cs="宋体"/>
          <w:b/>
          <w:sz w:val="24"/>
          <w:highlight w:val="none"/>
        </w:rPr>
        <w:t xml:space="preserve">             </w:t>
      </w:r>
    </w:p>
    <w:p>
      <w:pPr>
        <w:spacing w:line="480" w:lineRule="auto"/>
        <w:ind w:firstLine="1446" w:firstLineChars="600"/>
        <w:jc w:val="left"/>
        <w:rPr>
          <w:rFonts w:ascii="宋体" w:cs="宋体"/>
          <w:b/>
          <w:sz w:val="24"/>
          <w:highlight w:val="none"/>
        </w:rPr>
      </w:pPr>
      <w:r>
        <w:rPr>
          <w:rFonts w:hint="eastAsia" w:ascii="宋体" w:hAnsi="宋体" w:cs="宋体"/>
          <w:b/>
          <w:sz w:val="24"/>
          <w:highlight w:val="none"/>
        </w:rPr>
        <w:t>法定代表人或其授权代表人（签字或盖章）：</w:t>
      </w:r>
    </w:p>
    <w:p>
      <w:pPr>
        <w:spacing w:line="480" w:lineRule="auto"/>
        <w:ind w:firstLine="5301" w:firstLineChars="2200"/>
        <w:jc w:val="left"/>
        <w:rPr>
          <w:rFonts w:ascii="宋体" w:cs="宋体"/>
          <w:b/>
          <w:sz w:val="24"/>
          <w:highlight w:val="none"/>
          <w:lang w:val="zh-CN"/>
        </w:rPr>
      </w:pPr>
      <w:r>
        <w:rPr>
          <w:rFonts w:hint="eastAsia" w:ascii="宋体" w:hAnsi="宋体" w:cs="宋体"/>
          <w:b/>
          <w:sz w:val="24"/>
          <w:highlight w:val="none"/>
        </w:rPr>
        <w:t>日　期：</w:t>
      </w:r>
    </w:p>
    <w:p>
      <w:pPr>
        <w:tabs>
          <w:tab w:val="left" w:pos="2790"/>
          <w:tab w:val="left" w:pos="4230"/>
        </w:tabs>
        <w:autoSpaceDE w:val="0"/>
        <w:autoSpaceDN w:val="0"/>
        <w:spacing w:line="360" w:lineRule="auto"/>
        <w:jc w:val="center"/>
        <w:rPr>
          <w:rFonts w:hint="eastAsia" w:ascii="宋体" w:hAnsi="宋体" w:cs="宋体"/>
          <w:b/>
          <w:sz w:val="28"/>
          <w:szCs w:val="28"/>
          <w:highlight w:val="none"/>
        </w:rPr>
      </w:pPr>
    </w:p>
    <w:p>
      <w:pPr>
        <w:pStyle w:val="19"/>
        <w:rPr>
          <w:rFonts w:hint="eastAsia"/>
          <w:highlight w:val="none"/>
        </w:rPr>
      </w:pPr>
    </w:p>
    <w:p>
      <w:pPr>
        <w:spacing w:before="100" w:beforeAutospacing="1" w:line="360" w:lineRule="auto"/>
        <w:rPr>
          <w:rFonts w:ascii="宋体" w:cs="宋体"/>
          <w:b/>
          <w:bCs/>
          <w:sz w:val="24"/>
          <w:highlight w:val="none"/>
        </w:rPr>
      </w:pPr>
      <w:r>
        <w:rPr>
          <w:rFonts w:hint="eastAsia" w:ascii="宋体" w:hAnsi="宋体" w:cs="宋体"/>
          <w:b/>
          <w:bCs/>
          <w:sz w:val="24"/>
          <w:highlight w:val="none"/>
        </w:rPr>
        <w:t>附件9：</w:t>
      </w:r>
      <w:r>
        <w:rPr>
          <w:rFonts w:ascii="宋体" w:hAnsi="宋体" w:cs="宋体"/>
          <w:b/>
          <w:bCs/>
          <w:sz w:val="24"/>
          <w:highlight w:val="none"/>
        </w:rPr>
        <w:t xml:space="preserve"> </w:t>
      </w:r>
    </w:p>
    <w:p>
      <w:pPr>
        <w:snapToGrid w:val="0"/>
        <w:spacing w:afterLines="50" w:line="420" w:lineRule="exact"/>
        <w:jc w:val="center"/>
        <w:rPr>
          <w:b/>
          <w:color w:val="000000" w:themeColor="text1"/>
          <w:sz w:val="32"/>
          <w:szCs w:val="32"/>
          <w:highlight w:val="none"/>
          <w14:textFill>
            <w14:solidFill>
              <w14:schemeClr w14:val="tx1"/>
            </w14:solidFill>
          </w14:textFill>
        </w:rPr>
      </w:pPr>
      <w:r>
        <w:rPr>
          <w:rFonts w:hint="eastAsia" w:cs="仿宋_GB2312"/>
          <w:b/>
          <w:color w:val="000000" w:themeColor="text1"/>
          <w:sz w:val="32"/>
          <w:szCs w:val="32"/>
          <w:highlight w:val="none"/>
          <w14:textFill>
            <w14:solidFill>
              <w14:schemeClr w14:val="tx1"/>
            </w14:solidFill>
          </w14:textFill>
        </w:rPr>
        <w:t>投标产品供货清单</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36"/>
        <w:gridCol w:w="2160"/>
        <w:gridCol w:w="2635"/>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pPr>
              <w:spacing w:line="400" w:lineRule="exact"/>
              <w:jc w:val="center"/>
              <w:rPr>
                <w:rFonts w:cs="仿宋_GB2312"/>
                <w:b/>
                <w:color w:val="000000" w:themeColor="text1"/>
                <w:szCs w:val="21"/>
                <w:highlight w:val="none"/>
                <w14:textFill>
                  <w14:solidFill>
                    <w14:schemeClr w14:val="tx1"/>
                  </w14:solidFill>
                </w14:textFill>
              </w:rPr>
            </w:pPr>
            <w:r>
              <w:rPr>
                <w:rFonts w:hint="eastAsia" w:cs="仿宋_GB2312"/>
                <w:b/>
                <w:color w:val="000000" w:themeColor="text1"/>
                <w:szCs w:val="21"/>
                <w:highlight w:val="none"/>
                <w14:textFill>
                  <w14:solidFill>
                    <w14:schemeClr w14:val="tx1"/>
                  </w14:solidFill>
                </w14:textFill>
              </w:rPr>
              <w:t>序号</w:t>
            </w:r>
          </w:p>
        </w:tc>
        <w:tc>
          <w:tcPr>
            <w:tcW w:w="1936" w:type="dxa"/>
            <w:vAlign w:val="center"/>
          </w:tcPr>
          <w:p>
            <w:pPr>
              <w:spacing w:line="400" w:lineRule="exact"/>
              <w:jc w:val="center"/>
              <w:rPr>
                <w:rFonts w:cs="仿宋_GB2312"/>
                <w:b/>
                <w:color w:val="000000" w:themeColor="text1"/>
                <w:szCs w:val="21"/>
                <w:highlight w:val="none"/>
                <w14:textFill>
                  <w14:solidFill>
                    <w14:schemeClr w14:val="tx1"/>
                  </w14:solidFill>
                </w14:textFill>
              </w:rPr>
            </w:pPr>
            <w:r>
              <w:rPr>
                <w:rFonts w:hint="eastAsia" w:cs="仿宋_GB2312"/>
                <w:b/>
                <w:color w:val="000000" w:themeColor="text1"/>
                <w:szCs w:val="21"/>
                <w:highlight w:val="none"/>
                <w14:textFill>
                  <w14:solidFill>
                    <w14:schemeClr w14:val="tx1"/>
                  </w14:solidFill>
                </w14:textFill>
              </w:rPr>
              <w:t>产品名称</w:t>
            </w:r>
          </w:p>
        </w:tc>
        <w:tc>
          <w:tcPr>
            <w:tcW w:w="2160" w:type="dxa"/>
            <w:vAlign w:val="center"/>
          </w:tcPr>
          <w:p>
            <w:pPr>
              <w:spacing w:line="400" w:lineRule="exact"/>
              <w:jc w:val="center"/>
              <w:rPr>
                <w:rFonts w:cs="仿宋_GB2312"/>
                <w:b/>
                <w:color w:val="000000" w:themeColor="text1"/>
                <w:szCs w:val="21"/>
                <w:highlight w:val="none"/>
                <w14:textFill>
                  <w14:solidFill>
                    <w14:schemeClr w14:val="tx1"/>
                  </w14:solidFill>
                </w14:textFill>
              </w:rPr>
            </w:pPr>
            <w:r>
              <w:rPr>
                <w:rFonts w:hint="eastAsia" w:cs="仿宋_GB2312"/>
                <w:b/>
                <w:color w:val="000000" w:themeColor="text1"/>
                <w:szCs w:val="21"/>
                <w:highlight w:val="none"/>
                <w14:textFill>
                  <w14:solidFill>
                    <w14:schemeClr w14:val="tx1"/>
                  </w14:solidFill>
                </w14:textFill>
              </w:rPr>
              <w:t>投标品牌</w:t>
            </w:r>
          </w:p>
        </w:tc>
        <w:tc>
          <w:tcPr>
            <w:tcW w:w="2635" w:type="dxa"/>
            <w:vAlign w:val="center"/>
          </w:tcPr>
          <w:p>
            <w:pPr>
              <w:spacing w:line="400" w:lineRule="exact"/>
              <w:jc w:val="center"/>
              <w:rPr>
                <w:rFonts w:cs="仿宋_GB2312"/>
                <w:b/>
                <w:color w:val="000000" w:themeColor="text1"/>
                <w:szCs w:val="21"/>
                <w:highlight w:val="none"/>
                <w14:textFill>
                  <w14:solidFill>
                    <w14:schemeClr w14:val="tx1"/>
                  </w14:solidFill>
                </w14:textFill>
              </w:rPr>
            </w:pPr>
            <w:r>
              <w:rPr>
                <w:rFonts w:hint="eastAsia" w:cs="仿宋_GB2312"/>
                <w:b/>
                <w:color w:val="000000" w:themeColor="text1"/>
                <w:szCs w:val="21"/>
                <w:highlight w:val="none"/>
                <w14:textFill>
                  <w14:solidFill>
                    <w14:schemeClr w14:val="tx1"/>
                  </w14:solidFill>
                </w14:textFill>
              </w:rPr>
              <w:t>规格型号</w:t>
            </w:r>
          </w:p>
        </w:tc>
        <w:tc>
          <w:tcPr>
            <w:tcW w:w="1080" w:type="dxa"/>
            <w:vAlign w:val="center"/>
          </w:tcPr>
          <w:p>
            <w:pPr>
              <w:spacing w:line="400" w:lineRule="exact"/>
              <w:ind w:left="52"/>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产地</w:t>
            </w:r>
          </w:p>
        </w:tc>
        <w:tc>
          <w:tcPr>
            <w:tcW w:w="1332" w:type="dxa"/>
            <w:vAlign w:val="center"/>
          </w:tcPr>
          <w:p>
            <w:pPr>
              <w:spacing w:line="400" w:lineRule="exact"/>
              <w:ind w:left="152"/>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pPr>
              <w:spacing w:line="400" w:lineRule="exact"/>
              <w:jc w:val="center"/>
              <w:rPr>
                <w:rFonts w:cs="仿宋_GB2312"/>
                <w:color w:val="000000" w:themeColor="text1"/>
                <w:szCs w:val="21"/>
                <w:highlight w:val="none"/>
                <w14:textFill>
                  <w14:solidFill>
                    <w14:schemeClr w14:val="tx1"/>
                  </w14:solidFill>
                </w14:textFill>
              </w:rPr>
            </w:pPr>
            <w:r>
              <w:rPr>
                <w:rFonts w:hint="eastAsia" w:cs="仿宋_GB2312"/>
                <w:color w:val="000000" w:themeColor="text1"/>
                <w:szCs w:val="21"/>
                <w:highlight w:val="none"/>
                <w14:textFill>
                  <w14:solidFill>
                    <w14:schemeClr w14:val="tx1"/>
                  </w14:solidFill>
                </w14:textFill>
              </w:rPr>
              <w:t>1</w:t>
            </w:r>
          </w:p>
        </w:tc>
        <w:tc>
          <w:tcPr>
            <w:tcW w:w="1936"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pPr>
              <w:spacing w:line="400" w:lineRule="exact"/>
              <w:jc w:val="center"/>
              <w:rPr>
                <w:rFonts w:cs="仿宋_GB2312"/>
                <w:color w:val="000000" w:themeColor="text1"/>
                <w:szCs w:val="21"/>
                <w:highlight w:val="none"/>
                <w14:textFill>
                  <w14:solidFill>
                    <w14:schemeClr w14:val="tx1"/>
                  </w14:solidFill>
                </w14:textFill>
              </w:rPr>
            </w:pPr>
            <w:r>
              <w:rPr>
                <w:rFonts w:cs="仿宋_GB2312"/>
                <w:color w:val="000000" w:themeColor="text1"/>
                <w:szCs w:val="21"/>
                <w:highlight w:val="none"/>
                <w14:textFill>
                  <w14:solidFill>
                    <w14:schemeClr w14:val="tx1"/>
                  </w14:solidFill>
                </w14:textFill>
              </w:rPr>
              <w:t>…</w:t>
            </w:r>
          </w:p>
        </w:tc>
        <w:tc>
          <w:tcPr>
            <w:tcW w:w="1936"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pPr>
              <w:spacing w:line="400" w:lineRule="exact"/>
              <w:jc w:val="center"/>
              <w:rPr>
                <w:rFonts w:cs="仿宋_GB2312"/>
                <w:color w:val="000000" w:themeColor="text1"/>
                <w:szCs w:val="21"/>
                <w:highlight w:val="none"/>
                <w14:textFill>
                  <w14:solidFill>
                    <w14:schemeClr w14:val="tx1"/>
                  </w14:solidFill>
                </w14:textFill>
              </w:rPr>
            </w:pPr>
          </w:p>
        </w:tc>
      </w:tr>
    </w:tbl>
    <w:p>
      <w:pPr>
        <w:spacing w:beforeLines="50"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注：1、本表中的名称、数量应与报价明细表中相对应的报价名称、数量一致。</w:t>
      </w:r>
    </w:p>
    <w:p>
      <w:pPr>
        <w:spacing w:line="36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2、本表均不含报价。</w:t>
      </w:r>
    </w:p>
    <w:p>
      <w:pPr>
        <w:snapToGrid w:val="0"/>
        <w:spacing w:before="50" w:afterLines="50" w:line="360" w:lineRule="auto"/>
        <w:jc w:val="left"/>
        <w:rPr>
          <w:color w:val="000000" w:themeColor="text1"/>
          <w:sz w:val="24"/>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firstLine="3614" w:firstLineChars="1500"/>
        <w:jc w:val="left"/>
        <w:textAlignment w:val="auto"/>
        <w:rPr>
          <w:rFonts w:ascii="宋体" w:cs="宋体"/>
          <w:b/>
          <w:sz w:val="24"/>
          <w:highlight w:val="none"/>
        </w:rPr>
      </w:pPr>
      <w:r>
        <w:rPr>
          <w:rFonts w:hint="eastAsia" w:ascii="宋体" w:hAnsi="宋体" w:cs="宋体"/>
          <w:b/>
          <w:sz w:val="24"/>
          <w:highlight w:val="none"/>
        </w:rPr>
        <w:t>供应商</w:t>
      </w:r>
      <w:r>
        <w:rPr>
          <w:rFonts w:ascii="宋体" w:hAnsi="宋体" w:cs="宋体"/>
          <w:b/>
          <w:sz w:val="24"/>
          <w:highlight w:val="none"/>
        </w:rPr>
        <w:t xml:space="preserve"> </w:t>
      </w:r>
      <w:r>
        <w:rPr>
          <w:rFonts w:hint="eastAsia" w:ascii="宋体" w:hAnsi="宋体" w:cs="宋体"/>
          <w:b/>
          <w:sz w:val="24"/>
          <w:highlight w:val="none"/>
        </w:rPr>
        <w:t>（盖单位章）：</w:t>
      </w:r>
      <w:r>
        <w:rPr>
          <w:rFonts w:ascii="宋体" w:hAnsi="宋体" w:cs="宋体"/>
          <w:b/>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3614" w:firstLineChars="1500"/>
        <w:jc w:val="left"/>
        <w:textAlignment w:val="auto"/>
        <w:rPr>
          <w:rFonts w:ascii="宋体" w:cs="宋体"/>
          <w:b/>
          <w:sz w:val="24"/>
          <w:highlight w:val="none"/>
        </w:rPr>
      </w:pPr>
      <w:r>
        <w:rPr>
          <w:rFonts w:hint="eastAsia" w:ascii="宋体" w:hAnsi="宋体" w:cs="宋体"/>
          <w:b/>
          <w:sz w:val="24"/>
          <w:highlight w:val="none"/>
        </w:rPr>
        <w:t>法定代表人或其授权代表人（签字或盖章）：</w:t>
      </w:r>
    </w:p>
    <w:p>
      <w:pPr>
        <w:keepNext w:val="0"/>
        <w:keepLines w:val="0"/>
        <w:pageBreakBefore w:val="0"/>
        <w:widowControl w:val="0"/>
        <w:kinsoku/>
        <w:wordWrap/>
        <w:overflowPunct/>
        <w:topLinePunct w:val="0"/>
        <w:autoSpaceDE/>
        <w:autoSpaceDN/>
        <w:bidi w:val="0"/>
        <w:adjustRightInd/>
        <w:snapToGrid/>
        <w:spacing w:line="480" w:lineRule="auto"/>
        <w:ind w:firstLine="3614" w:firstLineChars="1500"/>
        <w:jc w:val="left"/>
        <w:textAlignment w:val="auto"/>
        <w:rPr>
          <w:rFonts w:ascii="宋体" w:cs="宋体"/>
          <w:b/>
          <w:sz w:val="24"/>
          <w:highlight w:val="none"/>
          <w:lang w:val="zh-CN"/>
        </w:rPr>
      </w:pPr>
      <w:r>
        <w:rPr>
          <w:rFonts w:hint="eastAsia" w:ascii="宋体" w:hAnsi="宋体" w:cs="宋体"/>
          <w:b/>
          <w:sz w:val="24"/>
          <w:highlight w:val="none"/>
        </w:rPr>
        <w:t>日　期：</w:t>
      </w:r>
    </w:p>
    <w:p>
      <w:pPr>
        <w:spacing w:line="480" w:lineRule="auto"/>
        <w:ind w:right="420" w:firstLine="5692" w:firstLineChars="2700"/>
        <w:rPr>
          <w:rFonts w:hint="eastAsia" w:ascii="宋体" w:hAnsi="宋体" w:cs="宋体"/>
          <w:b/>
          <w:szCs w:val="21"/>
          <w:highlight w:val="none"/>
          <w:lang w:val="zh-CN"/>
        </w:rPr>
      </w:pPr>
    </w:p>
    <w:p>
      <w:pPr>
        <w:rPr>
          <w:rFonts w:hint="eastAsia" w:ascii="宋体" w:hAnsi="宋体"/>
          <w:b/>
          <w:sz w:val="30"/>
          <w:szCs w:val="30"/>
          <w:highlight w:val="none"/>
        </w:rPr>
      </w:pPr>
      <w:r>
        <w:rPr>
          <w:rFonts w:ascii="宋体" w:hAnsi="宋体"/>
          <w:b/>
          <w:sz w:val="30"/>
          <w:szCs w:val="30"/>
          <w:highlight w:val="none"/>
        </w:rPr>
        <w:br w:type="page"/>
      </w:r>
    </w:p>
    <w:p>
      <w:pPr>
        <w:spacing w:before="100" w:beforeAutospacing="1" w:line="360" w:lineRule="auto"/>
        <w:rPr>
          <w:rFonts w:ascii="宋体" w:cs="宋体"/>
          <w:b/>
          <w:bCs/>
          <w:sz w:val="24"/>
          <w:highlight w:val="none"/>
        </w:rPr>
      </w:pPr>
      <w:r>
        <w:rPr>
          <w:rFonts w:hint="eastAsia" w:ascii="宋体" w:hAnsi="宋体" w:cs="宋体"/>
          <w:b/>
          <w:bCs/>
          <w:sz w:val="24"/>
          <w:highlight w:val="none"/>
        </w:rPr>
        <w:t>附件10：</w:t>
      </w:r>
      <w:r>
        <w:rPr>
          <w:rFonts w:ascii="宋体" w:hAnsi="宋体" w:cs="宋体"/>
          <w:b/>
          <w:bCs/>
          <w:sz w:val="24"/>
          <w:highlight w:val="none"/>
        </w:rPr>
        <w:t xml:space="preserve"> </w:t>
      </w:r>
    </w:p>
    <w:p>
      <w:pPr>
        <w:spacing w:line="360" w:lineRule="auto"/>
        <w:ind w:left="120"/>
        <w:jc w:val="center"/>
        <w:rPr>
          <w:rFonts w:hint="eastAsia" w:ascii="宋体" w:hAnsi="宋体"/>
          <w:b/>
          <w:sz w:val="30"/>
          <w:szCs w:val="30"/>
          <w:highlight w:val="none"/>
        </w:rPr>
      </w:pPr>
      <w:r>
        <w:rPr>
          <w:rFonts w:hint="eastAsia" w:ascii="宋体" w:hAnsi="宋体"/>
          <w:b/>
          <w:sz w:val="30"/>
          <w:szCs w:val="30"/>
          <w:highlight w:val="none"/>
        </w:rPr>
        <w:t>技术响应表</w:t>
      </w:r>
    </w:p>
    <w:p>
      <w:pPr>
        <w:pStyle w:val="21"/>
        <w:spacing w:beforeLines="0" w:afterLines="0" w:line="320" w:lineRule="exact"/>
        <w:rPr>
          <w:rFonts w:hint="eastAsia" w:hAnsi="宋体" w:cs="宋体"/>
          <w:sz w:val="21"/>
          <w:szCs w:val="21"/>
          <w:highlight w:val="none"/>
        </w:rPr>
      </w:pPr>
      <w:r>
        <w:rPr>
          <w:rFonts w:hint="eastAsia" w:hAnsi="宋体" w:cs="宋体"/>
          <w:sz w:val="21"/>
          <w:szCs w:val="21"/>
          <w:highlight w:val="none"/>
        </w:rPr>
        <w:t>项目编号：</w:t>
      </w:r>
      <w:r>
        <w:rPr>
          <w:rFonts w:hint="eastAsia" w:hAnsi="宋体" w:cs="宋体"/>
          <w:sz w:val="21"/>
          <w:szCs w:val="21"/>
          <w:highlight w:val="none"/>
          <w:lang w:val="zh-CN"/>
        </w:rPr>
        <w:t>ZJJX-25CG-002</w:t>
      </w:r>
    </w:p>
    <w:p>
      <w:pPr>
        <w:autoSpaceDE w:val="0"/>
        <w:autoSpaceDN w:val="0"/>
        <w:spacing w:line="440" w:lineRule="exact"/>
        <w:rPr>
          <w:highlight w:val="none"/>
          <w:lang w:val="zh-CN"/>
        </w:rPr>
      </w:pPr>
      <w:r>
        <w:rPr>
          <w:rFonts w:hint="eastAsia" w:ascii="宋体" w:hAnsi="宋体" w:cs="宋体"/>
          <w:szCs w:val="21"/>
          <w:highlight w:val="none"/>
        </w:rPr>
        <w:t>项目名称：</w:t>
      </w:r>
      <w:r>
        <w:rPr>
          <w:rFonts w:hint="eastAsia" w:ascii="宋体" w:hAnsi="宋体" w:cs="宋体"/>
          <w:szCs w:val="21"/>
          <w:highlight w:val="none"/>
          <w:lang w:val="zh-CN"/>
        </w:rPr>
        <w:t>仙居县力天市政工程有限公司PE管材及配件、PPR管材及配件采购项目</w:t>
      </w:r>
    </w:p>
    <w:tbl>
      <w:tblPr>
        <w:tblStyle w:val="37"/>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445"/>
        <w:gridCol w:w="3775"/>
        <w:gridCol w:w="2049"/>
        <w:gridCol w:w="1141"/>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29" w:type="dxa"/>
            <w:vAlign w:val="center"/>
          </w:tcPr>
          <w:p>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序号</w:t>
            </w:r>
          </w:p>
        </w:tc>
        <w:tc>
          <w:tcPr>
            <w:tcW w:w="1445" w:type="dxa"/>
            <w:vAlign w:val="center"/>
          </w:tcPr>
          <w:p>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项目内容</w:t>
            </w:r>
          </w:p>
        </w:tc>
        <w:tc>
          <w:tcPr>
            <w:tcW w:w="3775" w:type="dxa"/>
            <w:vAlign w:val="center"/>
          </w:tcPr>
          <w:p>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招标文件技术要求</w:t>
            </w:r>
          </w:p>
        </w:tc>
        <w:tc>
          <w:tcPr>
            <w:tcW w:w="2049" w:type="dxa"/>
            <w:vAlign w:val="center"/>
          </w:tcPr>
          <w:p>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投标文件技术响应</w:t>
            </w:r>
          </w:p>
        </w:tc>
        <w:tc>
          <w:tcPr>
            <w:tcW w:w="1141" w:type="dxa"/>
            <w:vAlign w:val="center"/>
          </w:tcPr>
          <w:p>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偏离情况</w:t>
            </w:r>
          </w:p>
        </w:tc>
        <w:tc>
          <w:tcPr>
            <w:tcW w:w="786" w:type="dxa"/>
            <w:vAlign w:val="center"/>
          </w:tcPr>
          <w:p>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29" w:type="dxa"/>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tc>
        <w:tc>
          <w:tcPr>
            <w:tcW w:w="1445" w:type="dxa"/>
            <w:vAlign w:val="center"/>
          </w:tcPr>
          <w:p>
            <w:pPr>
              <w:jc w:val="center"/>
              <w:rPr>
                <w:color w:val="000000" w:themeColor="text1"/>
                <w:szCs w:val="21"/>
                <w:highlight w:val="none"/>
                <w14:textFill>
                  <w14:solidFill>
                    <w14:schemeClr w14:val="tx1"/>
                  </w14:solidFill>
                </w14:textFill>
              </w:rPr>
            </w:pPr>
          </w:p>
        </w:tc>
        <w:tc>
          <w:tcPr>
            <w:tcW w:w="3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themeColor="text1"/>
                <w:szCs w:val="21"/>
                <w:highlight w:val="none"/>
                <w14:textFill>
                  <w14:solidFill>
                    <w14:schemeClr w14:val="tx1"/>
                  </w14:solidFill>
                </w14:textFill>
              </w:rPr>
            </w:pPr>
          </w:p>
        </w:tc>
        <w:tc>
          <w:tcPr>
            <w:tcW w:w="2049" w:type="dxa"/>
            <w:vAlign w:val="center"/>
          </w:tcPr>
          <w:p>
            <w:pPr>
              <w:spacing w:line="360" w:lineRule="auto"/>
              <w:jc w:val="center"/>
              <w:rPr>
                <w:color w:val="000000" w:themeColor="text1"/>
                <w:szCs w:val="21"/>
                <w:highlight w:val="none"/>
                <w14:textFill>
                  <w14:solidFill>
                    <w14:schemeClr w14:val="tx1"/>
                  </w14:solidFill>
                </w14:textFill>
              </w:rPr>
            </w:pPr>
          </w:p>
        </w:tc>
        <w:tc>
          <w:tcPr>
            <w:tcW w:w="1141" w:type="dxa"/>
            <w:vAlign w:val="center"/>
          </w:tcPr>
          <w:p>
            <w:pPr>
              <w:spacing w:line="360" w:lineRule="auto"/>
              <w:jc w:val="center"/>
              <w:rPr>
                <w:color w:val="000000" w:themeColor="text1"/>
                <w:szCs w:val="21"/>
                <w:highlight w:val="none"/>
                <w14:textFill>
                  <w14:solidFill>
                    <w14:schemeClr w14:val="tx1"/>
                  </w14:solidFill>
                </w14:textFill>
              </w:rPr>
            </w:pPr>
          </w:p>
        </w:tc>
        <w:tc>
          <w:tcPr>
            <w:tcW w:w="786" w:type="dxa"/>
            <w:vAlign w:val="center"/>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29" w:type="dxa"/>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tc>
        <w:tc>
          <w:tcPr>
            <w:tcW w:w="1445" w:type="dxa"/>
            <w:vAlign w:val="center"/>
          </w:tcPr>
          <w:p>
            <w:pPr>
              <w:jc w:val="center"/>
              <w:rPr>
                <w:color w:val="000000" w:themeColor="text1"/>
                <w:szCs w:val="21"/>
                <w:highlight w:val="none"/>
                <w14:textFill>
                  <w14:solidFill>
                    <w14:schemeClr w14:val="tx1"/>
                  </w14:solidFill>
                </w14:textFill>
              </w:rPr>
            </w:pPr>
          </w:p>
        </w:tc>
        <w:tc>
          <w:tcPr>
            <w:tcW w:w="37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themeColor="text1"/>
                <w:szCs w:val="21"/>
                <w:highlight w:val="none"/>
                <w14:textFill>
                  <w14:solidFill>
                    <w14:schemeClr w14:val="tx1"/>
                  </w14:solidFill>
                </w14:textFill>
              </w:rPr>
            </w:pPr>
          </w:p>
        </w:tc>
        <w:tc>
          <w:tcPr>
            <w:tcW w:w="2049" w:type="dxa"/>
            <w:vAlign w:val="center"/>
          </w:tcPr>
          <w:p>
            <w:pPr>
              <w:spacing w:line="360" w:lineRule="auto"/>
              <w:jc w:val="center"/>
              <w:rPr>
                <w:color w:val="000000" w:themeColor="text1"/>
                <w:szCs w:val="21"/>
                <w:highlight w:val="none"/>
                <w14:textFill>
                  <w14:solidFill>
                    <w14:schemeClr w14:val="tx1"/>
                  </w14:solidFill>
                </w14:textFill>
              </w:rPr>
            </w:pPr>
          </w:p>
        </w:tc>
        <w:tc>
          <w:tcPr>
            <w:tcW w:w="1141" w:type="dxa"/>
            <w:vAlign w:val="center"/>
          </w:tcPr>
          <w:p>
            <w:pPr>
              <w:spacing w:line="360" w:lineRule="auto"/>
              <w:jc w:val="center"/>
              <w:rPr>
                <w:color w:val="000000" w:themeColor="text1"/>
                <w:szCs w:val="21"/>
                <w:highlight w:val="none"/>
                <w14:textFill>
                  <w14:solidFill>
                    <w14:schemeClr w14:val="tx1"/>
                  </w14:solidFill>
                </w14:textFill>
              </w:rPr>
            </w:pPr>
          </w:p>
        </w:tc>
        <w:tc>
          <w:tcPr>
            <w:tcW w:w="786" w:type="dxa"/>
            <w:vAlign w:val="center"/>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6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w:t>
            </w:r>
          </w:p>
        </w:tc>
        <w:tc>
          <w:tcPr>
            <w:tcW w:w="37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w:t>
            </w:r>
          </w:p>
        </w:tc>
        <w:tc>
          <w:tcPr>
            <w:tcW w:w="11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w:t>
            </w:r>
          </w:p>
        </w:tc>
        <w:tc>
          <w:tcPr>
            <w:tcW w:w="78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w:t>
            </w:r>
          </w:p>
        </w:tc>
      </w:tr>
    </w:tbl>
    <w:p>
      <w:pPr>
        <w:pStyle w:val="103"/>
        <w:spacing w:line="320" w:lineRule="exact"/>
        <w:ind w:right="84" w:rightChars="40" w:firstLine="420" w:firstLineChars="200"/>
        <w:rPr>
          <w:color w:val="000000" w:themeColor="text1"/>
          <w:szCs w:val="21"/>
          <w:highlight w:val="none"/>
          <w14:textFill>
            <w14:solidFill>
              <w14:schemeClr w14:val="tx1"/>
            </w14:solidFill>
          </w14:textFill>
        </w:rPr>
      </w:pPr>
      <w:r>
        <w:rPr>
          <w:rFonts w:hint="eastAsia" w:hAnsi="宋体"/>
          <w:bCs/>
          <w:color w:val="000000" w:themeColor="text1"/>
          <w:kern w:val="0"/>
          <w:sz w:val="21"/>
          <w:szCs w:val="21"/>
          <w:highlight w:val="none"/>
          <w14:textFill>
            <w14:solidFill>
              <w14:schemeClr w14:val="tx1"/>
            </w14:solidFill>
          </w14:textFill>
        </w:rPr>
        <w:t>注：</w:t>
      </w:r>
      <w:r>
        <w:rPr>
          <w:rFonts w:hint="eastAsia"/>
          <w:color w:val="000000" w:themeColor="text1"/>
          <w:szCs w:val="21"/>
          <w:highlight w:val="none"/>
          <w14:textFill>
            <w14:solidFill>
              <w14:schemeClr w14:val="tx1"/>
            </w14:solidFill>
          </w14:textFill>
        </w:rPr>
        <w:t>1、投标人应根据本招标文件《第二部分-采购需求》中的“（二）技术要求”中的</w:t>
      </w:r>
      <w:r>
        <w:rPr>
          <w:rFonts w:hint="eastAsia" w:hAnsi="宋体" w:cs="宋体"/>
          <w:color w:val="000000" w:themeColor="text1"/>
          <w:szCs w:val="21"/>
          <w:highlight w:val="none"/>
          <w14:textFill>
            <w14:solidFill>
              <w14:schemeClr w14:val="tx1"/>
            </w14:solidFill>
          </w14:textFill>
        </w:rPr>
        <w:t>各指标项</w:t>
      </w:r>
      <w:r>
        <w:rPr>
          <w:rFonts w:hint="eastAsia"/>
          <w:color w:val="000000" w:themeColor="text1"/>
          <w:szCs w:val="21"/>
          <w:highlight w:val="none"/>
          <w14:textFill>
            <w14:solidFill>
              <w14:schemeClr w14:val="tx1"/>
            </w14:solidFill>
          </w14:textFill>
        </w:rPr>
        <w:t>内容，按实填写投标产品的技术响应内容，并在“偏离情况”栏注明“正偏离”、“负偏离”或“无偏离”。</w:t>
      </w:r>
    </w:p>
    <w:p>
      <w:pPr>
        <w:numPr>
          <w:ilvl w:val="0"/>
          <w:numId w:val="8"/>
        </w:numPr>
        <w:spacing w:line="320" w:lineRule="exact"/>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技术要求中有需要投标人提供相关材料的，相关材料复印件或扫描件附本表后，否则视为未响应，此</w:t>
      </w:r>
      <w:r>
        <w:rPr>
          <w:rFonts w:hint="eastAsia" w:hAnsi="宋体" w:cs="宋体"/>
          <w:color w:val="000000" w:themeColor="text1"/>
          <w:kern w:val="0"/>
          <w:szCs w:val="21"/>
          <w:highlight w:val="none"/>
          <w14:textFill>
            <w14:solidFill>
              <w14:schemeClr w14:val="tx1"/>
            </w14:solidFill>
          </w14:textFill>
        </w:rPr>
        <w:t>响应情况作为重要评</w:t>
      </w:r>
      <w:r>
        <w:rPr>
          <w:rFonts w:hint="eastAsia" w:hAnsi="宋体" w:cs="宋体"/>
          <w:color w:val="000000" w:themeColor="text1"/>
          <w:kern w:val="0"/>
          <w:szCs w:val="21"/>
          <w:highlight w:val="none"/>
          <w:lang w:val="en-US" w:eastAsia="zh-CN"/>
          <w14:textFill>
            <w14:solidFill>
              <w14:schemeClr w14:val="tx1"/>
            </w14:solidFill>
          </w14:textFill>
        </w:rPr>
        <w:t>分</w:t>
      </w:r>
      <w:r>
        <w:rPr>
          <w:rFonts w:hint="eastAsia" w:hAnsi="宋体" w:cs="宋体"/>
          <w:color w:val="000000" w:themeColor="text1"/>
          <w:kern w:val="0"/>
          <w:szCs w:val="21"/>
          <w:highlight w:val="none"/>
          <w14:textFill>
            <w14:solidFill>
              <w14:schemeClr w14:val="tx1"/>
            </w14:solidFill>
          </w14:textFill>
        </w:rPr>
        <w:t>指标</w:t>
      </w:r>
      <w:r>
        <w:rPr>
          <w:rFonts w:hint="eastAsia"/>
          <w:color w:val="000000" w:themeColor="text1"/>
          <w:szCs w:val="21"/>
          <w:highlight w:val="none"/>
          <w14:textFill>
            <w14:solidFill>
              <w14:schemeClr w14:val="tx1"/>
            </w14:solidFill>
          </w14:textFill>
        </w:rPr>
        <w:t>。</w:t>
      </w:r>
    </w:p>
    <w:p>
      <w:pPr>
        <w:numPr>
          <w:ilvl w:val="0"/>
          <w:numId w:val="8"/>
        </w:numPr>
        <w:spacing w:line="320" w:lineRule="exact"/>
        <w:ind w:firstLine="420" w:firstLineChars="200"/>
        <w:rPr>
          <w:rFonts w:hint="eastAsia" w:hAnsi="宋体"/>
          <w:b/>
          <w:bCs/>
          <w:color w:val="000000" w:themeColor="text1"/>
          <w:kern w:val="0"/>
          <w:sz w:val="21"/>
          <w:szCs w:val="21"/>
          <w:highlight w:val="none"/>
          <w14:textFill>
            <w14:solidFill>
              <w14:schemeClr w14:val="tx1"/>
            </w14:solidFill>
          </w14:textFill>
        </w:rPr>
      </w:pPr>
      <w:r>
        <w:rPr>
          <w:rFonts w:hint="eastAsia" w:hAnsi="宋体"/>
          <w:bCs/>
          <w:color w:val="000000" w:themeColor="text1"/>
          <w:kern w:val="0"/>
          <w:sz w:val="21"/>
          <w:szCs w:val="21"/>
          <w:highlight w:val="none"/>
          <w14:textFill>
            <w14:solidFill>
              <w14:schemeClr w14:val="tx1"/>
            </w14:solidFill>
          </w14:textFill>
        </w:rPr>
        <w:t>投标人可根据自身情况调整表格。</w:t>
      </w:r>
    </w:p>
    <w:p>
      <w:pPr>
        <w:pStyle w:val="21"/>
        <w:spacing w:beforeLines="0" w:afterLines="0" w:line="360" w:lineRule="auto"/>
        <w:ind w:firstLine="420"/>
        <w:rPr>
          <w:rFonts w:hint="eastAsia" w:hAnsi="宋体"/>
          <w:b/>
          <w:bCs/>
          <w:kern w:val="0"/>
          <w:sz w:val="21"/>
          <w:szCs w:val="21"/>
          <w:highlight w:val="none"/>
        </w:rPr>
      </w:pPr>
    </w:p>
    <w:p>
      <w:pPr>
        <w:spacing w:line="480" w:lineRule="auto"/>
        <w:ind w:right="840"/>
        <w:jc w:val="center"/>
        <w:rPr>
          <w:rFonts w:hint="eastAsia" w:ascii="宋体" w:hAnsi="宋体"/>
          <w:b/>
          <w:szCs w:val="21"/>
          <w:highlight w:val="none"/>
          <w:lang w:val="zh-CN"/>
        </w:rPr>
      </w:pPr>
      <w:r>
        <w:rPr>
          <w:rFonts w:hint="eastAsia" w:ascii="宋体" w:hAnsi="宋体"/>
          <w:b/>
          <w:szCs w:val="21"/>
          <w:highlight w:val="none"/>
        </w:rPr>
        <w:t xml:space="preserve">                            </w:t>
      </w:r>
      <w:r>
        <w:rPr>
          <w:rFonts w:ascii="宋体" w:hAnsi="宋体"/>
          <w:b/>
          <w:szCs w:val="21"/>
          <w:highlight w:val="none"/>
          <w:lang w:val="zh-CN"/>
        </w:rPr>
        <w:t xml:space="preserve">供应商（盖单位章）： </w:t>
      </w:r>
    </w:p>
    <w:p>
      <w:pPr>
        <w:spacing w:line="480" w:lineRule="auto"/>
        <w:ind w:right="420" w:firstLine="5692" w:firstLineChars="2700"/>
        <w:rPr>
          <w:rFonts w:hint="eastAsia" w:ascii="宋体" w:hAnsi="宋体"/>
          <w:b/>
          <w:szCs w:val="21"/>
          <w:highlight w:val="none"/>
          <w:lang w:val="zh-CN"/>
        </w:rPr>
      </w:pPr>
      <w:r>
        <w:rPr>
          <w:rFonts w:ascii="宋体" w:hAnsi="宋体"/>
          <w:b/>
          <w:szCs w:val="21"/>
          <w:highlight w:val="none"/>
          <w:lang w:val="zh-CN"/>
        </w:rPr>
        <w:t xml:space="preserve">日 </w:t>
      </w:r>
      <w:r>
        <w:rPr>
          <w:rFonts w:hint="eastAsia" w:ascii="宋体" w:hAnsi="宋体"/>
          <w:b/>
          <w:szCs w:val="21"/>
          <w:highlight w:val="none"/>
          <w:lang w:val="zh-CN"/>
        </w:rPr>
        <w:t xml:space="preserve"> </w:t>
      </w:r>
      <w:r>
        <w:rPr>
          <w:rFonts w:ascii="宋体" w:hAnsi="宋体"/>
          <w:b/>
          <w:szCs w:val="21"/>
          <w:highlight w:val="none"/>
          <w:lang w:val="zh-CN"/>
        </w:rPr>
        <w:t>期：</w:t>
      </w:r>
    </w:p>
    <w:p>
      <w:pPr>
        <w:rPr>
          <w:highlight w:val="none"/>
        </w:rPr>
        <w:sectPr>
          <w:pgSz w:w="11905" w:h="16838"/>
          <w:pgMar w:top="1417" w:right="1587" w:bottom="1417" w:left="1587" w:header="907" w:footer="924" w:gutter="0"/>
          <w:cols w:space="0" w:num="1"/>
          <w:docGrid w:type="lines" w:linePitch="304" w:charSpace="0"/>
        </w:sectPr>
      </w:pPr>
    </w:p>
    <w:p>
      <w:pPr>
        <w:pStyle w:val="5"/>
        <w:spacing w:before="304" w:beforeLines="100" w:after="0"/>
        <w:jc w:val="center"/>
        <w:rPr>
          <w:rFonts w:hint="eastAsia" w:ascii="宋体" w:hAnsi="宋体" w:eastAsia="宋体" w:cs="宋体"/>
          <w:bCs w:val="0"/>
          <w:highlight w:val="none"/>
          <w:lang w:val="zh-CN"/>
        </w:rPr>
      </w:pPr>
      <w:bookmarkStart w:id="220" w:name="_Toc3572"/>
      <w:bookmarkStart w:id="221" w:name="_Toc28400"/>
      <w:bookmarkStart w:id="222" w:name="_Toc22577"/>
      <w:bookmarkStart w:id="223" w:name="_Toc528927457"/>
      <w:bookmarkStart w:id="224" w:name="_Toc4661"/>
      <w:bookmarkStart w:id="225" w:name="_Toc24174"/>
      <w:bookmarkStart w:id="226" w:name="_Toc6778"/>
      <w:bookmarkStart w:id="227" w:name="_Toc528578415"/>
      <w:bookmarkStart w:id="228" w:name="_Toc29103"/>
      <w:r>
        <w:rPr>
          <w:rFonts w:ascii="宋体" w:hAnsi="宋体" w:eastAsia="宋体" w:cs="宋体"/>
          <w:bCs w:val="0"/>
          <w:highlight w:val="none"/>
          <w:lang w:val="zh-CN"/>
        </w:rPr>
        <w:t>3</w:t>
      </w:r>
      <w:r>
        <w:rPr>
          <w:rFonts w:hint="eastAsia" w:ascii="宋体" w:hAnsi="宋体" w:eastAsia="宋体" w:cs="宋体"/>
          <w:bCs w:val="0"/>
          <w:highlight w:val="none"/>
          <w:lang w:val="zh-CN"/>
        </w:rPr>
        <w:t>、报价文件格式</w:t>
      </w:r>
      <w:bookmarkEnd w:id="220"/>
      <w:bookmarkEnd w:id="221"/>
      <w:bookmarkEnd w:id="222"/>
      <w:bookmarkEnd w:id="223"/>
      <w:bookmarkEnd w:id="224"/>
      <w:bookmarkEnd w:id="225"/>
      <w:bookmarkEnd w:id="226"/>
      <w:bookmarkEnd w:id="227"/>
      <w:bookmarkEnd w:id="228"/>
    </w:p>
    <w:p>
      <w:pPr>
        <w:spacing w:before="100" w:beforeAutospacing="1" w:line="360" w:lineRule="auto"/>
        <w:jc w:val="center"/>
        <w:rPr>
          <w:rFonts w:ascii="宋体" w:cs="宋体"/>
          <w:b/>
          <w:bCs/>
          <w:sz w:val="28"/>
          <w:szCs w:val="28"/>
          <w:highlight w:val="none"/>
        </w:rPr>
      </w:pPr>
      <w:r>
        <w:rPr>
          <w:rFonts w:hint="eastAsia" w:ascii="宋体" w:hAnsi="宋体" w:cs="宋体"/>
          <w:b/>
          <w:bCs/>
          <w:sz w:val="28"/>
          <w:szCs w:val="28"/>
          <w:highlight w:val="none"/>
        </w:rPr>
        <w:t>目</w:t>
      </w:r>
      <w:r>
        <w:rPr>
          <w:rFonts w:ascii="宋体" w:hAnsi="宋体" w:cs="宋体"/>
          <w:b/>
          <w:bCs/>
          <w:sz w:val="28"/>
          <w:szCs w:val="28"/>
          <w:highlight w:val="none"/>
        </w:rPr>
        <w:t xml:space="preserve">   </w:t>
      </w:r>
      <w:r>
        <w:rPr>
          <w:rFonts w:hint="eastAsia" w:ascii="宋体" w:hAnsi="宋体" w:cs="宋体"/>
          <w:b/>
          <w:bCs/>
          <w:sz w:val="28"/>
          <w:szCs w:val="28"/>
          <w:highlight w:val="none"/>
        </w:rPr>
        <w:t>录</w:t>
      </w:r>
    </w:p>
    <w:p>
      <w:pPr>
        <w:spacing w:line="480" w:lineRule="auto"/>
        <w:jc w:val="center"/>
        <w:rPr>
          <w:rFonts w:ascii="宋体" w:cs="宋体"/>
          <w:sz w:val="24"/>
          <w:highlight w:val="none"/>
        </w:rPr>
      </w:pPr>
      <w:r>
        <w:rPr>
          <w:rFonts w:hint="eastAsia" w:ascii="宋体" w:hAnsi="宋体" w:cs="宋体"/>
          <w:sz w:val="24"/>
          <w:highlight w:val="none"/>
        </w:rPr>
        <w:t>（供应商可参考采购文件“第三章</w:t>
      </w:r>
      <w:r>
        <w:rPr>
          <w:rFonts w:ascii="宋体" w:hAnsi="宋体" w:cs="宋体"/>
          <w:sz w:val="24"/>
          <w:highlight w:val="none"/>
        </w:rPr>
        <w:t xml:space="preserve"> </w:t>
      </w:r>
      <w:r>
        <w:rPr>
          <w:rFonts w:hint="eastAsia" w:ascii="宋体" w:hAnsi="宋体" w:cs="宋体"/>
          <w:sz w:val="24"/>
          <w:highlight w:val="none"/>
        </w:rPr>
        <w:t>投标须知”报价文件组成要求编排）</w:t>
      </w:r>
    </w:p>
    <w:p>
      <w:pPr>
        <w:spacing w:before="100" w:beforeAutospacing="1" w:line="360" w:lineRule="auto"/>
        <w:rPr>
          <w:rFonts w:ascii="宋体" w:cs="宋体"/>
          <w:b/>
          <w:bCs/>
          <w:sz w:val="24"/>
          <w:highlight w:val="none"/>
        </w:rPr>
        <w:sectPr>
          <w:pgSz w:w="11905" w:h="16838"/>
          <w:pgMar w:top="1417" w:right="1587" w:bottom="1417" w:left="1587" w:header="907" w:footer="924" w:gutter="0"/>
          <w:cols w:space="0" w:num="1"/>
          <w:docGrid w:type="lines" w:linePitch="304" w:charSpace="0"/>
        </w:sectPr>
      </w:pPr>
    </w:p>
    <w:p>
      <w:pPr>
        <w:spacing w:line="360" w:lineRule="auto"/>
        <w:rPr>
          <w:rFonts w:ascii="宋体" w:cs="宋体"/>
          <w:b/>
          <w:bCs/>
          <w:sz w:val="24"/>
          <w:highlight w:val="none"/>
        </w:rPr>
      </w:pPr>
      <w:r>
        <w:rPr>
          <w:rFonts w:hint="eastAsia" w:ascii="宋体" w:hAnsi="宋体" w:cs="宋体"/>
          <w:b/>
          <w:bCs/>
          <w:sz w:val="24"/>
          <w:highlight w:val="none"/>
        </w:rPr>
        <w:t>附件11：</w:t>
      </w:r>
      <w:bookmarkEnd w:id="219"/>
      <w:r>
        <w:rPr>
          <w:rFonts w:ascii="宋体" w:hAnsi="宋体" w:cs="宋体"/>
          <w:b/>
          <w:bCs/>
          <w:sz w:val="24"/>
          <w:highlight w:val="none"/>
        </w:rPr>
        <w:t xml:space="preserve"> </w:t>
      </w:r>
    </w:p>
    <w:p>
      <w:pPr>
        <w:spacing w:line="480" w:lineRule="auto"/>
        <w:jc w:val="center"/>
        <w:rPr>
          <w:rFonts w:hint="eastAsia" w:hAnsi="宋体" w:cs="宋体"/>
          <w:szCs w:val="21"/>
          <w:highlight w:val="none"/>
        </w:rPr>
      </w:pPr>
      <w:bookmarkStart w:id="229" w:name="_Toc481505161"/>
      <w:r>
        <w:rPr>
          <w:rFonts w:hint="eastAsia" w:ascii="宋体" w:hAnsi="宋体" w:cs="宋体"/>
          <w:b/>
          <w:sz w:val="28"/>
          <w:szCs w:val="28"/>
          <w:highlight w:val="none"/>
        </w:rPr>
        <w:t>（1）报价一览表</w:t>
      </w:r>
    </w:p>
    <w:p>
      <w:pPr>
        <w:pStyle w:val="21"/>
        <w:spacing w:beforeLines="0" w:afterLines="0" w:line="276" w:lineRule="auto"/>
        <w:rPr>
          <w:rFonts w:hint="eastAsia" w:hAnsi="宋体" w:eastAsia="宋体" w:cs="宋体"/>
          <w:sz w:val="21"/>
          <w:szCs w:val="21"/>
          <w:highlight w:val="none"/>
          <w:lang w:eastAsia="zh-CN"/>
        </w:rPr>
      </w:pPr>
      <w:r>
        <w:rPr>
          <w:rFonts w:hint="eastAsia" w:hAnsi="宋体" w:cs="宋体"/>
          <w:sz w:val="21"/>
          <w:szCs w:val="21"/>
          <w:highlight w:val="none"/>
        </w:rPr>
        <w:t>项目编号：</w:t>
      </w:r>
      <w:r>
        <w:rPr>
          <w:rFonts w:hint="eastAsia" w:hAnsi="宋体" w:cs="宋体"/>
          <w:sz w:val="21"/>
          <w:szCs w:val="21"/>
          <w:highlight w:val="none"/>
          <w:lang w:eastAsia="zh-CN"/>
        </w:rPr>
        <w:t>ZJJX-25CG-002</w:t>
      </w:r>
    </w:p>
    <w:p>
      <w:pPr>
        <w:pStyle w:val="21"/>
        <w:spacing w:beforeLines="0" w:afterLines="0" w:line="276" w:lineRule="auto"/>
        <w:rPr>
          <w:rFonts w:hAnsi="宋体" w:cs="宋体"/>
          <w:sz w:val="21"/>
          <w:szCs w:val="21"/>
          <w:highlight w:val="none"/>
        </w:rPr>
      </w:pPr>
      <w:r>
        <w:rPr>
          <w:rFonts w:hint="eastAsia" w:hAnsi="宋体" w:cs="宋体"/>
          <w:sz w:val="21"/>
          <w:szCs w:val="21"/>
          <w:highlight w:val="none"/>
        </w:rPr>
        <w:t>项目名称：</w:t>
      </w:r>
      <w:r>
        <w:rPr>
          <w:rFonts w:hint="eastAsia" w:hAnsi="宋体" w:cs="宋体"/>
          <w:sz w:val="21"/>
          <w:szCs w:val="21"/>
          <w:highlight w:val="none"/>
          <w:lang w:eastAsia="zh-CN"/>
        </w:rPr>
        <w:t>仙居县力天市政工程有限公司PE管材及配件、PPR管材及配件采购项目</w:t>
      </w:r>
      <w:r>
        <w:rPr>
          <w:rFonts w:hAnsi="宋体" w:cs="宋体"/>
          <w:sz w:val="21"/>
          <w:szCs w:val="21"/>
          <w:highlight w:val="none"/>
        </w:rPr>
        <w:t xml:space="preserve">  </w:t>
      </w:r>
    </w:p>
    <w:p>
      <w:pPr>
        <w:pStyle w:val="16"/>
        <w:spacing w:afterLines="50" w:line="400" w:lineRule="exact"/>
        <w:ind w:firstLine="422"/>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[货币单位：人民币]</w:t>
      </w:r>
    </w:p>
    <w:tbl>
      <w:tblPr>
        <w:tblStyle w:val="37"/>
        <w:tblW w:w="95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13"/>
        <w:gridCol w:w="1750"/>
        <w:gridCol w:w="39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3913" w:type="dxa"/>
            <w:vMerge w:val="restart"/>
            <w:vAlign w:val="center"/>
          </w:tcPr>
          <w:p>
            <w:pPr>
              <w:spacing w:line="360" w:lineRule="auto"/>
              <w:jc w:val="center"/>
              <w:rPr>
                <w:rFonts w:hint="eastAsia" w:ascii="宋体" w:hAnsi="宋体"/>
                <w:szCs w:val="21"/>
                <w:highlight w:val="none"/>
              </w:rPr>
            </w:pPr>
            <w:r>
              <w:rPr>
                <w:rFonts w:ascii="宋体" w:hAnsi="宋体"/>
                <w:szCs w:val="21"/>
                <w:highlight w:val="none"/>
                <w:lang w:val="en-GB"/>
              </w:rPr>
              <w:t>投标</w:t>
            </w:r>
            <w:r>
              <w:rPr>
                <w:rFonts w:hint="eastAsia" w:ascii="宋体" w:hAnsi="宋体"/>
                <w:szCs w:val="21"/>
                <w:highlight w:val="none"/>
                <w:lang w:val="en-GB"/>
              </w:rPr>
              <w:t>总报价（元）</w:t>
            </w:r>
          </w:p>
        </w:tc>
        <w:tc>
          <w:tcPr>
            <w:tcW w:w="1750" w:type="dxa"/>
            <w:vAlign w:val="center"/>
          </w:tcPr>
          <w:p>
            <w:pPr>
              <w:jc w:val="center"/>
              <w:rPr>
                <w:rFonts w:hint="eastAsia" w:ascii="宋体" w:hAnsi="宋体"/>
                <w:szCs w:val="21"/>
                <w:highlight w:val="none"/>
              </w:rPr>
            </w:pPr>
            <w:r>
              <w:rPr>
                <w:rFonts w:ascii="宋体" w:hAnsi="宋体"/>
                <w:szCs w:val="21"/>
                <w:highlight w:val="none"/>
                <w:lang w:val="en-GB"/>
              </w:rPr>
              <w:t>大写：</w:t>
            </w:r>
          </w:p>
        </w:tc>
        <w:tc>
          <w:tcPr>
            <w:tcW w:w="3914" w:type="dxa"/>
            <w:tcBorders>
              <w:top w:val="single" w:color="auto" w:sz="4" w:space="0"/>
              <w:bottom w:val="single" w:color="auto" w:sz="4" w:space="0"/>
              <w:right w:val="single" w:color="auto" w:sz="4" w:space="0"/>
            </w:tcBorders>
            <w:vAlign w:val="center"/>
          </w:tcPr>
          <w:p>
            <w:pPr>
              <w:rPr>
                <w:rFonts w:hint="eastAsia" w:ascii="宋体" w:hAnsi="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3913" w:type="dxa"/>
            <w:vMerge w:val="continue"/>
            <w:vAlign w:val="center"/>
          </w:tcPr>
          <w:p>
            <w:pPr>
              <w:spacing w:line="360" w:lineRule="auto"/>
              <w:jc w:val="center"/>
              <w:rPr>
                <w:rFonts w:hint="eastAsia" w:ascii="宋体" w:hAnsi="宋体"/>
                <w:szCs w:val="21"/>
                <w:highlight w:val="none"/>
                <w:lang w:val="en-GB"/>
              </w:rPr>
            </w:pPr>
          </w:p>
        </w:tc>
        <w:tc>
          <w:tcPr>
            <w:tcW w:w="1750" w:type="dxa"/>
            <w:vAlign w:val="center"/>
          </w:tcPr>
          <w:p>
            <w:pPr>
              <w:jc w:val="center"/>
              <w:rPr>
                <w:rFonts w:hint="eastAsia" w:ascii="宋体" w:hAnsi="宋体"/>
                <w:szCs w:val="21"/>
                <w:highlight w:val="none"/>
                <w:lang w:val="en-GB"/>
              </w:rPr>
            </w:pPr>
            <w:r>
              <w:rPr>
                <w:rFonts w:ascii="宋体" w:hAnsi="宋体"/>
                <w:szCs w:val="21"/>
                <w:highlight w:val="none"/>
                <w:lang w:val="en-GB"/>
              </w:rPr>
              <w:t>小写：</w:t>
            </w:r>
          </w:p>
        </w:tc>
        <w:tc>
          <w:tcPr>
            <w:tcW w:w="3914" w:type="dxa"/>
            <w:tcBorders>
              <w:top w:val="single" w:color="auto" w:sz="4" w:space="0"/>
              <w:bottom w:val="single" w:color="auto" w:sz="4" w:space="0"/>
              <w:right w:val="single" w:color="auto" w:sz="4" w:space="0"/>
            </w:tcBorders>
            <w:vAlign w:val="center"/>
          </w:tcPr>
          <w:p>
            <w:pPr>
              <w:rPr>
                <w:rFonts w:hint="eastAsia" w:ascii="宋体" w:hAnsi="宋体"/>
                <w:szCs w:val="21"/>
                <w:highlight w:val="none"/>
                <w:lang w:val="en-GB"/>
              </w:rPr>
            </w:pPr>
          </w:p>
        </w:tc>
      </w:tr>
    </w:tbl>
    <w:p>
      <w:pPr>
        <w:rPr>
          <w:highlight w:val="none"/>
        </w:rPr>
      </w:pPr>
    </w:p>
    <w:p>
      <w:pPr>
        <w:widowControl/>
        <w:spacing w:line="380" w:lineRule="exact"/>
        <w:ind w:firstLine="422" w:firstLineChars="200"/>
        <w:jc w:val="lef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b/>
          <w:szCs w:val="21"/>
          <w:highlight w:val="none"/>
        </w:rPr>
        <w:t>注：</w:t>
      </w:r>
      <w:r>
        <w:rPr>
          <w:rFonts w:hint="eastAsia" w:ascii="宋体" w:hAnsi="宋体" w:cs="宋体"/>
          <w:color w:val="000000" w:themeColor="text1"/>
          <w:szCs w:val="21"/>
          <w:highlight w:val="none"/>
          <w:lang w:val="zh-CN"/>
          <w14:textFill>
            <w14:solidFill>
              <w14:schemeClr w14:val="tx1"/>
            </w14:solidFill>
          </w14:textFill>
        </w:rPr>
        <w:t>1、投标报价是履行合同的最终价格，应包括但不限于货款、人工、标准附件、备品备件、专用工具、包装、运输、装卸、保险、税金、货到就位以及保修、售后服务、合同所需的一切本身和不可或缺的所有工作开支、政策性文件规定及合同包含的所有风险、责任等各项全部费用并承担一切风险责任。项目实施中不能调整变动，其市场风险由投标人承担。投标人在总价中应充分考虑供货期间成本投入的市场风险、政策性调整及其他不可预见因素，今后不再作调整，如果投标人在中标并签署合同后，在工作中出现任务遗漏，均由中标供应商免费提供，采购人将不再支付任何费用。</w:t>
      </w:r>
    </w:p>
    <w:p>
      <w:pPr>
        <w:autoSpaceDE w:val="0"/>
        <w:autoSpaceDN w:val="0"/>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2、报价一经涂改，应在涂改处加盖单位公章，或者由法定代表人签字或盖章，否则其投标作无效标处理。</w:t>
      </w:r>
    </w:p>
    <w:p>
      <w:pPr>
        <w:widowControl/>
        <w:spacing w:line="360" w:lineRule="exact"/>
        <w:ind w:firstLine="420" w:firstLineChars="200"/>
        <w:rPr>
          <w:highlight w:val="none"/>
        </w:rPr>
      </w:pPr>
      <w:r>
        <w:rPr>
          <w:rFonts w:hint="eastAsia" w:ascii="宋体" w:hAnsi="宋体" w:cs="宋体"/>
          <w:color w:val="000000" w:themeColor="text1"/>
          <w:szCs w:val="21"/>
          <w:highlight w:val="none"/>
          <w14:textFill>
            <w14:solidFill>
              <w14:schemeClr w14:val="tx1"/>
            </w14:solidFill>
          </w14:textFill>
        </w:rPr>
        <w:t>3、以上报</w:t>
      </w:r>
      <w:r>
        <w:rPr>
          <w:rFonts w:hint="eastAsia" w:ascii="宋体" w:hAnsi="宋体" w:cs="宋体"/>
          <w:szCs w:val="21"/>
          <w:highlight w:val="none"/>
        </w:rPr>
        <w:t>价应与“投标报价明细表”中的“投标总价”相一致。</w:t>
      </w:r>
    </w:p>
    <w:p>
      <w:pPr>
        <w:pStyle w:val="19"/>
        <w:ind w:firstLine="2741" w:firstLineChars="1300"/>
        <w:rPr>
          <w:rFonts w:hint="eastAsia" w:ascii="宋体" w:eastAsia="宋体" w:cs="宋体"/>
          <w:b/>
          <w:bCs/>
          <w:sz w:val="21"/>
          <w:szCs w:val="21"/>
          <w:highlight w:val="none"/>
        </w:rPr>
      </w:pPr>
      <w:r>
        <w:rPr>
          <w:rFonts w:hint="eastAsia" w:ascii="宋体" w:eastAsia="宋体" w:cs="宋体"/>
          <w:b/>
          <w:bCs/>
          <w:sz w:val="21"/>
          <w:szCs w:val="21"/>
          <w:highlight w:val="none"/>
        </w:rPr>
        <w:t>供应商（盖章）：</w:t>
      </w:r>
    </w:p>
    <w:p>
      <w:pPr>
        <w:pStyle w:val="19"/>
        <w:ind w:firstLine="211" w:firstLineChars="100"/>
        <w:rPr>
          <w:rFonts w:hint="eastAsia" w:ascii="宋体" w:eastAsia="宋体" w:cs="宋体"/>
          <w:b/>
          <w:bCs/>
          <w:sz w:val="21"/>
          <w:szCs w:val="21"/>
          <w:highlight w:val="none"/>
        </w:rPr>
      </w:pPr>
      <w:r>
        <w:rPr>
          <w:rFonts w:hint="eastAsia" w:ascii="宋体" w:eastAsia="宋体" w:cs="宋体"/>
          <w:b/>
          <w:bCs/>
          <w:sz w:val="21"/>
          <w:szCs w:val="21"/>
          <w:highlight w:val="none"/>
        </w:rPr>
        <w:t>法定代表人或其授权代表人（签字或盖章）：</w:t>
      </w:r>
    </w:p>
    <w:p>
      <w:pPr>
        <w:pStyle w:val="19"/>
        <w:ind w:firstLine="3795" w:firstLineChars="1800"/>
        <w:rPr>
          <w:rFonts w:hint="eastAsia" w:ascii="宋体" w:eastAsia="宋体" w:cs="宋体"/>
          <w:b/>
          <w:bCs/>
          <w:sz w:val="21"/>
          <w:szCs w:val="21"/>
          <w:highlight w:val="none"/>
        </w:rPr>
      </w:pPr>
      <w:r>
        <w:rPr>
          <w:rFonts w:hint="eastAsia" w:ascii="宋体" w:eastAsia="宋体" w:cs="宋体"/>
          <w:b/>
          <w:bCs/>
          <w:sz w:val="21"/>
          <w:szCs w:val="21"/>
          <w:highlight w:val="none"/>
        </w:rPr>
        <w:t>日期：</w:t>
      </w:r>
      <w:r>
        <w:rPr>
          <w:rFonts w:ascii="宋体" w:eastAsia="宋体" w:cs="宋体"/>
          <w:b/>
          <w:bCs/>
          <w:sz w:val="21"/>
          <w:szCs w:val="21"/>
          <w:highlight w:val="none"/>
        </w:rPr>
        <w:t xml:space="preserve">     </w:t>
      </w:r>
      <w:r>
        <w:rPr>
          <w:rFonts w:hint="eastAsia" w:ascii="宋体" w:eastAsia="宋体" w:cs="宋体"/>
          <w:b/>
          <w:bCs/>
          <w:sz w:val="21"/>
          <w:szCs w:val="21"/>
          <w:highlight w:val="none"/>
        </w:rPr>
        <w:t>年</w:t>
      </w:r>
      <w:r>
        <w:rPr>
          <w:rFonts w:ascii="宋体" w:eastAsia="宋体" w:cs="宋体"/>
          <w:b/>
          <w:bCs/>
          <w:sz w:val="21"/>
          <w:szCs w:val="21"/>
          <w:highlight w:val="none"/>
        </w:rPr>
        <w:t xml:space="preserve">   </w:t>
      </w:r>
      <w:r>
        <w:rPr>
          <w:rFonts w:hint="eastAsia" w:ascii="宋体" w:eastAsia="宋体" w:cs="宋体"/>
          <w:b/>
          <w:bCs/>
          <w:sz w:val="21"/>
          <w:szCs w:val="21"/>
          <w:highlight w:val="none"/>
        </w:rPr>
        <w:t>月</w:t>
      </w:r>
      <w:r>
        <w:rPr>
          <w:rFonts w:ascii="宋体" w:eastAsia="宋体" w:cs="宋体"/>
          <w:b/>
          <w:bCs/>
          <w:sz w:val="21"/>
          <w:szCs w:val="21"/>
          <w:highlight w:val="none"/>
        </w:rPr>
        <w:t xml:space="preserve">   </w:t>
      </w:r>
      <w:r>
        <w:rPr>
          <w:rFonts w:hint="eastAsia" w:ascii="宋体" w:eastAsia="宋体" w:cs="宋体"/>
          <w:b/>
          <w:bCs/>
          <w:sz w:val="21"/>
          <w:szCs w:val="21"/>
          <w:highlight w:val="none"/>
        </w:rPr>
        <w:t>日</w:t>
      </w:r>
    </w:p>
    <w:p>
      <w:pPr>
        <w:rPr>
          <w:rFonts w:hint="eastAsia" w:ascii="宋体" w:hAnsi="宋体" w:cs="宋体"/>
          <w:b/>
          <w:sz w:val="28"/>
          <w:szCs w:val="28"/>
          <w:highlight w:val="none"/>
        </w:rPr>
      </w:pPr>
      <w:r>
        <w:rPr>
          <w:rFonts w:hint="eastAsia" w:ascii="宋体" w:hAnsi="宋体" w:cs="宋体"/>
          <w:b/>
          <w:sz w:val="28"/>
          <w:szCs w:val="28"/>
          <w:highlight w:val="none"/>
        </w:rPr>
        <w:br w:type="page"/>
      </w:r>
    </w:p>
    <w:p>
      <w:pPr>
        <w:jc w:val="center"/>
        <w:rPr>
          <w:rFonts w:hint="eastAsia" w:hAnsi="宋体" w:cs="宋体"/>
          <w:szCs w:val="21"/>
          <w:highlight w:val="none"/>
        </w:rPr>
      </w:pPr>
      <w:r>
        <w:rPr>
          <w:rFonts w:hint="eastAsia" w:ascii="宋体" w:hAnsi="宋体" w:cs="宋体"/>
          <w:b/>
          <w:sz w:val="28"/>
          <w:szCs w:val="28"/>
          <w:highlight w:val="none"/>
        </w:rPr>
        <w:t>（2）报价明细表</w:t>
      </w:r>
    </w:p>
    <w:p>
      <w:pPr>
        <w:pStyle w:val="21"/>
        <w:spacing w:beforeLines="0" w:afterLines="0" w:line="276" w:lineRule="auto"/>
        <w:rPr>
          <w:rFonts w:hint="eastAsia" w:hAnsi="宋体" w:eastAsia="宋体" w:cs="宋体"/>
          <w:sz w:val="21"/>
          <w:szCs w:val="21"/>
          <w:highlight w:val="none"/>
          <w:lang w:eastAsia="zh-CN"/>
        </w:rPr>
      </w:pPr>
      <w:r>
        <w:rPr>
          <w:rFonts w:hint="eastAsia" w:hAnsi="宋体" w:cs="宋体"/>
          <w:sz w:val="21"/>
          <w:szCs w:val="21"/>
          <w:highlight w:val="none"/>
        </w:rPr>
        <w:t>项目编号：</w:t>
      </w:r>
      <w:r>
        <w:rPr>
          <w:rFonts w:hint="eastAsia" w:hAnsi="宋体" w:cs="宋体"/>
          <w:sz w:val="21"/>
          <w:szCs w:val="21"/>
          <w:highlight w:val="none"/>
          <w:lang w:eastAsia="zh-CN"/>
        </w:rPr>
        <w:t>ZJJX-25CG-002</w:t>
      </w:r>
    </w:p>
    <w:p>
      <w:pPr>
        <w:pStyle w:val="21"/>
        <w:spacing w:beforeLines="0" w:afterLines="0" w:line="276" w:lineRule="auto"/>
        <w:rPr>
          <w:rFonts w:hAnsi="宋体" w:cs="宋体"/>
          <w:sz w:val="21"/>
          <w:szCs w:val="21"/>
          <w:highlight w:val="none"/>
        </w:rPr>
      </w:pPr>
      <w:r>
        <w:rPr>
          <w:rFonts w:hint="eastAsia" w:hAnsi="宋体" w:cs="宋体"/>
          <w:sz w:val="21"/>
          <w:szCs w:val="21"/>
          <w:highlight w:val="none"/>
        </w:rPr>
        <w:t>项目名称：</w:t>
      </w:r>
      <w:r>
        <w:rPr>
          <w:rFonts w:hint="eastAsia" w:hAnsi="宋体" w:cs="宋体"/>
          <w:sz w:val="21"/>
          <w:szCs w:val="21"/>
          <w:highlight w:val="none"/>
          <w:lang w:eastAsia="zh-CN"/>
        </w:rPr>
        <w:t>仙居县力天市政工程有限公司PE管材及配件、PPR管材及配件采购项目</w:t>
      </w:r>
      <w:r>
        <w:rPr>
          <w:rFonts w:hAnsi="宋体" w:cs="宋体"/>
          <w:sz w:val="21"/>
          <w:szCs w:val="21"/>
          <w:highlight w:val="none"/>
        </w:rPr>
        <w:t xml:space="preserve">  </w:t>
      </w:r>
    </w:p>
    <w:p>
      <w:pPr>
        <w:pStyle w:val="22"/>
        <w:keepNext w:val="0"/>
        <w:keepLines w:val="0"/>
        <w:pageBreakBefore w:val="0"/>
        <w:widowControl w:val="0"/>
        <w:kinsoku/>
        <w:wordWrap/>
        <w:overflowPunct/>
        <w:topLinePunct w:val="0"/>
        <w:autoSpaceDE/>
        <w:autoSpaceDN/>
        <w:bidi w:val="0"/>
        <w:adjustRightInd/>
        <w:snapToGrid/>
        <w:ind w:left="0" w:leftChars="0"/>
        <w:jc w:val="right"/>
        <w:textAlignment w:val="auto"/>
        <w:rPr>
          <w:rFonts w:ascii="宋体"/>
          <w:color w:val="000000" w:themeColor="text1"/>
          <w:szCs w:val="21"/>
          <w:highlight w:val="none"/>
          <w14:textFill>
            <w14:solidFill>
              <w14:schemeClr w14:val="tx1"/>
            </w14:solidFill>
          </w14:textFill>
        </w:rPr>
      </w:pPr>
      <w:r>
        <w:rPr>
          <w:rFonts w:ascii="宋体"/>
          <w:color w:val="000000" w:themeColor="text1"/>
          <w:szCs w:val="21"/>
          <w:highlight w:val="none"/>
          <w14:textFill>
            <w14:solidFill>
              <w14:schemeClr w14:val="tx1"/>
            </w14:solidFill>
          </w14:textFill>
        </w:rPr>
        <w:t>[</w:t>
      </w:r>
      <w:r>
        <w:rPr>
          <w:rFonts w:hint="eastAsia" w:ascii="宋体"/>
          <w:color w:val="000000" w:themeColor="text1"/>
          <w:szCs w:val="21"/>
          <w:highlight w:val="none"/>
          <w14:textFill>
            <w14:solidFill>
              <w14:schemeClr w14:val="tx1"/>
            </w14:solidFill>
          </w14:textFill>
        </w:rPr>
        <w:t>货币单位：人民币元</w:t>
      </w:r>
      <w:r>
        <w:rPr>
          <w:rFonts w:ascii="宋体"/>
          <w:color w:val="000000" w:themeColor="text1"/>
          <w:szCs w:val="21"/>
          <w:highlight w:val="none"/>
          <w14:textFill>
            <w14:solidFill>
              <w14:schemeClr w14:val="tx1"/>
            </w14:solidFill>
          </w14:textFill>
        </w:rPr>
        <w:t>]</w:t>
      </w:r>
    </w:p>
    <w:tbl>
      <w:tblPr>
        <w:tblStyle w:val="37"/>
        <w:tblW w:w="87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2302"/>
        <w:gridCol w:w="1109"/>
        <w:gridCol w:w="1275"/>
        <w:gridCol w:w="975"/>
        <w:gridCol w:w="930"/>
        <w:gridCol w:w="699"/>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blHeader/>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品牌</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规格及型号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b/>
                <w:color w:val="000000" w:themeColor="text1"/>
                <w:szCs w:val="21"/>
                <w:highlight w:val="none"/>
                <w14:textFill>
                  <w14:solidFill>
                    <w14:schemeClr w14:val="tx1"/>
                  </w14:solidFill>
                </w14:textFill>
              </w:rPr>
              <w:t>单价</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b/>
                <w:color w:val="000000" w:themeColor="text1"/>
                <w:szCs w:val="21"/>
                <w:highlight w:val="none"/>
                <w14:textFill>
                  <w14:solidFill>
                    <w14:schemeClr w14:val="tx1"/>
                  </w14:solidFill>
                </w14:textFill>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keepNext w:val="0"/>
              <w:keepLines w:val="0"/>
              <w:pageBreakBefore w:val="0"/>
              <w:kinsoku/>
              <w:wordWrap/>
              <w:overflowPunct/>
              <w:topLinePunct w:val="0"/>
              <w:autoSpaceDE/>
              <w:autoSpaceDN/>
              <w:bidi w:val="0"/>
              <w:adjustRightInd/>
              <w:snapToGrid/>
              <w:spacing w:after="0" w:line="320" w:lineRule="exact"/>
              <w:ind w:left="0" w:lef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color w:val="000000" w:themeColor="text1"/>
                <w:highlight w:val="none"/>
                <w:lang w:val="en-US" w:eastAsia="zh-CN"/>
                <w14:textFill>
                  <w14:solidFill>
                    <w14:schemeClr w14:val="tx1"/>
                  </w14:solidFill>
                </w14:textFill>
              </w:rPr>
              <w:t>一</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themeColor="text1"/>
                <w:highlight w:val="none"/>
                <w14:textFill>
                  <w14:solidFill>
                    <w14:schemeClr w14:val="tx1"/>
                  </w14:solidFill>
                </w14:textFill>
              </w:rPr>
              <w:t>PE管材及配件</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PE100级PN1.6MPa(SDR11)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PE100级PN1.6MPa(SDR11)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PE100级PN1.6MPa(SDR11)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PE100级PN1.6MPa(SDR11)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PE100级PN1.25MPa(SDR13.6)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PE100级PN1.25MPa(SDR13.6)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PE100级PN1.25MPa(SDR13.6)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PE100级PN1.0MPa(SDR17)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PE100级管材1.25MPa(SDR13.6)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PE100级管材1.6MPa(SDR11)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PE100级管材1.0MPa(SDR17)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PE100级管材1.25MPa(SDR13.6)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PE100级管材1.6MPa(SDR11)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PE100级管材1.0MPa(SDR17)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PE100级管材1.25MPa(SDR13.6)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PE100级管材1.6MPa(SDR11)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PE100级管材1.0MPa(SDR17)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PE100级管材1.25MPa(SDR13.6)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PE100级管材1.6MPa(SDR11)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PE100级管材1.0MPa(SDR17)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PE100级管材1.25MPa(SDR13.6)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PE100级管材1.6MPa(SDR11)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PE100级管材1.0MPa(SDR17)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PE100级管材1.25MPa(SDR13.6)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PE100级管材1.6MPa(SDR11)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PE100级管材1.0MPa(SDR17)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PE100级管材1.25MPa(SDR13.6)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PE100级管材1.6MPa(SDR11)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PE弯头</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D630*45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PE异径管</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D125*110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D160*75（可转换）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D200*63（可熔接）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D200*75（可熔接）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D200*90（可熔接）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D200*160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D250*160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D250*200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D315*160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D315*200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D400*110（可转换）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D400*160（可转换）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D400*200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D400*315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97</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PE等径三通</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PE异径三通</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D200*160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D315*160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D315*200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D400*160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D400*200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D400*315（可转换）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151</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PE法兰头</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163</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PE法兰片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175</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PE阳螺纹三通</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179</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PE阴螺纹三通</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183</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PE阳螺纹接头</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D40*1-1/4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D50*1-1/2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D75*2-1/2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191</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PE阴螺纹接头</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D40*1-1/4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D50*1-1/2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198</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PE阳螺纹弯头</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PE阴螺纹弯头</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206</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PE截止阀</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211</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PE直通</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219</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PE管帽</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D160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231</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PE组合式活接</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233</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PE承插弯头90*90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blHeader/>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keepNext w:val="0"/>
              <w:keepLines w:val="0"/>
              <w:pageBreakBefore w:val="0"/>
              <w:kinsoku/>
              <w:wordWrap/>
              <w:overflowPunct/>
              <w:topLinePunct w:val="0"/>
              <w:autoSpaceDE/>
              <w:autoSpaceDN/>
              <w:bidi w:val="0"/>
              <w:adjustRightInd/>
              <w:snapToGrid/>
              <w:spacing w:after="0" w:line="320" w:lineRule="exact"/>
              <w:ind w:left="0" w:leftChars="0" w:firstLine="0" w:firstLineChars="0"/>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二</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color w:val="000000" w:themeColor="text1"/>
                <w:highlight w:val="none"/>
                <w14:textFill>
                  <w14:solidFill>
                    <w14:schemeClr w14:val="tx1"/>
                  </w14:solidFill>
                </w14:textFill>
              </w:rPr>
              <w:t>PPR管材及配件</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PPR1.6冷水管</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D20*2.3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D25*2.8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D32*3.6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PPR1.25冷水管</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D40*3.7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D50*4.6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D63*5.8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D75*6.8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D90*8.2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PPR异径管</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PPR阳螺纹三通</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PPR阴螺纹三通</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PPR阴螺纹弯头</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PPR阳螺纹弯头</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PPR管帽</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PPR组合式活接</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D40*11/4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D50*11/2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PPR金属管卡</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71</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PPR等径三通</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PPR异径三通</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PPR弯头</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D110*45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118</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PPR直通</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PPR阳螺纹接头</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D40*1-1/4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D50*1-1/2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135</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PPR阴螺纹接头</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D40*1-1/4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D50*1-1/2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143</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PPR法兰片</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145</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149</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PPR法兰头</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152</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154</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D110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155</w:t>
            </w:r>
          </w:p>
        </w:tc>
        <w:tc>
          <w:tcPr>
            <w:tcW w:w="2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PPR截止阀</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156</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157</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158</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D40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159</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D50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D63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161</w:t>
            </w:r>
          </w:p>
        </w:tc>
        <w:tc>
          <w:tcPr>
            <w:tcW w:w="2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1"/>
                <w:szCs w:val="21"/>
                <w:highlight w:val="none"/>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D75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bl>
    <w:p>
      <w:pPr>
        <w:pStyle w:val="2"/>
        <w:rPr>
          <w:rFonts w:hint="eastAsia"/>
          <w:highlight w:val="none"/>
        </w:rPr>
      </w:pPr>
    </w:p>
    <w:p>
      <w:pPr>
        <w:snapToGrid w:val="0"/>
        <w:spacing w:line="360" w:lineRule="auto"/>
        <w:jc w:val="left"/>
        <w:rPr>
          <w:rFonts w:hint="eastAsia" w:ascii="宋体" w:hAnsi="宋体" w:cs="宋体"/>
          <w:b/>
          <w:bCs/>
          <w:color w:val="FF0000"/>
          <w:szCs w:val="21"/>
          <w:highlight w:val="none"/>
        </w:rPr>
      </w:pPr>
      <w:r>
        <w:rPr>
          <w:rFonts w:hint="eastAsia" w:ascii="宋体" w:hAnsi="宋体" w:cs="宋体"/>
          <w:b/>
          <w:bCs/>
          <w:szCs w:val="21"/>
          <w:highlight w:val="none"/>
        </w:rPr>
        <w:t>注：</w:t>
      </w:r>
    </w:p>
    <w:p>
      <w:pPr>
        <w:widowControl/>
        <w:snapToGrid w:val="0"/>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1、“投标报价明细表”中的投标总报价应与“开标一览表”中的投标总报价相一致，不一致时，以开标一览表为准。</w:t>
      </w:r>
    </w:p>
    <w:p>
      <w:pPr>
        <w:numPr>
          <w:ilvl w:val="0"/>
          <w:numId w:val="9"/>
        </w:numPr>
        <w:spacing w:line="360" w:lineRule="auto"/>
        <w:ind w:firstLine="480"/>
        <w:rPr>
          <w:rFonts w:hint="eastAsia" w:ascii="宋体" w:hAnsi="宋体" w:cs="宋体"/>
          <w:b/>
          <w:color w:val="000000"/>
          <w:szCs w:val="21"/>
          <w:highlight w:val="none"/>
        </w:rPr>
      </w:pPr>
      <w:r>
        <w:rPr>
          <w:rFonts w:hint="eastAsia" w:ascii="宋体" w:hAnsi="宋体" w:cs="宋体"/>
          <w:b/>
          <w:color w:val="000000"/>
          <w:szCs w:val="21"/>
          <w:highlight w:val="none"/>
        </w:rPr>
        <w:t>投标报价明细表所填内容应根据投标人实际情况填写。如有漏报的，视同已包含在投标总价内或已作优惠处理。有重大缺项的将作无效标处理。</w:t>
      </w:r>
    </w:p>
    <w:p>
      <w:pPr>
        <w:pStyle w:val="48"/>
        <w:ind w:firstLine="422" w:firstLineChars="200"/>
        <w:rPr>
          <w:highlight w:val="none"/>
        </w:rPr>
      </w:pPr>
      <w:r>
        <w:rPr>
          <w:rFonts w:hint="eastAsia" w:ascii="宋体" w:hAnsi="宋体" w:cs="宋体"/>
          <w:b/>
          <w:color w:val="000000"/>
          <w:szCs w:val="21"/>
          <w:highlight w:val="none"/>
        </w:rPr>
        <w:t>3、投标人可根据自身情况调整表格。</w:t>
      </w:r>
    </w:p>
    <w:p>
      <w:pPr>
        <w:spacing w:line="360" w:lineRule="auto"/>
        <w:ind w:firstLine="480"/>
        <w:rPr>
          <w:rFonts w:hint="eastAsia" w:ascii="宋体" w:hAnsi="宋体" w:cs="宋体"/>
          <w:b/>
          <w:color w:val="000000"/>
          <w:szCs w:val="21"/>
          <w:highlight w:val="none"/>
        </w:rPr>
      </w:pPr>
      <w:r>
        <w:rPr>
          <w:rFonts w:hint="eastAsia" w:ascii="宋体" w:hAnsi="宋体" w:cs="宋体"/>
          <w:b/>
          <w:color w:val="000000"/>
          <w:szCs w:val="21"/>
          <w:highlight w:val="none"/>
        </w:rPr>
        <w:t>4、此表可增行。</w:t>
      </w:r>
    </w:p>
    <w:p>
      <w:pPr>
        <w:spacing w:line="360" w:lineRule="auto"/>
        <w:ind w:right="840"/>
        <w:jc w:val="center"/>
        <w:rPr>
          <w:rFonts w:hint="eastAsia" w:ascii="宋体" w:hAnsi="宋体"/>
          <w:b/>
          <w:szCs w:val="21"/>
          <w:highlight w:val="none"/>
          <w:lang w:val="zh-CN"/>
        </w:rPr>
      </w:pPr>
      <w:r>
        <w:rPr>
          <w:rFonts w:hint="eastAsia" w:ascii="宋体" w:hAnsi="宋体" w:cs="宋体"/>
          <w:b/>
          <w:sz w:val="24"/>
          <w:highlight w:val="none"/>
          <w:lang w:val="zh-CN"/>
        </w:rPr>
        <w:t xml:space="preserve">  </w:t>
      </w:r>
      <w:r>
        <w:rPr>
          <w:rFonts w:hint="eastAsia" w:ascii="宋体" w:hAnsi="宋体" w:cs="宋体"/>
          <w:b/>
          <w:sz w:val="24"/>
          <w:highlight w:val="none"/>
        </w:rPr>
        <w:t xml:space="preserve"> </w:t>
      </w:r>
      <w:r>
        <w:rPr>
          <w:rFonts w:hint="eastAsia" w:ascii="宋体" w:hAnsi="宋体" w:cs="宋体"/>
          <w:b/>
          <w:sz w:val="24"/>
          <w:highlight w:val="none"/>
          <w:lang w:val="zh-CN"/>
        </w:rPr>
        <w:t xml:space="preserve"> </w:t>
      </w:r>
      <w:r>
        <w:rPr>
          <w:rFonts w:hint="eastAsia" w:ascii="宋体" w:hAnsi="宋体" w:cs="宋体"/>
          <w:b/>
          <w:sz w:val="24"/>
          <w:highlight w:val="none"/>
        </w:rPr>
        <w:t xml:space="preserve">             </w:t>
      </w:r>
      <w:r>
        <w:rPr>
          <w:rFonts w:hint="eastAsia" w:ascii="宋体" w:hAnsi="宋体" w:cs="宋体"/>
          <w:b/>
          <w:sz w:val="24"/>
          <w:highlight w:val="none"/>
          <w:lang w:val="zh-CN"/>
        </w:rPr>
        <w:t xml:space="preserve">  </w:t>
      </w:r>
      <w:r>
        <w:rPr>
          <w:rFonts w:hint="eastAsia" w:ascii="宋体" w:hAnsi="宋体"/>
          <w:b/>
          <w:szCs w:val="21"/>
          <w:highlight w:val="none"/>
        </w:rPr>
        <w:t xml:space="preserve"> </w:t>
      </w:r>
      <w:r>
        <w:rPr>
          <w:rFonts w:ascii="宋体" w:hAnsi="宋体"/>
          <w:b/>
          <w:szCs w:val="21"/>
          <w:highlight w:val="none"/>
          <w:lang w:val="zh-CN"/>
        </w:rPr>
        <w:t xml:space="preserve">供应商（盖单位章）： </w:t>
      </w:r>
    </w:p>
    <w:p>
      <w:pPr>
        <w:spacing w:line="360" w:lineRule="auto"/>
        <w:ind w:firstLine="1446" w:firstLineChars="600"/>
        <w:jc w:val="left"/>
        <w:rPr>
          <w:rFonts w:hint="eastAsia" w:ascii="宋体" w:hAnsi="宋体" w:cs="宋体"/>
          <w:b/>
          <w:color w:val="000000"/>
          <w:sz w:val="24"/>
          <w:highlight w:val="none"/>
        </w:rPr>
      </w:pPr>
      <w:r>
        <w:rPr>
          <w:rFonts w:hint="eastAsia" w:ascii="宋体" w:hAnsi="宋体" w:cs="宋体"/>
          <w:b/>
          <w:color w:val="000000"/>
          <w:sz w:val="24"/>
          <w:highlight w:val="none"/>
        </w:rPr>
        <w:t>法定代表人或其授权代表人（签字或盖章）：</w:t>
      </w:r>
    </w:p>
    <w:p>
      <w:pPr>
        <w:spacing w:line="360" w:lineRule="auto"/>
        <w:ind w:firstLine="4638" w:firstLineChars="2200"/>
        <w:jc w:val="left"/>
        <w:rPr>
          <w:highlight w:val="none"/>
          <w:lang w:val="zh-CN"/>
        </w:rPr>
      </w:pPr>
      <w:r>
        <w:rPr>
          <w:rFonts w:ascii="宋体" w:hAnsi="宋体"/>
          <w:b/>
          <w:szCs w:val="21"/>
          <w:highlight w:val="none"/>
          <w:lang w:val="zh-CN"/>
        </w:rPr>
        <w:t xml:space="preserve">日 </w:t>
      </w:r>
      <w:r>
        <w:rPr>
          <w:rFonts w:hint="eastAsia" w:ascii="宋体" w:hAnsi="宋体"/>
          <w:b/>
          <w:szCs w:val="21"/>
          <w:highlight w:val="none"/>
        </w:rPr>
        <w:t xml:space="preserve"> </w:t>
      </w:r>
      <w:r>
        <w:rPr>
          <w:rFonts w:hint="eastAsia" w:ascii="宋体" w:hAnsi="宋体"/>
          <w:b/>
          <w:szCs w:val="21"/>
          <w:highlight w:val="none"/>
          <w:lang w:val="zh-CN"/>
        </w:rPr>
        <w:t xml:space="preserve"> </w:t>
      </w:r>
      <w:r>
        <w:rPr>
          <w:rFonts w:ascii="宋体" w:hAnsi="宋体"/>
          <w:b/>
          <w:szCs w:val="21"/>
          <w:highlight w:val="none"/>
          <w:lang w:val="zh-CN"/>
        </w:rPr>
        <w:t>期：</w:t>
      </w:r>
      <w:r>
        <w:rPr>
          <w:rFonts w:hint="eastAsia" w:ascii="宋体" w:hAnsi="宋体"/>
          <w:b/>
          <w:szCs w:val="21"/>
          <w:highlight w:val="none"/>
          <w:lang w:val="zh-CN"/>
        </w:rPr>
        <w:t xml:space="preserve">     年   月   日</w:t>
      </w:r>
    </w:p>
    <w:bookmarkEnd w:id="229"/>
    <w:p>
      <w:pPr>
        <w:rPr>
          <w:rFonts w:hint="eastAsia" w:ascii="宋体" w:hAnsi="宋体" w:cs="宋体"/>
          <w:b/>
          <w:bCs/>
          <w:sz w:val="24"/>
          <w:highlight w:val="none"/>
        </w:rPr>
      </w:pPr>
      <w:r>
        <w:rPr>
          <w:rFonts w:hint="eastAsia" w:ascii="宋体" w:hAnsi="宋体" w:cs="宋体"/>
          <w:b/>
          <w:bCs/>
          <w:sz w:val="24"/>
          <w:highlight w:val="none"/>
        </w:rPr>
        <w:br w:type="page"/>
      </w:r>
    </w:p>
    <w:p>
      <w:pPr>
        <w:spacing w:line="360" w:lineRule="auto"/>
        <w:rPr>
          <w:rFonts w:ascii="宋体" w:cs="宋体"/>
          <w:b/>
          <w:bCs/>
          <w:sz w:val="24"/>
          <w:highlight w:val="none"/>
        </w:rPr>
      </w:pPr>
      <w:r>
        <w:rPr>
          <w:rFonts w:hint="eastAsia" w:ascii="宋体" w:hAnsi="宋体" w:cs="宋体"/>
          <w:b/>
          <w:bCs/>
          <w:sz w:val="24"/>
          <w:highlight w:val="none"/>
        </w:rPr>
        <w:t>附件12：</w:t>
      </w:r>
      <w:r>
        <w:rPr>
          <w:rFonts w:ascii="宋体" w:hAnsi="宋体" w:cs="宋体"/>
          <w:b/>
          <w:bCs/>
          <w:sz w:val="24"/>
          <w:highlight w:val="none"/>
        </w:rPr>
        <w:t xml:space="preserve"> </w:t>
      </w:r>
    </w:p>
    <w:p>
      <w:pPr>
        <w:pStyle w:val="83"/>
        <w:snapToGrid w:val="0"/>
        <w:spacing w:line="500" w:lineRule="exact"/>
        <w:jc w:val="center"/>
        <w:rPr>
          <w:rFonts w:hint="eastAsia" w:cs="宋体"/>
          <w:sz w:val="21"/>
          <w:szCs w:val="21"/>
          <w:highlight w:val="none"/>
        </w:rPr>
      </w:pPr>
      <w:r>
        <w:rPr>
          <w:rFonts w:hint="eastAsia" w:cs="宋体"/>
          <w:b/>
          <w:bCs/>
          <w:sz w:val="21"/>
          <w:szCs w:val="21"/>
          <w:highlight w:val="none"/>
        </w:rPr>
        <w:t>采购活动现</w:t>
      </w:r>
      <w:r>
        <w:rPr>
          <w:rFonts w:hint="eastAsia" w:cs="宋体"/>
          <w:b/>
          <w:sz w:val="21"/>
          <w:szCs w:val="21"/>
          <w:highlight w:val="none"/>
        </w:rPr>
        <w:t>场确认声明书（被授权人）</w:t>
      </w:r>
      <w:r>
        <w:rPr>
          <w:rFonts w:hint="eastAsia" w:cs="宋体"/>
          <w:b/>
          <w:i/>
          <w:iCs/>
          <w:sz w:val="21"/>
          <w:szCs w:val="21"/>
          <w:highlight w:val="none"/>
        </w:rPr>
        <w:t>（以下二选一）</w:t>
      </w:r>
    </w:p>
    <w:p>
      <w:pPr>
        <w:pStyle w:val="83"/>
        <w:snapToGrid w:val="0"/>
        <w:spacing w:line="500" w:lineRule="exact"/>
        <w:rPr>
          <w:rFonts w:hint="eastAsia" w:cs="宋体"/>
          <w:b/>
          <w:sz w:val="21"/>
          <w:szCs w:val="21"/>
          <w:highlight w:val="none"/>
        </w:rPr>
      </w:pPr>
      <w:r>
        <w:rPr>
          <w:rFonts w:cs="宋体"/>
          <w:kern w:val="0"/>
          <w:sz w:val="21"/>
          <w:szCs w:val="21"/>
          <w:highlight w:val="none"/>
          <w:u w:val="single"/>
        </w:rPr>
        <w:t xml:space="preserve"> </w:t>
      </w:r>
      <w:r>
        <w:rPr>
          <w:rFonts w:hint="eastAsia" w:cs="宋体"/>
          <w:kern w:val="0"/>
          <w:sz w:val="21"/>
          <w:szCs w:val="21"/>
          <w:highlight w:val="none"/>
          <w:u w:val="single"/>
        </w:rPr>
        <w:t>浙江聚信工程管理有限公司</w:t>
      </w:r>
      <w:r>
        <w:rPr>
          <w:rFonts w:cs="宋体"/>
          <w:kern w:val="0"/>
          <w:sz w:val="21"/>
          <w:szCs w:val="21"/>
          <w:highlight w:val="none"/>
          <w:u w:val="single"/>
        </w:rPr>
        <w:t xml:space="preserve">  </w:t>
      </w:r>
      <w:r>
        <w:rPr>
          <w:rFonts w:hint="eastAsia" w:cs="宋体"/>
          <w:kern w:val="0"/>
          <w:sz w:val="21"/>
          <w:szCs w:val="21"/>
          <w:highlight w:val="none"/>
        </w:rPr>
        <w:t>（采购组织机构名称）：</w:t>
      </w:r>
    </w:p>
    <w:p>
      <w:pPr>
        <w:pStyle w:val="83"/>
        <w:snapToGrid w:val="0"/>
        <w:spacing w:line="500" w:lineRule="exact"/>
        <w:ind w:firstLine="444" w:firstLineChars="200"/>
        <w:rPr>
          <w:rFonts w:hint="eastAsia" w:cs="宋体"/>
          <w:spacing w:val="6"/>
          <w:sz w:val="21"/>
          <w:szCs w:val="21"/>
          <w:highlight w:val="none"/>
        </w:rPr>
      </w:pPr>
      <w:r>
        <w:rPr>
          <w:rFonts w:hint="eastAsia" w:cs="宋体"/>
          <w:spacing w:val="6"/>
          <w:sz w:val="21"/>
          <w:szCs w:val="21"/>
          <w:highlight w:val="none"/>
        </w:rPr>
        <w:t>本人经由</w:t>
      </w:r>
      <w:r>
        <w:rPr>
          <w:rFonts w:cs="宋体"/>
          <w:spacing w:val="6"/>
          <w:sz w:val="21"/>
          <w:szCs w:val="21"/>
          <w:highlight w:val="none"/>
          <w:u w:val="single"/>
        </w:rPr>
        <w:t xml:space="preserve"> </w:t>
      </w:r>
      <w:r>
        <w:rPr>
          <w:rFonts w:cs="宋体"/>
          <w:kern w:val="0"/>
          <w:sz w:val="21"/>
          <w:szCs w:val="21"/>
          <w:highlight w:val="none"/>
          <w:u w:val="single"/>
        </w:rPr>
        <w:t xml:space="preserve">                </w:t>
      </w:r>
      <w:r>
        <w:rPr>
          <w:rFonts w:hint="eastAsia" w:cs="宋体"/>
          <w:spacing w:val="6"/>
          <w:sz w:val="21"/>
          <w:szCs w:val="21"/>
          <w:highlight w:val="none"/>
          <w:u w:val="single"/>
        </w:rPr>
        <w:t>（单位）</w:t>
      </w:r>
      <w:r>
        <w:rPr>
          <w:rFonts w:hint="eastAsia" w:cs="宋体"/>
          <w:spacing w:val="6"/>
          <w:sz w:val="21"/>
          <w:szCs w:val="21"/>
          <w:highlight w:val="none"/>
        </w:rPr>
        <w:t>负责人</w:t>
      </w:r>
      <w:r>
        <w:rPr>
          <w:rFonts w:cs="宋体"/>
          <w:spacing w:val="6"/>
          <w:sz w:val="21"/>
          <w:szCs w:val="21"/>
          <w:highlight w:val="none"/>
          <w:u w:val="single"/>
        </w:rPr>
        <w:t xml:space="preserve">       </w:t>
      </w:r>
      <w:r>
        <w:rPr>
          <w:rFonts w:hint="eastAsia" w:cs="宋体"/>
          <w:spacing w:val="6"/>
          <w:sz w:val="21"/>
          <w:szCs w:val="21"/>
          <w:highlight w:val="none"/>
          <w:u w:val="single"/>
        </w:rPr>
        <w:t>（姓名）</w:t>
      </w:r>
      <w:r>
        <w:rPr>
          <w:rFonts w:hint="eastAsia" w:cs="宋体"/>
          <w:spacing w:val="6"/>
          <w:sz w:val="21"/>
          <w:szCs w:val="21"/>
          <w:highlight w:val="none"/>
        </w:rPr>
        <w:t>合法授权参加</w:t>
      </w:r>
      <w:r>
        <w:rPr>
          <w:rFonts w:hint="eastAsia" w:cs="宋体"/>
          <w:spacing w:val="6"/>
          <w:sz w:val="21"/>
          <w:szCs w:val="21"/>
          <w:highlight w:val="none"/>
          <w:u w:val="single"/>
          <w:lang w:eastAsia="zh-CN"/>
        </w:rPr>
        <w:t>仙居县力天市政工程有限公司PE管材及配件、PPR管材及配件采购项目</w:t>
      </w:r>
      <w:r>
        <w:rPr>
          <w:rFonts w:cs="宋体"/>
          <w:spacing w:val="6"/>
          <w:sz w:val="21"/>
          <w:szCs w:val="21"/>
          <w:highlight w:val="none"/>
          <w:u w:val="single"/>
        </w:rPr>
        <w:t xml:space="preserve"> </w:t>
      </w:r>
      <w:r>
        <w:rPr>
          <w:rFonts w:hint="eastAsia" w:cs="宋体"/>
          <w:spacing w:val="6"/>
          <w:sz w:val="21"/>
          <w:szCs w:val="21"/>
          <w:highlight w:val="none"/>
        </w:rPr>
        <w:t>（编号：</w:t>
      </w:r>
      <w:r>
        <w:rPr>
          <w:rFonts w:hint="eastAsia" w:cs="宋体"/>
          <w:spacing w:val="6"/>
          <w:sz w:val="21"/>
          <w:szCs w:val="21"/>
          <w:highlight w:val="none"/>
          <w:u w:val="single"/>
          <w:lang w:eastAsia="zh-CN"/>
        </w:rPr>
        <w:t>ZJJX-25CG-002</w:t>
      </w:r>
      <w:r>
        <w:rPr>
          <w:rFonts w:hint="eastAsia" w:cs="宋体"/>
          <w:spacing w:val="6"/>
          <w:sz w:val="21"/>
          <w:szCs w:val="21"/>
          <w:highlight w:val="none"/>
        </w:rPr>
        <w:t>）采购活动，经与本单位法人代表（负责人）联系确认，现就有关公平竞争事项郑重声明如下：</w:t>
      </w:r>
      <w:r>
        <w:rPr>
          <w:rFonts w:cs="宋体"/>
          <w:spacing w:val="6"/>
          <w:sz w:val="21"/>
          <w:szCs w:val="21"/>
          <w:highlight w:val="none"/>
        </w:rPr>
        <w:t xml:space="preserve"> </w:t>
      </w:r>
    </w:p>
    <w:p>
      <w:pPr>
        <w:pStyle w:val="84"/>
        <w:widowControl/>
        <w:numPr>
          <w:ilvl w:val="0"/>
          <w:numId w:val="10"/>
        </w:numPr>
        <w:snapToGrid w:val="0"/>
        <w:spacing w:line="500" w:lineRule="exact"/>
        <w:ind w:firstLine="396" w:firstLineChars="189"/>
        <w:rPr>
          <w:rFonts w:ascii="宋体" w:cs="宋体"/>
          <w:kern w:val="0"/>
          <w:szCs w:val="21"/>
          <w:highlight w:val="none"/>
        </w:rPr>
      </w:pPr>
      <w:r>
        <w:rPr>
          <w:rFonts w:hint="eastAsia" w:ascii="宋体" w:hAnsi="宋体" w:cs="宋体"/>
          <w:kern w:val="0"/>
          <w:szCs w:val="21"/>
          <w:highlight w:val="none"/>
        </w:rPr>
        <w:t>本单位与采购人之间</w:t>
      </w:r>
      <w:r>
        <w:rPr>
          <w:rFonts w:ascii="宋体" w:hAnsi="宋体" w:cs="宋体"/>
          <w:kern w:val="0"/>
          <w:szCs w:val="21"/>
          <w:highlight w:val="none"/>
        </w:rPr>
        <w:t xml:space="preserve"> </w:t>
      </w:r>
      <w:r>
        <w:rPr>
          <w:rFonts w:hint="eastAsia" w:ascii="宋体" w:hAnsi="宋体" w:cs="宋体"/>
          <w:kern w:val="0"/>
          <w:szCs w:val="21"/>
          <w:highlight w:val="none"/>
        </w:rPr>
        <w:t>□不存在利害关系</w:t>
      </w:r>
      <w:r>
        <w:rPr>
          <w:rFonts w:ascii="宋体" w:hAnsi="宋体" w:cs="宋体"/>
          <w:kern w:val="0"/>
          <w:szCs w:val="21"/>
          <w:highlight w:val="none"/>
        </w:rPr>
        <w:t xml:space="preserve"> </w:t>
      </w:r>
      <w:r>
        <w:rPr>
          <w:rFonts w:hint="eastAsia" w:ascii="宋体" w:hAnsi="宋体" w:cs="宋体"/>
          <w:kern w:val="0"/>
          <w:szCs w:val="21"/>
          <w:highlight w:val="none"/>
        </w:rPr>
        <w:t>□存在下列利害关系</w:t>
      </w:r>
      <w:r>
        <w:rPr>
          <w:rFonts w:ascii="宋体" w:hAnsi="宋体" w:cs="宋体"/>
          <w:kern w:val="0"/>
          <w:szCs w:val="21"/>
          <w:highlight w:val="none"/>
          <w:u w:val="single"/>
        </w:rPr>
        <w:t xml:space="preserve">           </w:t>
      </w:r>
      <w:r>
        <w:rPr>
          <w:rFonts w:hint="eastAsia" w:ascii="宋体" w:hAnsi="宋体" w:cs="宋体"/>
          <w:kern w:val="0"/>
          <w:szCs w:val="21"/>
          <w:highlight w:val="none"/>
        </w:rPr>
        <w:t>：</w:t>
      </w:r>
    </w:p>
    <w:p>
      <w:pPr>
        <w:pStyle w:val="84"/>
        <w:widowControl/>
        <w:snapToGrid w:val="0"/>
        <w:spacing w:line="500" w:lineRule="exact"/>
        <w:rPr>
          <w:rFonts w:ascii="宋体" w:cs="宋体"/>
          <w:kern w:val="0"/>
          <w:szCs w:val="21"/>
          <w:highlight w:val="none"/>
        </w:rPr>
      </w:pPr>
      <w:r>
        <w:rPr>
          <w:rFonts w:ascii="宋体" w:hAnsi="宋体" w:cs="宋体"/>
          <w:kern w:val="0"/>
          <w:szCs w:val="21"/>
          <w:highlight w:val="none"/>
        </w:rPr>
        <w:t xml:space="preserve">  A.</w:t>
      </w:r>
      <w:r>
        <w:rPr>
          <w:rFonts w:hint="eastAsia" w:ascii="宋体" w:hAnsi="宋体" w:cs="宋体"/>
          <w:kern w:val="0"/>
          <w:szCs w:val="21"/>
          <w:highlight w:val="none"/>
        </w:rPr>
        <w:t>投资关系</w:t>
      </w:r>
      <w:r>
        <w:rPr>
          <w:rFonts w:ascii="宋体" w:hAnsi="宋体" w:cs="宋体"/>
          <w:kern w:val="0"/>
          <w:szCs w:val="21"/>
          <w:highlight w:val="none"/>
        </w:rPr>
        <w:t xml:space="preserve">    B.</w:t>
      </w:r>
      <w:r>
        <w:rPr>
          <w:rFonts w:hint="eastAsia" w:ascii="宋体" w:hAnsi="宋体" w:cs="宋体"/>
          <w:kern w:val="0"/>
          <w:szCs w:val="21"/>
          <w:highlight w:val="none"/>
        </w:rPr>
        <w:t>行政隶属关系</w:t>
      </w:r>
      <w:r>
        <w:rPr>
          <w:rFonts w:ascii="宋体" w:hAnsi="宋体" w:cs="宋体"/>
          <w:kern w:val="0"/>
          <w:szCs w:val="21"/>
          <w:highlight w:val="none"/>
        </w:rPr>
        <w:t xml:space="preserve">    C.</w:t>
      </w:r>
      <w:r>
        <w:rPr>
          <w:rFonts w:hint="eastAsia" w:ascii="宋体" w:hAnsi="宋体" w:cs="宋体"/>
          <w:kern w:val="0"/>
          <w:szCs w:val="21"/>
          <w:highlight w:val="none"/>
        </w:rPr>
        <w:t>业务指导关系</w:t>
      </w:r>
    </w:p>
    <w:p>
      <w:pPr>
        <w:pStyle w:val="84"/>
        <w:widowControl/>
        <w:snapToGrid w:val="0"/>
        <w:spacing w:line="500" w:lineRule="exact"/>
        <w:rPr>
          <w:rFonts w:ascii="宋体" w:cs="宋体"/>
          <w:kern w:val="0"/>
          <w:szCs w:val="21"/>
          <w:highlight w:val="none"/>
        </w:rPr>
      </w:pPr>
      <w:r>
        <w:rPr>
          <w:rFonts w:ascii="宋体" w:hAnsi="宋体" w:cs="宋体"/>
          <w:kern w:val="0"/>
          <w:szCs w:val="21"/>
          <w:highlight w:val="none"/>
        </w:rPr>
        <w:t xml:space="preserve">  D.</w:t>
      </w:r>
      <w:r>
        <w:rPr>
          <w:rFonts w:hint="eastAsia" w:ascii="宋体" w:hAnsi="宋体" w:cs="宋体"/>
          <w:kern w:val="0"/>
          <w:szCs w:val="21"/>
          <w:highlight w:val="none"/>
        </w:rPr>
        <w:t>其他可能</w:t>
      </w:r>
      <w:r>
        <w:rPr>
          <w:rFonts w:hint="eastAsia" w:ascii="宋体" w:hAnsi="宋体" w:cs="宋体"/>
          <w:szCs w:val="21"/>
          <w:highlight w:val="none"/>
        </w:rPr>
        <w:t>影响采购公正的</w:t>
      </w:r>
      <w:r>
        <w:rPr>
          <w:rFonts w:hint="eastAsia" w:ascii="宋体" w:hAnsi="宋体" w:cs="宋体"/>
          <w:kern w:val="0"/>
          <w:szCs w:val="21"/>
          <w:highlight w:val="none"/>
        </w:rPr>
        <w:t>利害关系</w:t>
      </w:r>
      <w:r>
        <w:rPr>
          <w:rFonts w:hint="eastAsia" w:ascii="宋体" w:hAnsi="宋体" w:cs="宋体"/>
          <w:kern w:val="0"/>
          <w:szCs w:val="21"/>
          <w:highlight w:val="none"/>
          <w:u w:val="single"/>
        </w:rPr>
        <w:t>（如有，请如实说明）</w:t>
      </w:r>
      <w:r>
        <w:rPr>
          <w:rFonts w:ascii="宋体" w:hAnsi="宋体" w:cs="宋体"/>
          <w:kern w:val="0"/>
          <w:szCs w:val="21"/>
          <w:highlight w:val="none"/>
          <w:u w:val="single"/>
        </w:rPr>
        <w:t xml:space="preserve">                 </w:t>
      </w:r>
      <w:r>
        <w:rPr>
          <w:rFonts w:hint="eastAsia" w:ascii="宋体" w:hAnsi="宋体" w:cs="宋体"/>
          <w:kern w:val="0"/>
          <w:szCs w:val="21"/>
          <w:highlight w:val="none"/>
        </w:rPr>
        <w:t>。</w:t>
      </w:r>
    </w:p>
    <w:p>
      <w:pPr>
        <w:pStyle w:val="84"/>
        <w:widowControl/>
        <w:snapToGrid w:val="0"/>
        <w:spacing w:line="500" w:lineRule="exact"/>
        <w:rPr>
          <w:rFonts w:ascii="宋体" w:cs="宋体"/>
          <w:kern w:val="0"/>
          <w:szCs w:val="21"/>
          <w:highlight w:val="none"/>
        </w:rPr>
      </w:pPr>
      <w:r>
        <w:rPr>
          <w:rFonts w:ascii="宋体" w:hAnsi="宋体" w:cs="宋体"/>
          <w:spacing w:val="6"/>
          <w:szCs w:val="21"/>
          <w:highlight w:val="none"/>
        </w:rPr>
        <w:t xml:space="preserve">  </w:t>
      </w:r>
      <w:r>
        <w:rPr>
          <w:rFonts w:hint="eastAsia" w:ascii="宋体" w:hAnsi="宋体" w:cs="宋体"/>
          <w:spacing w:val="6"/>
          <w:szCs w:val="21"/>
          <w:highlight w:val="none"/>
        </w:rPr>
        <w:t>二、</w:t>
      </w:r>
      <w:r>
        <w:rPr>
          <w:rFonts w:hint="eastAsia" w:ascii="宋体" w:hAnsi="宋体" w:cs="宋体"/>
          <w:kern w:val="0"/>
          <w:szCs w:val="21"/>
          <w:highlight w:val="none"/>
        </w:rPr>
        <w:t>现已清楚知道参加本项目采购活动的其他所有供应商名称，本单位</w:t>
      </w:r>
      <w:r>
        <w:rPr>
          <w:rFonts w:ascii="宋体" w:hAnsi="宋体" w:cs="宋体"/>
          <w:kern w:val="0"/>
          <w:szCs w:val="21"/>
          <w:highlight w:val="none"/>
        </w:rPr>
        <w:t xml:space="preserve"> </w:t>
      </w:r>
      <w:r>
        <w:rPr>
          <w:rFonts w:hint="eastAsia" w:ascii="宋体" w:hAnsi="宋体" w:cs="宋体"/>
          <w:kern w:val="0"/>
          <w:szCs w:val="21"/>
          <w:highlight w:val="none"/>
        </w:rPr>
        <w:t>□与其他所有供应商之间均不存在利害关系</w:t>
      </w:r>
      <w:r>
        <w:rPr>
          <w:rFonts w:ascii="宋体" w:hAnsi="宋体" w:cs="宋体"/>
          <w:kern w:val="0"/>
          <w:szCs w:val="21"/>
          <w:highlight w:val="none"/>
        </w:rPr>
        <w:t xml:space="preserve"> </w:t>
      </w:r>
      <w:r>
        <w:rPr>
          <w:rFonts w:hint="eastAsia" w:ascii="宋体" w:hAnsi="宋体" w:cs="宋体"/>
          <w:kern w:val="0"/>
          <w:szCs w:val="21"/>
          <w:highlight w:val="none"/>
        </w:rPr>
        <w:t>□与</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（供应商名称）</w:t>
      </w:r>
      <w:r>
        <w:rPr>
          <w:rFonts w:hint="eastAsia"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hint="eastAsia" w:ascii="宋体" w:hAnsi="宋体" w:cs="宋体"/>
          <w:kern w:val="0"/>
          <w:szCs w:val="21"/>
          <w:highlight w:val="none"/>
        </w:rPr>
        <w:t>：</w:t>
      </w:r>
    </w:p>
    <w:p>
      <w:pPr>
        <w:pStyle w:val="83"/>
        <w:snapToGrid w:val="0"/>
        <w:spacing w:line="500" w:lineRule="exact"/>
        <w:rPr>
          <w:rFonts w:hint="eastAsia" w:cs="宋体"/>
          <w:kern w:val="0"/>
          <w:sz w:val="21"/>
          <w:szCs w:val="21"/>
          <w:highlight w:val="none"/>
        </w:rPr>
      </w:pPr>
      <w:r>
        <w:rPr>
          <w:rFonts w:cs="宋体"/>
          <w:kern w:val="0"/>
          <w:sz w:val="21"/>
          <w:szCs w:val="21"/>
          <w:highlight w:val="none"/>
        </w:rPr>
        <w:t xml:space="preserve">  A.</w:t>
      </w:r>
      <w:r>
        <w:rPr>
          <w:rFonts w:hint="eastAsia" w:cs="宋体"/>
          <w:kern w:val="0"/>
          <w:sz w:val="21"/>
          <w:szCs w:val="21"/>
          <w:highlight w:val="none"/>
        </w:rPr>
        <w:t>法定代表人或负责人或实际控制人是同一人</w:t>
      </w:r>
    </w:p>
    <w:p>
      <w:pPr>
        <w:pStyle w:val="83"/>
        <w:snapToGrid w:val="0"/>
        <w:spacing w:line="500" w:lineRule="exact"/>
        <w:rPr>
          <w:rFonts w:hint="eastAsia" w:cs="宋体"/>
          <w:spacing w:val="6"/>
          <w:sz w:val="21"/>
          <w:szCs w:val="21"/>
          <w:highlight w:val="none"/>
        </w:rPr>
      </w:pPr>
      <w:r>
        <w:rPr>
          <w:rFonts w:cs="宋体"/>
          <w:kern w:val="0"/>
          <w:sz w:val="21"/>
          <w:szCs w:val="21"/>
          <w:highlight w:val="none"/>
        </w:rPr>
        <w:t xml:space="preserve">  B.</w:t>
      </w:r>
      <w:r>
        <w:rPr>
          <w:rFonts w:hint="eastAsia" w:cs="宋体"/>
          <w:kern w:val="0"/>
          <w:sz w:val="21"/>
          <w:szCs w:val="21"/>
          <w:highlight w:val="none"/>
        </w:rPr>
        <w:t>法定代表人或负责人或实际控制人是夫妻关系</w:t>
      </w:r>
    </w:p>
    <w:p>
      <w:pPr>
        <w:pStyle w:val="83"/>
        <w:snapToGrid w:val="0"/>
        <w:spacing w:line="500" w:lineRule="exact"/>
        <w:rPr>
          <w:rFonts w:hint="eastAsia" w:cs="宋体"/>
          <w:spacing w:val="6"/>
          <w:sz w:val="21"/>
          <w:szCs w:val="21"/>
          <w:highlight w:val="none"/>
        </w:rPr>
      </w:pPr>
      <w:r>
        <w:rPr>
          <w:rFonts w:cs="宋体"/>
          <w:kern w:val="0"/>
          <w:sz w:val="21"/>
          <w:szCs w:val="21"/>
          <w:highlight w:val="none"/>
        </w:rPr>
        <w:t xml:space="preserve">  C.</w:t>
      </w:r>
      <w:r>
        <w:rPr>
          <w:rFonts w:hint="eastAsia" w:cs="宋体"/>
          <w:kern w:val="0"/>
          <w:sz w:val="21"/>
          <w:szCs w:val="21"/>
          <w:highlight w:val="none"/>
        </w:rPr>
        <w:t>法定代表人或负责人或实际控制人是直系血亲关系</w:t>
      </w:r>
    </w:p>
    <w:p>
      <w:pPr>
        <w:pStyle w:val="83"/>
        <w:snapToGrid w:val="0"/>
        <w:spacing w:line="500" w:lineRule="exact"/>
        <w:rPr>
          <w:rFonts w:hint="eastAsia" w:cs="宋体"/>
          <w:spacing w:val="6"/>
          <w:sz w:val="21"/>
          <w:szCs w:val="21"/>
          <w:highlight w:val="none"/>
        </w:rPr>
      </w:pPr>
      <w:r>
        <w:rPr>
          <w:rFonts w:cs="宋体"/>
          <w:kern w:val="0"/>
          <w:sz w:val="21"/>
          <w:szCs w:val="21"/>
          <w:highlight w:val="none"/>
        </w:rPr>
        <w:t xml:space="preserve">  D.</w:t>
      </w:r>
      <w:r>
        <w:rPr>
          <w:rFonts w:hint="eastAsia" w:cs="宋体"/>
          <w:kern w:val="0"/>
          <w:sz w:val="21"/>
          <w:szCs w:val="21"/>
          <w:highlight w:val="none"/>
        </w:rPr>
        <w:t>法定代表人或负责人或实际控制人存在三代以内旁系血亲关系</w:t>
      </w:r>
    </w:p>
    <w:p>
      <w:pPr>
        <w:pStyle w:val="83"/>
        <w:snapToGrid w:val="0"/>
        <w:spacing w:line="500" w:lineRule="exact"/>
        <w:rPr>
          <w:rFonts w:hint="eastAsia" w:cs="宋体"/>
          <w:kern w:val="0"/>
          <w:sz w:val="21"/>
          <w:szCs w:val="21"/>
          <w:highlight w:val="none"/>
        </w:rPr>
      </w:pPr>
      <w:r>
        <w:rPr>
          <w:rFonts w:cs="宋体"/>
          <w:kern w:val="0"/>
          <w:sz w:val="21"/>
          <w:szCs w:val="21"/>
          <w:highlight w:val="none"/>
        </w:rPr>
        <w:t xml:space="preserve">  E.</w:t>
      </w:r>
      <w:r>
        <w:rPr>
          <w:rFonts w:hint="eastAsia" w:cs="宋体"/>
          <w:kern w:val="0"/>
          <w:sz w:val="21"/>
          <w:szCs w:val="21"/>
          <w:highlight w:val="none"/>
        </w:rPr>
        <w:t>法定代表人或负责人或实际控制人存在近姻亲关系</w:t>
      </w:r>
    </w:p>
    <w:p>
      <w:pPr>
        <w:pStyle w:val="83"/>
        <w:snapToGrid w:val="0"/>
        <w:spacing w:line="500" w:lineRule="exact"/>
        <w:rPr>
          <w:rFonts w:hint="eastAsia" w:cs="宋体"/>
          <w:kern w:val="0"/>
          <w:sz w:val="21"/>
          <w:szCs w:val="21"/>
          <w:highlight w:val="none"/>
        </w:rPr>
      </w:pPr>
      <w:r>
        <w:rPr>
          <w:rFonts w:cs="宋体"/>
          <w:kern w:val="0"/>
          <w:sz w:val="21"/>
          <w:szCs w:val="21"/>
          <w:highlight w:val="none"/>
        </w:rPr>
        <w:t xml:space="preserve">  F.</w:t>
      </w:r>
      <w:r>
        <w:rPr>
          <w:rFonts w:hint="eastAsia" w:cs="宋体"/>
          <w:kern w:val="0"/>
          <w:sz w:val="21"/>
          <w:szCs w:val="21"/>
          <w:highlight w:val="none"/>
        </w:rPr>
        <w:t>法定代表人或负责人或实际控制人存在股份控制或实际控制关系</w:t>
      </w:r>
    </w:p>
    <w:p>
      <w:pPr>
        <w:pStyle w:val="83"/>
        <w:snapToGrid w:val="0"/>
        <w:spacing w:line="500" w:lineRule="exact"/>
        <w:outlineLvl w:val="0"/>
        <w:rPr>
          <w:rFonts w:hint="eastAsia" w:cs="宋体"/>
          <w:kern w:val="0"/>
          <w:sz w:val="21"/>
          <w:szCs w:val="21"/>
          <w:highlight w:val="none"/>
        </w:rPr>
      </w:pPr>
      <w:r>
        <w:rPr>
          <w:rFonts w:cs="宋体"/>
          <w:kern w:val="0"/>
          <w:sz w:val="21"/>
          <w:szCs w:val="21"/>
          <w:highlight w:val="none"/>
        </w:rPr>
        <w:t xml:space="preserve">  </w:t>
      </w:r>
      <w:bookmarkStart w:id="230" w:name="_Toc24146"/>
      <w:bookmarkStart w:id="231" w:name="_Toc30614"/>
      <w:bookmarkStart w:id="232" w:name="_Toc29234"/>
      <w:bookmarkStart w:id="233" w:name="_Toc26265"/>
      <w:bookmarkStart w:id="234" w:name="_Toc16444"/>
      <w:bookmarkStart w:id="235" w:name="_Toc11093"/>
      <w:r>
        <w:rPr>
          <w:rFonts w:cs="宋体"/>
          <w:kern w:val="0"/>
          <w:sz w:val="21"/>
          <w:szCs w:val="21"/>
          <w:highlight w:val="none"/>
        </w:rPr>
        <w:t>G.</w:t>
      </w:r>
      <w:r>
        <w:rPr>
          <w:rFonts w:hint="eastAsia" w:cs="宋体"/>
          <w:kern w:val="0"/>
          <w:sz w:val="21"/>
          <w:szCs w:val="21"/>
          <w:highlight w:val="none"/>
        </w:rPr>
        <w:t>存在共同直接或间接投资设立子公司、联营企业和合营企业情况</w:t>
      </w:r>
      <w:bookmarkEnd w:id="230"/>
      <w:bookmarkEnd w:id="231"/>
      <w:bookmarkEnd w:id="232"/>
      <w:bookmarkEnd w:id="233"/>
      <w:bookmarkEnd w:id="234"/>
      <w:bookmarkEnd w:id="235"/>
    </w:p>
    <w:p>
      <w:pPr>
        <w:pStyle w:val="83"/>
        <w:snapToGrid w:val="0"/>
        <w:spacing w:line="500" w:lineRule="exact"/>
        <w:rPr>
          <w:rFonts w:hint="eastAsia" w:cs="宋体"/>
          <w:sz w:val="21"/>
          <w:szCs w:val="21"/>
          <w:highlight w:val="none"/>
        </w:rPr>
      </w:pPr>
      <w:r>
        <w:rPr>
          <w:rFonts w:cs="宋体"/>
          <w:kern w:val="0"/>
          <w:sz w:val="21"/>
          <w:szCs w:val="21"/>
          <w:highlight w:val="none"/>
        </w:rPr>
        <w:t xml:space="preserve">  H.</w:t>
      </w:r>
      <w:r>
        <w:rPr>
          <w:rFonts w:hint="eastAsia" w:cs="宋体"/>
          <w:kern w:val="0"/>
          <w:sz w:val="21"/>
          <w:szCs w:val="21"/>
          <w:highlight w:val="none"/>
        </w:rPr>
        <w:t>存在分级代理或代销关系、同一生产制造商关系、</w:t>
      </w:r>
      <w:r>
        <w:rPr>
          <w:rFonts w:hint="eastAsia" w:cs="宋体"/>
          <w:sz w:val="21"/>
          <w:szCs w:val="21"/>
          <w:highlight w:val="none"/>
        </w:rPr>
        <w:t>管理关系、重要业务（占主营业务收入</w:t>
      </w:r>
      <w:r>
        <w:rPr>
          <w:rFonts w:cs="宋体"/>
          <w:sz w:val="21"/>
          <w:szCs w:val="21"/>
          <w:highlight w:val="none"/>
        </w:rPr>
        <w:t>50%</w:t>
      </w:r>
      <w:r>
        <w:rPr>
          <w:rFonts w:hint="eastAsia" w:cs="宋体"/>
          <w:sz w:val="21"/>
          <w:szCs w:val="21"/>
          <w:highlight w:val="none"/>
        </w:rPr>
        <w:t>以上）或重要财务往来关系（如融资）等其他实质性控制关系</w:t>
      </w:r>
    </w:p>
    <w:p>
      <w:pPr>
        <w:pStyle w:val="83"/>
        <w:snapToGrid w:val="0"/>
        <w:spacing w:line="500" w:lineRule="exact"/>
        <w:rPr>
          <w:rFonts w:hint="eastAsia" w:cs="宋体"/>
          <w:spacing w:val="6"/>
          <w:sz w:val="21"/>
          <w:szCs w:val="21"/>
          <w:highlight w:val="none"/>
        </w:rPr>
      </w:pPr>
      <w:r>
        <w:rPr>
          <w:rFonts w:cs="宋体"/>
          <w:sz w:val="21"/>
          <w:szCs w:val="21"/>
          <w:highlight w:val="none"/>
        </w:rPr>
        <w:t xml:space="preserve">  I</w:t>
      </w:r>
      <w:r>
        <w:rPr>
          <w:rFonts w:cs="宋体"/>
          <w:kern w:val="0"/>
          <w:sz w:val="21"/>
          <w:szCs w:val="21"/>
          <w:highlight w:val="none"/>
        </w:rPr>
        <w:t>.</w:t>
      </w:r>
      <w:r>
        <w:rPr>
          <w:rFonts w:hint="eastAsia" w:cs="宋体"/>
          <w:sz w:val="21"/>
          <w:szCs w:val="21"/>
          <w:highlight w:val="none"/>
        </w:rPr>
        <w:t>其他利害关系情况</w:t>
      </w:r>
      <w:r>
        <w:rPr>
          <w:rFonts w:cs="宋体"/>
          <w:sz w:val="21"/>
          <w:szCs w:val="21"/>
          <w:highlight w:val="none"/>
          <w:u w:val="single"/>
        </w:rPr>
        <w:t xml:space="preserve">                              </w:t>
      </w:r>
      <w:r>
        <w:rPr>
          <w:rFonts w:hint="eastAsia" w:cs="宋体"/>
          <w:kern w:val="0"/>
          <w:sz w:val="21"/>
          <w:szCs w:val="21"/>
          <w:highlight w:val="none"/>
        </w:rPr>
        <w:t>。</w:t>
      </w:r>
    </w:p>
    <w:p>
      <w:pPr>
        <w:pStyle w:val="84"/>
        <w:widowControl/>
        <w:numPr>
          <w:ilvl w:val="0"/>
          <w:numId w:val="11"/>
        </w:numPr>
        <w:snapToGrid w:val="0"/>
        <w:spacing w:line="500" w:lineRule="exact"/>
        <w:ind w:firstLine="396" w:firstLineChars="189"/>
        <w:rPr>
          <w:rFonts w:ascii="宋体" w:cs="宋体"/>
          <w:kern w:val="0"/>
          <w:szCs w:val="21"/>
          <w:highlight w:val="none"/>
        </w:rPr>
      </w:pPr>
      <w:r>
        <w:rPr>
          <w:rFonts w:hint="eastAsia" w:ascii="宋体" w:hAnsi="宋体" w:cs="宋体"/>
          <w:szCs w:val="21"/>
          <w:highlight w:val="none"/>
        </w:rPr>
        <w:t>现已清楚知道并</w:t>
      </w:r>
      <w:r>
        <w:rPr>
          <w:rFonts w:hint="eastAsia" w:ascii="宋体" w:hAnsi="宋体" w:cs="宋体"/>
          <w:kern w:val="0"/>
          <w:szCs w:val="21"/>
          <w:highlight w:val="none"/>
        </w:rPr>
        <w:t>严格遵守政府采购法律法规和现场纪律。</w:t>
      </w:r>
    </w:p>
    <w:p>
      <w:pPr>
        <w:pStyle w:val="84"/>
        <w:widowControl/>
        <w:numPr>
          <w:ilvl w:val="0"/>
          <w:numId w:val="11"/>
        </w:numPr>
        <w:snapToGrid w:val="0"/>
        <w:spacing w:line="500" w:lineRule="exact"/>
        <w:ind w:firstLine="396" w:firstLineChars="189"/>
        <w:rPr>
          <w:rFonts w:ascii="宋体" w:cs="宋体"/>
          <w:kern w:val="0"/>
          <w:szCs w:val="21"/>
          <w:highlight w:val="none"/>
        </w:rPr>
      </w:pPr>
      <w:r>
        <w:rPr>
          <w:rFonts w:hint="eastAsia" w:ascii="宋体" w:hAnsi="宋体" w:cs="宋体"/>
          <w:kern w:val="0"/>
          <w:szCs w:val="21"/>
          <w:highlight w:val="none"/>
        </w:rPr>
        <w:t>我发现</w:t>
      </w:r>
      <w:r>
        <w:rPr>
          <w:rFonts w:ascii="宋体" w:hAnsi="宋体" w:cs="宋体"/>
          <w:kern w:val="0"/>
          <w:szCs w:val="21"/>
          <w:highlight w:val="none"/>
          <w:u w:val="single"/>
        </w:rPr>
        <w:t xml:space="preserve">                    </w:t>
      </w:r>
      <w:r>
        <w:rPr>
          <w:rFonts w:hint="eastAsia"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hint="eastAsia" w:ascii="宋体" w:hAnsi="宋体" w:cs="宋体"/>
          <w:kern w:val="0"/>
          <w:szCs w:val="21"/>
          <w:highlight w:val="none"/>
        </w:rPr>
        <w:t>项利害关系。</w:t>
      </w:r>
    </w:p>
    <w:p>
      <w:pPr>
        <w:pStyle w:val="83"/>
        <w:snapToGrid w:val="0"/>
        <w:spacing w:line="500" w:lineRule="exact"/>
        <w:rPr>
          <w:rFonts w:hint="eastAsia" w:cs="宋体"/>
          <w:sz w:val="21"/>
          <w:szCs w:val="21"/>
          <w:highlight w:val="none"/>
        </w:rPr>
      </w:pPr>
      <w:r>
        <w:rPr>
          <w:rFonts w:cs="宋体"/>
          <w:sz w:val="21"/>
          <w:szCs w:val="21"/>
          <w:highlight w:val="none"/>
        </w:rPr>
        <w:t xml:space="preserve">                                        </w:t>
      </w:r>
      <w:r>
        <w:rPr>
          <w:rFonts w:hint="eastAsia" w:cs="宋体"/>
          <w:sz w:val="21"/>
          <w:szCs w:val="21"/>
          <w:highlight w:val="none"/>
        </w:rPr>
        <w:t>供应商代表签名：</w:t>
      </w:r>
    </w:p>
    <w:p>
      <w:pPr>
        <w:spacing w:after="304" w:afterLines="100" w:line="600" w:lineRule="exact"/>
        <w:jc w:val="center"/>
        <w:rPr>
          <w:rFonts w:asci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日期：</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p>
    <w:p>
      <w:pPr>
        <w:pStyle w:val="83"/>
        <w:snapToGrid w:val="0"/>
        <w:spacing w:line="500" w:lineRule="exact"/>
        <w:jc w:val="center"/>
        <w:rPr>
          <w:rFonts w:hint="eastAsia" w:cs="宋体"/>
          <w:b/>
          <w:bCs/>
          <w:sz w:val="21"/>
          <w:szCs w:val="21"/>
          <w:highlight w:val="none"/>
        </w:rPr>
        <w:sectPr>
          <w:pgSz w:w="11905" w:h="16838"/>
          <w:pgMar w:top="1417" w:right="1587" w:bottom="1417" w:left="1587" w:header="907" w:footer="924" w:gutter="0"/>
          <w:cols w:space="0" w:num="1"/>
          <w:docGrid w:type="lines" w:linePitch="304" w:charSpace="0"/>
        </w:sectPr>
      </w:pPr>
    </w:p>
    <w:p>
      <w:pPr>
        <w:pStyle w:val="83"/>
        <w:snapToGrid w:val="0"/>
        <w:jc w:val="center"/>
        <w:rPr>
          <w:rFonts w:hint="eastAsia" w:cs="宋体"/>
          <w:sz w:val="21"/>
          <w:szCs w:val="21"/>
          <w:highlight w:val="none"/>
        </w:rPr>
      </w:pPr>
      <w:r>
        <w:rPr>
          <w:rFonts w:hint="eastAsia" w:cs="宋体"/>
          <w:b/>
          <w:bCs/>
          <w:sz w:val="21"/>
          <w:szCs w:val="21"/>
          <w:highlight w:val="none"/>
        </w:rPr>
        <w:t>采购活动现</w:t>
      </w:r>
      <w:r>
        <w:rPr>
          <w:rFonts w:hint="eastAsia" w:cs="宋体"/>
          <w:b/>
          <w:sz w:val="21"/>
          <w:szCs w:val="21"/>
          <w:highlight w:val="none"/>
        </w:rPr>
        <w:t>场确认声明书（法人）</w:t>
      </w:r>
    </w:p>
    <w:p>
      <w:pPr>
        <w:pStyle w:val="83"/>
        <w:snapToGrid w:val="0"/>
        <w:rPr>
          <w:rFonts w:hint="eastAsia" w:cs="宋体"/>
          <w:kern w:val="0"/>
          <w:sz w:val="21"/>
          <w:szCs w:val="21"/>
          <w:highlight w:val="none"/>
          <w:u w:val="single"/>
        </w:rPr>
      </w:pPr>
    </w:p>
    <w:p>
      <w:pPr>
        <w:pStyle w:val="83"/>
        <w:snapToGrid w:val="0"/>
        <w:rPr>
          <w:rFonts w:hint="eastAsia" w:cs="宋体"/>
          <w:b/>
          <w:sz w:val="21"/>
          <w:szCs w:val="21"/>
          <w:highlight w:val="none"/>
        </w:rPr>
      </w:pPr>
      <w:r>
        <w:rPr>
          <w:rFonts w:cs="宋体"/>
          <w:kern w:val="0"/>
          <w:sz w:val="21"/>
          <w:szCs w:val="21"/>
          <w:highlight w:val="none"/>
          <w:u w:val="single"/>
        </w:rPr>
        <w:t xml:space="preserve"> </w:t>
      </w:r>
      <w:r>
        <w:rPr>
          <w:rFonts w:hint="eastAsia" w:cs="宋体"/>
          <w:kern w:val="0"/>
          <w:sz w:val="21"/>
          <w:szCs w:val="21"/>
          <w:highlight w:val="none"/>
          <w:u w:val="single"/>
        </w:rPr>
        <w:t>浙江聚信工程管理有限公司</w:t>
      </w:r>
      <w:r>
        <w:rPr>
          <w:rFonts w:cs="宋体"/>
          <w:kern w:val="0"/>
          <w:sz w:val="21"/>
          <w:szCs w:val="21"/>
          <w:highlight w:val="none"/>
          <w:u w:val="single"/>
        </w:rPr>
        <w:t xml:space="preserve">  </w:t>
      </w:r>
      <w:r>
        <w:rPr>
          <w:rFonts w:hint="eastAsia" w:cs="宋体"/>
          <w:kern w:val="0"/>
          <w:sz w:val="21"/>
          <w:szCs w:val="21"/>
          <w:highlight w:val="none"/>
        </w:rPr>
        <w:t>（采购组织机构名称）：</w:t>
      </w:r>
    </w:p>
    <w:p>
      <w:pPr>
        <w:pStyle w:val="83"/>
        <w:snapToGrid w:val="0"/>
        <w:ind w:firstLine="444" w:firstLineChars="200"/>
        <w:rPr>
          <w:rFonts w:hint="eastAsia" w:cs="宋体"/>
          <w:spacing w:val="6"/>
          <w:sz w:val="21"/>
          <w:szCs w:val="21"/>
          <w:highlight w:val="none"/>
        </w:rPr>
      </w:pPr>
      <w:r>
        <w:rPr>
          <w:rFonts w:hint="eastAsia" w:cs="宋体"/>
          <w:spacing w:val="6"/>
          <w:sz w:val="21"/>
          <w:szCs w:val="21"/>
          <w:highlight w:val="none"/>
        </w:rPr>
        <w:t>本人为</w:t>
      </w:r>
      <w:r>
        <w:rPr>
          <w:rFonts w:cs="宋体"/>
          <w:spacing w:val="6"/>
          <w:sz w:val="21"/>
          <w:szCs w:val="21"/>
          <w:highlight w:val="none"/>
          <w:u w:val="single"/>
        </w:rPr>
        <w:t xml:space="preserve"> </w:t>
      </w:r>
      <w:r>
        <w:rPr>
          <w:rFonts w:cs="宋体"/>
          <w:kern w:val="0"/>
          <w:sz w:val="21"/>
          <w:szCs w:val="21"/>
          <w:highlight w:val="none"/>
          <w:u w:val="single"/>
        </w:rPr>
        <w:t xml:space="preserve">                           </w:t>
      </w:r>
      <w:r>
        <w:rPr>
          <w:rFonts w:hint="eastAsia" w:cs="宋体"/>
          <w:spacing w:val="6"/>
          <w:sz w:val="21"/>
          <w:szCs w:val="21"/>
          <w:highlight w:val="none"/>
          <w:u w:val="single"/>
        </w:rPr>
        <w:t>（单位）</w:t>
      </w:r>
      <w:r>
        <w:rPr>
          <w:rFonts w:hint="eastAsia" w:cs="宋体"/>
          <w:spacing w:val="6"/>
          <w:sz w:val="21"/>
          <w:szCs w:val="21"/>
          <w:highlight w:val="none"/>
        </w:rPr>
        <w:t>负责人参加</w:t>
      </w:r>
      <w:r>
        <w:rPr>
          <w:rFonts w:hint="eastAsia" w:cs="宋体"/>
          <w:spacing w:val="6"/>
          <w:sz w:val="21"/>
          <w:szCs w:val="21"/>
          <w:highlight w:val="none"/>
          <w:u w:val="single"/>
          <w:lang w:eastAsia="zh-CN"/>
        </w:rPr>
        <w:t>仙居县力天市政工程有限公司PE管材及配件、PPR管材及配件采购项目</w:t>
      </w:r>
      <w:r>
        <w:rPr>
          <w:rFonts w:cs="宋体"/>
          <w:spacing w:val="6"/>
          <w:sz w:val="21"/>
          <w:szCs w:val="21"/>
          <w:highlight w:val="none"/>
          <w:u w:val="single"/>
        </w:rPr>
        <w:t xml:space="preserve"> </w:t>
      </w:r>
      <w:r>
        <w:rPr>
          <w:rFonts w:hint="eastAsia" w:cs="宋体"/>
          <w:spacing w:val="6"/>
          <w:sz w:val="21"/>
          <w:szCs w:val="21"/>
          <w:highlight w:val="none"/>
        </w:rPr>
        <w:t>（编号：</w:t>
      </w:r>
      <w:r>
        <w:rPr>
          <w:rFonts w:hint="eastAsia" w:cs="宋体"/>
          <w:spacing w:val="6"/>
          <w:sz w:val="21"/>
          <w:szCs w:val="21"/>
          <w:highlight w:val="none"/>
          <w:u w:val="single"/>
          <w:lang w:eastAsia="zh-CN"/>
        </w:rPr>
        <w:t>ZJJX-25CG-002</w:t>
      </w:r>
      <w:r>
        <w:rPr>
          <w:rFonts w:hint="eastAsia" w:cs="宋体"/>
          <w:spacing w:val="6"/>
          <w:sz w:val="21"/>
          <w:szCs w:val="21"/>
          <w:highlight w:val="none"/>
        </w:rPr>
        <w:t>）政府采购活动，现就有关公平竞争事项郑重声明如下：</w:t>
      </w:r>
      <w:r>
        <w:rPr>
          <w:rFonts w:cs="宋体"/>
          <w:spacing w:val="6"/>
          <w:sz w:val="21"/>
          <w:szCs w:val="21"/>
          <w:highlight w:val="none"/>
        </w:rPr>
        <w:t xml:space="preserve"> </w:t>
      </w:r>
    </w:p>
    <w:p>
      <w:pPr>
        <w:pStyle w:val="84"/>
        <w:widowControl/>
        <w:snapToGrid w:val="0"/>
        <w:spacing w:line="360" w:lineRule="auto"/>
        <w:ind w:firstLine="210" w:firstLineChars="100"/>
        <w:rPr>
          <w:rFonts w:ascii="宋体" w:cs="宋体"/>
          <w:kern w:val="0"/>
          <w:szCs w:val="21"/>
          <w:highlight w:val="none"/>
        </w:rPr>
      </w:pPr>
      <w:r>
        <w:rPr>
          <w:rFonts w:hint="eastAsia" w:ascii="宋体" w:hAnsi="宋体" w:cs="宋体"/>
          <w:kern w:val="0"/>
          <w:szCs w:val="21"/>
          <w:highlight w:val="none"/>
        </w:rPr>
        <w:t>一、本单位与采购人之间</w:t>
      </w:r>
      <w:r>
        <w:rPr>
          <w:rFonts w:ascii="宋体" w:hAnsi="宋体" w:cs="宋体"/>
          <w:kern w:val="0"/>
          <w:szCs w:val="21"/>
          <w:highlight w:val="none"/>
        </w:rPr>
        <w:t xml:space="preserve"> </w:t>
      </w:r>
      <w:r>
        <w:rPr>
          <w:rFonts w:hint="eastAsia" w:ascii="宋体" w:hAnsi="宋体" w:cs="宋体"/>
          <w:kern w:val="0"/>
          <w:szCs w:val="21"/>
          <w:highlight w:val="none"/>
        </w:rPr>
        <w:t>□不存在利害关系</w:t>
      </w:r>
      <w:r>
        <w:rPr>
          <w:rFonts w:ascii="宋体" w:hAnsi="宋体" w:cs="宋体"/>
          <w:kern w:val="0"/>
          <w:szCs w:val="21"/>
          <w:highlight w:val="none"/>
        </w:rPr>
        <w:t xml:space="preserve"> </w:t>
      </w:r>
      <w:r>
        <w:rPr>
          <w:rFonts w:hint="eastAsia" w:ascii="宋体" w:hAnsi="宋体" w:cs="宋体"/>
          <w:kern w:val="0"/>
          <w:szCs w:val="21"/>
          <w:highlight w:val="none"/>
        </w:rPr>
        <w:t>□存在下列利害关系</w:t>
      </w:r>
      <w:r>
        <w:rPr>
          <w:rFonts w:ascii="宋体" w:hAnsi="宋体" w:cs="宋体"/>
          <w:kern w:val="0"/>
          <w:szCs w:val="21"/>
          <w:highlight w:val="none"/>
          <w:u w:val="single"/>
        </w:rPr>
        <w:t xml:space="preserve">           </w:t>
      </w:r>
      <w:r>
        <w:rPr>
          <w:rFonts w:hint="eastAsia" w:ascii="宋体" w:hAnsi="宋体" w:cs="宋体"/>
          <w:kern w:val="0"/>
          <w:szCs w:val="21"/>
          <w:highlight w:val="none"/>
        </w:rPr>
        <w:t>：</w:t>
      </w:r>
    </w:p>
    <w:p>
      <w:pPr>
        <w:pStyle w:val="84"/>
        <w:widowControl/>
        <w:snapToGrid w:val="0"/>
        <w:spacing w:line="360" w:lineRule="auto"/>
        <w:rPr>
          <w:rFonts w:ascii="宋体" w:cs="宋体"/>
          <w:kern w:val="0"/>
          <w:szCs w:val="21"/>
          <w:highlight w:val="none"/>
        </w:rPr>
      </w:pPr>
      <w:r>
        <w:rPr>
          <w:rFonts w:ascii="宋体" w:hAnsi="宋体" w:cs="宋体"/>
          <w:kern w:val="0"/>
          <w:szCs w:val="21"/>
          <w:highlight w:val="none"/>
        </w:rPr>
        <w:t xml:space="preserve">  A.</w:t>
      </w:r>
      <w:r>
        <w:rPr>
          <w:rFonts w:hint="eastAsia" w:ascii="宋体" w:hAnsi="宋体" w:cs="宋体"/>
          <w:kern w:val="0"/>
          <w:szCs w:val="21"/>
          <w:highlight w:val="none"/>
        </w:rPr>
        <w:t>投资关系</w:t>
      </w:r>
      <w:r>
        <w:rPr>
          <w:rFonts w:ascii="宋体" w:hAnsi="宋体" w:cs="宋体"/>
          <w:kern w:val="0"/>
          <w:szCs w:val="21"/>
          <w:highlight w:val="none"/>
        </w:rPr>
        <w:t xml:space="preserve">    B.</w:t>
      </w:r>
      <w:r>
        <w:rPr>
          <w:rFonts w:hint="eastAsia" w:ascii="宋体" w:hAnsi="宋体" w:cs="宋体"/>
          <w:kern w:val="0"/>
          <w:szCs w:val="21"/>
          <w:highlight w:val="none"/>
        </w:rPr>
        <w:t>行政隶属关系</w:t>
      </w:r>
      <w:r>
        <w:rPr>
          <w:rFonts w:ascii="宋体" w:hAnsi="宋体" w:cs="宋体"/>
          <w:kern w:val="0"/>
          <w:szCs w:val="21"/>
          <w:highlight w:val="none"/>
        </w:rPr>
        <w:t xml:space="preserve">    C.</w:t>
      </w:r>
      <w:r>
        <w:rPr>
          <w:rFonts w:hint="eastAsia" w:ascii="宋体" w:hAnsi="宋体" w:cs="宋体"/>
          <w:kern w:val="0"/>
          <w:szCs w:val="21"/>
          <w:highlight w:val="none"/>
        </w:rPr>
        <w:t>业务指导关系</w:t>
      </w:r>
    </w:p>
    <w:p>
      <w:pPr>
        <w:pStyle w:val="84"/>
        <w:widowControl/>
        <w:snapToGrid w:val="0"/>
        <w:spacing w:line="360" w:lineRule="auto"/>
        <w:rPr>
          <w:rFonts w:ascii="宋体" w:cs="宋体"/>
          <w:kern w:val="0"/>
          <w:szCs w:val="21"/>
          <w:highlight w:val="none"/>
        </w:rPr>
      </w:pPr>
      <w:r>
        <w:rPr>
          <w:rFonts w:ascii="宋体" w:hAnsi="宋体" w:cs="宋体"/>
          <w:kern w:val="0"/>
          <w:szCs w:val="21"/>
          <w:highlight w:val="none"/>
        </w:rPr>
        <w:t xml:space="preserve">  D.</w:t>
      </w:r>
      <w:r>
        <w:rPr>
          <w:rFonts w:hint="eastAsia" w:ascii="宋体" w:hAnsi="宋体" w:cs="宋体"/>
          <w:kern w:val="0"/>
          <w:szCs w:val="21"/>
          <w:highlight w:val="none"/>
        </w:rPr>
        <w:t>其他可能</w:t>
      </w:r>
      <w:r>
        <w:rPr>
          <w:rFonts w:hint="eastAsia" w:ascii="宋体" w:hAnsi="宋体" w:cs="宋体"/>
          <w:szCs w:val="21"/>
          <w:highlight w:val="none"/>
        </w:rPr>
        <w:t>影响采购公正的</w:t>
      </w:r>
      <w:r>
        <w:rPr>
          <w:rFonts w:hint="eastAsia" w:ascii="宋体" w:hAnsi="宋体" w:cs="宋体"/>
          <w:kern w:val="0"/>
          <w:szCs w:val="21"/>
          <w:highlight w:val="none"/>
        </w:rPr>
        <w:t>利害关系</w:t>
      </w:r>
      <w:r>
        <w:rPr>
          <w:rFonts w:hint="eastAsia" w:ascii="宋体" w:hAnsi="宋体" w:cs="宋体"/>
          <w:kern w:val="0"/>
          <w:szCs w:val="21"/>
          <w:highlight w:val="none"/>
          <w:u w:val="single"/>
        </w:rPr>
        <w:t>（如有，请如实说明）</w:t>
      </w:r>
      <w:r>
        <w:rPr>
          <w:rFonts w:ascii="宋体" w:hAnsi="宋体" w:cs="宋体"/>
          <w:kern w:val="0"/>
          <w:szCs w:val="21"/>
          <w:highlight w:val="none"/>
          <w:u w:val="single"/>
        </w:rPr>
        <w:t xml:space="preserve">                 </w:t>
      </w:r>
      <w:r>
        <w:rPr>
          <w:rFonts w:hint="eastAsia" w:ascii="宋体" w:hAnsi="宋体" w:cs="宋体"/>
          <w:kern w:val="0"/>
          <w:szCs w:val="21"/>
          <w:highlight w:val="none"/>
        </w:rPr>
        <w:t>。</w:t>
      </w:r>
    </w:p>
    <w:p>
      <w:pPr>
        <w:pStyle w:val="84"/>
        <w:widowControl/>
        <w:snapToGrid w:val="0"/>
        <w:spacing w:line="360" w:lineRule="auto"/>
        <w:rPr>
          <w:rFonts w:ascii="宋体" w:cs="宋体"/>
          <w:kern w:val="0"/>
          <w:szCs w:val="21"/>
          <w:highlight w:val="none"/>
        </w:rPr>
      </w:pPr>
      <w:r>
        <w:rPr>
          <w:rFonts w:ascii="宋体" w:hAnsi="宋体" w:cs="宋体"/>
          <w:spacing w:val="6"/>
          <w:szCs w:val="21"/>
          <w:highlight w:val="none"/>
        </w:rPr>
        <w:t xml:space="preserve">  </w:t>
      </w:r>
      <w:r>
        <w:rPr>
          <w:rFonts w:hint="eastAsia" w:ascii="宋体" w:hAnsi="宋体" w:cs="宋体"/>
          <w:spacing w:val="6"/>
          <w:szCs w:val="21"/>
          <w:highlight w:val="none"/>
        </w:rPr>
        <w:t>二、</w:t>
      </w:r>
      <w:r>
        <w:rPr>
          <w:rFonts w:hint="eastAsia" w:ascii="宋体" w:hAnsi="宋体" w:cs="宋体"/>
          <w:kern w:val="0"/>
          <w:szCs w:val="21"/>
          <w:highlight w:val="none"/>
        </w:rPr>
        <w:t>现已清楚知道参加本项目采购活动的其他所有供应商名称，本单位</w:t>
      </w:r>
      <w:r>
        <w:rPr>
          <w:rFonts w:ascii="宋体" w:hAnsi="宋体" w:cs="宋体"/>
          <w:kern w:val="0"/>
          <w:szCs w:val="21"/>
          <w:highlight w:val="none"/>
        </w:rPr>
        <w:t xml:space="preserve"> </w:t>
      </w:r>
      <w:r>
        <w:rPr>
          <w:rFonts w:hint="eastAsia" w:ascii="宋体" w:hAnsi="宋体" w:cs="宋体"/>
          <w:kern w:val="0"/>
          <w:szCs w:val="21"/>
          <w:highlight w:val="none"/>
        </w:rPr>
        <w:t>□与其他所有供应商之间均不存在利害关系</w:t>
      </w:r>
      <w:r>
        <w:rPr>
          <w:rFonts w:ascii="宋体" w:hAnsi="宋体" w:cs="宋体"/>
          <w:kern w:val="0"/>
          <w:szCs w:val="21"/>
          <w:highlight w:val="none"/>
        </w:rPr>
        <w:t xml:space="preserve"> </w:t>
      </w:r>
      <w:r>
        <w:rPr>
          <w:rFonts w:hint="eastAsia" w:ascii="宋体" w:hAnsi="宋体" w:cs="宋体"/>
          <w:kern w:val="0"/>
          <w:szCs w:val="21"/>
          <w:highlight w:val="none"/>
        </w:rPr>
        <w:t>□与</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（供应商名称）</w:t>
      </w:r>
      <w:r>
        <w:rPr>
          <w:rFonts w:hint="eastAsia"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hint="eastAsia" w:ascii="宋体" w:hAnsi="宋体" w:cs="宋体"/>
          <w:kern w:val="0"/>
          <w:szCs w:val="21"/>
          <w:highlight w:val="none"/>
        </w:rPr>
        <w:t>：</w:t>
      </w:r>
    </w:p>
    <w:p>
      <w:pPr>
        <w:pStyle w:val="83"/>
        <w:snapToGrid w:val="0"/>
        <w:rPr>
          <w:rFonts w:hint="eastAsia" w:cs="宋体"/>
          <w:kern w:val="0"/>
          <w:sz w:val="21"/>
          <w:szCs w:val="21"/>
          <w:highlight w:val="none"/>
        </w:rPr>
      </w:pPr>
      <w:r>
        <w:rPr>
          <w:rFonts w:cs="宋体"/>
          <w:kern w:val="0"/>
          <w:sz w:val="21"/>
          <w:szCs w:val="21"/>
          <w:highlight w:val="none"/>
        </w:rPr>
        <w:t xml:space="preserve">  A.</w:t>
      </w:r>
      <w:r>
        <w:rPr>
          <w:rFonts w:hint="eastAsia" w:cs="宋体"/>
          <w:kern w:val="0"/>
          <w:sz w:val="21"/>
          <w:szCs w:val="21"/>
          <w:highlight w:val="none"/>
        </w:rPr>
        <w:t>法定代表人或负责人或实际控制人是同一人</w:t>
      </w:r>
    </w:p>
    <w:p>
      <w:pPr>
        <w:pStyle w:val="83"/>
        <w:snapToGrid w:val="0"/>
        <w:rPr>
          <w:rFonts w:hint="eastAsia" w:cs="宋体"/>
          <w:spacing w:val="6"/>
          <w:sz w:val="21"/>
          <w:szCs w:val="21"/>
          <w:highlight w:val="none"/>
        </w:rPr>
      </w:pPr>
      <w:r>
        <w:rPr>
          <w:rFonts w:cs="宋体"/>
          <w:kern w:val="0"/>
          <w:sz w:val="21"/>
          <w:szCs w:val="21"/>
          <w:highlight w:val="none"/>
        </w:rPr>
        <w:t xml:space="preserve">  B.</w:t>
      </w:r>
      <w:r>
        <w:rPr>
          <w:rFonts w:hint="eastAsia" w:cs="宋体"/>
          <w:kern w:val="0"/>
          <w:sz w:val="21"/>
          <w:szCs w:val="21"/>
          <w:highlight w:val="none"/>
        </w:rPr>
        <w:t>法定代表人或负责人或实际控制人是夫妻关系</w:t>
      </w:r>
    </w:p>
    <w:p>
      <w:pPr>
        <w:pStyle w:val="83"/>
        <w:snapToGrid w:val="0"/>
        <w:rPr>
          <w:rFonts w:hint="eastAsia" w:cs="宋体"/>
          <w:spacing w:val="6"/>
          <w:sz w:val="21"/>
          <w:szCs w:val="21"/>
          <w:highlight w:val="none"/>
        </w:rPr>
      </w:pPr>
      <w:r>
        <w:rPr>
          <w:rFonts w:cs="宋体"/>
          <w:kern w:val="0"/>
          <w:sz w:val="21"/>
          <w:szCs w:val="21"/>
          <w:highlight w:val="none"/>
        </w:rPr>
        <w:t xml:space="preserve">  C.</w:t>
      </w:r>
      <w:r>
        <w:rPr>
          <w:rFonts w:hint="eastAsia" w:cs="宋体"/>
          <w:kern w:val="0"/>
          <w:sz w:val="21"/>
          <w:szCs w:val="21"/>
          <w:highlight w:val="none"/>
        </w:rPr>
        <w:t>法定代表人或负责人或实际控制人是直系血亲关系</w:t>
      </w:r>
    </w:p>
    <w:p>
      <w:pPr>
        <w:pStyle w:val="83"/>
        <w:snapToGrid w:val="0"/>
        <w:rPr>
          <w:rFonts w:hint="eastAsia" w:cs="宋体"/>
          <w:spacing w:val="6"/>
          <w:sz w:val="21"/>
          <w:szCs w:val="21"/>
          <w:highlight w:val="none"/>
        </w:rPr>
      </w:pPr>
      <w:r>
        <w:rPr>
          <w:rFonts w:cs="宋体"/>
          <w:kern w:val="0"/>
          <w:sz w:val="21"/>
          <w:szCs w:val="21"/>
          <w:highlight w:val="none"/>
        </w:rPr>
        <w:t xml:space="preserve">  D.</w:t>
      </w:r>
      <w:r>
        <w:rPr>
          <w:rFonts w:hint="eastAsia" w:cs="宋体"/>
          <w:kern w:val="0"/>
          <w:sz w:val="21"/>
          <w:szCs w:val="21"/>
          <w:highlight w:val="none"/>
        </w:rPr>
        <w:t>法定代表人或负责人或实际控制人存在三代以内旁系血亲关系</w:t>
      </w:r>
    </w:p>
    <w:p>
      <w:pPr>
        <w:pStyle w:val="83"/>
        <w:snapToGrid w:val="0"/>
        <w:rPr>
          <w:rFonts w:hint="eastAsia" w:cs="宋体"/>
          <w:kern w:val="0"/>
          <w:sz w:val="21"/>
          <w:szCs w:val="21"/>
          <w:highlight w:val="none"/>
        </w:rPr>
      </w:pPr>
      <w:r>
        <w:rPr>
          <w:rFonts w:cs="宋体"/>
          <w:kern w:val="0"/>
          <w:sz w:val="21"/>
          <w:szCs w:val="21"/>
          <w:highlight w:val="none"/>
        </w:rPr>
        <w:t xml:space="preserve">  E.</w:t>
      </w:r>
      <w:r>
        <w:rPr>
          <w:rFonts w:hint="eastAsia" w:cs="宋体"/>
          <w:kern w:val="0"/>
          <w:sz w:val="21"/>
          <w:szCs w:val="21"/>
          <w:highlight w:val="none"/>
        </w:rPr>
        <w:t>法定代表人或负责人或实际控制人存在近姻亲关系</w:t>
      </w:r>
    </w:p>
    <w:p>
      <w:pPr>
        <w:pStyle w:val="83"/>
        <w:snapToGrid w:val="0"/>
        <w:rPr>
          <w:rFonts w:hint="eastAsia" w:cs="宋体"/>
          <w:kern w:val="0"/>
          <w:sz w:val="21"/>
          <w:szCs w:val="21"/>
          <w:highlight w:val="none"/>
        </w:rPr>
      </w:pPr>
      <w:r>
        <w:rPr>
          <w:rFonts w:cs="宋体"/>
          <w:kern w:val="0"/>
          <w:sz w:val="21"/>
          <w:szCs w:val="21"/>
          <w:highlight w:val="none"/>
        </w:rPr>
        <w:t xml:space="preserve">  F.</w:t>
      </w:r>
      <w:r>
        <w:rPr>
          <w:rFonts w:hint="eastAsia" w:cs="宋体"/>
          <w:kern w:val="0"/>
          <w:sz w:val="21"/>
          <w:szCs w:val="21"/>
          <w:highlight w:val="none"/>
        </w:rPr>
        <w:t>法定代表人或负责人或实际控制人存在股份控制或实际控制关系</w:t>
      </w:r>
    </w:p>
    <w:p>
      <w:pPr>
        <w:pStyle w:val="83"/>
        <w:snapToGrid w:val="0"/>
        <w:outlineLvl w:val="0"/>
        <w:rPr>
          <w:rFonts w:hint="eastAsia" w:cs="宋体"/>
          <w:kern w:val="0"/>
          <w:sz w:val="21"/>
          <w:szCs w:val="21"/>
          <w:highlight w:val="none"/>
        </w:rPr>
      </w:pPr>
      <w:r>
        <w:rPr>
          <w:rFonts w:cs="宋体"/>
          <w:kern w:val="0"/>
          <w:sz w:val="21"/>
          <w:szCs w:val="21"/>
          <w:highlight w:val="none"/>
        </w:rPr>
        <w:t xml:space="preserve">  </w:t>
      </w:r>
      <w:bookmarkStart w:id="236" w:name="_Toc11337"/>
      <w:bookmarkStart w:id="237" w:name="_Toc26496"/>
      <w:bookmarkStart w:id="238" w:name="_Toc24933"/>
      <w:bookmarkStart w:id="239" w:name="_Toc3505"/>
      <w:bookmarkStart w:id="240" w:name="_Toc20223"/>
      <w:r>
        <w:rPr>
          <w:rFonts w:cs="宋体"/>
          <w:kern w:val="0"/>
          <w:sz w:val="21"/>
          <w:szCs w:val="21"/>
          <w:highlight w:val="none"/>
        </w:rPr>
        <w:t>G.</w:t>
      </w:r>
      <w:r>
        <w:rPr>
          <w:rFonts w:hint="eastAsia" w:cs="宋体"/>
          <w:kern w:val="0"/>
          <w:sz w:val="21"/>
          <w:szCs w:val="21"/>
          <w:highlight w:val="none"/>
        </w:rPr>
        <w:t>存在共同直接或间接投资设立子公司、联营企业和合营企业情况</w:t>
      </w:r>
      <w:bookmarkEnd w:id="236"/>
      <w:bookmarkEnd w:id="237"/>
      <w:bookmarkEnd w:id="238"/>
      <w:bookmarkEnd w:id="239"/>
      <w:bookmarkEnd w:id="240"/>
    </w:p>
    <w:p>
      <w:pPr>
        <w:pStyle w:val="83"/>
        <w:snapToGrid w:val="0"/>
        <w:rPr>
          <w:rFonts w:hint="eastAsia" w:cs="宋体"/>
          <w:sz w:val="21"/>
          <w:szCs w:val="21"/>
          <w:highlight w:val="none"/>
        </w:rPr>
      </w:pPr>
      <w:r>
        <w:rPr>
          <w:rFonts w:cs="宋体"/>
          <w:kern w:val="0"/>
          <w:sz w:val="21"/>
          <w:szCs w:val="21"/>
          <w:highlight w:val="none"/>
        </w:rPr>
        <w:t xml:space="preserve">  H.</w:t>
      </w:r>
      <w:r>
        <w:rPr>
          <w:rFonts w:hint="eastAsia" w:cs="宋体"/>
          <w:kern w:val="0"/>
          <w:sz w:val="21"/>
          <w:szCs w:val="21"/>
          <w:highlight w:val="none"/>
        </w:rPr>
        <w:t>存在分级代理或代销关系、同一生产制造商关系、</w:t>
      </w:r>
      <w:r>
        <w:rPr>
          <w:rFonts w:hint="eastAsia" w:cs="宋体"/>
          <w:sz w:val="21"/>
          <w:szCs w:val="21"/>
          <w:highlight w:val="none"/>
        </w:rPr>
        <w:t>管理关系、重要业务（占主营业务收入</w:t>
      </w:r>
      <w:r>
        <w:rPr>
          <w:rFonts w:cs="宋体"/>
          <w:sz w:val="21"/>
          <w:szCs w:val="21"/>
          <w:highlight w:val="none"/>
        </w:rPr>
        <w:t>50%</w:t>
      </w:r>
      <w:r>
        <w:rPr>
          <w:rFonts w:hint="eastAsia" w:cs="宋体"/>
          <w:sz w:val="21"/>
          <w:szCs w:val="21"/>
          <w:highlight w:val="none"/>
        </w:rPr>
        <w:t>以上）或重要财务往来关系（如融资）等其他实质性控制关系</w:t>
      </w:r>
    </w:p>
    <w:p>
      <w:pPr>
        <w:pStyle w:val="83"/>
        <w:snapToGrid w:val="0"/>
        <w:rPr>
          <w:rFonts w:hint="eastAsia" w:cs="宋体"/>
          <w:spacing w:val="6"/>
          <w:sz w:val="21"/>
          <w:szCs w:val="21"/>
          <w:highlight w:val="none"/>
        </w:rPr>
      </w:pPr>
      <w:r>
        <w:rPr>
          <w:rFonts w:cs="宋体"/>
          <w:sz w:val="21"/>
          <w:szCs w:val="21"/>
          <w:highlight w:val="none"/>
        </w:rPr>
        <w:t xml:space="preserve">  I</w:t>
      </w:r>
      <w:r>
        <w:rPr>
          <w:rFonts w:cs="宋体"/>
          <w:kern w:val="0"/>
          <w:sz w:val="21"/>
          <w:szCs w:val="21"/>
          <w:highlight w:val="none"/>
        </w:rPr>
        <w:t>.</w:t>
      </w:r>
      <w:r>
        <w:rPr>
          <w:rFonts w:hint="eastAsia" w:cs="宋体"/>
          <w:sz w:val="21"/>
          <w:szCs w:val="21"/>
          <w:highlight w:val="none"/>
        </w:rPr>
        <w:t>其他利害关系情况</w:t>
      </w:r>
      <w:r>
        <w:rPr>
          <w:rFonts w:cs="宋体"/>
          <w:sz w:val="21"/>
          <w:szCs w:val="21"/>
          <w:highlight w:val="none"/>
          <w:u w:val="single"/>
        </w:rPr>
        <w:t xml:space="preserve">                              </w:t>
      </w:r>
      <w:r>
        <w:rPr>
          <w:rFonts w:hint="eastAsia" w:cs="宋体"/>
          <w:kern w:val="0"/>
          <w:sz w:val="21"/>
          <w:szCs w:val="21"/>
          <w:highlight w:val="none"/>
        </w:rPr>
        <w:t>。</w:t>
      </w:r>
    </w:p>
    <w:p>
      <w:pPr>
        <w:pStyle w:val="84"/>
        <w:widowControl/>
        <w:snapToGrid w:val="0"/>
        <w:spacing w:line="360" w:lineRule="auto"/>
        <w:ind w:firstLine="210" w:firstLineChars="100"/>
        <w:rPr>
          <w:rFonts w:ascii="宋体" w:cs="宋体"/>
          <w:kern w:val="0"/>
          <w:szCs w:val="21"/>
          <w:highlight w:val="none"/>
        </w:rPr>
      </w:pPr>
      <w:r>
        <w:rPr>
          <w:rFonts w:hint="eastAsia" w:ascii="宋体" w:hAnsi="宋体" w:cs="宋体"/>
          <w:szCs w:val="21"/>
          <w:highlight w:val="none"/>
        </w:rPr>
        <w:t>三、现已清楚知道并</w:t>
      </w:r>
      <w:r>
        <w:rPr>
          <w:rFonts w:hint="eastAsia" w:ascii="宋体" w:hAnsi="宋体" w:cs="宋体"/>
          <w:kern w:val="0"/>
          <w:szCs w:val="21"/>
          <w:highlight w:val="none"/>
        </w:rPr>
        <w:t>严格遵守政府采购法律法规和现场纪律。</w:t>
      </w:r>
    </w:p>
    <w:p>
      <w:pPr>
        <w:pStyle w:val="84"/>
        <w:widowControl/>
        <w:snapToGrid w:val="0"/>
        <w:spacing w:line="360" w:lineRule="auto"/>
        <w:ind w:firstLine="210" w:firstLineChars="100"/>
        <w:rPr>
          <w:rFonts w:ascii="宋体" w:cs="宋体"/>
          <w:kern w:val="0"/>
          <w:szCs w:val="21"/>
          <w:highlight w:val="none"/>
        </w:rPr>
      </w:pPr>
      <w:r>
        <w:rPr>
          <w:rFonts w:hint="eastAsia" w:ascii="宋体" w:hAnsi="宋体" w:cs="宋体"/>
          <w:kern w:val="0"/>
          <w:szCs w:val="21"/>
          <w:highlight w:val="none"/>
        </w:rPr>
        <w:t>四、我发现</w:t>
      </w:r>
      <w:r>
        <w:rPr>
          <w:rFonts w:ascii="宋体" w:hAnsi="宋体" w:cs="宋体"/>
          <w:kern w:val="0"/>
          <w:szCs w:val="21"/>
          <w:highlight w:val="none"/>
          <w:u w:val="single"/>
        </w:rPr>
        <w:t xml:space="preserve">                    </w:t>
      </w:r>
      <w:r>
        <w:rPr>
          <w:rFonts w:hint="eastAsia"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hint="eastAsia" w:ascii="宋体" w:hAnsi="宋体" w:cs="宋体"/>
          <w:kern w:val="0"/>
          <w:szCs w:val="21"/>
          <w:highlight w:val="none"/>
        </w:rPr>
        <w:t>项利害关系。</w:t>
      </w:r>
    </w:p>
    <w:p>
      <w:pPr>
        <w:pStyle w:val="83"/>
        <w:snapToGrid w:val="0"/>
        <w:rPr>
          <w:rFonts w:hint="eastAsia" w:cs="宋体"/>
          <w:sz w:val="21"/>
          <w:szCs w:val="21"/>
          <w:highlight w:val="none"/>
        </w:rPr>
      </w:pPr>
      <w:r>
        <w:rPr>
          <w:rFonts w:cs="宋体"/>
          <w:sz w:val="21"/>
          <w:szCs w:val="21"/>
          <w:highlight w:val="none"/>
        </w:rPr>
        <w:t xml:space="preserve">                                        </w:t>
      </w:r>
      <w:r>
        <w:rPr>
          <w:rFonts w:hint="eastAsia" w:cs="宋体"/>
          <w:sz w:val="21"/>
          <w:szCs w:val="21"/>
          <w:highlight w:val="none"/>
        </w:rPr>
        <w:t>供应商代表签名：</w:t>
      </w:r>
    </w:p>
    <w:p>
      <w:pPr>
        <w:spacing w:after="312" w:afterLines="100" w:line="360" w:lineRule="auto"/>
        <w:jc w:val="center"/>
        <w:rPr>
          <w:b/>
          <w:bCs/>
          <w:highlight w:val="none"/>
        </w:rPr>
      </w:pPr>
      <w:r>
        <w:rPr>
          <w:rFonts w:ascii="宋体" w:hAnsi="宋体" w:cs="宋体"/>
          <w:szCs w:val="21"/>
          <w:highlight w:val="none"/>
        </w:rPr>
        <w:t xml:space="preserve">                                       </w:t>
      </w:r>
      <w:r>
        <w:rPr>
          <w:rFonts w:hint="eastAsia" w:ascii="宋体" w:hAnsi="宋体" w:cs="宋体"/>
          <w:szCs w:val="21"/>
          <w:highlight w:val="none"/>
        </w:rPr>
        <w:t>日期：</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p>
    <w:p>
      <w:pPr>
        <w:pStyle w:val="16"/>
        <w:spacing w:after="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注：1、本声明书非响应文件的组成内容，无须在响应文件中提供。</w:t>
      </w:r>
    </w:p>
    <w:p>
      <w:pPr>
        <w:pStyle w:val="16"/>
        <w:spacing w:after="0"/>
        <w:rPr>
          <w:rFonts w:hint="eastAsia" w:hAnsi="宋体" w:cs="Arial"/>
          <w:color w:val="000000" w:themeColor="text1"/>
          <w:kern w:val="0"/>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    2、各供应商提前打印本表，待标书件解密结束后，签署完毕后上传至乐采云平台。上传途径由采购组织机构发起在线（询标）通知后，供应商按时上传递交。</w:t>
      </w:r>
    </w:p>
    <w:p>
      <w:pPr>
        <w:rPr>
          <w:highlight w:val="none"/>
        </w:rPr>
      </w:pPr>
    </w:p>
    <w:p>
      <w:pPr>
        <w:rPr>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0" w:usb3="00000000" w:csb0="0002009F"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ascii="宋体" w:cs="宋体"/>
      </w:rPr>
    </w:pPr>
  </w:p>
  <w:p>
    <w:pPr>
      <w:pStyle w:val="26"/>
      <w:jc w:val="right"/>
      <w:rPr>
        <w:rFonts w:ascii="宋体" w:cs="宋体"/>
      </w:rPr>
    </w:pPr>
    <w:r>
      <w:rPr>
        <w:rFonts w:ascii="宋体" w:hAnsi="宋体" w:cs="宋体"/>
      </w:rPr>
      <w:fldChar w:fldCharType="begin"/>
    </w:r>
    <w:r>
      <w:rPr>
        <w:rFonts w:ascii="宋体" w:hAnsi="宋体" w:cs="宋体"/>
      </w:rPr>
      <w:instrText xml:space="preserve">PAGE   \* MERGEFORMAT</w:instrText>
    </w:r>
    <w:r>
      <w:rPr>
        <w:rFonts w:ascii="宋体" w:hAnsi="宋体" w:cs="宋体"/>
      </w:rPr>
      <w:fldChar w:fldCharType="separate"/>
    </w:r>
    <w:r>
      <w:rPr>
        <w:rFonts w:ascii="宋体" w:hAnsi="宋体" w:cs="宋体"/>
        <w:lang w:val="zh-CN"/>
      </w:rPr>
      <w:t>14</w:t>
    </w:r>
    <w:r>
      <w:rPr>
        <w:rFonts w:ascii="宋体" w:hAnsi="宋体" w:cs="宋体"/>
      </w:rPr>
      <w:fldChar w:fldCharType="end"/>
    </w:r>
  </w:p>
  <w:p>
    <w:pPr>
      <w:pStyle w:val="26"/>
      <w:pBdr>
        <w:top w:val="single" w:color="auto" w:sz="4" w:space="1"/>
      </w:pBdr>
      <w:ind w:right="360"/>
      <w:rPr>
        <w:rFonts w:ascii="宋体" w:cs="宋体"/>
        <w:color w:val="000099"/>
        <w:sz w:val="15"/>
        <w:szCs w:val="15"/>
      </w:rPr>
    </w:pPr>
    <w:r>
      <w:rPr>
        <w:rFonts w:hint="eastAsia" w:ascii="宋体" w:hAnsi="宋体" w:cs="宋体"/>
        <w:color w:val="000099"/>
        <w:sz w:val="15"/>
        <w:szCs w:val="15"/>
      </w:rPr>
      <w:t>浙江聚信工程管理有限公司（仙居县光明西路434号</w:t>
    </w:r>
    <w:r>
      <w:rPr>
        <w:rFonts w:ascii="宋体" w:hAnsi="宋体" w:cs="宋体"/>
        <w:color w:val="000099"/>
        <w:sz w:val="15"/>
        <w:szCs w:val="15"/>
      </w:rPr>
      <w:t xml:space="preserve"> </w:t>
    </w:r>
    <w:r>
      <w:rPr>
        <w:rFonts w:hint="eastAsia" w:ascii="宋体" w:hAnsi="宋体" w:cs="宋体"/>
        <w:color w:val="000099"/>
        <w:sz w:val="15"/>
        <w:szCs w:val="15"/>
      </w:rPr>
      <w:t>电话：</w:t>
    </w:r>
    <w:r>
      <w:rPr>
        <w:rFonts w:ascii="宋体" w:hAnsi="宋体" w:cs="宋体"/>
        <w:color w:val="000099"/>
        <w:sz w:val="15"/>
        <w:szCs w:val="15"/>
      </w:rPr>
      <w:t>0576-87785155</w:t>
    </w:r>
    <w:r>
      <w:rPr>
        <w:rFonts w:hint="eastAsia" w:ascii="宋体" w:hAnsi="宋体" w:cs="宋体"/>
        <w:color w:val="000099"/>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right"/>
      <w:rPr>
        <w:rFonts w:ascii="宋体" w:cs="宋体"/>
      </w:rPr>
    </w:pPr>
    <w:r>
      <w:rPr>
        <w:rFonts w:hint="eastAsia" w:ascii="宋体" w:hAnsi="宋体" w:cs="宋体"/>
        <w:color w:val="000000"/>
        <w:szCs w:val="21"/>
        <w:lang w:eastAsia="zh-CN"/>
      </w:rPr>
      <w:t>仙居县力天市政工程有限公司PE管材及配件、PPR管材及配件采购项目</w:t>
    </w:r>
    <w:r>
      <w:rPr>
        <w:rFonts w:hint="eastAsia" w:ascii="宋体" w:hAnsi="宋体" w:cs="宋体"/>
        <w:color w:val="000000"/>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D82C4"/>
    <w:multiLevelType w:val="singleLevel"/>
    <w:tmpl w:val="E95D82C4"/>
    <w:lvl w:ilvl="0" w:tentative="0">
      <w:start w:val="1"/>
      <w:numFmt w:val="decimal"/>
      <w:lvlText w:val="(%1)"/>
      <w:lvlJc w:val="left"/>
      <w:pPr>
        <w:ind w:left="425" w:hanging="425"/>
      </w:pPr>
      <w:rPr>
        <w:rFonts w:hint="default"/>
      </w:rPr>
    </w:lvl>
  </w:abstractNum>
  <w:abstractNum w:abstractNumId="1">
    <w:nsid w:val="FB28B0D2"/>
    <w:multiLevelType w:val="singleLevel"/>
    <w:tmpl w:val="FB28B0D2"/>
    <w:lvl w:ilvl="0" w:tentative="0">
      <w:start w:val="2"/>
      <w:numFmt w:val="decimal"/>
      <w:suff w:val="nothing"/>
      <w:lvlText w:val="%1、"/>
      <w:lvlJc w:val="left"/>
    </w:lvl>
  </w:abstractNum>
  <w:abstractNum w:abstractNumId="2">
    <w:nsid w:val="0D300F12"/>
    <w:multiLevelType w:val="multilevel"/>
    <w:tmpl w:val="0D300F12"/>
    <w:lvl w:ilvl="0" w:tentative="0">
      <w:start w:val="3"/>
      <w:numFmt w:val="japaneseCounting"/>
      <w:lvlText w:val="%1）"/>
      <w:lvlJc w:val="left"/>
      <w:pPr>
        <w:tabs>
          <w:tab w:val="left" w:pos="630"/>
        </w:tabs>
        <w:ind w:left="630" w:hanging="420"/>
      </w:pPr>
      <w:rPr>
        <w:rFonts w:hint="default"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lowerRoman"/>
      <w:pStyle w:val="94"/>
      <w:lvlText w:val="%3."/>
      <w:lvlJc w:val="right"/>
      <w:pPr>
        <w:tabs>
          <w:tab w:val="left" w:pos="1470"/>
        </w:tabs>
        <w:ind w:left="1470" w:hanging="420"/>
      </w:pPr>
      <w:rPr>
        <w:rFonts w:cs="Times New Roman"/>
      </w:rPr>
    </w:lvl>
    <w:lvl w:ilvl="3" w:tentative="0">
      <w:start w:val="1"/>
      <w:numFmt w:val="decimal"/>
      <w:pStyle w:val="93"/>
      <w:lvlText w:val="%4."/>
      <w:lvlJc w:val="left"/>
      <w:pPr>
        <w:tabs>
          <w:tab w:val="left" w:pos="1890"/>
        </w:tabs>
        <w:ind w:left="1890" w:hanging="420"/>
      </w:pPr>
      <w:rPr>
        <w:rFonts w:cs="Times New Roman"/>
      </w:rPr>
    </w:lvl>
    <w:lvl w:ilvl="4" w:tentative="0">
      <w:start w:val="1"/>
      <w:numFmt w:val="lowerLetter"/>
      <w:pStyle w:val="97"/>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3">
    <w:nsid w:val="21CFFC64"/>
    <w:multiLevelType w:val="singleLevel"/>
    <w:tmpl w:val="21CFFC64"/>
    <w:lvl w:ilvl="0" w:tentative="0">
      <w:start w:val="2"/>
      <w:numFmt w:val="decimal"/>
      <w:suff w:val="nothing"/>
      <w:lvlText w:val="%1、"/>
      <w:lvlJc w:val="left"/>
      <w:rPr>
        <w:rFonts w:hint="default"/>
        <w:b w:val="0"/>
        <w:bCs w:val="0"/>
      </w:rPr>
    </w:lvl>
  </w:abstractNum>
  <w:abstractNum w:abstractNumId="4">
    <w:nsid w:val="27CF816A"/>
    <w:multiLevelType w:val="singleLevel"/>
    <w:tmpl w:val="27CF816A"/>
    <w:lvl w:ilvl="0" w:tentative="0">
      <w:start w:val="1"/>
      <w:numFmt w:val="decimal"/>
      <w:suff w:val="space"/>
      <w:lvlText w:val="%1."/>
      <w:lvlJc w:val="left"/>
      <w:pPr>
        <w:ind w:left="454" w:hanging="454"/>
      </w:pPr>
      <w:rPr>
        <w:rFonts w:hint="default" w:cs="Times New Roman"/>
        <w:b w:val="0"/>
        <w:bCs w:val="0"/>
      </w:rPr>
    </w:lvl>
  </w:abstractNum>
  <w:abstractNum w:abstractNumId="5">
    <w:nsid w:val="2F6D83BF"/>
    <w:multiLevelType w:val="singleLevel"/>
    <w:tmpl w:val="2F6D83BF"/>
    <w:lvl w:ilvl="0" w:tentative="0">
      <w:start w:val="1"/>
      <w:numFmt w:val="chineseCounting"/>
      <w:suff w:val="nothing"/>
      <w:lvlText w:val="%1、"/>
      <w:lvlJc w:val="left"/>
      <w:pPr>
        <w:ind w:left="0" w:firstLine="420"/>
      </w:pPr>
      <w:rPr>
        <w:rFonts w:hint="eastAsia"/>
      </w:rPr>
    </w:lvl>
  </w:abstractNum>
  <w:abstractNum w:abstractNumId="6">
    <w:nsid w:val="54F403B5"/>
    <w:multiLevelType w:val="singleLevel"/>
    <w:tmpl w:val="54F403B5"/>
    <w:lvl w:ilvl="0" w:tentative="0">
      <w:start w:val="1"/>
      <w:numFmt w:val="chineseCounting"/>
      <w:suff w:val="nothing"/>
      <w:lvlText w:val="%1、"/>
      <w:lvlJc w:val="left"/>
      <w:rPr>
        <w:rFonts w:cs="Times New Roman"/>
      </w:rPr>
    </w:lvl>
  </w:abstractNum>
  <w:abstractNum w:abstractNumId="7">
    <w:nsid w:val="557FD3DA"/>
    <w:multiLevelType w:val="singleLevel"/>
    <w:tmpl w:val="557FD3DA"/>
    <w:lvl w:ilvl="0" w:tentative="0">
      <w:start w:val="3"/>
      <w:numFmt w:val="chineseCounting"/>
      <w:suff w:val="nothing"/>
      <w:lvlText w:val="%1、"/>
      <w:lvlJc w:val="left"/>
      <w:rPr>
        <w:rFonts w:cs="Times New Roman"/>
      </w:rPr>
    </w:lvl>
  </w:abstractNum>
  <w:abstractNum w:abstractNumId="8">
    <w:nsid w:val="604D78A5"/>
    <w:multiLevelType w:val="multilevel"/>
    <w:tmpl w:val="604D78A5"/>
    <w:lvl w:ilvl="0" w:tentative="0">
      <w:start w:val="1"/>
      <w:numFmt w:val="chineseCountingThousand"/>
      <w:lvlText w:val="%1、"/>
      <w:lvlJc w:val="left"/>
      <w:pPr>
        <w:tabs>
          <w:tab w:val="left" w:pos="0"/>
        </w:tabs>
        <w:ind w:left="420" w:hanging="420"/>
      </w:pPr>
      <w:rPr>
        <w:rFonts w:cs="Times New Roman"/>
      </w:rPr>
    </w:lvl>
    <w:lvl w:ilvl="1" w:tentative="0">
      <w:start w:val="1"/>
      <w:numFmt w:val="lowerLetter"/>
      <w:lvlText w:val="%2)"/>
      <w:lvlJc w:val="left"/>
      <w:pPr>
        <w:tabs>
          <w:tab w:val="left" w:pos="0"/>
        </w:tabs>
        <w:ind w:left="840" w:hanging="420"/>
      </w:pPr>
      <w:rPr>
        <w:rFonts w:cs="Times New Roman"/>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1680" w:hanging="420"/>
      </w:pPr>
      <w:rPr>
        <w:rFonts w:cs="Times New Roman"/>
      </w:rPr>
    </w:lvl>
    <w:lvl w:ilvl="4" w:tentative="0">
      <w:start w:val="1"/>
      <w:numFmt w:val="lowerLetter"/>
      <w:lvlText w:val="%5)"/>
      <w:lvlJc w:val="left"/>
      <w:pPr>
        <w:tabs>
          <w:tab w:val="left" w:pos="0"/>
        </w:tabs>
        <w:ind w:left="2100" w:hanging="420"/>
      </w:pPr>
      <w:rPr>
        <w:rFonts w:cs="Times New Roman"/>
      </w:rPr>
    </w:lvl>
    <w:lvl w:ilvl="5" w:tentative="0">
      <w:start w:val="1"/>
      <w:numFmt w:val="lowerRoman"/>
      <w:lvlText w:val="%6."/>
      <w:lvlJc w:val="right"/>
      <w:pPr>
        <w:tabs>
          <w:tab w:val="left" w:pos="0"/>
        </w:tabs>
        <w:ind w:left="2520" w:hanging="420"/>
      </w:pPr>
      <w:rPr>
        <w:rFonts w:cs="Times New Roman"/>
      </w:rPr>
    </w:lvl>
    <w:lvl w:ilvl="6" w:tentative="0">
      <w:start w:val="1"/>
      <w:numFmt w:val="decimal"/>
      <w:lvlText w:val="%7."/>
      <w:lvlJc w:val="left"/>
      <w:pPr>
        <w:tabs>
          <w:tab w:val="left" w:pos="0"/>
        </w:tabs>
        <w:ind w:left="2940" w:hanging="420"/>
      </w:pPr>
      <w:rPr>
        <w:rFonts w:cs="Times New Roman"/>
      </w:rPr>
    </w:lvl>
    <w:lvl w:ilvl="7" w:tentative="0">
      <w:start w:val="1"/>
      <w:numFmt w:val="lowerLetter"/>
      <w:lvlText w:val="%8)"/>
      <w:lvlJc w:val="left"/>
      <w:pPr>
        <w:tabs>
          <w:tab w:val="left" w:pos="0"/>
        </w:tabs>
        <w:ind w:left="3360" w:hanging="420"/>
      </w:pPr>
      <w:rPr>
        <w:rFonts w:cs="Times New Roman"/>
      </w:rPr>
    </w:lvl>
    <w:lvl w:ilvl="8" w:tentative="0">
      <w:start w:val="1"/>
      <w:numFmt w:val="lowerRoman"/>
      <w:lvlText w:val="%9."/>
      <w:lvlJc w:val="right"/>
      <w:pPr>
        <w:tabs>
          <w:tab w:val="left" w:pos="0"/>
        </w:tabs>
        <w:ind w:left="3780" w:hanging="420"/>
      </w:pPr>
      <w:rPr>
        <w:rFonts w:cs="Times New Roman"/>
      </w:rPr>
    </w:lvl>
  </w:abstractNum>
  <w:abstractNum w:abstractNumId="9">
    <w:nsid w:val="605973FD"/>
    <w:multiLevelType w:val="multilevel"/>
    <w:tmpl w:val="605973FD"/>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pStyle w:val="82"/>
      <w:lvlText w:val="%6."/>
      <w:lvlJc w:val="right"/>
      <w:pPr>
        <w:tabs>
          <w:tab w:val="left" w:pos="2944"/>
        </w:tabs>
        <w:ind w:left="2944" w:hanging="420"/>
      </w:pPr>
      <w:rPr>
        <w:rFonts w:cs="Times New Roman"/>
      </w:rPr>
    </w:lvl>
    <w:lvl w:ilvl="6" w:tentative="0">
      <w:start w:val="1"/>
      <w:numFmt w:val="decimal"/>
      <w:pStyle w:val="49"/>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10">
    <w:nsid w:val="78C1CCC8"/>
    <w:multiLevelType w:val="singleLevel"/>
    <w:tmpl w:val="78C1CCC8"/>
    <w:lvl w:ilvl="0" w:tentative="0">
      <w:start w:val="1"/>
      <w:numFmt w:val="decimal"/>
      <w:suff w:val="nothing"/>
      <w:lvlText w:val="%1．"/>
      <w:lvlJc w:val="left"/>
      <w:pPr>
        <w:ind w:left="0" w:firstLine="400"/>
      </w:pPr>
      <w:rPr>
        <w:rFonts w:hint="default"/>
      </w:rPr>
    </w:lvl>
  </w:abstractNum>
  <w:num w:numId="1">
    <w:abstractNumId w:val="9"/>
  </w:num>
  <w:num w:numId="2">
    <w:abstractNumId w:val="2"/>
  </w:num>
  <w:num w:numId="3">
    <w:abstractNumId w:val="8"/>
    <w:lvlOverride w:ilvl="0">
      <w:lvl w:ilvl="0" w:tentative="1">
        <w:start w:val="1"/>
        <w:numFmt w:val="chineseCountingThousand"/>
        <w:suff w:val="space"/>
        <w:lvlText w:val="%1、"/>
        <w:lvlJc w:val="left"/>
        <w:pPr>
          <w:ind w:left="420" w:hanging="420"/>
        </w:pPr>
        <w:rPr>
          <w:rFonts w:cs="Times New Roman"/>
        </w:rPr>
      </w:lvl>
    </w:lvlOverride>
    <w:lvlOverride w:ilvl="1">
      <w:lvl w:ilvl="1" w:tentative="1">
        <w:start w:val="1"/>
        <w:numFmt w:val="lowerLetter"/>
        <w:lvlRestart w:val="0"/>
        <w:lvlText w:val="%2)"/>
        <w:lvlJc w:val="left"/>
        <w:pPr>
          <w:ind w:left="840" w:hanging="420"/>
        </w:pPr>
        <w:rPr>
          <w:rFonts w:cs="Times New Roman"/>
        </w:rPr>
      </w:lvl>
    </w:lvlOverride>
    <w:lvlOverride w:ilvl="2">
      <w:lvl w:ilvl="2" w:tentative="1">
        <w:start w:val="1"/>
        <w:numFmt w:val="lowerRoman"/>
        <w:lvlRestart w:val="0"/>
        <w:lvlText w:val="%3."/>
        <w:lvlJc w:val="right"/>
        <w:pPr>
          <w:ind w:left="1260" w:hanging="420"/>
        </w:pPr>
        <w:rPr>
          <w:rFonts w:cs="Times New Roman"/>
        </w:rPr>
      </w:lvl>
    </w:lvlOverride>
    <w:lvlOverride w:ilvl="3">
      <w:lvl w:ilvl="3" w:tentative="1">
        <w:start w:val="1"/>
        <w:numFmt w:val="decimal"/>
        <w:lvlRestart w:val="0"/>
        <w:lvlText w:val="%4."/>
        <w:lvlJc w:val="left"/>
        <w:pPr>
          <w:ind w:left="1680" w:hanging="420"/>
        </w:pPr>
        <w:rPr>
          <w:rFonts w:cs="Times New Roman"/>
        </w:rPr>
      </w:lvl>
    </w:lvlOverride>
    <w:lvlOverride w:ilvl="4">
      <w:lvl w:ilvl="4" w:tentative="1">
        <w:start w:val="1"/>
        <w:numFmt w:val="lowerLetter"/>
        <w:lvlRestart w:val="0"/>
        <w:lvlText w:val="%5)"/>
        <w:lvlJc w:val="left"/>
        <w:pPr>
          <w:ind w:left="2100" w:hanging="420"/>
        </w:pPr>
        <w:rPr>
          <w:rFonts w:cs="Times New Roman"/>
        </w:rPr>
      </w:lvl>
    </w:lvlOverride>
    <w:lvlOverride w:ilvl="5">
      <w:lvl w:ilvl="5" w:tentative="1">
        <w:start w:val="1"/>
        <w:numFmt w:val="lowerRoman"/>
        <w:lvlRestart w:val="0"/>
        <w:lvlText w:val="%6."/>
        <w:lvlJc w:val="right"/>
        <w:pPr>
          <w:ind w:left="2520" w:hanging="420"/>
        </w:pPr>
        <w:rPr>
          <w:rFonts w:cs="Times New Roman"/>
        </w:rPr>
      </w:lvl>
    </w:lvlOverride>
    <w:lvlOverride w:ilvl="6">
      <w:lvl w:ilvl="6" w:tentative="1">
        <w:start w:val="1"/>
        <w:numFmt w:val="decimal"/>
        <w:lvlRestart w:val="0"/>
        <w:lvlText w:val="%7."/>
        <w:lvlJc w:val="left"/>
        <w:pPr>
          <w:ind w:left="2940" w:hanging="420"/>
        </w:pPr>
        <w:rPr>
          <w:rFonts w:cs="Times New Roman"/>
        </w:rPr>
      </w:lvl>
    </w:lvlOverride>
    <w:lvlOverride w:ilvl="7">
      <w:lvl w:ilvl="7" w:tentative="1">
        <w:start w:val="1"/>
        <w:numFmt w:val="lowerLetter"/>
        <w:lvlRestart w:val="0"/>
        <w:lvlText w:val="%8)"/>
        <w:lvlJc w:val="left"/>
        <w:pPr>
          <w:ind w:left="3360" w:hanging="420"/>
        </w:pPr>
        <w:rPr>
          <w:rFonts w:cs="Times New Roman"/>
        </w:rPr>
      </w:lvl>
    </w:lvlOverride>
    <w:lvlOverride w:ilvl="8">
      <w:lvl w:ilvl="8" w:tentative="1">
        <w:start w:val="1"/>
        <w:numFmt w:val="lowerRoman"/>
        <w:lvlRestart w:val="0"/>
        <w:lvlText w:val="%9."/>
        <w:lvlJc w:val="right"/>
        <w:pPr>
          <w:ind w:left="3780" w:hanging="420"/>
        </w:pPr>
        <w:rPr>
          <w:rFonts w:cs="Times New Roman"/>
        </w:rPr>
      </w:lvl>
    </w:lvlOverride>
  </w:num>
  <w:num w:numId="4">
    <w:abstractNumId w:val="4"/>
  </w:num>
  <w:num w:numId="5">
    <w:abstractNumId w:val="5"/>
  </w:num>
  <w:num w:numId="6">
    <w:abstractNumId w:val="0"/>
  </w:num>
  <w:num w:numId="7">
    <w:abstractNumId w:val="10"/>
  </w:num>
  <w:num w:numId="8">
    <w:abstractNumId w:val="3"/>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rawingGridHorizontalSpacing w:val="210"/>
  <w:drawingGridVerticalSpacing w:val="152"/>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MGQyMmExNGQ4N2Y2YTdlYjA3Mjg5YWEyNThlMTQifQ=="/>
  </w:docVars>
  <w:rsids>
    <w:rsidRoot w:val="00011419"/>
    <w:rsid w:val="00006538"/>
    <w:rsid w:val="00010B89"/>
    <w:rsid w:val="00011419"/>
    <w:rsid w:val="00030372"/>
    <w:rsid w:val="00032862"/>
    <w:rsid w:val="0003560D"/>
    <w:rsid w:val="00037B77"/>
    <w:rsid w:val="000468AD"/>
    <w:rsid w:val="00072F8E"/>
    <w:rsid w:val="000C2BD8"/>
    <w:rsid w:val="000C7222"/>
    <w:rsid w:val="000D757E"/>
    <w:rsid w:val="000F711B"/>
    <w:rsid w:val="0011444A"/>
    <w:rsid w:val="001155A2"/>
    <w:rsid w:val="00115F78"/>
    <w:rsid w:val="001439F6"/>
    <w:rsid w:val="00174DB8"/>
    <w:rsid w:val="00175A4A"/>
    <w:rsid w:val="00176CD4"/>
    <w:rsid w:val="00190477"/>
    <w:rsid w:val="001A11A9"/>
    <w:rsid w:val="001B3F9A"/>
    <w:rsid w:val="001B599E"/>
    <w:rsid w:val="001D13E8"/>
    <w:rsid w:val="001E1FE4"/>
    <w:rsid w:val="001F289B"/>
    <w:rsid w:val="0020785D"/>
    <w:rsid w:val="0023277D"/>
    <w:rsid w:val="0024005A"/>
    <w:rsid w:val="002769B0"/>
    <w:rsid w:val="00276A69"/>
    <w:rsid w:val="00285124"/>
    <w:rsid w:val="002929C3"/>
    <w:rsid w:val="002A6597"/>
    <w:rsid w:val="002A7BF2"/>
    <w:rsid w:val="002B198A"/>
    <w:rsid w:val="0033317C"/>
    <w:rsid w:val="003344E3"/>
    <w:rsid w:val="0035706D"/>
    <w:rsid w:val="00361AE7"/>
    <w:rsid w:val="0037648D"/>
    <w:rsid w:val="00385911"/>
    <w:rsid w:val="003A5751"/>
    <w:rsid w:val="003D74A4"/>
    <w:rsid w:val="00430A77"/>
    <w:rsid w:val="00457ACE"/>
    <w:rsid w:val="004665BE"/>
    <w:rsid w:val="004A44CE"/>
    <w:rsid w:val="004B0E93"/>
    <w:rsid w:val="004B1317"/>
    <w:rsid w:val="004B3FD8"/>
    <w:rsid w:val="004C279C"/>
    <w:rsid w:val="004D1FF3"/>
    <w:rsid w:val="004F4D0D"/>
    <w:rsid w:val="00531895"/>
    <w:rsid w:val="00534D3D"/>
    <w:rsid w:val="00536D03"/>
    <w:rsid w:val="00536EEB"/>
    <w:rsid w:val="0054190C"/>
    <w:rsid w:val="00554063"/>
    <w:rsid w:val="00557B71"/>
    <w:rsid w:val="00563D6B"/>
    <w:rsid w:val="00576EAE"/>
    <w:rsid w:val="005A12FB"/>
    <w:rsid w:val="005C3069"/>
    <w:rsid w:val="00606B54"/>
    <w:rsid w:val="006137E5"/>
    <w:rsid w:val="006204FD"/>
    <w:rsid w:val="00623F4C"/>
    <w:rsid w:val="00657D7D"/>
    <w:rsid w:val="00661C41"/>
    <w:rsid w:val="00695C4B"/>
    <w:rsid w:val="006A31E9"/>
    <w:rsid w:val="006B2A8B"/>
    <w:rsid w:val="006D34C7"/>
    <w:rsid w:val="006D7924"/>
    <w:rsid w:val="007160DA"/>
    <w:rsid w:val="007224D9"/>
    <w:rsid w:val="00733D3F"/>
    <w:rsid w:val="00756156"/>
    <w:rsid w:val="0076678D"/>
    <w:rsid w:val="0077073A"/>
    <w:rsid w:val="0077704B"/>
    <w:rsid w:val="00792FCB"/>
    <w:rsid w:val="007A28B6"/>
    <w:rsid w:val="007A3E74"/>
    <w:rsid w:val="007A58A9"/>
    <w:rsid w:val="007B506D"/>
    <w:rsid w:val="007D6788"/>
    <w:rsid w:val="007E364D"/>
    <w:rsid w:val="0086495C"/>
    <w:rsid w:val="00885A6C"/>
    <w:rsid w:val="0089394E"/>
    <w:rsid w:val="008D0A99"/>
    <w:rsid w:val="008D7515"/>
    <w:rsid w:val="009108FB"/>
    <w:rsid w:val="00915E81"/>
    <w:rsid w:val="00920233"/>
    <w:rsid w:val="0093168C"/>
    <w:rsid w:val="0093317F"/>
    <w:rsid w:val="0094018D"/>
    <w:rsid w:val="00942D71"/>
    <w:rsid w:val="00955130"/>
    <w:rsid w:val="00981E54"/>
    <w:rsid w:val="009C0B97"/>
    <w:rsid w:val="009D32C7"/>
    <w:rsid w:val="009E4253"/>
    <w:rsid w:val="00A003A2"/>
    <w:rsid w:val="00A14417"/>
    <w:rsid w:val="00A25F13"/>
    <w:rsid w:val="00A43B60"/>
    <w:rsid w:val="00A54CD6"/>
    <w:rsid w:val="00A87858"/>
    <w:rsid w:val="00AB5F7C"/>
    <w:rsid w:val="00AD0467"/>
    <w:rsid w:val="00AE62E9"/>
    <w:rsid w:val="00AF2307"/>
    <w:rsid w:val="00AF4275"/>
    <w:rsid w:val="00B16B52"/>
    <w:rsid w:val="00B27AAD"/>
    <w:rsid w:val="00B31BB9"/>
    <w:rsid w:val="00B542A9"/>
    <w:rsid w:val="00B8751E"/>
    <w:rsid w:val="00B94919"/>
    <w:rsid w:val="00BC6F46"/>
    <w:rsid w:val="00BD2B5A"/>
    <w:rsid w:val="00BE1B7D"/>
    <w:rsid w:val="00BF5BA2"/>
    <w:rsid w:val="00C14E61"/>
    <w:rsid w:val="00C617AA"/>
    <w:rsid w:val="00C617AE"/>
    <w:rsid w:val="00C64931"/>
    <w:rsid w:val="00C71883"/>
    <w:rsid w:val="00C73A6A"/>
    <w:rsid w:val="00C75F58"/>
    <w:rsid w:val="00C92B85"/>
    <w:rsid w:val="00CB294B"/>
    <w:rsid w:val="00CD6538"/>
    <w:rsid w:val="00CE1828"/>
    <w:rsid w:val="00D1304C"/>
    <w:rsid w:val="00D14BD8"/>
    <w:rsid w:val="00D3372F"/>
    <w:rsid w:val="00D60258"/>
    <w:rsid w:val="00D85562"/>
    <w:rsid w:val="00D85D74"/>
    <w:rsid w:val="00D953A8"/>
    <w:rsid w:val="00DA4844"/>
    <w:rsid w:val="00DB0768"/>
    <w:rsid w:val="00DB2F8A"/>
    <w:rsid w:val="00DE5A39"/>
    <w:rsid w:val="00DE5DF3"/>
    <w:rsid w:val="00DF32CD"/>
    <w:rsid w:val="00E00B2A"/>
    <w:rsid w:val="00E01E9A"/>
    <w:rsid w:val="00E12E8F"/>
    <w:rsid w:val="00E13486"/>
    <w:rsid w:val="00E3725C"/>
    <w:rsid w:val="00E438A2"/>
    <w:rsid w:val="00E575E1"/>
    <w:rsid w:val="00E5797A"/>
    <w:rsid w:val="00E65D33"/>
    <w:rsid w:val="00E70D3C"/>
    <w:rsid w:val="00EB5C87"/>
    <w:rsid w:val="00ED7AE1"/>
    <w:rsid w:val="00EF307B"/>
    <w:rsid w:val="00F1072C"/>
    <w:rsid w:val="00F1674C"/>
    <w:rsid w:val="00F2408F"/>
    <w:rsid w:val="00F273E9"/>
    <w:rsid w:val="00F553ED"/>
    <w:rsid w:val="00F7653E"/>
    <w:rsid w:val="00F87E64"/>
    <w:rsid w:val="00FB4104"/>
    <w:rsid w:val="00FB7C7E"/>
    <w:rsid w:val="00FD41D2"/>
    <w:rsid w:val="00FE776F"/>
    <w:rsid w:val="00FF33A1"/>
    <w:rsid w:val="01020FCC"/>
    <w:rsid w:val="01075C89"/>
    <w:rsid w:val="015B44A1"/>
    <w:rsid w:val="015E4AD6"/>
    <w:rsid w:val="0162486C"/>
    <w:rsid w:val="016C71F3"/>
    <w:rsid w:val="016C78C3"/>
    <w:rsid w:val="016D6AC7"/>
    <w:rsid w:val="01770B89"/>
    <w:rsid w:val="01944D9A"/>
    <w:rsid w:val="01981D96"/>
    <w:rsid w:val="01A20643"/>
    <w:rsid w:val="01A84F6B"/>
    <w:rsid w:val="01AB6FC6"/>
    <w:rsid w:val="01C0753F"/>
    <w:rsid w:val="01CA4E76"/>
    <w:rsid w:val="01DC43C7"/>
    <w:rsid w:val="01EE5E5A"/>
    <w:rsid w:val="021C67BA"/>
    <w:rsid w:val="023800B3"/>
    <w:rsid w:val="027E7B61"/>
    <w:rsid w:val="028C0922"/>
    <w:rsid w:val="029562D6"/>
    <w:rsid w:val="02B46A49"/>
    <w:rsid w:val="02BD7561"/>
    <w:rsid w:val="02C774DC"/>
    <w:rsid w:val="02CB7F49"/>
    <w:rsid w:val="02DF39F5"/>
    <w:rsid w:val="030C7B4F"/>
    <w:rsid w:val="03425FB8"/>
    <w:rsid w:val="03555A65"/>
    <w:rsid w:val="035B0D7F"/>
    <w:rsid w:val="03914010"/>
    <w:rsid w:val="03A74E08"/>
    <w:rsid w:val="041F679F"/>
    <w:rsid w:val="042D119E"/>
    <w:rsid w:val="04316146"/>
    <w:rsid w:val="047010F6"/>
    <w:rsid w:val="04C35D04"/>
    <w:rsid w:val="05196C8F"/>
    <w:rsid w:val="05241069"/>
    <w:rsid w:val="056D0B77"/>
    <w:rsid w:val="05873749"/>
    <w:rsid w:val="058D73FC"/>
    <w:rsid w:val="05A131E3"/>
    <w:rsid w:val="05A745B5"/>
    <w:rsid w:val="05C83931"/>
    <w:rsid w:val="05E65252"/>
    <w:rsid w:val="05EA28BE"/>
    <w:rsid w:val="06021ED4"/>
    <w:rsid w:val="06023C82"/>
    <w:rsid w:val="061E4CE3"/>
    <w:rsid w:val="062C6F86"/>
    <w:rsid w:val="06506CC2"/>
    <w:rsid w:val="066928B6"/>
    <w:rsid w:val="0669415E"/>
    <w:rsid w:val="06B77A1C"/>
    <w:rsid w:val="06F0266E"/>
    <w:rsid w:val="06F36F01"/>
    <w:rsid w:val="071A4FFB"/>
    <w:rsid w:val="075964FE"/>
    <w:rsid w:val="0766397E"/>
    <w:rsid w:val="076E5CA6"/>
    <w:rsid w:val="07A56FBB"/>
    <w:rsid w:val="07C459A9"/>
    <w:rsid w:val="07CD3DB5"/>
    <w:rsid w:val="08146D2C"/>
    <w:rsid w:val="0821600F"/>
    <w:rsid w:val="083B53E8"/>
    <w:rsid w:val="085E716A"/>
    <w:rsid w:val="086A3D60"/>
    <w:rsid w:val="086C67DD"/>
    <w:rsid w:val="087356A5"/>
    <w:rsid w:val="08903486"/>
    <w:rsid w:val="08910112"/>
    <w:rsid w:val="08A47272"/>
    <w:rsid w:val="08AD6DC6"/>
    <w:rsid w:val="08BF794D"/>
    <w:rsid w:val="08D24978"/>
    <w:rsid w:val="08F61060"/>
    <w:rsid w:val="08F8263A"/>
    <w:rsid w:val="08FD098B"/>
    <w:rsid w:val="0957377F"/>
    <w:rsid w:val="09632F44"/>
    <w:rsid w:val="09826502"/>
    <w:rsid w:val="099868FF"/>
    <w:rsid w:val="09A5562C"/>
    <w:rsid w:val="09B628A7"/>
    <w:rsid w:val="09C645FB"/>
    <w:rsid w:val="09DD4D52"/>
    <w:rsid w:val="09E518F1"/>
    <w:rsid w:val="0A0344D0"/>
    <w:rsid w:val="0A187F18"/>
    <w:rsid w:val="0A3665F0"/>
    <w:rsid w:val="0A375EC4"/>
    <w:rsid w:val="0A5922E8"/>
    <w:rsid w:val="0AA3355A"/>
    <w:rsid w:val="0AB15C77"/>
    <w:rsid w:val="0ABF3A21"/>
    <w:rsid w:val="0AF17E80"/>
    <w:rsid w:val="0B177CB0"/>
    <w:rsid w:val="0B507053"/>
    <w:rsid w:val="0B5F3A74"/>
    <w:rsid w:val="0B796AE0"/>
    <w:rsid w:val="0B824E2A"/>
    <w:rsid w:val="0BAA0535"/>
    <w:rsid w:val="0BAB5C09"/>
    <w:rsid w:val="0BAF665A"/>
    <w:rsid w:val="0BCB70E1"/>
    <w:rsid w:val="0BE24363"/>
    <w:rsid w:val="0BEB46DC"/>
    <w:rsid w:val="0BF422BF"/>
    <w:rsid w:val="0C0D2E2E"/>
    <w:rsid w:val="0C405504"/>
    <w:rsid w:val="0C545EA9"/>
    <w:rsid w:val="0C9B3B3C"/>
    <w:rsid w:val="0CA84E57"/>
    <w:rsid w:val="0CB11F5E"/>
    <w:rsid w:val="0D1F193A"/>
    <w:rsid w:val="0D2E1801"/>
    <w:rsid w:val="0D4C612B"/>
    <w:rsid w:val="0D4D6BBA"/>
    <w:rsid w:val="0D866BDE"/>
    <w:rsid w:val="0DA32C02"/>
    <w:rsid w:val="0DB404F9"/>
    <w:rsid w:val="0DBC72E1"/>
    <w:rsid w:val="0DC17A76"/>
    <w:rsid w:val="0DD75AF7"/>
    <w:rsid w:val="0DDA3D16"/>
    <w:rsid w:val="0E161C10"/>
    <w:rsid w:val="0E2A77C1"/>
    <w:rsid w:val="0E3107CA"/>
    <w:rsid w:val="0E4428A5"/>
    <w:rsid w:val="0E6F0323"/>
    <w:rsid w:val="0E6F695F"/>
    <w:rsid w:val="0E7D73E2"/>
    <w:rsid w:val="0E8A0CB9"/>
    <w:rsid w:val="0E9102D0"/>
    <w:rsid w:val="0E972D25"/>
    <w:rsid w:val="0E9B4C74"/>
    <w:rsid w:val="0EA0672E"/>
    <w:rsid w:val="0EA77ABC"/>
    <w:rsid w:val="0EAF6971"/>
    <w:rsid w:val="0EB652F5"/>
    <w:rsid w:val="0EB65F51"/>
    <w:rsid w:val="0EB9334C"/>
    <w:rsid w:val="0EBC0662"/>
    <w:rsid w:val="0EBE17F9"/>
    <w:rsid w:val="0EDF04C0"/>
    <w:rsid w:val="0EE853A0"/>
    <w:rsid w:val="0F000F7B"/>
    <w:rsid w:val="0F056591"/>
    <w:rsid w:val="0F197691"/>
    <w:rsid w:val="0F234454"/>
    <w:rsid w:val="0F3A0E63"/>
    <w:rsid w:val="0F3A31CE"/>
    <w:rsid w:val="0F523A0C"/>
    <w:rsid w:val="0F5D3A75"/>
    <w:rsid w:val="0F650B88"/>
    <w:rsid w:val="0F655282"/>
    <w:rsid w:val="0F6D3D54"/>
    <w:rsid w:val="0F7B6853"/>
    <w:rsid w:val="0FD76BE7"/>
    <w:rsid w:val="0FD77F2D"/>
    <w:rsid w:val="0FEB6916"/>
    <w:rsid w:val="102A50D2"/>
    <w:rsid w:val="10423A33"/>
    <w:rsid w:val="109D408D"/>
    <w:rsid w:val="10A67900"/>
    <w:rsid w:val="10BD4122"/>
    <w:rsid w:val="111F39C6"/>
    <w:rsid w:val="1154735C"/>
    <w:rsid w:val="11587961"/>
    <w:rsid w:val="11592BC4"/>
    <w:rsid w:val="11707B9C"/>
    <w:rsid w:val="11835764"/>
    <w:rsid w:val="11841370"/>
    <w:rsid w:val="1198156C"/>
    <w:rsid w:val="11FC483D"/>
    <w:rsid w:val="121C129E"/>
    <w:rsid w:val="121C6DF8"/>
    <w:rsid w:val="123D5F45"/>
    <w:rsid w:val="12444C84"/>
    <w:rsid w:val="125E66E4"/>
    <w:rsid w:val="12A54EC2"/>
    <w:rsid w:val="12C30C3D"/>
    <w:rsid w:val="12D27CAA"/>
    <w:rsid w:val="12DF7222"/>
    <w:rsid w:val="12F00BC2"/>
    <w:rsid w:val="12FC5FDF"/>
    <w:rsid w:val="13357DBD"/>
    <w:rsid w:val="13827C23"/>
    <w:rsid w:val="138805E8"/>
    <w:rsid w:val="13A641B5"/>
    <w:rsid w:val="13B862C8"/>
    <w:rsid w:val="13C05BD9"/>
    <w:rsid w:val="13F7627C"/>
    <w:rsid w:val="14103A0E"/>
    <w:rsid w:val="142E0264"/>
    <w:rsid w:val="143253C7"/>
    <w:rsid w:val="143A6CDD"/>
    <w:rsid w:val="144B08EA"/>
    <w:rsid w:val="145C2FD5"/>
    <w:rsid w:val="146632C7"/>
    <w:rsid w:val="14834A88"/>
    <w:rsid w:val="148665EA"/>
    <w:rsid w:val="14956A7F"/>
    <w:rsid w:val="14FB08C3"/>
    <w:rsid w:val="14FE062D"/>
    <w:rsid w:val="15013EAF"/>
    <w:rsid w:val="15202377"/>
    <w:rsid w:val="15332836"/>
    <w:rsid w:val="15372482"/>
    <w:rsid w:val="153957D6"/>
    <w:rsid w:val="15632263"/>
    <w:rsid w:val="15CF0E64"/>
    <w:rsid w:val="15D65076"/>
    <w:rsid w:val="15D73C6A"/>
    <w:rsid w:val="15E47A09"/>
    <w:rsid w:val="16022658"/>
    <w:rsid w:val="166B13D0"/>
    <w:rsid w:val="168048BD"/>
    <w:rsid w:val="16B8105F"/>
    <w:rsid w:val="16D77A93"/>
    <w:rsid w:val="16F77510"/>
    <w:rsid w:val="16FE2244"/>
    <w:rsid w:val="171F3424"/>
    <w:rsid w:val="17425BC5"/>
    <w:rsid w:val="17531AF6"/>
    <w:rsid w:val="179E57D5"/>
    <w:rsid w:val="17A10E21"/>
    <w:rsid w:val="17CF5138"/>
    <w:rsid w:val="17D22FF2"/>
    <w:rsid w:val="17F03895"/>
    <w:rsid w:val="18630E8B"/>
    <w:rsid w:val="186A3DA9"/>
    <w:rsid w:val="187A0287"/>
    <w:rsid w:val="18954E2A"/>
    <w:rsid w:val="18A21EDF"/>
    <w:rsid w:val="18DF264F"/>
    <w:rsid w:val="18E92A80"/>
    <w:rsid w:val="18FE3E66"/>
    <w:rsid w:val="19306900"/>
    <w:rsid w:val="19543C06"/>
    <w:rsid w:val="196B35CB"/>
    <w:rsid w:val="197B1F89"/>
    <w:rsid w:val="19B13F50"/>
    <w:rsid w:val="19BE4225"/>
    <w:rsid w:val="19CB65C6"/>
    <w:rsid w:val="19D627DC"/>
    <w:rsid w:val="1A5F56EF"/>
    <w:rsid w:val="1A761BCF"/>
    <w:rsid w:val="1A957770"/>
    <w:rsid w:val="1AF83EC6"/>
    <w:rsid w:val="1B285471"/>
    <w:rsid w:val="1B2F4288"/>
    <w:rsid w:val="1B401F46"/>
    <w:rsid w:val="1B860A5A"/>
    <w:rsid w:val="1BAF4334"/>
    <w:rsid w:val="1BC42B1F"/>
    <w:rsid w:val="1BC94BA6"/>
    <w:rsid w:val="1BE55262"/>
    <w:rsid w:val="1BF25A3C"/>
    <w:rsid w:val="1C062F8D"/>
    <w:rsid w:val="1C2535E3"/>
    <w:rsid w:val="1C2838BF"/>
    <w:rsid w:val="1C2F56B1"/>
    <w:rsid w:val="1C46734E"/>
    <w:rsid w:val="1C4C3A51"/>
    <w:rsid w:val="1C8541A2"/>
    <w:rsid w:val="1C993EA1"/>
    <w:rsid w:val="1CAD6A5A"/>
    <w:rsid w:val="1CCE5664"/>
    <w:rsid w:val="1D04432C"/>
    <w:rsid w:val="1D092145"/>
    <w:rsid w:val="1D33076D"/>
    <w:rsid w:val="1D466790"/>
    <w:rsid w:val="1D50131F"/>
    <w:rsid w:val="1D517483"/>
    <w:rsid w:val="1D600539"/>
    <w:rsid w:val="1D7D4BB4"/>
    <w:rsid w:val="1D854E06"/>
    <w:rsid w:val="1DA44B8F"/>
    <w:rsid w:val="1DBC6A30"/>
    <w:rsid w:val="1DD95CC8"/>
    <w:rsid w:val="1DF47EFC"/>
    <w:rsid w:val="1DF779ED"/>
    <w:rsid w:val="1E3A4823"/>
    <w:rsid w:val="1E516CB1"/>
    <w:rsid w:val="1E7869AE"/>
    <w:rsid w:val="1EB340DE"/>
    <w:rsid w:val="1EB91E37"/>
    <w:rsid w:val="1EC93137"/>
    <w:rsid w:val="1EEA7263"/>
    <w:rsid w:val="1EF06CC1"/>
    <w:rsid w:val="1F0113D5"/>
    <w:rsid w:val="1F3F0AB2"/>
    <w:rsid w:val="1F4B4494"/>
    <w:rsid w:val="1F5E326E"/>
    <w:rsid w:val="1F7449AC"/>
    <w:rsid w:val="20140941"/>
    <w:rsid w:val="203046D5"/>
    <w:rsid w:val="204D2C21"/>
    <w:rsid w:val="20827A42"/>
    <w:rsid w:val="208512E0"/>
    <w:rsid w:val="20992DBC"/>
    <w:rsid w:val="20E701EC"/>
    <w:rsid w:val="21191BD6"/>
    <w:rsid w:val="21223E26"/>
    <w:rsid w:val="2135443B"/>
    <w:rsid w:val="215A3315"/>
    <w:rsid w:val="21744C49"/>
    <w:rsid w:val="219043E0"/>
    <w:rsid w:val="21936EBB"/>
    <w:rsid w:val="21B3410D"/>
    <w:rsid w:val="21BF089F"/>
    <w:rsid w:val="21C12C09"/>
    <w:rsid w:val="21E06726"/>
    <w:rsid w:val="22021EFF"/>
    <w:rsid w:val="22145011"/>
    <w:rsid w:val="22296FD1"/>
    <w:rsid w:val="22705FCF"/>
    <w:rsid w:val="229677D4"/>
    <w:rsid w:val="22AF62E4"/>
    <w:rsid w:val="22BB48F8"/>
    <w:rsid w:val="22D532AF"/>
    <w:rsid w:val="22D60519"/>
    <w:rsid w:val="22E32419"/>
    <w:rsid w:val="22EC3898"/>
    <w:rsid w:val="22FB7A0E"/>
    <w:rsid w:val="22FC5CCE"/>
    <w:rsid w:val="23134669"/>
    <w:rsid w:val="23351DFA"/>
    <w:rsid w:val="23395F1C"/>
    <w:rsid w:val="235007F1"/>
    <w:rsid w:val="23574D1C"/>
    <w:rsid w:val="236441EE"/>
    <w:rsid w:val="23722E0E"/>
    <w:rsid w:val="237241E0"/>
    <w:rsid w:val="23757C61"/>
    <w:rsid w:val="23983A20"/>
    <w:rsid w:val="23A51000"/>
    <w:rsid w:val="23A77F27"/>
    <w:rsid w:val="23FF25E7"/>
    <w:rsid w:val="2455546D"/>
    <w:rsid w:val="24926371"/>
    <w:rsid w:val="24A82155"/>
    <w:rsid w:val="24C525F3"/>
    <w:rsid w:val="24EE1356"/>
    <w:rsid w:val="24F57711"/>
    <w:rsid w:val="250075EA"/>
    <w:rsid w:val="250F7D12"/>
    <w:rsid w:val="2526240F"/>
    <w:rsid w:val="252A68FA"/>
    <w:rsid w:val="255D6CCF"/>
    <w:rsid w:val="256E120F"/>
    <w:rsid w:val="25774358"/>
    <w:rsid w:val="258C7D56"/>
    <w:rsid w:val="258E50DA"/>
    <w:rsid w:val="259F4B50"/>
    <w:rsid w:val="25C930A2"/>
    <w:rsid w:val="25E4332E"/>
    <w:rsid w:val="25FE3917"/>
    <w:rsid w:val="260A4B7D"/>
    <w:rsid w:val="261661B5"/>
    <w:rsid w:val="26303CF9"/>
    <w:rsid w:val="263D4806"/>
    <w:rsid w:val="26433E13"/>
    <w:rsid w:val="265E796C"/>
    <w:rsid w:val="267B5DCA"/>
    <w:rsid w:val="26881D95"/>
    <w:rsid w:val="26887D7C"/>
    <w:rsid w:val="26D60ACD"/>
    <w:rsid w:val="26FD2518"/>
    <w:rsid w:val="270417F1"/>
    <w:rsid w:val="27134937"/>
    <w:rsid w:val="2737597D"/>
    <w:rsid w:val="27383550"/>
    <w:rsid w:val="273E7B87"/>
    <w:rsid w:val="275845C6"/>
    <w:rsid w:val="27BD1CA7"/>
    <w:rsid w:val="27D4642D"/>
    <w:rsid w:val="286713AC"/>
    <w:rsid w:val="28A03F95"/>
    <w:rsid w:val="28DB6487"/>
    <w:rsid w:val="28F434A6"/>
    <w:rsid w:val="292947E6"/>
    <w:rsid w:val="292E3FA1"/>
    <w:rsid w:val="2957652F"/>
    <w:rsid w:val="29811395"/>
    <w:rsid w:val="29831EDE"/>
    <w:rsid w:val="298C172F"/>
    <w:rsid w:val="299370B2"/>
    <w:rsid w:val="29D519A9"/>
    <w:rsid w:val="29DF6D78"/>
    <w:rsid w:val="29FB08D6"/>
    <w:rsid w:val="2A144079"/>
    <w:rsid w:val="2A423CE6"/>
    <w:rsid w:val="2A5F0DF4"/>
    <w:rsid w:val="2A74112A"/>
    <w:rsid w:val="2A7F4FF2"/>
    <w:rsid w:val="2A9650C9"/>
    <w:rsid w:val="2AAA433B"/>
    <w:rsid w:val="2ABB0720"/>
    <w:rsid w:val="2ABF1AC1"/>
    <w:rsid w:val="2AC34D87"/>
    <w:rsid w:val="2AF27EBA"/>
    <w:rsid w:val="2B134BD7"/>
    <w:rsid w:val="2B3109E2"/>
    <w:rsid w:val="2B854657"/>
    <w:rsid w:val="2BA50A88"/>
    <w:rsid w:val="2BA91893"/>
    <w:rsid w:val="2BAD01DF"/>
    <w:rsid w:val="2BB4374E"/>
    <w:rsid w:val="2BCA6741"/>
    <w:rsid w:val="2BD870AF"/>
    <w:rsid w:val="2C1B6FB7"/>
    <w:rsid w:val="2C3D33B6"/>
    <w:rsid w:val="2C44116A"/>
    <w:rsid w:val="2C466824"/>
    <w:rsid w:val="2C543E03"/>
    <w:rsid w:val="2C8357CB"/>
    <w:rsid w:val="2CB4298F"/>
    <w:rsid w:val="2CC91D61"/>
    <w:rsid w:val="2CD57BE7"/>
    <w:rsid w:val="2D3E2F42"/>
    <w:rsid w:val="2D5A40BD"/>
    <w:rsid w:val="2D5F499D"/>
    <w:rsid w:val="2D822D02"/>
    <w:rsid w:val="2D8A6187"/>
    <w:rsid w:val="2DB27994"/>
    <w:rsid w:val="2DBD5498"/>
    <w:rsid w:val="2DCA6ECC"/>
    <w:rsid w:val="2DDE53CD"/>
    <w:rsid w:val="2DF33D2D"/>
    <w:rsid w:val="2DFC0965"/>
    <w:rsid w:val="2E272633"/>
    <w:rsid w:val="2E2D4421"/>
    <w:rsid w:val="2E325DD7"/>
    <w:rsid w:val="2E5A1A2E"/>
    <w:rsid w:val="2E5F591D"/>
    <w:rsid w:val="2E6F3D52"/>
    <w:rsid w:val="2E792B04"/>
    <w:rsid w:val="2E895C66"/>
    <w:rsid w:val="2EB57234"/>
    <w:rsid w:val="2EE668CE"/>
    <w:rsid w:val="2EE81A49"/>
    <w:rsid w:val="2F031ACB"/>
    <w:rsid w:val="2F061B50"/>
    <w:rsid w:val="2F1B7BAB"/>
    <w:rsid w:val="2F3A7467"/>
    <w:rsid w:val="2F692ED5"/>
    <w:rsid w:val="2F7574B4"/>
    <w:rsid w:val="2F762E69"/>
    <w:rsid w:val="2F9E23BE"/>
    <w:rsid w:val="2FBE414D"/>
    <w:rsid w:val="2FC358E2"/>
    <w:rsid w:val="2FC36553"/>
    <w:rsid w:val="2FE96BF7"/>
    <w:rsid w:val="2FF22ED3"/>
    <w:rsid w:val="30045323"/>
    <w:rsid w:val="30064465"/>
    <w:rsid w:val="30276A59"/>
    <w:rsid w:val="302C39FC"/>
    <w:rsid w:val="30314FE0"/>
    <w:rsid w:val="3058028F"/>
    <w:rsid w:val="306C33B3"/>
    <w:rsid w:val="3070755D"/>
    <w:rsid w:val="30801B01"/>
    <w:rsid w:val="30A51513"/>
    <w:rsid w:val="30AA3E49"/>
    <w:rsid w:val="30E217E0"/>
    <w:rsid w:val="30E331E4"/>
    <w:rsid w:val="30FC197F"/>
    <w:rsid w:val="31151622"/>
    <w:rsid w:val="313426C2"/>
    <w:rsid w:val="313B4368"/>
    <w:rsid w:val="319C5BD1"/>
    <w:rsid w:val="319C697D"/>
    <w:rsid w:val="31A16195"/>
    <w:rsid w:val="31AF440F"/>
    <w:rsid w:val="31B54CD8"/>
    <w:rsid w:val="31C75A3E"/>
    <w:rsid w:val="31CC1E76"/>
    <w:rsid w:val="31DA03D9"/>
    <w:rsid w:val="323455AF"/>
    <w:rsid w:val="32431722"/>
    <w:rsid w:val="324419E7"/>
    <w:rsid w:val="32533FB7"/>
    <w:rsid w:val="325D1438"/>
    <w:rsid w:val="3261552A"/>
    <w:rsid w:val="32754AAB"/>
    <w:rsid w:val="32A97977"/>
    <w:rsid w:val="32B663E8"/>
    <w:rsid w:val="32CF3E68"/>
    <w:rsid w:val="32D00548"/>
    <w:rsid w:val="32DD4AEC"/>
    <w:rsid w:val="332528BB"/>
    <w:rsid w:val="33462B51"/>
    <w:rsid w:val="33784CED"/>
    <w:rsid w:val="33810416"/>
    <w:rsid w:val="338527B5"/>
    <w:rsid w:val="33B201E6"/>
    <w:rsid w:val="33DE37FC"/>
    <w:rsid w:val="3415399E"/>
    <w:rsid w:val="344A58B6"/>
    <w:rsid w:val="34901423"/>
    <w:rsid w:val="34B1049E"/>
    <w:rsid w:val="34C428EA"/>
    <w:rsid w:val="34D86C31"/>
    <w:rsid w:val="34DF500B"/>
    <w:rsid w:val="34E42768"/>
    <w:rsid w:val="34F32BE1"/>
    <w:rsid w:val="35076310"/>
    <w:rsid w:val="3519539B"/>
    <w:rsid w:val="35494B7A"/>
    <w:rsid w:val="354B6BCF"/>
    <w:rsid w:val="355F5BD4"/>
    <w:rsid w:val="356A6F9C"/>
    <w:rsid w:val="356B3A25"/>
    <w:rsid w:val="358211ED"/>
    <w:rsid w:val="35A674DA"/>
    <w:rsid w:val="35BF159A"/>
    <w:rsid w:val="35C51AB4"/>
    <w:rsid w:val="36131DB6"/>
    <w:rsid w:val="36312E15"/>
    <w:rsid w:val="364102D9"/>
    <w:rsid w:val="3656097F"/>
    <w:rsid w:val="36672362"/>
    <w:rsid w:val="367535D5"/>
    <w:rsid w:val="367B03AC"/>
    <w:rsid w:val="36A3613A"/>
    <w:rsid w:val="36BB3856"/>
    <w:rsid w:val="36CA3A99"/>
    <w:rsid w:val="36EC42E2"/>
    <w:rsid w:val="3711395D"/>
    <w:rsid w:val="37126BC7"/>
    <w:rsid w:val="371C4CF7"/>
    <w:rsid w:val="373B04F2"/>
    <w:rsid w:val="37791362"/>
    <w:rsid w:val="379355B3"/>
    <w:rsid w:val="37B52E0B"/>
    <w:rsid w:val="37B54749"/>
    <w:rsid w:val="37D063F5"/>
    <w:rsid w:val="37DB33FF"/>
    <w:rsid w:val="381A5EEE"/>
    <w:rsid w:val="38295D87"/>
    <w:rsid w:val="385301A1"/>
    <w:rsid w:val="38A327F3"/>
    <w:rsid w:val="38B2599D"/>
    <w:rsid w:val="38B927E7"/>
    <w:rsid w:val="38E35FF9"/>
    <w:rsid w:val="390A2F1D"/>
    <w:rsid w:val="392D4EF1"/>
    <w:rsid w:val="39A40D3F"/>
    <w:rsid w:val="39C9789B"/>
    <w:rsid w:val="39D33AED"/>
    <w:rsid w:val="39DA4CDF"/>
    <w:rsid w:val="39F52C7B"/>
    <w:rsid w:val="3A003926"/>
    <w:rsid w:val="3A06303A"/>
    <w:rsid w:val="3A23599A"/>
    <w:rsid w:val="3A313B85"/>
    <w:rsid w:val="3A4F41F2"/>
    <w:rsid w:val="3A5C35BA"/>
    <w:rsid w:val="3A6E041F"/>
    <w:rsid w:val="3A8A2E97"/>
    <w:rsid w:val="3AA50AA5"/>
    <w:rsid w:val="3AD218A1"/>
    <w:rsid w:val="3AE113B1"/>
    <w:rsid w:val="3B13738B"/>
    <w:rsid w:val="3B1E7E1D"/>
    <w:rsid w:val="3B227097"/>
    <w:rsid w:val="3B5A5982"/>
    <w:rsid w:val="3B5F2BD7"/>
    <w:rsid w:val="3B610516"/>
    <w:rsid w:val="3B7E7741"/>
    <w:rsid w:val="3BAC2B5D"/>
    <w:rsid w:val="3BD11425"/>
    <w:rsid w:val="3BE449FF"/>
    <w:rsid w:val="3BED44B1"/>
    <w:rsid w:val="3C027831"/>
    <w:rsid w:val="3C1E6671"/>
    <w:rsid w:val="3C327705"/>
    <w:rsid w:val="3C586481"/>
    <w:rsid w:val="3C734751"/>
    <w:rsid w:val="3CA408E8"/>
    <w:rsid w:val="3CA5708C"/>
    <w:rsid w:val="3CC76F89"/>
    <w:rsid w:val="3CE21B3C"/>
    <w:rsid w:val="3CFD45BC"/>
    <w:rsid w:val="3D052075"/>
    <w:rsid w:val="3D4E5423"/>
    <w:rsid w:val="3D634992"/>
    <w:rsid w:val="3D8464FE"/>
    <w:rsid w:val="3D9A6758"/>
    <w:rsid w:val="3DA2751D"/>
    <w:rsid w:val="3DC379BC"/>
    <w:rsid w:val="3DEE5DFA"/>
    <w:rsid w:val="3DFA1107"/>
    <w:rsid w:val="3E0C25D3"/>
    <w:rsid w:val="3E136AF4"/>
    <w:rsid w:val="3E3330E9"/>
    <w:rsid w:val="3E5A6A99"/>
    <w:rsid w:val="3E5D4356"/>
    <w:rsid w:val="3E605C01"/>
    <w:rsid w:val="3E8310FD"/>
    <w:rsid w:val="3EB312A4"/>
    <w:rsid w:val="3EBB5ABB"/>
    <w:rsid w:val="3ECA0ADA"/>
    <w:rsid w:val="3EF20030"/>
    <w:rsid w:val="3EF67591"/>
    <w:rsid w:val="3F171845"/>
    <w:rsid w:val="3F3632A5"/>
    <w:rsid w:val="3F542A99"/>
    <w:rsid w:val="3FC217B1"/>
    <w:rsid w:val="40247A79"/>
    <w:rsid w:val="403B4837"/>
    <w:rsid w:val="40424771"/>
    <w:rsid w:val="40745114"/>
    <w:rsid w:val="407D3353"/>
    <w:rsid w:val="407D7589"/>
    <w:rsid w:val="40DB684D"/>
    <w:rsid w:val="417411D1"/>
    <w:rsid w:val="41AE7549"/>
    <w:rsid w:val="41C300E0"/>
    <w:rsid w:val="42051E29"/>
    <w:rsid w:val="423E21E4"/>
    <w:rsid w:val="426E79CE"/>
    <w:rsid w:val="42982C9D"/>
    <w:rsid w:val="42D068DB"/>
    <w:rsid w:val="42E45EE2"/>
    <w:rsid w:val="42ED7C4A"/>
    <w:rsid w:val="42F4060B"/>
    <w:rsid w:val="43014FC6"/>
    <w:rsid w:val="43103D15"/>
    <w:rsid w:val="434A3F97"/>
    <w:rsid w:val="4359769A"/>
    <w:rsid w:val="43697616"/>
    <w:rsid w:val="438D0328"/>
    <w:rsid w:val="43A53A71"/>
    <w:rsid w:val="43BB1EE2"/>
    <w:rsid w:val="43C006A4"/>
    <w:rsid w:val="43C93600"/>
    <w:rsid w:val="43DD305D"/>
    <w:rsid w:val="43DD5AEE"/>
    <w:rsid w:val="44191BBB"/>
    <w:rsid w:val="442B6CCF"/>
    <w:rsid w:val="44450090"/>
    <w:rsid w:val="4447497A"/>
    <w:rsid w:val="444913B7"/>
    <w:rsid w:val="44782D86"/>
    <w:rsid w:val="447F2366"/>
    <w:rsid w:val="449D0A3E"/>
    <w:rsid w:val="44C95FED"/>
    <w:rsid w:val="44DA759D"/>
    <w:rsid w:val="44F53BA0"/>
    <w:rsid w:val="44F61263"/>
    <w:rsid w:val="4504038B"/>
    <w:rsid w:val="45152F6A"/>
    <w:rsid w:val="451807B7"/>
    <w:rsid w:val="4519355D"/>
    <w:rsid w:val="452314A3"/>
    <w:rsid w:val="453313C6"/>
    <w:rsid w:val="45575155"/>
    <w:rsid w:val="459B00D6"/>
    <w:rsid w:val="45BD0750"/>
    <w:rsid w:val="45DD61B2"/>
    <w:rsid w:val="45F75F2C"/>
    <w:rsid w:val="46034F80"/>
    <w:rsid w:val="46132D66"/>
    <w:rsid w:val="462A00B0"/>
    <w:rsid w:val="46340402"/>
    <w:rsid w:val="464473C4"/>
    <w:rsid w:val="46583D1D"/>
    <w:rsid w:val="46E124EE"/>
    <w:rsid w:val="47014474"/>
    <w:rsid w:val="471336BB"/>
    <w:rsid w:val="471545D4"/>
    <w:rsid w:val="4725389A"/>
    <w:rsid w:val="47785ADA"/>
    <w:rsid w:val="478847DA"/>
    <w:rsid w:val="47A1702E"/>
    <w:rsid w:val="47A42D8A"/>
    <w:rsid w:val="47AF3B20"/>
    <w:rsid w:val="47CA56A6"/>
    <w:rsid w:val="47DB3561"/>
    <w:rsid w:val="47F861AC"/>
    <w:rsid w:val="480F1C53"/>
    <w:rsid w:val="483634DD"/>
    <w:rsid w:val="484A67E7"/>
    <w:rsid w:val="484D62D8"/>
    <w:rsid w:val="48934632"/>
    <w:rsid w:val="48944081"/>
    <w:rsid w:val="48B12875"/>
    <w:rsid w:val="48C63840"/>
    <w:rsid w:val="48CC0EB5"/>
    <w:rsid w:val="48FA21B8"/>
    <w:rsid w:val="48FE7961"/>
    <w:rsid w:val="490B30FC"/>
    <w:rsid w:val="492E136C"/>
    <w:rsid w:val="493279A7"/>
    <w:rsid w:val="493F20C4"/>
    <w:rsid w:val="49605D03"/>
    <w:rsid w:val="49640F9D"/>
    <w:rsid w:val="49E07403"/>
    <w:rsid w:val="49EA64D4"/>
    <w:rsid w:val="49F66B3A"/>
    <w:rsid w:val="49FF3307"/>
    <w:rsid w:val="4A0060AB"/>
    <w:rsid w:val="4A140DF8"/>
    <w:rsid w:val="4A417DC6"/>
    <w:rsid w:val="4A6407FA"/>
    <w:rsid w:val="4A8E6E5F"/>
    <w:rsid w:val="4A8F3861"/>
    <w:rsid w:val="4AC26B09"/>
    <w:rsid w:val="4AD35E75"/>
    <w:rsid w:val="4AD64EA9"/>
    <w:rsid w:val="4AF56EDE"/>
    <w:rsid w:val="4B296B88"/>
    <w:rsid w:val="4B3410DF"/>
    <w:rsid w:val="4B3D033C"/>
    <w:rsid w:val="4B51194C"/>
    <w:rsid w:val="4B5160DF"/>
    <w:rsid w:val="4B676C43"/>
    <w:rsid w:val="4B6D116B"/>
    <w:rsid w:val="4B8B73BE"/>
    <w:rsid w:val="4BB5666E"/>
    <w:rsid w:val="4BE02D35"/>
    <w:rsid w:val="4BE13222"/>
    <w:rsid w:val="4C3C4C30"/>
    <w:rsid w:val="4C4001CF"/>
    <w:rsid w:val="4C577725"/>
    <w:rsid w:val="4C6368F8"/>
    <w:rsid w:val="4C6A4346"/>
    <w:rsid w:val="4C8E212F"/>
    <w:rsid w:val="4CA13CE1"/>
    <w:rsid w:val="4CCF7123"/>
    <w:rsid w:val="4CDA3CE9"/>
    <w:rsid w:val="4CE3154B"/>
    <w:rsid w:val="4D011C49"/>
    <w:rsid w:val="4D0D5C7B"/>
    <w:rsid w:val="4D114968"/>
    <w:rsid w:val="4D2C4D15"/>
    <w:rsid w:val="4D3B231E"/>
    <w:rsid w:val="4D4C3002"/>
    <w:rsid w:val="4D553C64"/>
    <w:rsid w:val="4D564194"/>
    <w:rsid w:val="4D907C44"/>
    <w:rsid w:val="4D911E12"/>
    <w:rsid w:val="4D9D68AF"/>
    <w:rsid w:val="4DA07CB3"/>
    <w:rsid w:val="4DB36BDD"/>
    <w:rsid w:val="4DE75007"/>
    <w:rsid w:val="4DF571F5"/>
    <w:rsid w:val="4E027BEB"/>
    <w:rsid w:val="4E2D7665"/>
    <w:rsid w:val="4E2F2707"/>
    <w:rsid w:val="4E453CD9"/>
    <w:rsid w:val="4E4B32B9"/>
    <w:rsid w:val="4E4F4B57"/>
    <w:rsid w:val="4EB21187"/>
    <w:rsid w:val="4EB7698D"/>
    <w:rsid w:val="4EC859C5"/>
    <w:rsid w:val="4ECD25C4"/>
    <w:rsid w:val="4EDB62E4"/>
    <w:rsid w:val="4F0B02F1"/>
    <w:rsid w:val="4F1008F0"/>
    <w:rsid w:val="4F381A88"/>
    <w:rsid w:val="4F462F9B"/>
    <w:rsid w:val="4F4C6E3E"/>
    <w:rsid w:val="4F5D32A4"/>
    <w:rsid w:val="4F7800DE"/>
    <w:rsid w:val="4FAF10B5"/>
    <w:rsid w:val="4FCB46B2"/>
    <w:rsid w:val="4FDB3207"/>
    <w:rsid w:val="4FF546A4"/>
    <w:rsid w:val="4FF6515B"/>
    <w:rsid w:val="501404F3"/>
    <w:rsid w:val="5060129E"/>
    <w:rsid w:val="50631558"/>
    <w:rsid w:val="507D43C6"/>
    <w:rsid w:val="50801C21"/>
    <w:rsid w:val="508A537D"/>
    <w:rsid w:val="50DB3D9F"/>
    <w:rsid w:val="512562C1"/>
    <w:rsid w:val="512C1180"/>
    <w:rsid w:val="51363DAD"/>
    <w:rsid w:val="5177715C"/>
    <w:rsid w:val="518D7CA9"/>
    <w:rsid w:val="519A0258"/>
    <w:rsid w:val="51A979AA"/>
    <w:rsid w:val="522D51A7"/>
    <w:rsid w:val="522D6861"/>
    <w:rsid w:val="524170C7"/>
    <w:rsid w:val="52506547"/>
    <w:rsid w:val="526E48F5"/>
    <w:rsid w:val="527821A3"/>
    <w:rsid w:val="5291177B"/>
    <w:rsid w:val="52B17A2B"/>
    <w:rsid w:val="52CD6432"/>
    <w:rsid w:val="53051484"/>
    <w:rsid w:val="53065925"/>
    <w:rsid w:val="533B21EF"/>
    <w:rsid w:val="53506CBC"/>
    <w:rsid w:val="53572BA2"/>
    <w:rsid w:val="53A35598"/>
    <w:rsid w:val="53B65679"/>
    <w:rsid w:val="53B92D73"/>
    <w:rsid w:val="53BF7F35"/>
    <w:rsid w:val="53DB0C3B"/>
    <w:rsid w:val="541509F8"/>
    <w:rsid w:val="54391DFC"/>
    <w:rsid w:val="54414F42"/>
    <w:rsid w:val="54466DAA"/>
    <w:rsid w:val="544D6EB3"/>
    <w:rsid w:val="546549EC"/>
    <w:rsid w:val="54662BFB"/>
    <w:rsid w:val="5472078A"/>
    <w:rsid w:val="54860B39"/>
    <w:rsid w:val="549E2395"/>
    <w:rsid w:val="54BD16D5"/>
    <w:rsid w:val="54CF78C5"/>
    <w:rsid w:val="5503246A"/>
    <w:rsid w:val="550502AF"/>
    <w:rsid w:val="550F6DEF"/>
    <w:rsid w:val="552F6C84"/>
    <w:rsid w:val="55603AEE"/>
    <w:rsid w:val="557B1FF8"/>
    <w:rsid w:val="55DC17AB"/>
    <w:rsid w:val="55EB5A9C"/>
    <w:rsid w:val="55EC3936"/>
    <w:rsid w:val="56044307"/>
    <w:rsid w:val="56261760"/>
    <w:rsid w:val="563B3C13"/>
    <w:rsid w:val="566969D2"/>
    <w:rsid w:val="56DC4E96"/>
    <w:rsid w:val="56DD2E6F"/>
    <w:rsid w:val="56F0041D"/>
    <w:rsid w:val="56F049FE"/>
    <w:rsid w:val="572E44DA"/>
    <w:rsid w:val="57320AAB"/>
    <w:rsid w:val="574C4335"/>
    <w:rsid w:val="57521214"/>
    <w:rsid w:val="576042A9"/>
    <w:rsid w:val="5767358A"/>
    <w:rsid w:val="579F23E2"/>
    <w:rsid w:val="57AD28EF"/>
    <w:rsid w:val="57C84641"/>
    <w:rsid w:val="57D85BBE"/>
    <w:rsid w:val="5816496A"/>
    <w:rsid w:val="583152CE"/>
    <w:rsid w:val="58472D43"/>
    <w:rsid w:val="586451B5"/>
    <w:rsid w:val="5868766F"/>
    <w:rsid w:val="58690ACE"/>
    <w:rsid w:val="587E4AF7"/>
    <w:rsid w:val="58B66507"/>
    <w:rsid w:val="58D4325A"/>
    <w:rsid w:val="58D565A1"/>
    <w:rsid w:val="5905455B"/>
    <w:rsid w:val="59094E71"/>
    <w:rsid w:val="5916617B"/>
    <w:rsid w:val="59244215"/>
    <w:rsid w:val="59267594"/>
    <w:rsid w:val="592F7A5F"/>
    <w:rsid w:val="593F3A1A"/>
    <w:rsid w:val="594B7B51"/>
    <w:rsid w:val="5955323E"/>
    <w:rsid w:val="59611BE3"/>
    <w:rsid w:val="59653481"/>
    <w:rsid w:val="59800E61"/>
    <w:rsid w:val="59941542"/>
    <w:rsid w:val="59967ADE"/>
    <w:rsid w:val="59C75EEA"/>
    <w:rsid w:val="59CC1752"/>
    <w:rsid w:val="59D65F02"/>
    <w:rsid w:val="59E119A3"/>
    <w:rsid w:val="59F03799"/>
    <w:rsid w:val="5A0E3B19"/>
    <w:rsid w:val="5A461504"/>
    <w:rsid w:val="5A476744"/>
    <w:rsid w:val="5A503745"/>
    <w:rsid w:val="5A5C4DE7"/>
    <w:rsid w:val="5A8218F0"/>
    <w:rsid w:val="5AAB1367"/>
    <w:rsid w:val="5AB32552"/>
    <w:rsid w:val="5AB346C0"/>
    <w:rsid w:val="5AB43F3C"/>
    <w:rsid w:val="5B044F1C"/>
    <w:rsid w:val="5B207C03"/>
    <w:rsid w:val="5B44356A"/>
    <w:rsid w:val="5B444677"/>
    <w:rsid w:val="5B544518"/>
    <w:rsid w:val="5B7E6A7C"/>
    <w:rsid w:val="5BCB440E"/>
    <w:rsid w:val="5BD33CE6"/>
    <w:rsid w:val="5BF743DD"/>
    <w:rsid w:val="5C1A77B4"/>
    <w:rsid w:val="5C1B251D"/>
    <w:rsid w:val="5C571B4D"/>
    <w:rsid w:val="5C62639E"/>
    <w:rsid w:val="5C68627A"/>
    <w:rsid w:val="5C6A36E5"/>
    <w:rsid w:val="5C732614"/>
    <w:rsid w:val="5C794D62"/>
    <w:rsid w:val="5C8B664B"/>
    <w:rsid w:val="5CA86F71"/>
    <w:rsid w:val="5CB63FF4"/>
    <w:rsid w:val="5CBD7F70"/>
    <w:rsid w:val="5CD16D26"/>
    <w:rsid w:val="5CDF2294"/>
    <w:rsid w:val="5CFA2DC8"/>
    <w:rsid w:val="5D00652B"/>
    <w:rsid w:val="5D066ED2"/>
    <w:rsid w:val="5D2A27B2"/>
    <w:rsid w:val="5D3C3A33"/>
    <w:rsid w:val="5D597FF0"/>
    <w:rsid w:val="5D947D2B"/>
    <w:rsid w:val="5DA72010"/>
    <w:rsid w:val="5DAD189A"/>
    <w:rsid w:val="5DAE4D02"/>
    <w:rsid w:val="5DB01605"/>
    <w:rsid w:val="5DC215A6"/>
    <w:rsid w:val="5DC310BE"/>
    <w:rsid w:val="5DEC4171"/>
    <w:rsid w:val="5DF04094"/>
    <w:rsid w:val="5E183C9A"/>
    <w:rsid w:val="5E617254"/>
    <w:rsid w:val="5E7F07EA"/>
    <w:rsid w:val="5EB923BE"/>
    <w:rsid w:val="5EF332DD"/>
    <w:rsid w:val="5F313E05"/>
    <w:rsid w:val="5F44200D"/>
    <w:rsid w:val="5F474A63"/>
    <w:rsid w:val="5F795ED8"/>
    <w:rsid w:val="5F894660"/>
    <w:rsid w:val="5F9765F7"/>
    <w:rsid w:val="5FB12B07"/>
    <w:rsid w:val="5FB52C88"/>
    <w:rsid w:val="5FC8476A"/>
    <w:rsid w:val="5FE62E42"/>
    <w:rsid w:val="5FF2278B"/>
    <w:rsid w:val="600F0404"/>
    <w:rsid w:val="604723EF"/>
    <w:rsid w:val="60786F09"/>
    <w:rsid w:val="60D1764E"/>
    <w:rsid w:val="60FC2447"/>
    <w:rsid w:val="612E6238"/>
    <w:rsid w:val="61564F77"/>
    <w:rsid w:val="61762489"/>
    <w:rsid w:val="618F495D"/>
    <w:rsid w:val="61BA457B"/>
    <w:rsid w:val="61BD4DBB"/>
    <w:rsid w:val="61FA4982"/>
    <w:rsid w:val="620B508D"/>
    <w:rsid w:val="62233ED9"/>
    <w:rsid w:val="62334050"/>
    <w:rsid w:val="62950FB1"/>
    <w:rsid w:val="62BE27AA"/>
    <w:rsid w:val="62C717CB"/>
    <w:rsid w:val="62D67447"/>
    <w:rsid w:val="62DC368C"/>
    <w:rsid w:val="632F543B"/>
    <w:rsid w:val="633A2150"/>
    <w:rsid w:val="63443DB1"/>
    <w:rsid w:val="634E4F86"/>
    <w:rsid w:val="63696264"/>
    <w:rsid w:val="63983853"/>
    <w:rsid w:val="639C2195"/>
    <w:rsid w:val="63CF256B"/>
    <w:rsid w:val="640F0BB9"/>
    <w:rsid w:val="64164839"/>
    <w:rsid w:val="64267CB1"/>
    <w:rsid w:val="64276397"/>
    <w:rsid w:val="64356146"/>
    <w:rsid w:val="645301E6"/>
    <w:rsid w:val="645A662E"/>
    <w:rsid w:val="64964E36"/>
    <w:rsid w:val="649F4523"/>
    <w:rsid w:val="64C35C14"/>
    <w:rsid w:val="65044B19"/>
    <w:rsid w:val="650913DC"/>
    <w:rsid w:val="65143FAD"/>
    <w:rsid w:val="65353A71"/>
    <w:rsid w:val="654301AA"/>
    <w:rsid w:val="657328B6"/>
    <w:rsid w:val="65815627"/>
    <w:rsid w:val="658902D2"/>
    <w:rsid w:val="6598698C"/>
    <w:rsid w:val="65AE3F09"/>
    <w:rsid w:val="65B736E3"/>
    <w:rsid w:val="65BD3145"/>
    <w:rsid w:val="65DC24EE"/>
    <w:rsid w:val="65EB3100"/>
    <w:rsid w:val="660B1C97"/>
    <w:rsid w:val="66112147"/>
    <w:rsid w:val="66386A85"/>
    <w:rsid w:val="663E65EC"/>
    <w:rsid w:val="666852B2"/>
    <w:rsid w:val="668946A2"/>
    <w:rsid w:val="66932A01"/>
    <w:rsid w:val="669730E8"/>
    <w:rsid w:val="66DA1CDC"/>
    <w:rsid w:val="66DC295A"/>
    <w:rsid w:val="67200490"/>
    <w:rsid w:val="67334FF7"/>
    <w:rsid w:val="674647FB"/>
    <w:rsid w:val="674A015A"/>
    <w:rsid w:val="67556DDE"/>
    <w:rsid w:val="6773073A"/>
    <w:rsid w:val="679B1528"/>
    <w:rsid w:val="679D34B6"/>
    <w:rsid w:val="67AE7B76"/>
    <w:rsid w:val="67DB7004"/>
    <w:rsid w:val="67F801A4"/>
    <w:rsid w:val="67FF5B5B"/>
    <w:rsid w:val="68153443"/>
    <w:rsid w:val="68867CD4"/>
    <w:rsid w:val="68A01D39"/>
    <w:rsid w:val="68B65F70"/>
    <w:rsid w:val="68C006D4"/>
    <w:rsid w:val="68C27158"/>
    <w:rsid w:val="68E24F05"/>
    <w:rsid w:val="695E6FEA"/>
    <w:rsid w:val="69733519"/>
    <w:rsid w:val="6989718D"/>
    <w:rsid w:val="69A35F61"/>
    <w:rsid w:val="69A41529"/>
    <w:rsid w:val="69A4520A"/>
    <w:rsid w:val="69BF2426"/>
    <w:rsid w:val="69D50EF4"/>
    <w:rsid w:val="69DB32EB"/>
    <w:rsid w:val="69E6330C"/>
    <w:rsid w:val="69E95A08"/>
    <w:rsid w:val="6A3D373D"/>
    <w:rsid w:val="6A5B40AC"/>
    <w:rsid w:val="6A5F0129"/>
    <w:rsid w:val="6A7F7BB2"/>
    <w:rsid w:val="6A9E7FF2"/>
    <w:rsid w:val="6AA655C6"/>
    <w:rsid w:val="6AA9223D"/>
    <w:rsid w:val="6AC35D69"/>
    <w:rsid w:val="6AC81F86"/>
    <w:rsid w:val="6AD95A7D"/>
    <w:rsid w:val="6ADB1A56"/>
    <w:rsid w:val="6B016D82"/>
    <w:rsid w:val="6B0A3354"/>
    <w:rsid w:val="6B2252E8"/>
    <w:rsid w:val="6B346D3F"/>
    <w:rsid w:val="6B8C6F93"/>
    <w:rsid w:val="6BAF3695"/>
    <w:rsid w:val="6BD274A9"/>
    <w:rsid w:val="6BFB7C75"/>
    <w:rsid w:val="6C007039"/>
    <w:rsid w:val="6C24541E"/>
    <w:rsid w:val="6C384A25"/>
    <w:rsid w:val="6C4D6722"/>
    <w:rsid w:val="6C4E5FF7"/>
    <w:rsid w:val="6C711CE5"/>
    <w:rsid w:val="6C7517D5"/>
    <w:rsid w:val="6C7860A0"/>
    <w:rsid w:val="6C9C1458"/>
    <w:rsid w:val="6C9C440C"/>
    <w:rsid w:val="6CCA2179"/>
    <w:rsid w:val="6CD354BA"/>
    <w:rsid w:val="6CEE7263"/>
    <w:rsid w:val="6D064AD7"/>
    <w:rsid w:val="6D0D4033"/>
    <w:rsid w:val="6D221530"/>
    <w:rsid w:val="6D3941D2"/>
    <w:rsid w:val="6D5E61A8"/>
    <w:rsid w:val="6D8A5CBE"/>
    <w:rsid w:val="6DA70849"/>
    <w:rsid w:val="6DAF3447"/>
    <w:rsid w:val="6DB26B6E"/>
    <w:rsid w:val="6DB304DD"/>
    <w:rsid w:val="6DB4632D"/>
    <w:rsid w:val="6DCC18C9"/>
    <w:rsid w:val="6DE43DE7"/>
    <w:rsid w:val="6DFA4195"/>
    <w:rsid w:val="6E042DF5"/>
    <w:rsid w:val="6E265F09"/>
    <w:rsid w:val="6EAC24B3"/>
    <w:rsid w:val="6EBF4F8A"/>
    <w:rsid w:val="6EC17220"/>
    <w:rsid w:val="6F0429E0"/>
    <w:rsid w:val="6FAB4C9D"/>
    <w:rsid w:val="6FD43436"/>
    <w:rsid w:val="6FEC7A01"/>
    <w:rsid w:val="70046054"/>
    <w:rsid w:val="70177507"/>
    <w:rsid w:val="701C7327"/>
    <w:rsid w:val="70510D54"/>
    <w:rsid w:val="70731F17"/>
    <w:rsid w:val="7081142A"/>
    <w:rsid w:val="70903082"/>
    <w:rsid w:val="7096226F"/>
    <w:rsid w:val="709E03E8"/>
    <w:rsid w:val="70B26321"/>
    <w:rsid w:val="70BD374B"/>
    <w:rsid w:val="70C920F0"/>
    <w:rsid w:val="70F54057"/>
    <w:rsid w:val="710342D9"/>
    <w:rsid w:val="711F33DE"/>
    <w:rsid w:val="713501A3"/>
    <w:rsid w:val="717604C9"/>
    <w:rsid w:val="72104BD5"/>
    <w:rsid w:val="721627FC"/>
    <w:rsid w:val="72162826"/>
    <w:rsid w:val="72165809"/>
    <w:rsid w:val="7231447F"/>
    <w:rsid w:val="72325B62"/>
    <w:rsid w:val="72356104"/>
    <w:rsid w:val="724834E8"/>
    <w:rsid w:val="724D0AFE"/>
    <w:rsid w:val="72637960"/>
    <w:rsid w:val="727604F0"/>
    <w:rsid w:val="7280464E"/>
    <w:rsid w:val="729329B5"/>
    <w:rsid w:val="72964253"/>
    <w:rsid w:val="72966B20"/>
    <w:rsid w:val="72A55D34"/>
    <w:rsid w:val="72B50AD0"/>
    <w:rsid w:val="72DA05E4"/>
    <w:rsid w:val="735465E8"/>
    <w:rsid w:val="73801537"/>
    <w:rsid w:val="739A4857"/>
    <w:rsid w:val="743D52CE"/>
    <w:rsid w:val="744318F3"/>
    <w:rsid w:val="744B0462"/>
    <w:rsid w:val="744E1D13"/>
    <w:rsid w:val="746A18B5"/>
    <w:rsid w:val="746E5488"/>
    <w:rsid w:val="74962474"/>
    <w:rsid w:val="749D5D6D"/>
    <w:rsid w:val="74A25FDF"/>
    <w:rsid w:val="74BA691F"/>
    <w:rsid w:val="74D239B7"/>
    <w:rsid w:val="74E117F9"/>
    <w:rsid w:val="75045DDD"/>
    <w:rsid w:val="7507559A"/>
    <w:rsid w:val="75091655"/>
    <w:rsid w:val="750A2D1C"/>
    <w:rsid w:val="75292E35"/>
    <w:rsid w:val="752A136D"/>
    <w:rsid w:val="75322959"/>
    <w:rsid w:val="7539091C"/>
    <w:rsid w:val="754E0E15"/>
    <w:rsid w:val="7555559E"/>
    <w:rsid w:val="755F58B4"/>
    <w:rsid w:val="75D73DE6"/>
    <w:rsid w:val="75FF52DB"/>
    <w:rsid w:val="76407273"/>
    <w:rsid w:val="7641097A"/>
    <w:rsid w:val="767970E9"/>
    <w:rsid w:val="77311573"/>
    <w:rsid w:val="77453FE7"/>
    <w:rsid w:val="775E5EC2"/>
    <w:rsid w:val="77611FA0"/>
    <w:rsid w:val="779C055E"/>
    <w:rsid w:val="783F079F"/>
    <w:rsid w:val="784326BC"/>
    <w:rsid w:val="78666B79"/>
    <w:rsid w:val="78752293"/>
    <w:rsid w:val="787A0D3F"/>
    <w:rsid w:val="789426FC"/>
    <w:rsid w:val="78B773E8"/>
    <w:rsid w:val="78C879D1"/>
    <w:rsid w:val="78DE7519"/>
    <w:rsid w:val="78E85F83"/>
    <w:rsid w:val="78ED0F02"/>
    <w:rsid w:val="78EE24F1"/>
    <w:rsid w:val="790C26E0"/>
    <w:rsid w:val="79164340"/>
    <w:rsid w:val="79197508"/>
    <w:rsid w:val="791D55DD"/>
    <w:rsid w:val="79256A82"/>
    <w:rsid w:val="79554FB7"/>
    <w:rsid w:val="79674B9C"/>
    <w:rsid w:val="79697CBD"/>
    <w:rsid w:val="79790FCF"/>
    <w:rsid w:val="79A25BD4"/>
    <w:rsid w:val="79B57C07"/>
    <w:rsid w:val="79B6432A"/>
    <w:rsid w:val="79BC0365"/>
    <w:rsid w:val="79F91C98"/>
    <w:rsid w:val="7A04063C"/>
    <w:rsid w:val="7A147D50"/>
    <w:rsid w:val="7A154F84"/>
    <w:rsid w:val="7A1A6B6F"/>
    <w:rsid w:val="7A3E14C6"/>
    <w:rsid w:val="7A682979"/>
    <w:rsid w:val="7A80073F"/>
    <w:rsid w:val="7ADB139D"/>
    <w:rsid w:val="7AFA4960"/>
    <w:rsid w:val="7B4A39D3"/>
    <w:rsid w:val="7B537186"/>
    <w:rsid w:val="7B5C0203"/>
    <w:rsid w:val="7B66200D"/>
    <w:rsid w:val="7B670061"/>
    <w:rsid w:val="7B7242C0"/>
    <w:rsid w:val="7B7C49AB"/>
    <w:rsid w:val="7B8F0392"/>
    <w:rsid w:val="7B9C1E4D"/>
    <w:rsid w:val="7B9C304B"/>
    <w:rsid w:val="7BA9149B"/>
    <w:rsid w:val="7BD302C6"/>
    <w:rsid w:val="7BFC15CB"/>
    <w:rsid w:val="7C0B5CB2"/>
    <w:rsid w:val="7C416A67"/>
    <w:rsid w:val="7C7B5A7C"/>
    <w:rsid w:val="7C835849"/>
    <w:rsid w:val="7C84114F"/>
    <w:rsid w:val="7C866DCB"/>
    <w:rsid w:val="7C8737C8"/>
    <w:rsid w:val="7C907F65"/>
    <w:rsid w:val="7CA350F5"/>
    <w:rsid w:val="7CBD05B2"/>
    <w:rsid w:val="7CE63742"/>
    <w:rsid w:val="7CF24A8A"/>
    <w:rsid w:val="7CF255B2"/>
    <w:rsid w:val="7D2550A9"/>
    <w:rsid w:val="7D2D4371"/>
    <w:rsid w:val="7D366D5F"/>
    <w:rsid w:val="7D903254"/>
    <w:rsid w:val="7D951CD7"/>
    <w:rsid w:val="7DBB4925"/>
    <w:rsid w:val="7DE028A3"/>
    <w:rsid w:val="7E1A72E8"/>
    <w:rsid w:val="7E202C14"/>
    <w:rsid w:val="7E384D21"/>
    <w:rsid w:val="7E4D4360"/>
    <w:rsid w:val="7E5962EA"/>
    <w:rsid w:val="7EA54557"/>
    <w:rsid w:val="7EAF501B"/>
    <w:rsid w:val="7ECD11F7"/>
    <w:rsid w:val="7EE12CFA"/>
    <w:rsid w:val="7EE17F47"/>
    <w:rsid w:val="7EE21D77"/>
    <w:rsid w:val="7EF24F07"/>
    <w:rsid w:val="7EFC5D86"/>
    <w:rsid w:val="7EFF5555"/>
    <w:rsid w:val="7F297252"/>
    <w:rsid w:val="7F330864"/>
    <w:rsid w:val="7F511C2E"/>
    <w:rsid w:val="7F5F0772"/>
    <w:rsid w:val="7F6A05EF"/>
    <w:rsid w:val="7F8D036B"/>
    <w:rsid w:val="7FBC7B2C"/>
    <w:rsid w:val="7FD665D7"/>
    <w:rsid w:val="7FF627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iPriority="39" w:name="toc 5" w:locked="1"/>
    <w:lsdException w:qFormat="1" w:unhideWhenUsed="0" w:uiPriority="99" w:semiHidden="0" w:name="toc 6"/>
    <w:lsdException w:uiPriority="39" w:name="toc 7" w:locked="1"/>
    <w:lsdException w:qFormat="1" w:unhideWhenUsed="0" w:uiPriority="0" w:semiHidden="0"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57"/>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8"/>
    <w:qFormat/>
    <w:uiPriority w:val="99"/>
    <w:pPr>
      <w:keepNext/>
      <w:keepLines/>
      <w:spacing w:before="260" w:after="260" w:line="416" w:lineRule="auto"/>
      <w:outlineLvl w:val="2"/>
    </w:pPr>
    <w:rPr>
      <w:b/>
      <w:bCs/>
      <w:sz w:val="32"/>
      <w:szCs w:val="32"/>
    </w:rPr>
  </w:style>
  <w:style w:type="paragraph" w:styleId="7">
    <w:name w:val="heading 4"/>
    <w:basedOn w:val="1"/>
    <w:next w:val="1"/>
    <w:link w:val="59"/>
    <w:qFormat/>
    <w:uiPriority w:val="99"/>
    <w:pPr>
      <w:keepNext/>
      <w:keepLines/>
      <w:spacing w:line="372" w:lineRule="auto"/>
      <w:outlineLvl w:val="3"/>
    </w:pPr>
    <w:rPr>
      <w:rFonts w:ascii="Cambria" w:hAnsi="Cambria"/>
      <w:b/>
      <w:bCs/>
      <w:sz w:val="28"/>
      <w:szCs w:val="28"/>
    </w:rPr>
  </w:style>
  <w:style w:type="paragraph" w:styleId="8">
    <w:name w:val="heading 5"/>
    <w:basedOn w:val="1"/>
    <w:next w:val="1"/>
    <w:link w:val="60"/>
    <w:qFormat/>
    <w:uiPriority w:val="99"/>
    <w:pPr>
      <w:keepNext/>
      <w:keepLines/>
      <w:spacing w:line="372" w:lineRule="auto"/>
      <w:outlineLvl w:val="4"/>
    </w:pPr>
    <w:rPr>
      <w:b/>
      <w:bCs/>
      <w:sz w:val="28"/>
      <w:szCs w:val="28"/>
    </w:rPr>
  </w:style>
  <w:style w:type="character" w:default="1" w:styleId="39">
    <w:name w:val="Default Paragraph Font"/>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 21"/>
    <w:basedOn w:val="3"/>
    <w:autoRedefine/>
    <w:qFormat/>
    <w:uiPriority w:val="99"/>
    <w:pPr>
      <w:ind w:firstLine="420"/>
    </w:pPr>
    <w:rPr>
      <w:rFonts w:cs="宋体"/>
    </w:rPr>
  </w:style>
  <w:style w:type="paragraph" w:customStyle="1" w:styleId="3">
    <w:name w:val="正文文本缩进1"/>
    <w:basedOn w:val="1"/>
    <w:next w:val="1"/>
    <w:autoRedefine/>
    <w:qFormat/>
    <w:uiPriority w:val="99"/>
    <w:pPr>
      <w:ind w:left="420" w:leftChars="200"/>
    </w:pPr>
    <w:rPr>
      <w:color w:val="000000"/>
      <w:szCs w:val="21"/>
    </w:rPr>
  </w:style>
  <w:style w:type="paragraph" w:styleId="9">
    <w:name w:val="table of authorities"/>
    <w:basedOn w:val="1"/>
    <w:next w:val="1"/>
    <w:autoRedefine/>
    <w:qFormat/>
    <w:locked/>
    <w:uiPriority w:val="0"/>
    <w:pPr>
      <w:ind w:left="420" w:leftChars="200"/>
    </w:pPr>
    <w:rPr>
      <w:rFonts w:ascii="Calibri" w:hAnsi="Calibri"/>
      <w:sz w:val="24"/>
      <w:szCs w:val="22"/>
    </w:rPr>
  </w:style>
  <w:style w:type="paragraph" w:styleId="10">
    <w:name w:val="Normal Indent"/>
    <w:basedOn w:val="1"/>
    <w:next w:val="1"/>
    <w:autoRedefine/>
    <w:qFormat/>
    <w:uiPriority w:val="99"/>
    <w:pPr>
      <w:ind w:firstLine="420"/>
    </w:pPr>
    <w:rPr>
      <w:szCs w:val="20"/>
    </w:rPr>
  </w:style>
  <w:style w:type="paragraph" w:styleId="11">
    <w:name w:val="caption"/>
    <w:basedOn w:val="1"/>
    <w:next w:val="1"/>
    <w:autoRedefine/>
    <w:qFormat/>
    <w:locked/>
    <w:uiPriority w:val="0"/>
    <w:rPr>
      <w:rFonts w:ascii="Cambria" w:hAnsi="Cambria" w:eastAsia="黑体"/>
      <w:sz w:val="20"/>
    </w:rPr>
  </w:style>
  <w:style w:type="paragraph" w:styleId="12">
    <w:name w:val="toa heading"/>
    <w:basedOn w:val="1"/>
    <w:next w:val="1"/>
    <w:autoRedefine/>
    <w:qFormat/>
    <w:uiPriority w:val="99"/>
    <w:pPr>
      <w:spacing w:before="120"/>
    </w:pPr>
    <w:rPr>
      <w:rFonts w:ascii="Arial" w:hAnsi="Arial"/>
      <w:sz w:val="24"/>
      <w:szCs w:val="20"/>
    </w:rPr>
  </w:style>
  <w:style w:type="paragraph" w:styleId="13">
    <w:name w:val="annotation text"/>
    <w:basedOn w:val="1"/>
    <w:next w:val="14"/>
    <w:link w:val="62"/>
    <w:autoRedefine/>
    <w:qFormat/>
    <w:uiPriority w:val="99"/>
    <w:pPr>
      <w:jc w:val="left"/>
    </w:pPr>
  </w:style>
  <w:style w:type="paragraph" w:customStyle="1" w:styleId="14">
    <w:name w:val="目录 5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5">
    <w:name w:val="Body Text 3"/>
    <w:basedOn w:val="1"/>
    <w:link w:val="63"/>
    <w:autoRedefine/>
    <w:qFormat/>
    <w:uiPriority w:val="99"/>
    <w:pPr>
      <w:adjustRightInd w:val="0"/>
      <w:spacing w:after="120" w:line="500" w:lineRule="atLeast"/>
      <w:ind w:firstLine="561"/>
      <w:textAlignment w:val="baseline"/>
    </w:pPr>
    <w:rPr>
      <w:rFonts w:ascii="Calibri" w:hAnsi="Calibri"/>
      <w:sz w:val="16"/>
      <w:szCs w:val="16"/>
    </w:rPr>
  </w:style>
  <w:style w:type="paragraph" w:styleId="16">
    <w:name w:val="Body Text"/>
    <w:basedOn w:val="1"/>
    <w:next w:val="17"/>
    <w:link w:val="64"/>
    <w:autoRedefine/>
    <w:qFormat/>
    <w:uiPriority w:val="99"/>
    <w:pPr>
      <w:spacing w:after="120"/>
    </w:pPr>
  </w:style>
  <w:style w:type="paragraph" w:styleId="17">
    <w:name w:val="Body Text First Indent"/>
    <w:basedOn w:val="16"/>
    <w:next w:val="18"/>
    <w:link w:val="65"/>
    <w:autoRedefine/>
    <w:qFormat/>
    <w:uiPriority w:val="99"/>
    <w:pPr>
      <w:spacing w:line="360" w:lineRule="auto"/>
      <w:ind w:firstLine="200" w:firstLineChars="200"/>
      <w:jc w:val="left"/>
    </w:pPr>
  </w:style>
  <w:style w:type="paragraph" w:styleId="18">
    <w:name w:val="toc 6"/>
    <w:basedOn w:val="1"/>
    <w:next w:val="1"/>
    <w:autoRedefine/>
    <w:qFormat/>
    <w:uiPriority w:val="99"/>
    <w:pPr>
      <w:ind w:left="1050"/>
      <w:jc w:val="left"/>
    </w:pPr>
    <w:rPr>
      <w:sz w:val="18"/>
      <w:szCs w:val="18"/>
    </w:rPr>
  </w:style>
  <w:style w:type="paragraph" w:styleId="19">
    <w:name w:val="Body Text Indent"/>
    <w:basedOn w:val="1"/>
    <w:next w:val="1"/>
    <w:link w:val="66"/>
    <w:autoRedefine/>
    <w:qFormat/>
    <w:uiPriority w:val="99"/>
    <w:pPr>
      <w:spacing w:line="360" w:lineRule="auto"/>
      <w:ind w:firstLine="600" w:firstLineChars="200"/>
    </w:pPr>
    <w:rPr>
      <w:rFonts w:ascii="仿宋_GB2312" w:hAnsi="宋体" w:eastAsia="仿宋_GB2312"/>
      <w:sz w:val="30"/>
    </w:rPr>
  </w:style>
  <w:style w:type="paragraph" w:styleId="20">
    <w:name w:val="toc 3"/>
    <w:basedOn w:val="1"/>
    <w:next w:val="1"/>
    <w:autoRedefine/>
    <w:qFormat/>
    <w:uiPriority w:val="99"/>
    <w:pPr>
      <w:ind w:left="840" w:leftChars="400"/>
    </w:pPr>
  </w:style>
  <w:style w:type="paragraph" w:styleId="21">
    <w:name w:val="Plain Text"/>
    <w:basedOn w:val="1"/>
    <w:next w:val="22"/>
    <w:link w:val="67"/>
    <w:autoRedefine/>
    <w:qFormat/>
    <w:uiPriority w:val="99"/>
    <w:pPr>
      <w:spacing w:beforeLines="50" w:afterLines="50" w:line="400" w:lineRule="exact"/>
    </w:pPr>
    <w:rPr>
      <w:rFonts w:ascii="宋体" w:hAnsi="Courier New"/>
      <w:sz w:val="24"/>
    </w:rPr>
  </w:style>
  <w:style w:type="paragraph" w:styleId="22">
    <w:name w:val="Date"/>
    <w:basedOn w:val="1"/>
    <w:next w:val="1"/>
    <w:link w:val="68"/>
    <w:autoRedefine/>
    <w:qFormat/>
    <w:uiPriority w:val="99"/>
    <w:pPr>
      <w:ind w:left="100" w:leftChars="2500"/>
    </w:pPr>
  </w:style>
  <w:style w:type="paragraph" w:styleId="23">
    <w:name w:val="toc 8"/>
    <w:basedOn w:val="1"/>
    <w:next w:val="1"/>
    <w:autoRedefine/>
    <w:qFormat/>
    <w:locked/>
    <w:uiPriority w:val="0"/>
    <w:pPr>
      <w:ind w:left="1400" w:leftChars="1400"/>
    </w:pPr>
  </w:style>
  <w:style w:type="paragraph" w:styleId="24">
    <w:name w:val="Body Text Indent 2"/>
    <w:basedOn w:val="1"/>
    <w:link w:val="69"/>
    <w:autoRedefine/>
    <w:qFormat/>
    <w:uiPriority w:val="99"/>
    <w:pPr>
      <w:spacing w:after="120" w:line="480" w:lineRule="auto"/>
      <w:ind w:left="420" w:leftChars="200"/>
    </w:pPr>
    <w:rPr>
      <w:szCs w:val="20"/>
    </w:rPr>
  </w:style>
  <w:style w:type="paragraph" w:styleId="25">
    <w:name w:val="Balloon Text"/>
    <w:basedOn w:val="1"/>
    <w:link w:val="70"/>
    <w:autoRedefine/>
    <w:qFormat/>
    <w:uiPriority w:val="99"/>
    <w:rPr>
      <w:sz w:val="18"/>
      <w:szCs w:val="18"/>
    </w:rPr>
  </w:style>
  <w:style w:type="paragraph" w:styleId="26">
    <w:name w:val="footer"/>
    <w:basedOn w:val="1"/>
    <w:link w:val="71"/>
    <w:autoRedefine/>
    <w:qFormat/>
    <w:uiPriority w:val="99"/>
    <w:pPr>
      <w:tabs>
        <w:tab w:val="center" w:pos="4153"/>
        <w:tab w:val="right" w:pos="8306"/>
      </w:tabs>
      <w:snapToGrid w:val="0"/>
      <w:jc w:val="left"/>
    </w:pPr>
    <w:rPr>
      <w:sz w:val="18"/>
      <w:szCs w:val="18"/>
    </w:rPr>
  </w:style>
  <w:style w:type="paragraph" w:styleId="27">
    <w:name w:val="header"/>
    <w:basedOn w:val="1"/>
    <w:link w:val="72"/>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99"/>
    <w:pPr>
      <w:tabs>
        <w:tab w:val="right" w:leader="dot" w:pos="8494"/>
      </w:tabs>
    </w:pPr>
    <w:rPr>
      <w:rFonts w:ascii="宋体" w:hAnsi="宋体"/>
      <w:sz w:val="32"/>
    </w:rPr>
  </w:style>
  <w:style w:type="paragraph" w:styleId="29">
    <w:name w:val="toc 4"/>
    <w:basedOn w:val="1"/>
    <w:next w:val="1"/>
    <w:autoRedefine/>
    <w:qFormat/>
    <w:uiPriority w:val="99"/>
    <w:pPr>
      <w:ind w:left="630"/>
      <w:jc w:val="left"/>
    </w:pPr>
    <w:rPr>
      <w:sz w:val="18"/>
      <w:szCs w:val="18"/>
    </w:rPr>
  </w:style>
  <w:style w:type="paragraph" w:styleId="30">
    <w:name w:val="Body Text Indent 3"/>
    <w:basedOn w:val="1"/>
    <w:link w:val="73"/>
    <w:qFormat/>
    <w:uiPriority w:val="99"/>
    <w:pPr>
      <w:spacing w:after="120"/>
      <w:ind w:left="420" w:leftChars="200"/>
    </w:pPr>
    <w:rPr>
      <w:sz w:val="16"/>
      <w:szCs w:val="16"/>
    </w:rPr>
  </w:style>
  <w:style w:type="paragraph" w:styleId="31">
    <w:name w:val="toc 2"/>
    <w:basedOn w:val="1"/>
    <w:next w:val="1"/>
    <w:autoRedefine/>
    <w:qFormat/>
    <w:uiPriority w:val="99"/>
    <w:pPr>
      <w:ind w:left="420" w:leftChars="200"/>
    </w:pPr>
  </w:style>
  <w:style w:type="paragraph" w:styleId="32">
    <w:name w:val="Normal (Web)"/>
    <w:basedOn w:val="1"/>
    <w:next w:val="33"/>
    <w:autoRedefine/>
    <w:qFormat/>
    <w:uiPriority w:val="99"/>
    <w:pPr>
      <w:widowControl/>
      <w:spacing w:before="100" w:beforeAutospacing="1" w:after="100" w:afterAutospacing="1"/>
      <w:jc w:val="left"/>
    </w:pPr>
    <w:rPr>
      <w:rFonts w:ascii="宋体" w:hAnsi="宋体"/>
      <w:color w:val="000000"/>
      <w:kern w:val="0"/>
      <w:sz w:val="24"/>
    </w:rPr>
  </w:style>
  <w:style w:type="paragraph" w:customStyle="1" w:styleId="33">
    <w:name w:val="目录 31"/>
    <w:next w:val="1"/>
    <w:autoRedefine/>
    <w:qFormat/>
    <w:uiPriority w:val="0"/>
    <w:pPr>
      <w:wordWrap w:val="0"/>
      <w:ind w:left="425"/>
      <w:jc w:val="both"/>
    </w:pPr>
    <w:rPr>
      <w:rFonts w:ascii="Calibri" w:hAnsi="Calibri" w:eastAsia="宋体" w:cs="Times New Roman"/>
      <w:sz w:val="21"/>
      <w:lang w:val="en-US" w:eastAsia="zh-CN" w:bidi="ar-SA"/>
    </w:rPr>
  </w:style>
  <w:style w:type="paragraph" w:styleId="34">
    <w:name w:val="Title"/>
    <w:basedOn w:val="1"/>
    <w:next w:val="1"/>
    <w:link w:val="61"/>
    <w:autoRedefine/>
    <w:qFormat/>
    <w:uiPriority w:val="99"/>
    <w:pPr>
      <w:spacing w:before="240" w:after="60"/>
      <w:jc w:val="center"/>
      <w:outlineLvl w:val="0"/>
    </w:pPr>
    <w:rPr>
      <w:rFonts w:ascii="Cambria" w:hAnsi="Cambria"/>
      <w:b/>
      <w:bCs/>
      <w:sz w:val="32"/>
      <w:szCs w:val="32"/>
    </w:rPr>
  </w:style>
  <w:style w:type="paragraph" w:styleId="35">
    <w:name w:val="Body Text First Indent 2"/>
    <w:basedOn w:val="19"/>
    <w:next w:val="36"/>
    <w:link w:val="74"/>
    <w:autoRedefine/>
    <w:qFormat/>
    <w:uiPriority w:val="99"/>
    <w:pPr>
      <w:ind w:firstLine="420"/>
    </w:pPr>
  </w:style>
  <w:style w:type="paragraph" w:customStyle="1" w:styleId="3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table" w:styleId="38">
    <w:name w:val="Table Grid"/>
    <w:basedOn w:val="3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locked/>
    <w:uiPriority w:val="22"/>
    <w:rPr>
      <w:b/>
      <w:bCs/>
    </w:rPr>
  </w:style>
  <w:style w:type="character" w:styleId="41">
    <w:name w:val="page number"/>
    <w:basedOn w:val="39"/>
    <w:autoRedefine/>
    <w:qFormat/>
    <w:uiPriority w:val="99"/>
    <w:rPr>
      <w:rFonts w:cs="Times New Roman"/>
    </w:rPr>
  </w:style>
  <w:style w:type="character" w:styleId="42">
    <w:name w:val="FollowedHyperlink"/>
    <w:basedOn w:val="39"/>
    <w:autoRedefine/>
    <w:semiHidden/>
    <w:unhideWhenUsed/>
    <w:qFormat/>
    <w:locked/>
    <w:uiPriority w:val="99"/>
    <w:rPr>
      <w:color w:val="800080"/>
      <w:u w:val="none"/>
    </w:rPr>
  </w:style>
  <w:style w:type="character" w:styleId="43">
    <w:name w:val="Emphasis"/>
    <w:basedOn w:val="39"/>
    <w:autoRedefine/>
    <w:qFormat/>
    <w:uiPriority w:val="99"/>
    <w:rPr>
      <w:rFonts w:cs="Times New Roman"/>
      <w:color w:val="CC0000"/>
    </w:rPr>
  </w:style>
  <w:style w:type="character" w:styleId="44">
    <w:name w:val="Hyperlink"/>
    <w:basedOn w:val="39"/>
    <w:autoRedefine/>
    <w:qFormat/>
    <w:uiPriority w:val="99"/>
    <w:rPr>
      <w:rFonts w:cs="Times New Roman"/>
      <w:color w:val="0000FF"/>
      <w:u w:val="single"/>
    </w:rPr>
  </w:style>
  <w:style w:type="character" w:styleId="45">
    <w:name w:val="annotation reference"/>
    <w:basedOn w:val="39"/>
    <w:autoRedefine/>
    <w:qFormat/>
    <w:uiPriority w:val="99"/>
    <w:rPr>
      <w:rFonts w:cs="Times New Roman"/>
      <w:sz w:val="21"/>
      <w:szCs w:val="21"/>
    </w:rPr>
  </w:style>
  <w:style w:type="character" w:styleId="46">
    <w:name w:val="HTML Sample"/>
    <w:basedOn w:val="39"/>
    <w:autoRedefine/>
    <w:semiHidden/>
    <w:unhideWhenUsed/>
    <w:qFormat/>
    <w:locked/>
    <w:uiPriority w:val="99"/>
    <w:rPr>
      <w:rFonts w:ascii="Courier New" w:hAnsi="Courier New"/>
    </w:rPr>
  </w:style>
  <w:style w:type="paragraph" w:customStyle="1" w:styleId="47">
    <w:name w:val="正文文本首行缩进 21"/>
    <w:basedOn w:val="19"/>
    <w:autoRedefine/>
    <w:qFormat/>
    <w:uiPriority w:val="99"/>
    <w:pPr>
      <w:spacing w:line="200" w:lineRule="atLeast"/>
      <w:ind w:firstLine="420"/>
    </w:pPr>
    <w:rPr>
      <w:rFonts w:ascii="宋体" w:hAnsi="Courier New"/>
      <w:spacing w:val="-4"/>
      <w:sz w:val="18"/>
    </w:rPr>
  </w:style>
  <w:style w:type="paragraph" w:customStyle="1" w:styleId="48">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首行缩进"/>
    <w:basedOn w:val="1"/>
    <w:autoRedefine/>
    <w:qFormat/>
    <w:uiPriority w:val="99"/>
    <w:pPr>
      <w:widowControl/>
      <w:numPr>
        <w:ilvl w:val="6"/>
        <w:numId w:val="1"/>
      </w:numPr>
      <w:tabs>
        <w:tab w:val="left" w:pos="822"/>
        <w:tab w:val="left" w:pos="3120"/>
      </w:tabs>
      <w:snapToGrid w:val="0"/>
      <w:spacing w:before="40" w:after="40" w:line="300" w:lineRule="atLeast"/>
    </w:pPr>
    <w:rPr>
      <w:rFonts w:ascii="Arial" w:hAnsi="Arial"/>
      <w:kern w:val="0"/>
      <w:szCs w:val="20"/>
    </w:rPr>
  </w:style>
  <w:style w:type="paragraph" w:customStyle="1" w:styleId="50">
    <w:name w:val="正文1"/>
    <w:basedOn w:val="1"/>
    <w:next w:val="1"/>
    <w:autoRedefine/>
    <w:qFormat/>
    <w:uiPriority w:val="99"/>
    <w:pPr>
      <w:spacing w:before="240" w:line="460" w:lineRule="exact"/>
    </w:pPr>
    <w:rPr>
      <w:rFonts w:ascii="仿宋_GB2312" w:hAnsi="宋体" w:eastAsia="仿宋_GB2312"/>
      <w:b/>
      <w:sz w:val="28"/>
      <w:szCs w:val="28"/>
    </w:rPr>
  </w:style>
  <w:style w:type="paragraph" w:customStyle="1" w:styleId="51">
    <w:name w:val="正文缩进5"/>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52">
    <w:name w:val="样式 标题 3 + (中文) 黑体 小四 非加粗 段前: 7.8 磅 段后: 0 磅 行距: 固定值 20 磅_0"/>
    <w:basedOn w:val="53"/>
    <w:autoRedefine/>
    <w:qFormat/>
    <w:uiPriority w:val="0"/>
    <w:pPr>
      <w:spacing w:before="0" w:after="0" w:line="400" w:lineRule="exact"/>
    </w:pPr>
    <w:rPr>
      <w:rFonts w:ascii="Times New Roman" w:hAnsi="Times New Roman" w:eastAsia="黑体" w:cs="宋体"/>
      <w:b w:val="0"/>
      <w:bCs w:val="0"/>
      <w:sz w:val="21"/>
      <w:szCs w:val="20"/>
    </w:rPr>
  </w:style>
  <w:style w:type="paragraph" w:customStyle="1" w:styleId="53">
    <w:name w:val="标题 3_0"/>
    <w:basedOn w:val="54"/>
    <w:next w:val="55"/>
    <w:autoRedefine/>
    <w:qFormat/>
    <w:uiPriority w:val="0"/>
    <w:pPr>
      <w:keepNext/>
      <w:keepLines/>
      <w:spacing w:before="260" w:after="260" w:line="416" w:lineRule="auto"/>
      <w:outlineLvl w:val="2"/>
    </w:pPr>
    <w:rPr>
      <w:rFonts w:eastAsia="宋体"/>
      <w:b/>
      <w:bCs/>
      <w:sz w:val="32"/>
      <w:szCs w:val="32"/>
    </w:rPr>
  </w:style>
  <w:style w:type="paragraph" w:customStyle="1" w:styleId="54">
    <w:name w:val="正文_0"/>
    <w:next w:val="35"/>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55">
    <w:name w:val="正文_1"/>
    <w:next w:val="35"/>
    <w:qFormat/>
    <w:uiPriority w:val="0"/>
    <w:pPr>
      <w:widowControl w:val="0"/>
      <w:jc w:val="both"/>
    </w:pPr>
    <w:rPr>
      <w:rFonts w:ascii="Calibri" w:hAnsi="Calibri" w:eastAsia="仿宋_GB2312" w:cs="Times New Roman"/>
      <w:kern w:val="2"/>
      <w:sz w:val="21"/>
      <w:szCs w:val="22"/>
      <w:lang w:val="en-US" w:eastAsia="zh-CN" w:bidi="ar-SA"/>
    </w:rPr>
  </w:style>
  <w:style w:type="character" w:customStyle="1" w:styleId="56">
    <w:name w:val="标题 1 字符"/>
    <w:basedOn w:val="39"/>
    <w:link w:val="4"/>
    <w:qFormat/>
    <w:locked/>
    <w:uiPriority w:val="99"/>
    <w:rPr>
      <w:rFonts w:cs="Times New Roman"/>
      <w:b/>
      <w:bCs/>
      <w:kern w:val="44"/>
      <w:sz w:val="44"/>
      <w:szCs w:val="44"/>
    </w:rPr>
  </w:style>
  <w:style w:type="character" w:customStyle="1" w:styleId="57">
    <w:name w:val="标题 2 字符"/>
    <w:basedOn w:val="39"/>
    <w:link w:val="5"/>
    <w:semiHidden/>
    <w:qFormat/>
    <w:locked/>
    <w:uiPriority w:val="99"/>
    <w:rPr>
      <w:rFonts w:ascii="Cambria" w:hAnsi="Cambria" w:eastAsia="宋体" w:cs="Times New Roman"/>
      <w:b/>
      <w:bCs/>
      <w:sz w:val="32"/>
      <w:szCs w:val="32"/>
    </w:rPr>
  </w:style>
  <w:style w:type="character" w:customStyle="1" w:styleId="58">
    <w:name w:val="标题 3 字符"/>
    <w:basedOn w:val="39"/>
    <w:link w:val="6"/>
    <w:semiHidden/>
    <w:qFormat/>
    <w:locked/>
    <w:uiPriority w:val="99"/>
    <w:rPr>
      <w:rFonts w:cs="Times New Roman"/>
      <w:b/>
      <w:bCs/>
      <w:sz w:val="32"/>
      <w:szCs w:val="32"/>
    </w:rPr>
  </w:style>
  <w:style w:type="character" w:customStyle="1" w:styleId="59">
    <w:name w:val="标题 4 字符"/>
    <w:basedOn w:val="39"/>
    <w:link w:val="7"/>
    <w:semiHidden/>
    <w:qFormat/>
    <w:locked/>
    <w:uiPriority w:val="99"/>
    <w:rPr>
      <w:rFonts w:ascii="Cambria" w:hAnsi="Cambria" w:eastAsia="宋体" w:cs="Times New Roman"/>
      <w:b/>
      <w:bCs/>
      <w:sz w:val="28"/>
      <w:szCs w:val="28"/>
    </w:rPr>
  </w:style>
  <w:style w:type="character" w:customStyle="1" w:styleId="60">
    <w:name w:val="标题 5 字符"/>
    <w:basedOn w:val="39"/>
    <w:link w:val="8"/>
    <w:semiHidden/>
    <w:qFormat/>
    <w:locked/>
    <w:uiPriority w:val="99"/>
    <w:rPr>
      <w:rFonts w:cs="Times New Roman"/>
      <w:b/>
      <w:bCs/>
      <w:sz w:val="28"/>
      <w:szCs w:val="28"/>
    </w:rPr>
  </w:style>
  <w:style w:type="character" w:customStyle="1" w:styleId="61">
    <w:name w:val="标题 字符"/>
    <w:basedOn w:val="39"/>
    <w:link w:val="34"/>
    <w:qFormat/>
    <w:locked/>
    <w:uiPriority w:val="99"/>
    <w:rPr>
      <w:rFonts w:ascii="Cambria" w:hAnsi="Cambria" w:cs="Times New Roman"/>
      <w:b/>
      <w:bCs/>
      <w:sz w:val="32"/>
      <w:szCs w:val="32"/>
    </w:rPr>
  </w:style>
  <w:style w:type="character" w:customStyle="1" w:styleId="62">
    <w:name w:val="批注文字 字符"/>
    <w:basedOn w:val="39"/>
    <w:link w:val="13"/>
    <w:semiHidden/>
    <w:qFormat/>
    <w:locked/>
    <w:uiPriority w:val="99"/>
    <w:rPr>
      <w:rFonts w:cs="Times New Roman"/>
      <w:sz w:val="24"/>
      <w:szCs w:val="24"/>
    </w:rPr>
  </w:style>
  <w:style w:type="character" w:customStyle="1" w:styleId="63">
    <w:name w:val="正文文本 3 字符"/>
    <w:basedOn w:val="39"/>
    <w:link w:val="15"/>
    <w:semiHidden/>
    <w:qFormat/>
    <w:locked/>
    <w:uiPriority w:val="99"/>
    <w:rPr>
      <w:rFonts w:cs="Times New Roman"/>
      <w:sz w:val="16"/>
      <w:szCs w:val="16"/>
    </w:rPr>
  </w:style>
  <w:style w:type="character" w:customStyle="1" w:styleId="64">
    <w:name w:val="正文文本 字符"/>
    <w:basedOn w:val="39"/>
    <w:link w:val="16"/>
    <w:semiHidden/>
    <w:qFormat/>
    <w:locked/>
    <w:uiPriority w:val="99"/>
    <w:rPr>
      <w:rFonts w:cs="Times New Roman"/>
      <w:sz w:val="24"/>
      <w:szCs w:val="24"/>
    </w:rPr>
  </w:style>
  <w:style w:type="character" w:customStyle="1" w:styleId="65">
    <w:name w:val="正文文本首行缩进 字符"/>
    <w:basedOn w:val="64"/>
    <w:link w:val="17"/>
    <w:semiHidden/>
    <w:qFormat/>
    <w:locked/>
    <w:uiPriority w:val="99"/>
    <w:rPr>
      <w:rFonts w:cs="Times New Roman"/>
      <w:sz w:val="24"/>
      <w:szCs w:val="24"/>
    </w:rPr>
  </w:style>
  <w:style w:type="character" w:customStyle="1" w:styleId="66">
    <w:name w:val="正文文本缩进 字符"/>
    <w:basedOn w:val="39"/>
    <w:link w:val="19"/>
    <w:semiHidden/>
    <w:qFormat/>
    <w:locked/>
    <w:uiPriority w:val="99"/>
    <w:rPr>
      <w:rFonts w:cs="Times New Roman"/>
      <w:sz w:val="24"/>
      <w:szCs w:val="24"/>
    </w:rPr>
  </w:style>
  <w:style w:type="character" w:customStyle="1" w:styleId="67">
    <w:name w:val="纯文本 字符"/>
    <w:basedOn w:val="39"/>
    <w:link w:val="21"/>
    <w:semiHidden/>
    <w:qFormat/>
    <w:locked/>
    <w:uiPriority w:val="99"/>
    <w:rPr>
      <w:rFonts w:ascii="宋体" w:hAnsi="Courier New" w:cs="Courier New"/>
      <w:sz w:val="21"/>
      <w:szCs w:val="21"/>
    </w:rPr>
  </w:style>
  <w:style w:type="character" w:customStyle="1" w:styleId="68">
    <w:name w:val="日期 字符"/>
    <w:basedOn w:val="39"/>
    <w:link w:val="22"/>
    <w:semiHidden/>
    <w:qFormat/>
    <w:locked/>
    <w:uiPriority w:val="99"/>
    <w:rPr>
      <w:rFonts w:cs="Times New Roman"/>
      <w:sz w:val="24"/>
      <w:szCs w:val="24"/>
    </w:rPr>
  </w:style>
  <w:style w:type="character" w:customStyle="1" w:styleId="69">
    <w:name w:val="正文文本缩进 2 字符"/>
    <w:basedOn w:val="39"/>
    <w:link w:val="24"/>
    <w:semiHidden/>
    <w:qFormat/>
    <w:locked/>
    <w:uiPriority w:val="99"/>
    <w:rPr>
      <w:rFonts w:cs="Times New Roman"/>
      <w:sz w:val="24"/>
      <w:szCs w:val="24"/>
    </w:rPr>
  </w:style>
  <w:style w:type="character" w:customStyle="1" w:styleId="70">
    <w:name w:val="批注框文本 字符"/>
    <w:basedOn w:val="39"/>
    <w:link w:val="25"/>
    <w:qFormat/>
    <w:locked/>
    <w:uiPriority w:val="99"/>
    <w:rPr>
      <w:rFonts w:cs="Times New Roman"/>
      <w:kern w:val="2"/>
      <w:sz w:val="18"/>
      <w:szCs w:val="18"/>
    </w:rPr>
  </w:style>
  <w:style w:type="character" w:customStyle="1" w:styleId="71">
    <w:name w:val="页脚 字符"/>
    <w:basedOn w:val="39"/>
    <w:link w:val="26"/>
    <w:semiHidden/>
    <w:qFormat/>
    <w:locked/>
    <w:uiPriority w:val="99"/>
    <w:rPr>
      <w:rFonts w:cs="Times New Roman"/>
      <w:sz w:val="18"/>
      <w:szCs w:val="18"/>
    </w:rPr>
  </w:style>
  <w:style w:type="character" w:customStyle="1" w:styleId="72">
    <w:name w:val="页眉 字符"/>
    <w:basedOn w:val="39"/>
    <w:link w:val="27"/>
    <w:semiHidden/>
    <w:qFormat/>
    <w:locked/>
    <w:uiPriority w:val="99"/>
    <w:rPr>
      <w:rFonts w:cs="Times New Roman"/>
      <w:sz w:val="18"/>
      <w:szCs w:val="18"/>
    </w:rPr>
  </w:style>
  <w:style w:type="character" w:customStyle="1" w:styleId="73">
    <w:name w:val="正文文本缩进 3 字符"/>
    <w:basedOn w:val="39"/>
    <w:link w:val="30"/>
    <w:semiHidden/>
    <w:qFormat/>
    <w:locked/>
    <w:uiPriority w:val="99"/>
    <w:rPr>
      <w:rFonts w:cs="Times New Roman"/>
      <w:sz w:val="16"/>
      <w:szCs w:val="16"/>
    </w:rPr>
  </w:style>
  <w:style w:type="character" w:customStyle="1" w:styleId="74">
    <w:name w:val="正文文本首行缩进 2 字符"/>
    <w:basedOn w:val="66"/>
    <w:link w:val="35"/>
    <w:semiHidden/>
    <w:qFormat/>
    <w:locked/>
    <w:uiPriority w:val="99"/>
    <w:rPr>
      <w:rFonts w:cs="Times New Roman"/>
      <w:sz w:val="24"/>
      <w:szCs w:val="24"/>
    </w:rPr>
  </w:style>
  <w:style w:type="paragraph" w:customStyle="1" w:styleId="75">
    <w:name w:val="表格文字"/>
    <w:basedOn w:val="1"/>
    <w:next w:val="16"/>
    <w:qFormat/>
    <w:uiPriority w:val="99"/>
    <w:pPr>
      <w:adjustRightInd w:val="0"/>
      <w:spacing w:line="420" w:lineRule="atLeast"/>
      <w:jc w:val="left"/>
      <w:textAlignment w:val="baseline"/>
    </w:pPr>
    <w:rPr>
      <w:kern w:val="0"/>
    </w:rPr>
  </w:style>
  <w:style w:type="paragraph" w:customStyle="1" w:styleId="76">
    <w:name w:val="章正文"/>
    <w:basedOn w:val="1"/>
    <w:qFormat/>
    <w:uiPriority w:val="99"/>
    <w:pPr>
      <w:spacing w:beforeLines="50" w:after="120" w:line="300" w:lineRule="auto"/>
      <w:ind w:firstLine="480"/>
    </w:pPr>
    <w:rPr>
      <w:rFonts w:ascii="Helvetica" w:hAnsi="Helvetica"/>
      <w:kern w:val="0"/>
      <w:sz w:val="24"/>
    </w:rPr>
  </w:style>
  <w:style w:type="paragraph" w:customStyle="1" w:styleId="77">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8">
    <w:name w:val="_Style 2"/>
    <w:basedOn w:val="1"/>
    <w:qFormat/>
    <w:uiPriority w:val="99"/>
    <w:pPr>
      <w:ind w:left="720"/>
      <w:contextualSpacing/>
    </w:pPr>
  </w:style>
  <w:style w:type="paragraph" w:customStyle="1" w:styleId="79">
    <w:name w:val="List Paragraph1"/>
    <w:basedOn w:val="1"/>
    <w:qFormat/>
    <w:uiPriority w:val="99"/>
    <w:pPr>
      <w:ind w:firstLine="420" w:firstLineChars="200"/>
    </w:pPr>
    <w:rPr>
      <w:rFonts w:ascii="Calibri" w:hAnsi="Calibri"/>
      <w:szCs w:val="22"/>
    </w:rPr>
  </w:style>
  <w:style w:type="paragraph" w:customStyle="1" w:styleId="80">
    <w:name w:val="List Paragraph11"/>
    <w:basedOn w:val="1"/>
    <w:qFormat/>
    <w:uiPriority w:val="99"/>
    <w:pPr>
      <w:ind w:firstLine="420" w:firstLineChars="200"/>
    </w:pPr>
    <w:rPr>
      <w:szCs w:val="21"/>
    </w:rPr>
  </w:style>
  <w:style w:type="paragraph" w:customStyle="1" w:styleId="81">
    <w:name w:val="TOC 标题1"/>
    <w:basedOn w:val="4"/>
    <w:next w:val="1"/>
    <w:qFormat/>
    <w:uiPriority w:val="99"/>
    <w:pPr>
      <w:outlineLvl w:val="9"/>
    </w:pPr>
  </w:style>
  <w:style w:type="paragraph" w:customStyle="1" w:styleId="82">
    <w:name w:val="Table Description"/>
    <w:next w:val="1"/>
    <w:qFormat/>
    <w:uiPriority w:val="99"/>
    <w:pPr>
      <w:keepNext/>
      <w:numPr>
        <w:ilvl w:val="5"/>
        <w:numId w:val="1"/>
      </w:numPr>
      <w:tabs>
        <w:tab w:val="left" w:pos="2700"/>
        <w:tab w:val="clear" w:pos="2944"/>
      </w:tabs>
      <w:snapToGrid w:val="0"/>
      <w:spacing w:before="160" w:after="80"/>
      <w:jc w:val="center"/>
    </w:pPr>
    <w:rPr>
      <w:rFonts w:ascii="Arial" w:hAnsi="Arial" w:eastAsia="黑体" w:cs="Times New Roman"/>
      <w:sz w:val="18"/>
      <w:lang w:val="en-US" w:eastAsia="en-US" w:bidi="ar-SA"/>
    </w:rPr>
  </w:style>
  <w:style w:type="paragraph" w:customStyle="1" w:styleId="83">
    <w:name w:val="Plain Text1"/>
    <w:basedOn w:val="84"/>
    <w:qFormat/>
    <w:uiPriority w:val="99"/>
    <w:pPr>
      <w:autoSpaceDE w:val="0"/>
      <w:autoSpaceDN w:val="0"/>
      <w:adjustRightInd w:val="0"/>
      <w:spacing w:line="360" w:lineRule="auto"/>
    </w:pPr>
    <w:rPr>
      <w:rFonts w:ascii="宋体" w:hAnsi="宋体"/>
      <w:sz w:val="24"/>
      <w:szCs w:val="20"/>
    </w:rPr>
  </w:style>
  <w:style w:type="paragraph" w:customStyle="1" w:styleId="84">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5">
    <w:name w:val="reader-word-layer reader-word-s1-5"/>
    <w:basedOn w:val="1"/>
    <w:qFormat/>
    <w:uiPriority w:val="99"/>
    <w:pPr>
      <w:widowControl/>
      <w:spacing w:before="100" w:beforeAutospacing="1" w:after="100" w:afterAutospacing="1"/>
      <w:jc w:val="left"/>
    </w:pPr>
    <w:rPr>
      <w:rFonts w:ascii="宋体" w:hAnsi="宋体" w:cs="宋体"/>
      <w:kern w:val="0"/>
      <w:sz w:val="24"/>
    </w:rPr>
  </w:style>
  <w:style w:type="paragraph" w:customStyle="1" w:styleId="86">
    <w:name w:val="reader-word-layer reader-word-s1-9"/>
    <w:basedOn w:val="1"/>
    <w:qFormat/>
    <w:uiPriority w:val="99"/>
    <w:pPr>
      <w:widowControl/>
      <w:spacing w:before="100" w:beforeAutospacing="1" w:after="100" w:afterAutospacing="1"/>
      <w:jc w:val="left"/>
    </w:pPr>
    <w:rPr>
      <w:rFonts w:ascii="宋体" w:hAnsi="宋体" w:cs="宋体"/>
      <w:kern w:val="0"/>
      <w:sz w:val="24"/>
    </w:rPr>
  </w:style>
  <w:style w:type="paragraph" w:customStyle="1" w:styleId="87">
    <w:name w:val="No Spacing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8">
    <w:name w:val="纯文本1"/>
    <w:basedOn w:val="1"/>
    <w:qFormat/>
    <w:uiPriority w:val="99"/>
    <w:pPr>
      <w:spacing w:beforeLines="50" w:afterLines="50" w:line="400" w:lineRule="exact"/>
    </w:pPr>
    <w:rPr>
      <w:rFonts w:ascii="宋体" w:hAnsi="Courier New" w:eastAsia="仿宋_GB2312"/>
      <w:b/>
      <w:sz w:val="24"/>
    </w:rPr>
  </w:style>
  <w:style w:type="paragraph" w:customStyle="1" w:styleId="89">
    <w:name w:val="Table Paragraph"/>
    <w:basedOn w:val="1"/>
    <w:qFormat/>
    <w:uiPriority w:val="99"/>
    <w:rPr>
      <w:rFonts w:ascii="宋体" w:hAnsi="宋体" w:cs="宋体"/>
      <w:lang w:val="zh-CN"/>
    </w:rPr>
  </w:style>
  <w:style w:type="paragraph" w:customStyle="1" w:styleId="90">
    <w:name w:val="表格样式 2 A"/>
    <w:qFormat/>
    <w:uiPriority w:val="99"/>
    <w:pPr>
      <w:framePr w:wrap="around" w:vAnchor="margin" w:hAnchor="text" w:y="1"/>
      <w:widowControl w:val="0"/>
      <w:jc w:val="both"/>
    </w:pPr>
    <w:rPr>
      <w:rFonts w:ascii="Helvetica Neue" w:hAnsi="Helvetica Neue" w:eastAsia="宋体" w:cs="Arial Unicode MS"/>
      <w:color w:val="000000"/>
      <w:u w:color="000000"/>
      <w:lang w:val="en-US" w:eastAsia="zh-CN" w:bidi="ar-SA"/>
    </w:rPr>
  </w:style>
  <w:style w:type="character" w:customStyle="1" w:styleId="91">
    <w:name w:val="textcontents1"/>
    <w:basedOn w:val="39"/>
    <w:qFormat/>
    <w:uiPriority w:val="99"/>
    <w:rPr>
      <w:rFonts w:cs="Times New Roman"/>
      <w:color w:val="000000"/>
      <w:sz w:val="30"/>
      <w:szCs w:val="30"/>
    </w:rPr>
  </w:style>
  <w:style w:type="character" w:customStyle="1" w:styleId="92">
    <w:name w:val="font01"/>
    <w:basedOn w:val="39"/>
    <w:qFormat/>
    <w:uiPriority w:val="99"/>
    <w:rPr>
      <w:rFonts w:ascii="宋体" w:hAnsi="宋体" w:eastAsia="宋体" w:cs="宋体"/>
      <w:color w:val="000000"/>
      <w:sz w:val="22"/>
      <w:szCs w:val="22"/>
      <w:u w:val="none"/>
    </w:rPr>
  </w:style>
  <w:style w:type="paragraph" w:customStyle="1" w:styleId="93">
    <w:name w:val="二级条标题"/>
    <w:basedOn w:val="94"/>
    <w:next w:val="95"/>
    <w:qFormat/>
    <w:uiPriority w:val="99"/>
    <w:pPr>
      <w:numPr>
        <w:ilvl w:val="3"/>
      </w:numPr>
      <w:tabs>
        <w:tab w:val="left" w:pos="1470"/>
      </w:tabs>
      <w:outlineLvl w:val="3"/>
    </w:pPr>
  </w:style>
  <w:style w:type="paragraph" w:customStyle="1" w:styleId="94">
    <w:name w:val="一级条标题"/>
    <w:next w:val="95"/>
    <w:qFormat/>
    <w:uiPriority w:val="99"/>
    <w:pPr>
      <w:numPr>
        <w:ilvl w:val="2"/>
        <w:numId w:val="2"/>
      </w:numPr>
      <w:outlineLvl w:val="2"/>
    </w:pPr>
    <w:rPr>
      <w:rFonts w:ascii="Times New Roman" w:hAnsi="Times New Roman" w:eastAsia="黑体" w:cs="Times New Roman"/>
      <w:sz w:val="21"/>
      <w:lang w:val="en-US" w:eastAsia="zh-CN" w:bidi="ar-SA"/>
    </w:rPr>
  </w:style>
  <w:style w:type="paragraph" w:customStyle="1" w:styleId="95">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
    <w:name w:val="样式 三级条标题 + 宋体"/>
    <w:basedOn w:val="97"/>
    <w:qFormat/>
    <w:uiPriority w:val="99"/>
    <w:pPr>
      <w:tabs>
        <w:tab w:val="left" w:pos="1470"/>
      </w:tabs>
    </w:pPr>
    <w:rPr>
      <w:rFonts w:ascii="宋体" w:hAnsi="宋体" w:eastAsia="宋体"/>
    </w:rPr>
  </w:style>
  <w:style w:type="paragraph" w:customStyle="1" w:styleId="97">
    <w:name w:val="三级条标题"/>
    <w:basedOn w:val="93"/>
    <w:next w:val="95"/>
    <w:qFormat/>
    <w:uiPriority w:val="99"/>
    <w:pPr>
      <w:numPr>
        <w:ilvl w:val="4"/>
      </w:numPr>
      <w:outlineLvl w:val="4"/>
    </w:pPr>
  </w:style>
  <w:style w:type="paragraph" w:customStyle="1" w:styleId="98">
    <w:name w:val="样式 正文文本缩进 + 首行缩进:  1.99 字符"/>
    <w:basedOn w:val="1"/>
    <w:qFormat/>
    <w:uiPriority w:val="99"/>
    <w:pPr>
      <w:adjustRightInd w:val="0"/>
      <w:snapToGrid w:val="0"/>
      <w:ind w:firstLine="478" w:firstLineChars="199"/>
    </w:pPr>
    <w:rPr>
      <w:rFonts w:cs="宋体"/>
      <w:color w:val="000000"/>
      <w:sz w:val="24"/>
      <w:szCs w:val="20"/>
    </w:rPr>
  </w:style>
  <w:style w:type="paragraph" w:customStyle="1" w:styleId="99">
    <w:name w:val="标题3"/>
    <w:basedOn w:val="1"/>
    <w:qFormat/>
    <w:uiPriority w:val="99"/>
    <w:pPr>
      <w:autoSpaceDE w:val="0"/>
      <w:autoSpaceDN w:val="0"/>
      <w:adjustRightInd w:val="0"/>
      <w:spacing w:before="120" w:after="120" w:line="500" w:lineRule="exact"/>
      <w:jc w:val="left"/>
      <w:textAlignment w:val="baseline"/>
    </w:pPr>
    <w:rPr>
      <w:rFonts w:eastAsia="黑体"/>
      <w:kern w:val="0"/>
      <w:sz w:val="30"/>
      <w:szCs w:val="30"/>
    </w:rPr>
  </w:style>
  <w:style w:type="paragraph" w:customStyle="1" w:styleId="100">
    <w:name w:val="列出段落1"/>
    <w:basedOn w:val="1"/>
    <w:qFormat/>
    <w:uiPriority w:val="99"/>
    <w:pPr>
      <w:ind w:firstLine="420" w:firstLineChars="200"/>
    </w:pPr>
    <w:rPr>
      <w:rFonts w:ascii="Calibri" w:hAnsi="Calibri"/>
      <w:szCs w:val="22"/>
    </w:rPr>
  </w:style>
  <w:style w:type="paragraph" w:customStyle="1" w:styleId="101">
    <w:name w:val="Plain Text2"/>
    <w:basedOn w:val="1"/>
    <w:qFormat/>
    <w:uiPriority w:val="99"/>
    <w:pPr>
      <w:adjustRightInd w:val="0"/>
    </w:pPr>
    <w:rPr>
      <w:rFonts w:ascii="宋体" w:hAnsi="Courier New" w:eastAsia="楷体_GB2312"/>
      <w:sz w:val="28"/>
    </w:rPr>
  </w:style>
  <w:style w:type="character" w:customStyle="1" w:styleId="102">
    <w:name w:val="ca-2"/>
    <w:basedOn w:val="39"/>
    <w:qFormat/>
    <w:uiPriority w:val="99"/>
    <w:rPr>
      <w:rFonts w:cs="Times New Roman"/>
    </w:rPr>
  </w:style>
  <w:style w:type="paragraph" w:customStyle="1" w:styleId="103">
    <w:name w:val="正文_14"/>
    <w:qFormat/>
    <w:uiPriority w:val="99"/>
    <w:rPr>
      <w:rFonts w:ascii="Times New Roman" w:hAnsi="Times New Roman" w:eastAsia="宋体" w:cs="Times New Roman"/>
      <w:sz w:val="21"/>
      <w:szCs w:val="22"/>
      <w:lang w:val="en-US" w:eastAsia="zh-CN" w:bidi="ar-SA"/>
    </w:rPr>
  </w:style>
  <w:style w:type="paragraph" w:customStyle="1" w:styleId="104">
    <w:name w:val="列出段落2"/>
    <w:basedOn w:val="1"/>
    <w:qFormat/>
    <w:uiPriority w:val="34"/>
    <w:pPr>
      <w:ind w:firstLine="420" w:firstLineChars="200"/>
    </w:pPr>
    <w:rPr>
      <w:rFonts w:ascii="Calibri" w:hAnsi="Calibri"/>
      <w:szCs w:val="22"/>
    </w:rPr>
  </w:style>
  <w:style w:type="paragraph" w:customStyle="1" w:styleId="105">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06">
    <w:name w:val="图表名"/>
    <w:basedOn w:val="1"/>
    <w:qFormat/>
    <w:uiPriority w:val="0"/>
    <w:pPr>
      <w:spacing w:line="360" w:lineRule="auto"/>
      <w:jc w:val="center"/>
    </w:pPr>
    <w:rPr>
      <w:rFonts w:ascii="黑体" w:hAnsi="黑体" w:eastAsia="黑体"/>
      <w:szCs w:val="21"/>
    </w:rPr>
  </w:style>
  <w:style w:type="character" w:customStyle="1" w:styleId="107">
    <w:name w:val="bsharetext"/>
    <w:basedOn w:val="39"/>
    <w:qFormat/>
    <w:uiPriority w:val="0"/>
  </w:style>
  <w:style w:type="paragraph" w:customStyle="1" w:styleId="108">
    <w:name w:val="表文"/>
    <w:basedOn w:val="1"/>
    <w:qFormat/>
    <w:uiPriority w:val="0"/>
    <w:pPr>
      <w:keepLines/>
      <w:widowControl/>
      <w:tabs>
        <w:tab w:val="right" w:pos="9660"/>
      </w:tabs>
      <w:topLinePunct/>
      <w:jc w:val="center"/>
      <w:textAlignment w:val="center"/>
    </w:pPr>
    <w:rPr>
      <w:rFonts w:ascii="等线" w:hAnsi="Calibri" w:eastAsia="等线"/>
      <w:sz w:val="36"/>
      <w:szCs w:val="21"/>
    </w:rPr>
  </w:style>
  <w:style w:type="paragraph" w:customStyle="1" w:styleId="109">
    <w:name w:val="表名和图名"/>
    <w:basedOn w:val="11"/>
    <w:qFormat/>
    <w:uiPriority w:val="0"/>
    <w:pPr>
      <w:keepNext/>
      <w:spacing w:before="60" w:after="60"/>
      <w:jc w:val="center"/>
    </w:pPr>
    <w:rPr>
      <w:rFonts w:ascii="Times New Roman" w:hAnsi="Times New Roman" w:eastAsia="宋体"/>
      <w:sz w:val="21"/>
      <w:szCs w:val="21"/>
    </w:rPr>
  </w:style>
  <w:style w:type="character" w:customStyle="1" w:styleId="110">
    <w:name w:val="font21"/>
    <w:basedOn w:val="39"/>
    <w:qFormat/>
    <w:uiPriority w:val="0"/>
    <w:rPr>
      <w:rFonts w:hint="eastAsia" w:ascii="宋体" w:hAnsi="宋体" w:eastAsia="宋体" w:cs="宋体"/>
      <w:color w:val="000000"/>
      <w:sz w:val="21"/>
      <w:szCs w:val="21"/>
      <w:u w:val="none"/>
    </w:rPr>
  </w:style>
  <w:style w:type="paragraph" w:customStyle="1" w:styleId="111">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12">
    <w:name w:val="列出段落3"/>
    <w:basedOn w:val="1"/>
    <w:autoRedefine/>
    <w:qFormat/>
    <w:uiPriority w:val="34"/>
    <w:pPr>
      <w:ind w:firstLine="420" w:firstLineChars="200"/>
    </w:pPr>
    <w:rPr>
      <w:rFonts w:ascii="Calibri" w:hAnsi="Calibri"/>
      <w:szCs w:val="22"/>
    </w:rPr>
  </w:style>
  <w:style w:type="paragraph" w:customStyle="1" w:styleId="113">
    <w:name w:val="目录 21"/>
    <w:next w:val="1"/>
    <w:autoRedefine/>
    <w:qFormat/>
    <w:uiPriority w:val="0"/>
    <w:pPr>
      <w:wordWrap w:val="0"/>
      <w:jc w:val="both"/>
    </w:pPr>
    <w:rPr>
      <w:rFonts w:ascii="Calibri" w:hAnsi="Calibri" w:eastAsia="宋体" w:cs="Times New Roman"/>
      <w:sz w:val="21"/>
      <w:lang w:val="en-US" w:eastAsia="zh-CN" w:bidi="ar-SA"/>
    </w:rPr>
  </w:style>
  <w:style w:type="character" w:customStyle="1" w:styleId="114">
    <w:name w:val="font11"/>
    <w:basedOn w:val="39"/>
    <w:autoRedefine/>
    <w:qFormat/>
    <w:uiPriority w:val="0"/>
    <w:rPr>
      <w:rFonts w:ascii="Arial" w:hAnsi="Arial" w:cs="Arial"/>
      <w:color w:val="000000"/>
      <w:sz w:val="16"/>
      <w:szCs w:val="16"/>
      <w:u w:val="none"/>
    </w:rPr>
  </w:style>
  <w:style w:type="character" w:customStyle="1" w:styleId="115">
    <w:name w:val="font31"/>
    <w:basedOn w:val="39"/>
    <w:qFormat/>
    <w:uiPriority w:val="0"/>
    <w:rPr>
      <w:rFonts w:hint="eastAsia" w:ascii="宋体" w:hAnsi="宋体" w:eastAsia="宋体" w:cs="宋体"/>
      <w:color w:val="000000"/>
      <w:sz w:val="21"/>
      <w:szCs w:val="21"/>
      <w:u w:val="none"/>
    </w:rPr>
  </w:style>
  <w:style w:type="character" w:customStyle="1" w:styleId="116">
    <w:name w:val="font41"/>
    <w:basedOn w:val="39"/>
    <w:qFormat/>
    <w:uiPriority w:val="0"/>
    <w:rPr>
      <w:rFonts w:hint="default" w:ascii="Times New Roman" w:hAnsi="Times New Roman" w:cs="Times New Roman"/>
      <w:color w:val="000000"/>
      <w:sz w:val="21"/>
      <w:szCs w:val="21"/>
      <w:u w:val="none"/>
    </w:rPr>
  </w:style>
  <w:style w:type="character" w:customStyle="1" w:styleId="117">
    <w:name w:val="font61"/>
    <w:basedOn w:val="39"/>
    <w:qFormat/>
    <w:uiPriority w:val="0"/>
    <w:rPr>
      <w:rFonts w:hint="eastAsia" w:ascii="宋体" w:hAnsi="宋体" w:eastAsia="宋体" w:cs="宋体"/>
      <w:color w:val="000000"/>
      <w:sz w:val="20"/>
      <w:szCs w:val="20"/>
      <w:u w:val="none"/>
    </w:rPr>
  </w:style>
  <w:style w:type="character" w:customStyle="1" w:styleId="118">
    <w:name w:val="font51"/>
    <w:basedOn w:val="39"/>
    <w:qFormat/>
    <w:uiPriority w:val="0"/>
    <w:rPr>
      <w:rFonts w:hint="default" w:ascii="Times New Roman" w:hAnsi="Times New Roman" w:cs="Times New Roman"/>
      <w:color w:val="000000"/>
      <w:sz w:val="22"/>
      <w:szCs w:val="22"/>
      <w:u w:val="none"/>
    </w:rPr>
  </w:style>
  <w:style w:type="character" w:customStyle="1" w:styleId="119">
    <w:name w:val="font71"/>
    <w:basedOn w:val="3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68748A-507E-4C2E-8A6C-65BD50F06B6D}">
  <ds:schemaRefs/>
</ds:datastoreItem>
</file>

<file path=docProps/app.xml><?xml version="1.0" encoding="utf-8"?>
<Properties xmlns="http://schemas.openxmlformats.org/officeDocument/2006/extended-properties" xmlns:vt="http://schemas.openxmlformats.org/officeDocument/2006/docPropsVTypes">
  <Template>Normal.dotm</Template>
  <Company>YC.TEC</Company>
  <Pages>75</Pages>
  <Words>30738</Words>
  <Characters>39241</Characters>
  <Lines>298</Lines>
  <Paragraphs>84</Paragraphs>
  <TotalTime>50</TotalTime>
  <ScaleCrop>false</ScaleCrop>
  <LinksUpToDate>false</LinksUpToDate>
  <CharactersWithSpaces>41337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2021-02-07T12:00:00Z</dcterms:created>
  <dc:creator>Administrator</dc:creator>
  <cp:lastModifiedBy>周江莎</cp:lastModifiedBy>
  <cp:lastPrinted>2025-01-22T03:02:00Z</cp:lastPrinted>
  <dcterms:modified xsi:type="dcterms:W3CDTF">2025-02-13T02:54:34Z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C0CE6D817540413E80386FAF68345E39_13</vt:lpwstr>
  </property>
  <property fmtid="{D5CDD505-2E9C-101B-9397-08002B2CF9AE}" pid="4" name="commondata">
    <vt:lpwstr>eyJoZGlkIjoiNmY0MmUzNjVjMTI4Y2Y4MGI0ZDAwZWFmNzY4NTBhMjIifQ==</vt:lpwstr>
  </property>
  <property fmtid="{D5CDD505-2E9C-101B-9397-08002B2CF9AE}" pid="5" name="KSOTemplateDocerSaveRecord">
    <vt:lpwstr>eyJoZGlkIjoiNDY2OGQ5YmFjNzM5MzQwMGIxODE2OWZlMTEyODgzZjIifQ==</vt:lpwstr>
  </property>
</Properties>
</file>