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E87087">
      <w:pPr>
        <w:spacing w:line="360" w:lineRule="auto"/>
        <w:jc w:val="center"/>
        <w:rPr>
          <w:rFonts w:asciiTheme="minorEastAsia" w:hAnsiTheme="minorEastAsia" w:eastAsiaTheme="minorEastAsia" w:cstheme="minorEastAsia"/>
          <w:color w:val="auto"/>
          <w:sz w:val="48"/>
          <w:szCs w:val="48"/>
          <w:highlight w:val="none"/>
        </w:rPr>
      </w:pPr>
    </w:p>
    <w:p w14:paraId="0C4CA7BD">
      <w:pPr>
        <w:spacing w:line="360" w:lineRule="auto"/>
        <w:jc w:val="center"/>
        <w:rPr>
          <w:rFonts w:hint="eastAsia" w:asciiTheme="minorEastAsia" w:hAnsiTheme="minorEastAsia" w:eastAsiaTheme="minorEastAsia" w:cstheme="minorEastAsia"/>
          <w:b/>
          <w:color w:val="auto"/>
          <w:sz w:val="36"/>
          <w:szCs w:val="36"/>
          <w:highlight w:val="none"/>
          <w:lang w:val="en-US" w:eastAsia="zh-CN"/>
        </w:rPr>
      </w:pPr>
      <w:r>
        <w:rPr>
          <w:rFonts w:hint="eastAsia" w:asciiTheme="minorEastAsia" w:hAnsiTheme="minorEastAsia" w:eastAsiaTheme="minorEastAsia" w:cstheme="minorEastAsia"/>
          <w:b/>
          <w:color w:val="auto"/>
          <w:sz w:val="36"/>
          <w:szCs w:val="36"/>
          <w:highlight w:val="none"/>
          <w:lang w:val="en-US" w:eastAsia="zh-CN"/>
        </w:rPr>
        <w:t xml:space="preserve"> 大慈路与公园路交叉口提升工程项目</w:t>
      </w:r>
    </w:p>
    <w:p w14:paraId="56467207">
      <w:pPr>
        <w:spacing w:line="360" w:lineRule="auto"/>
        <w:ind w:firstLine="722"/>
        <w:jc w:val="center"/>
        <w:rPr>
          <w:rFonts w:hint="eastAsia" w:asciiTheme="minorEastAsia" w:hAnsiTheme="minorEastAsia" w:eastAsiaTheme="minorEastAsia" w:cstheme="minorEastAsia"/>
          <w:b/>
          <w:color w:val="auto"/>
          <w:sz w:val="36"/>
          <w:szCs w:val="36"/>
          <w:highlight w:val="none"/>
          <w:lang w:val="en-US" w:eastAsia="zh-CN"/>
        </w:rPr>
      </w:pPr>
      <w:r>
        <w:rPr>
          <w:rFonts w:hint="eastAsia" w:asciiTheme="minorEastAsia" w:hAnsiTheme="minorEastAsia" w:eastAsiaTheme="minorEastAsia" w:cstheme="minorEastAsia"/>
          <w:b/>
          <w:color w:val="auto"/>
          <w:sz w:val="36"/>
          <w:szCs w:val="36"/>
          <w:highlight w:val="none"/>
          <w:lang w:val="en-US" w:eastAsia="zh-CN"/>
        </w:rPr>
        <w:t>竞争性磋商文件</w:t>
      </w:r>
    </w:p>
    <w:p w14:paraId="4BF1791C">
      <w:pPr>
        <w:spacing w:line="360" w:lineRule="auto"/>
        <w:ind w:firstLine="722"/>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（电子交易项目）</w:t>
      </w:r>
    </w:p>
    <w:p w14:paraId="0141A2FA">
      <w:pPr>
        <w:snapToGrid w:val="0"/>
        <w:spacing w:line="360" w:lineRule="auto"/>
        <w:jc w:val="center"/>
        <w:rPr>
          <w:rFonts w:hint="default" w:asciiTheme="minorEastAsia" w:hAnsiTheme="minorEastAsia" w:eastAsiaTheme="minorEastAsia" w:cstheme="minorEastAsia"/>
          <w:color w:val="auto"/>
          <w:sz w:val="30"/>
          <w:szCs w:val="30"/>
          <w:highlight w:val="none"/>
          <w:lang w:val="en-US" w:eastAsia="zh-CN"/>
        </w:rPr>
      </w:pPr>
      <w:r>
        <w:rPr>
          <w:rFonts w:hint="eastAsia" w:asciiTheme="minorEastAsia" w:hAnsiTheme="minorEastAsia" w:eastAsiaTheme="minorEastAsia" w:cstheme="minorEastAsia"/>
          <w:color w:val="auto"/>
          <w:sz w:val="30"/>
          <w:szCs w:val="30"/>
          <w:highlight w:val="none"/>
        </w:rPr>
        <w:t>编号</w:t>
      </w:r>
      <w:r>
        <w:rPr>
          <w:rFonts w:hint="eastAsia" w:asciiTheme="minorEastAsia" w:hAnsiTheme="minorEastAsia" w:eastAsiaTheme="minorEastAsia" w:cstheme="minorEastAsia"/>
          <w:color w:val="auto"/>
          <w:sz w:val="30"/>
          <w:szCs w:val="30"/>
          <w:highlight w:val="none"/>
          <w:lang w:eastAsia="zh-CN"/>
        </w:rPr>
        <w:t>：</w:t>
      </w:r>
      <w:r>
        <w:rPr>
          <w:rFonts w:hint="eastAsia" w:asciiTheme="minorEastAsia" w:hAnsiTheme="minorEastAsia" w:eastAsiaTheme="minorEastAsia" w:cstheme="minorEastAsia"/>
          <w:color w:val="auto"/>
          <w:sz w:val="30"/>
          <w:szCs w:val="30"/>
          <w:highlight w:val="none"/>
        </w:rPr>
        <w:t xml:space="preserve"> </w:t>
      </w:r>
      <w:r>
        <w:rPr>
          <w:rFonts w:hint="eastAsia" w:asciiTheme="minorEastAsia" w:hAnsiTheme="minorEastAsia" w:eastAsiaTheme="minorEastAsia" w:cstheme="minorEastAsia"/>
          <w:color w:val="auto"/>
          <w:sz w:val="30"/>
          <w:szCs w:val="30"/>
          <w:highlight w:val="none"/>
          <w:lang w:val="en-US" w:eastAsia="zh-CN"/>
        </w:rPr>
        <w:t xml:space="preserve">FHGQZB(2025)102D </w:t>
      </w:r>
    </w:p>
    <w:p w14:paraId="6D85F1D5">
      <w:pPr>
        <w:spacing w:line="360" w:lineRule="auto"/>
        <w:rPr>
          <w:rFonts w:asciiTheme="minorEastAsia" w:hAnsiTheme="minorEastAsia" w:eastAsiaTheme="minorEastAsia" w:cstheme="minorEastAsia"/>
          <w:color w:val="auto"/>
          <w:sz w:val="28"/>
          <w:szCs w:val="20"/>
          <w:highlight w:val="none"/>
        </w:rPr>
      </w:pPr>
    </w:p>
    <w:p w14:paraId="664EB6D2">
      <w:pPr>
        <w:spacing w:line="360" w:lineRule="auto"/>
        <w:jc w:val="center"/>
        <w:rPr>
          <w:rFonts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 xml:space="preserve"> </w:t>
      </w:r>
    </w:p>
    <w:p w14:paraId="4F7FEAA1">
      <w:pPr>
        <w:spacing w:line="360" w:lineRule="auto"/>
        <w:jc w:val="center"/>
        <w:rPr>
          <w:rFonts w:asciiTheme="minorEastAsia" w:hAnsiTheme="minorEastAsia" w:eastAsiaTheme="minorEastAsia" w:cstheme="minorEastAsia"/>
          <w:b/>
          <w:color w:val="auto"/>
          <w:sz w:val="44"/>
          <w:szCs w:val="44"/>
          <w:highlight w:val="none"/>
        </w:rPr>
      </w:pPr>
    </w:p>
    <w:p w14:paraId="23B06036">
      <w:pPr>
        <w:pStyle w:val="31"/>
        <w:ind w:firstLine="560"/>
        <w:rPr>
          <w:rFonts w:asciiTheme="minorEastAsia" w:hAnsiTheme="minorEastAsia" w:eastAsiaTheme="minorEastAsia" w:cstheme="minorEastAsia"/>
          <w:color w:val="auto"/>
          <w:highlight w:val="none"/>
        </w:rPr>
      </w:pPr>
    </w:p>
    <w:p w14:paraId="39498F5C">
      <w:pPr>
        <w:spacing w:line="360" w:lineRule="auto"/>
        <w:rPr>
          <w:rFonts w:asciiTheme="minorEastAsia" w:hAnsiTheme="minorEastAsia" w:eastAsiaTheme="minorEastAsia" w:cstheme="minorEastAsia"/>
          <w:color w:val="auto"/>
          <w:sz w:val="24"/>
          <w:highlight w:val="none"/>
        </w:rPr>
      </w:pPr>
    </w:p>
    <w:p w14:paraId="43CC9E17">
      <w:pPr>
        <w:spacing w:line="360" w:lineRule="auto"/>
        <w:rPr>
          <w:rFonts w:asciiTheme="minorEastAsia" w:hAnsiTheme="minorEastAsia" w:eastAsiaTheme="minorEastAsia" w:cstheme="minorEastAsia"/>
          <w:color w:val="auto"/>
          <w:sz w:val="24"/>
          <w:highlight w:val="none"/>
        </w:rPr>
      </w:pPr>
    </w:p>
    <w:p w14:paraId="5F3D1C91">
      <w:pPr>
        <w:pStyle w:val="9"/>
        <w:rPr>
          <w:color w:val="auto"/>
          <w:highlight w:val="none"/>
        </w:rPr>
      </w:pPr>
    </w:p>
    <w:p w14:paraId="7704D8F0">
      <w:pPr>
        <w:spacing w:line="360" w:lineRule="auto"/>
        <w:jc w:val="center"/>
        <w:rPr>
          <w:rFonts w:asciiTheme="minorEastAsia" w:hAnsiTheme="minorEastAsia" w:eastAsiaTheme="minorEastAsia" w:cstheme="minorEastAsia"/>
          <w:color w:val="auto"/>
          <w:sz w:val="24"/>
          <w:highlight w:val="none"/>
        </w:rPr>
      </w:pPr>
    </w:p>
    <w:p w14:paraId="11AA3C15">
      <w:pPr>
        <w:spacing w:line="360" w:lineRule="auto"/>
        <w:rPr>
          <w:rFonts w:asciiTheme="minorEastAsia" w:hAnsiTheme="minorEastAsia" w:eastAsiaTheme="minorEastAsia" w:cstheme="minorEastAsia"/>
          <w:color w:val="auto"/>
          <w:sz w:val="32"/>
          <w:szCs w:val="32"/>
          <w:highlight w:val="none"/>
        </w:rPr>
      </w:pPr>
    </w:p>
    <w:p w14:paraId="2F811C11">
      <w:pPr>
        <w:spacing w:line="360" w:lineRule="auto"/>
        <w:ind w:firstLine="960" w:firstLineChars="300"/>
        <w:rPr>
          <w:rFonts w:hint="eastAsia" w:asciiTheme="minorEastAsia" w:hAnsiTheme="minorEastAsia" w:eastAsiaTheme="minorEastAsia" w:cstheme="minorEastAsia"/>
          <w:color w:val="auto"/>
          <w:sz w:val="32"/>
          <w:szCs w:val="32"/>
          <w:highlight w:val="none"/>
          <w:lang w:eastAsia="zh-CN"/>
        </w:rPr>
      </w:pPr>
      <w:r>
        <w:rPr>
          <w:rFonts w:hint="eastAsia" w:asciiTheme="minorEastAsia" w:hAnsiTheme="minorEastAsia" w:eastAsiaTheme="minorEastAsia" w:cstheme="minorEastAsia"/>
          <w:color w:val="auto"/>
          <w:sz w:val="32"/>
          <w:szCs w:val="32"/>
          <w:highlight w:val="none"/>
        </w:rPr>
        <w:t>采购人：</w:t>
      </w:r>
      <w:r>
        <w:rPr>
          <w:rFonts w:hint="eastAsia" w:asciiTheme="minorEastAsia" w:hAnsiTheme="minorEastAsia" w:eastAsiaTheme="minorEastAsia" w:cstheme="minorEastAsia"/>
          <w:color w:val="auto"/>
          <w:sz w:val="32"/>
          <w:szCs w:val="32"/>
          <w:highlight w:val="none"/>
          <w:lang w:eastAsia="zh-CN"/>
        </w:rPr>
        <w:t>宁波市名山建设发展集团有限公司</w:t>
      </w:r>
    </w:p>
    <w:p w14:paraId="2C29FAD0">
      <w:pPr>
        <w:snapToGrid w:val="0"/>
        <w:spacing w:line="360" w:lineRule="auto"/>
        <w:ind w:firstLine="960" w:firstLineChars="300"/>
        <w:jc w:val="both"/>
        <w:rPr>
          <w:rFonts w:hint="default" w:asciiTheme="minorEastAsia" w:hAnsiTheme="minorEastAsia" w:eastAsiaTheme="minorEastAsia" w:cstheme="minorEastAsia"/>
          <w:bCs/>
          <w:color w:val="auto"/>
          <w:sz w:val="32"/>
          <w:szCs w:val="32"/>
          <w:highlight w:val="none"/>
          <w:lang w:val="en-US"/>
        </w:rPr>
      </w:pPr>
      <w:r>
        <w:rPr>
          <w:rFonts w:hint="eastAsia" w:asciiTheme="minorEastAsia" w:hAnsiTheme="minorEastAsia" w:eastAsiaTheme="minorEastAsia" w:cstheme="minorEastAsia"/>
          <w:bCs/>
          <w:color w:val="auto"/>
          <w:sz w:val="32"/>
          <w:szCs w:val="32"/>
          <w:highlight w:val="none"/>
        </w:rPr>
        <w:t>采购代理机构：</w:t>
      </w:r>
      <w:r>
        <w:rPr>
          <w:rFonts w:hint="eastAsia" w:asciiTheme="minorEastAsia" w:hAnsiTheme="minorEastAsia" w:eastAsiaTheme="minorEastAsia" w:cstheme="minorEastAsia"/>
          <w:bCs/>
          <w:color w:val="auto"/>
          <w:sz w:val="32"/>
          <w:szCs w:val="32"/>
          <w:highlight w:val="none"/>
          <w:lang w:val="en-US" w:eastAsia="zh-CN"/>
        </w:rPr>
        <w:t>宁波德立工程项目管理咨询有限公司</w:t>
      </w:r>
    </w:p>
    <w:p w14:paraId="2DC2F5DA">
      <w:pPr>
        <w:snapToGrid w:val="0"/>
        <w:spacing w:line="360" w:lineRule="auto"/>
        <w:jc w:val="center"/>
        <w:rPr>
          <w:rFonts w:asciiTheme="minorEastAsia" w:hAnsiTheme="minorEastAsia" w:eastAsiaTheme="minorEastAsia" w:cstheme="minorEastAsia"/>
          <w:bCs/>
          <w:color w:val="auto"/>
          <w:sz w:val="32"/>
          <w:szCs w:val="32"/>
          <w:highlight w:val="none"/>
        </w:rPr>
      </w:pPr>
      <w:r>
        <w:rPr>
          <w:rFonts w:hint="eastAsia" w:asciiTheme="minorEastAsia" w:hAnsiTheme="minorEastAsia" w:eastAsiaTheme="minorEastAsia" w:cstheme="minorEastAsia"/>
          <w:bCs/>
          <w:color w:val="auto"/>
          <w:sz w:val="32"/>
          <w:szCs w:val="32"/>
          <w:highlight w:val="none"/>
        </w:rPr>
        <w:t>二零二</w:t>
      </w:r>
      <w:r>
        <w:rPr>
          <w:rFonts w:hint="eastAsia" w:asciiTheme="minorEastAsia" w:hAnsiTheme="minorEastAsia" w:eastAsiaTheme="minorEastAsia" w:cstheme="minorEastAsia"/>
          <w:bCs/>
          <w:color w:val="auto"/>
          <w:sz w:val="32"/>
          <w:szCs w:val="32"/>
          <w:highlight w:val="none"/>
          <w:lang w:val="en-US" w:eastAsia="zh-CN"/>
        </w:rPr>
        <w:t>五</w:t>
      </w:r>
      <w:r>
        <w:rPr>
          <w:rFonts w:hint="eastAsia" w:asciiTheme="minorEastAsia" w:hAnsiTheme="minorEastAsia" w:eastAsiaTheme="minorEastAsia" w:cstheme="minorEastAsia"/>
          <w:bCs/>
          <w:color w:val="auto"/>
          <w:sz w:val="32"/>
          <w:szCs w:val="32"/>
          <w:highlight w:val="none"/>
        </w:rPr>
        <w:t>年</w:t>
      </w:r>
    </w:p>
    <w:p w14:paraId="40093648">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0" w:name="_Hlt67893495"/>
      <w:bookmarkEnd w:id="0"/>
    </w:p>
    <w:p w14:paraId="1ACDB971">
      <w:pPr>
        <w:spacing w:line="360" w:lineRule="auto"/>
        <w:jc w:val="center"/>
        <w:rPr>
          <w:rFonts w:asciiTheme="minorEastAsia" w:hAnsiTheme="minorEastAsia" w:eastAsiaTheme="minorEastAsia" w:cstheme="minorEastAsia"/>
          <w:color w:val="auto"/>
          <w:sz w:val="24"/>
          <w:highlight w:val="none"/>
        </w:rPr>
      </w:pPr>
    </w:p>
    <w:p w14:paraId="73EB6608">
      <w:pPr>
        <w:spacing w:line="360" w:lineRule="auto"/>
        <w:jc w:val="center"/>
        <w:rPr>
          <w:rFonts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4EE47801">
      <w:pPr>
        <w:spacing w:line="360" w:lineRule="auto"/>
        <w:rPr>
          <w:rFonts w:asciiTheme="minorEastAsia" w:hAnsiTheme="minorEastAsia" w:eastAsiaTheme="minorEastAsia" w:cstheme="minorEastAsia"/>
          <w:color w:val="auto"/>
          <w:sz w:val="32"/>
          <w:szCs w:val="32"/>
          <w:highlight w:val="none"/>
        </w:rPr>
      </w:pPr>
    </w:p>
    <w:p w14:paraId="3FBF4505">
      <w:pPr>
        <w:spacing w:line="360" w:lineRule="auto"/>
        <w:rPr>
          <w:rFonts w:asciiTheme="minorEastAsia" w:hAnsiTheme="minorEastAsia" w:eastAsiaTheme="minorEastAsia" w:cstheme="minorEastAsia"/>
          <w:color w:val="auto"/>
          <w:sz w:val="32"/>
          <w:szCs w:val="32"/>
          <w:highlight w:val="none"/>
        </w:rPr>
      </w:pPr>
    </w:p>
    <w:p w14:paraId="52A9CDE9">
      <w:pPr>
        <w:spacing w:line="360" w:lineRule="auto"/>
        <w:ind w:firstLine="732" w:firstLineChars="229"/>
        <w:rPr>
          <w:rFonts w:asciiTheme="minorEastAsia" w:hAnsiTheme="minorEastAsia" w:eastAsiaTheme="minorEastAsia" w:cstheme="minorEastAsia"/>
          <w:color w:val="auto"/>
          <w:sz w:val="32"/>
          <w:szCs w:val="32"/>
          <w:highlight w:val="none"/>
        </w:rPr>
      </w:pPr>
      <w:bookmarkStart w:id="1" w:name="_Hlt91233176"/>
      <w:bookmarkEnd w:id="1"/>
      <w:bookmarkStart w:id="2" w:name="_Toc91899869"/>
      <w:r>
        <w:rPr>
          <w:rFonts w:hint="eastAsia" w:asciiTheme="minorEastAsia" w:hAnsiTheme="minorEastAsia" w:eastAsiaTheme="minorEastAsia" w:cstheme="minorEastAsia"/>
          <w:color w:val="auto"/>
          <w:sz w:val="32"/>
          <w:szCs w:val="32"/>
          <w:highlight w:val="none"/>
        </w:rPr>
        <w:t>第一部分  竞争性磋商公告</w:t>
      </w:r>
    </w:p>
    <w:p w14:paraId="02C1C633">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响应须知</w:t>
      </w:r>
    </w:p>
    <w:p w14:paraId="37956CC7">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采购需求</w:t>
      </w:r>
    </w:p>
    <w:p w14:paraId="38D5D048">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评审办法</w:t>
      </w:r>
    </w:p>
    <w:p w14:paraId="397EB0EB">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合同文本</w:t>
      </w:r>
    </w:p>
    <w:p w14:paraId="5F7A1797">
      <w:pPr>
        <w:spacing w:line="360" w:lineRule="auto"/>
        <w:ind w:firstLine="732" w:firstLineChars="229"/>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6E555D78">
      <w:pPr>
        <w:spacing w:line="360" w:lineRule="auto"/>
        <w:ind w:firstLine="549" w:firstLineChars="229"/>
        <w:rPr>
          <w:rFonts w:asciiTheme="minorEastAsia" w:hAnsiTheme="minorEastAsia" w:eastAsiaTheme="minorEastAsia" w:cstheme="minorEastAsia"/>
          <w:color w:val="auto"/>
          <w:sz w:val="24"/>
          <w:highlight w:val="none"/>
        </w:rPr>
      </w:pPr>
    </w:p>
    <w:p w14:paraId="2E7813EF">
      <w:pPr>
        <w:spacing w:line="360" w:lineRule="auto"/>
        <w:ind w:firstLine="549" w:firstLineChars="229"/>
        <w:rPr>
          <w:rFonts w:asciiTheme="minorEastAsia" w:hAnsiTheme="minorEastAsia" w:eastAsiaTheme="minorEastAsia" w:cstheme="minorEastAsia"/>
          <w:color w:val="auto"/>
          <w:sz w:val="24"/>
          <w:highlight w:val="none"/>
        </w:rPr>
      </w:pPr>
    </w:p>
    <w:p w14:paraId="3DCE8AD7">
      <w:pPr>
        <w:spacing w:line="360" w:lineRule="auto"/>
        <w:ind w:firstLine="549" w:firstLineChars="229"/>
        <w:rPr>
          <w:rFonts w:asciiTheme="minorEastAsia" w:hAnsiTheme="minorEastAsia" w:eastAsiaTheme="minorEastAsia" w:cstheme="minorEastAsia"/>
          <w:color w:val="auto"/>
          <w:sz w:val="24"/>
          <w:highlight w:val="none"/>
        </w:rPr>
      </w:pPr>
    </w:p>
    <w:p w14:paraId="0531889A">
      <w:pPr>
        <w:spacing w:line="360" w:lineRule="auto"/>
        <w:ind w:firstLine="549" w:firstLineChars="229"/>
        <w:rPr>
          <w:rFonts w:asciiTheme="minorEastAsia" w:hAnsiTheme="minorEastAsia" w:eastAsiaTheme="minorEastAsia" w:cstheme="minorEastAsia"/>
          <w:color w:val="auto"/>
          <w:sz w:val="24"/>
          <w:highlight w:val="none"/>
        </w:rPr>
      </w:pPr>
    </w:p>
    <w:p w14:paraId="66193F72">
      <w:pPr>
        <w:spacing w:line="360" w:lineRule="auto"/>
        <w:ind w:firstLine="549" w:firstLineChars="229"/>
        <w:rPr>
          <w:rFonts w:asciiTheme="minorEastAsia" w:hAnsiTheme="minorEastAsia" w:eastAsiaTheme="minorEastAsia" w:cstheme="minorEastAsia"/>
          <w:color w:val="auto"/>
          <w:sz w:val="24"/>
          <w:highlight w:val="none"/>
        </w:rPr>
      </w:pPr>
    </w:p>
    <w:p w14:paraId="2503EB74">
      <w:pPr>
        <w:spacing w:line="360" w:lineRule="auto"/>
        <w:ind w:firstLine="549" w:firstLineChars="229"/>
        <w:rPr>
          <w:rFonts w:asciiTheme="minorEastAsia" w:hAnsiTheme="minorEastAsia" w:eastAsiaTheme="minorEastAsia" w:cstheme="minorEastAsia"/>
          <w:color w:val="auto"/>
          <w:sz w:val="24"/>
          <w:highlight w:val="none"/>
        </w:rPr>
      </w:pPr>
    </w:p>
    <w:p w14:paraId="23614D77">
      <w:pPr>
        <w:spacing w:line="360" w:lineRule="auto"/>
        <w:ind w:firstLine="549" w:firstLineChars="229"/>
        <w:rPr>
          <w:rFonts w:asciiTheme="minorEastAsia" w:hAnsiTheme="minorEastAsia" w:eastAsiaTheme="minorEastAsia" w:cstheme="minorEastAsia"/>
          <w:color w:val="auto"/>
          <w:sz w:val="24"/>
          <w:highlight w:val="none"/>
        </w:rPr>
      </w:pPr>
    </w:p>
    <w:p w14:paraId="0B9D6FEB">
      <w:pPr>
        <w:spacing w:line="360" w:lineRule="auto"/>
        <w:ind w:firstLine="549" w:firstLineChars="229"/>
        <w:rPr>
          <w:rFonts w:asciiTheme="minorEastAsia" w:hAnsiTheme="minorEastAsia" w:eastAsiaTheme="minorEastAsia" w:cstheme="minorEastAsia"/>
          <w:color w:val="auto"/>
          <w:sz w:val="24"/>
          <w:highlight w:val="none"/>
        </w:rPr>
      </w:pPr>
    </w:p>
    <w:p w14:paraId="05172C08">
      <w:pPr>
        <w:spacing w:line="360" w:lineRule="auto"/>
        <w:ind w:firstLine="549" w:firstLineChars="229"/>
        <w:rPr>
          <w:rFonts w:asciiTheme="minorEastAsia" w:hAnsiTheme="minorEastAsia" w:eastAsiaTheme="minorEastAsia" w:cstheme="minorEastAsia"/>
          <w:color w:val="auto"/>
          <w:sz w:val="24"/>
          <w:highlight w:val="none"/>
        </w:rPr>
      </w:pPr>
    </w:p>
    <w:p w14:paraId="03E47B2B">
      <w:pPr>
        <w:spacing w:line="360" w:lineRule="auto"/>
        <w:ind w:firstLine="549" w:firstLineChars="229"/>
        <w:rPr>
          <w:rFonts w:asciiTheme="minorEastAsia" w:hAnsiTheme="minorEastAsia" w:eastAsiaTheme="minorEastAsia" w:cstheme="minorEastAsia"/>
          <w:color w:val="auto"/>
          <w:sz w:val="24"/>
          <w:highlight w:val="none"/>
        </w:rPr>
      </w:pPr>
    </w:p>
    <w:p w14:paraId="7FF9F408">
      <w:pPr>
        <w:spacing w:line="360" w:lineRule="auto"/>
        <w:ind w:firstLine="549" w:firstLineChars="229"/>
        <w:rPr>
          <w:rFonts w:asciiTheme="minorEastAsia" w:hAnsiTheme="minorEastAsia" w:eastAsiaTheme="minorEastAsia" w:cstheme="minorEastAsia"/>
          <w:color w:val="auto"/>
          <w:sz w:val="24"/>
          <w:highlight w:val="none"/>
        </w:rPr>
      </w:pPr>
    </w:p>
    <w:p w14:paraId="3FCB9DA4">
      <w:pPr>
        <w:spacing w:line="360" w:lineRule="auto"/>
        <w:ind w:firstLine="549" w:firstLineChars="229"/>
        <w:rPr>
          <w:rFonts w:asciiTheme="minorEastAsia" w:hAnsiTheme="minorEastAsia" w:eastAsiaTheme="minorEastAsia" w:cstheme="minorEastAsia"/>
          <w:color w:val="auto"/>
          <w:sz w:val="24"/>
          <w:highlight w:val="none"/>
        </w:rPr>
      </w:pPr>
    </w:p>
    <w:p w14:paraId="3ACDB1B8">
      <w:pPr>
        <w:spacing w:line="360" w:lineRule="auto"/>
        <w:rPr>
          <w:rFonts w:asciiTheme="minorEastAsia" w:hAnsiTheme="minorEastAsia" w:eastAsiaTheme="minorEastAsia" w:cstheme="minorEastAsia"/>
          <w:color w:val="auto"/>
          <w:sz w:val="24"/>
          <w:highlight w:val="none"/>
        </w:rPr>
      </w:pPr>
    </w:p>
    <w:p w14:paraId="724A8C4E">
      <w:pPr>
        <w:spacing w:line="360" w:lineRule="auto"/>
        <w:jc w:val="center"/>
        <w:outlineLvl w:val="0"/>
        <w:rPr>
          <w:rFonts w:asciiTheme="minorEastAsia" w:hAnsiTheme="minorEastAsia" w:eastAsiaTheme="minorEastAsia" w:cstheme="minorEastAsia"/>
          <w:b/>
          <w:color w:val="auto"/>
          <w:sz w:val="24"/>
          <w:highlight w:val="none"/>
        </w:rPr>
      </w:pPr>
      <w:bookmarkStart w:id="3" w:name="第一部分"/>
      <w:r>
        <w:rPr>
          <w:rFonts w:hint="eastAsia" w:asciiTheme="minorEastAsia" w:hAnsiTheme="minorEastAsia" w:eastAsiaTheme="minorEastAsia" w:cstheme="minorEastAsia"/>
          <w:b/>
          <w:color w:val="auto"/>
          <w:sz w:val="36"/>
          <w:szCs w:val="36"/>
          <w:highlight w:val="none"/>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Theme="minorEastAsia" w:hAnsiTheme="minorEastAsia" w:eastAsiaTheme="minorEastAsia" w:cstheme="minorEastAsia"/>
          <w:b/>
          <w:color w:val="auto"/>
          <w:sz w:val="36"/>
          <w:szCs w:val="20"/>
          <w:highlight w:val="none"/>
        </w:rPr>
        <w:t>第一部分 竞争性磋商公告</w:t>
      </w:r>
    </w:p>
    <w:p w14:paraId="3EDC6711">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75D6B4AB">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bCs/>
          <w:snapToGrid w:val="0"/>
          <w:color w:val="auto"/>
          <w:kern w:val="2"/>
          <w:sz w:val="21"/>
          <w:szCs w:val="21"/>
          <w:highlight w:val="none"/>
          <w:u w:val="single"/>
          <w:lang w:val="en-US" w:eastAsia="zh-CN" w:bidi="ar-SA"/>
        </w:rPr>
        <w:t>大慈路与公园路交叉口提升工程项目</w:t>
      </w:r>
      <w:r>
        <w:rPr>
          <w:rFonts w:hint="eastAsia" w:ascii="宋体" w:hAnsi="宋体" w:eastAsia="宋体" w:cs="宋体"/>
          <w:color w:val="auto"/>
          <w:sz w:val="21"/>
          <w:szCs w:val="21"/>
          <w:highlight w:val="none"/>
        </w:rPr>
        <w:t>的潜在供应商应在</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"https://www.zcygov.cn/）获取（下载）招标文件，并于2022年00月00日14点30分00秒"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/）获取（下载）采购文件，并于202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日</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点</w:t>
      </w:r>
      <w:r>
        <w:rPr>
          <w:rFonts w:hint="eastAsia" w:ascii="宋体" w:hAnsi="宋体" w:cs="宋体"/>
          <w:color w:val="auto"/>
          <w:sz w:val="21"/>
          <w:szCs w:val="21"/>
          <w:highlight w:val="none"/>
          <w:lang w:val="en-US" w:eastAsia="zh-CN"/>
        </w:rPr>
        <w:t>00</w:t>
      </w:r>
      <w:r>
        <w:rPr>
          <w:rFonts w:hint="eastAsia" w:ascii="宋体" w:hAnsi="宋体" w:eastAsia="宋体" w:cs="宋体"/>
          <w:color w:val="auto"/>
          <w:sz w:val="21"/>
          <w:szCs w:val="21"/>
          <w:highlight w:val="none"/>
        </w:rPr>
        <w:t>分00秒</w:t>
      </w:r>
      <w:r>
        <w:rPr>
          <w:rFonts w:hint="eastAsia" w:ascii="宋体" w:hAnsi="宋体" w:eastAsia="宋体" w:cs="宋体"/>
          <w:color w:val="auto"/>
          <w:sz w:val="21"/>
          <w:szCs w:val="21"/>
          <w:highlight w:val="none"/>
        </w:rPr>
        <w:fldChar w:fldCharType="end"/>
      </w:r>
      <w:r>
        <w:rPr>
          <w:rFonts w:hint="eastAsia" w:ascii="宋体" w:hAnsi="宋体" w:eastAsia="宋体" w:cs="宋体"/>
          <w:bCs/>
          <w:color w:val="auto"/>
          <w:sz w:val="21"/>
          <w:szCs w:val="21"/>
          <w:highlight w:val="none"/>
        </w:rPr>
        <w:t>（北京时间）前</w:t>
      </w:r>
      <w:r>
        <w:rPr>
          <w:rFonts w:hint="eastAsia" w:ascii="宋体" w:hAnsi="宋体" w:eastAsia="宋体" w:cs="宋体"/>
          <w:color w:val="auto"/>
          <w:sz w:val="21"/>
          <w:szCs w:val="21"/>
          <w:highlight w:val="none"/>
        </w:rPr>
        <w:t>递交（上传）响应文件。</w:t>
      </w:r>
    </w:p>
    <w:p w14:paraId="7240D1DE">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一、项目基本情况                                            </w:t>
      </w:r>
    </w:p>
    <w:p w14:paraId="49E00B26">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项目编号：</w:t>
      </w:r>
      <w:r>
        <w:rPr>
          <w:rFonts w:hint="eastAsia" w:ascii="宋体" w:hAnsi="宋体" w:eastAsia="宋体" w:cs="宋体"/>
          <w:b/>
          <w:color w:val="0000FF"/>
          <w:sz w:val="21"/>
          <w:szCs w:val="21"/>
          <w:highlight w:val="none"/>
          <w:lang w:val="en-US" w:eastAsia="zh-CN"/>
        </w:rPr>
        <w:t xml:space="preserve"> </w:t>
      </w:r>
      <w:r>
        <w:rPr>
          <w:rFonts w:hint="eastAsia" w:ascii="宋体" w:hAnsi="宋体" w:eastAsia="宋体" w:cs="宋体"/>
          <w:b/>
          <w:color w:val="auto"/>
          <w:sz w:val="21"/>
          <w:szCs w:val="21"/>
          <w:highlight w:val="none"/>
          <w:lang w:val="en-US" w:eastAsia="zh-CN"/>
        </w:rPr>
        <w:t>FHGQZB(202</w:t>
      </w:r>
      <w:r>
        <w:rPr>
          <w:rFonts w:hint="eastAsia" w:ascii="宋体" w:hAnsi="宋体" w:cs="宋体"/>
          <w:b/>
          <w:color w:val="auto"/>
          <w:sz w:val="21"/>
          <w:szCs w:val="21"/>
          <w:highlight w:val="none"/>
          <w:lang w:val="en-US" w:eastAsia="zh-CN"/>
        </w:rPr>
        <w:t>5</w:t>
      </w:r>
      <w:r>
        <w:rPr>
          <w:rFonts w:hint="eastAsia" w:ascii="宋体" w:hAnsi="宋体" w:eastAsia="宋体" w:cs="宋体"/>
          <w:b/>
          <w:color w:val="auto"/>
          <w:sz w:val="21"/>
          <w:szCs w:val="21"/>
          <w:highlight w:val="none"/>
          <w:lang w:val="en-US" w:eastAsia="zh-CN"/>
        </w:rPr>
        <w:t>)</w:t>
      </w:r>
      <w:r>
        <w:rPr>
          <w:rFonts w:hint="eastAsia" w:ascii="宋体" w:hAnsi="宋体" w:cs="宋体"/>
          <w:b/>
          <w:color w:val="auto"/>
          <w:sz w:val="21"/>
          <w:szCs w:val="21"/>
          <w:highlight w:val="none"/>
          <w:lang w:val="en-US" w:eastAsia="zh-CN"/>
        </w:rPr>
        <w:t>102</w:t>
      </w:r>
      <w:r>
        <w:rPr>
          <w:rFonts w:hint="eastAsia" w:ascii="宋体" w:hAnsi="宋体" w:eastAsia="宋体" w:cs="宋体"/>
          <w:b/>
          <w:color w:val="auto"/>
          <w:sz w:val="21"/>
          <w:szCs w:val="21"/>
          <w:highlight w:val="none"/>
          <w:lang w:val="en-US" w:eastAsia="zh-CN"/>
        </w:rPr>
        <w:t xml:space="preserve">D </w:t>
      </w:r>
    </w:p>
    <w:p w14:paraId="5AF08C42">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Cs/>
          <w:snapToGrid w:val="0"/>
          <w:color w:val="auto"/>
          <w:kern w:val="2"/>
          <w:sz w:val="21"/>
          <w:szCs w:val="21"/>
          <w:highlight w:val="none"/>
          <w:lang w:val="en-US" w:eastAsia="zh-CN" w:bidi="ar-SA"/>
        </w:rPr>
      </w:pPr>
      <w:r>
        <w:rPr>
          <w:rFonts w:hint="eastAsia" w:ascii="宋体" w:hAnsi="宋体" w:eastAsia="宋体" w:cs="宋体"/>
          <w:b/>
          <w:color w:val="auto"/>
          <w:sz w:val="21"/>
          <w:szCs w:val="21"/>
          <w:highlight w:val="none"/>
        </w:rPr>
        <w:t>项目名称：</w:t>
      </w:r>
      <w:r>
        <w:rPr>
          <w:rFonts w:hint="eastAsia" w:ascii="宋体" w:hAnsi="宋体" w:cs="宋体"/>
          <w:bCs/>
          <w:snapToGrid w:val="0"/>
          <w:color w:val="auto"/>
          <w:kern w:val="2"/>
          <w:sz w:val="21"/>
          <w:szCs w:val="21"/>
          <w:highlight w:val="none"/>
          <w:lang w:val="en-US" w:eastAsia="zh-CN" w:bidi="ar-SA"/>
        </w:rPr>
        <w:t>大慈路与公园路交叉口提升工程项目</w:t>
      </w:r>
    </w:p>
    <w:p w14:paraId="432D12D0">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预算金额（元）：</w:t>
      </w:r>
      <w:r>
        <w:rPr>
          <w:rFonts w:hint="eastAsia" w:ascii="宋体" w:hAnsi="宋体" w:eastAsia="宋体" w:cs="宋体"/>
          <w:b/>
          <w:color w:val="auto"/>
          <w:sz w:val="21"/>
          <w:szCs w:val="21"/>
          <w:highlight w:val="none"/>
          <w:lang w:val="en-US" w:eastAsia="zh-CN"/>
        </w:rPr>
        <w:t>1033820</w:t>
      </w:r>
    </w:p>
    <w:p w14:paraId="17EA3F21">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color w:val="auto"/>
          <w:sz w:val="21"/>
          <w:szCs w:val="21"/>
          <w:highlight w:val="none"/>
        </w:rPr>
        <w:t>最高限价（元）：</w:t>
      </w:r>
      <w:r>
        <w:rPr>
          <w:rFonts w:hint="eastAsia" w:ascii="宋体" w:hAnsi="宋体" w:cs="宋体"/>
          <w:b/>
          <w:color w:val="auto"/>
          <w:sz w:val="21"/>
          <w:szCs w:val="21"/>
          <w:highlight w:val="none"/>
          <w:lang w:val="en-US" w:eastAsia="zh-CN"/>
        </w:rPr>
        <w:t xml:space="preserve">971790.8   </w:t>
      </w:r>
      <w:r>
        <w:rPr>
          <w:rFonts w:hint="eastAsia" w:ascii="宋体" w:hAnsi="宋体" w:eastAsia="宋体" w:cs="宋体"/>
          <w:bCs/>
          <w:snapToGrid w:val="0"/>
          <w:color w:val="auto"/>
          <w:kern w:val="2"/>
          <w:sz w:val="21"/>
          <w:szCs w:val="21"/>
          <w:highlight w:val="none"/>
          <w:lang w:val="en-US" w:eastAsia="zh-CN" w:bidi="ar-SA"/>
        </w:rPr>
        <w:t xml:space="preserve">最高综合折扣：94%  </w:t>
      </w:r>
    </w:p>
    <w:p w14:paraId="2242A6BB">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Cs/>
          <w:snapToGrid w:val="0"/>
          <w:color w:val="auto"/>
          <w:kern w:val="2"/>
          <w:sz w:val="21"/>
          <w:szCs w:val="21"/>
          <w:highlight w:val="none"/>
          <w:lang w:val="en-US" w:eastAsia="zh-CN" w:bidi="ar-SA"/>
        </w:rPr>
      </w:pPr>
      <w:r>
        <w:rPr>
          <w:rFonts w:hint="eastAsia" w:ascii="宋体" w:hAnsi="宋体" w:eastAsia="宋体" w:cs="宋体"/>
          <w:b/>
          <w:color w:val="auto"/>
          <w:sz w:val="21"/>
          <w:szCs w:val="21"/>
          <w:highlight w:val="none"/>
        </w:rPr>
        <w:t>采购需求：</w:t>
      </w:r>
      <w:r>
        <w:rPr>
          <w:rFonts w:hint="eastAsia" w:ascii="宋体" w:hAnsi="宋体" w:cs="宋体"/>
          <w:bCs/>
          <w:snapToGrid w:val="0"/>
          <w:color w:val="auto"/>
          <w:kern w:val="2"/>
          <w:sz w:val="21"/>
          <w:szCs w:val="21"/>
          <w:highlight w:val="none"/>
          <w:lang w:val="en-US" w:eastAsia="zh-CN" w:bidi="ar-SA"/>
        </w:rPr>
        <w:t>大慈路与公园路交叉口提升工程项目</w:t>
      </w:r>
      <w:r>
        <w:rPr>
          <w:rFonts w:hint="eastAsia" w:ascii="宋体" w:hAnsi="宋体" w:eastAsia="宋体" w:cs="宋体"/>
          <w:bCs/>
          <w:snapToGrid w:val="0"/>
          <w:color w:val="auto"/>
          <w:kern w:val="2"/>
          <w:sz w:val="21"/>
          <w:szCs w:val="21"/>
          <w:highlight w:val="none"/>
          <w:lang w:val="en-US" w:eastAsia="zh-CN" w:bidi="ar-SA"/>
        </w:rPr>
        <w:t>，详见采购文件第三部分采购需求。</w:t>
      </w:r>
    </w:p>
    <w:p w14:paraId="3B2C7A7F">
      <w:pPr>
        <w:pStyle w:val="51"/>
        <w:keepNext w:val="0"/>
        <w:keepLines w:val="0"/>
        <w:pageBreakBefore w:val="0"/>
        <w:kinsoku/>
        <w:wordWrap/>
        <w:overflowPunct/>
        <w:topLinePunct w:val="0"/>
        <w:autoSpaceDE/>
        <w:autoSpaceDN/>
        <w:bidi w:val="0"/>
        <w:adjustRightInd/>
        <w:spacing w:before="0" w:line="440" w:lineRule="exact"/>
        <w:ind w:firstLine="422" w:firstLineChars="200"/>
        <w:textAlignment w:val="auto"/>
        <w:outlineLvl w:val="2"/>
        <w:rPr>
          <w:rFonts w:hint="eastAsia" w:ascii="宋体" w:hAnsi="宋体" w:eastAsia="宋体" w:cs="宋体"/>
          <w:color w:val="auto"/>
          <w:sz w:val="21"/>
          <w:szCs w:val="21"/>
          <w:highlight w:val="none"/>
          <w:lang w:eastAsia="zh-CN"/>
        </w:rPr>
      </w:pPr>
      <w:r>
        <w:rPr>
          <w:rFonts w:hint="eastAsia" w:ascii="宋体" w:hAnsi="宋体" w:eastAsia="宋体" w:cs="宋体"/>
          <w:b/>
          <w:color w:val="auto"/>
          <w:sz w:val="21"/>
          <w:szCs w:val="21"/>
          <w:highlight w:val="none"/>
        </w:rPr>
        <w:t>合同履约期限：</w:t>
      </w:r>
      <w:r>
        <w:rPr>
          <w:rFonts w:hint="eastAsia" w:ascii="宋体" w:hAnsi="宋体" w:eastAsia="宋体" w:cs="宋体"/>
          <w:snapToGrid w:val="0"/>
          <w:color w:val="auto"/>
          <w:kern w:val="28"/>
          <w:sz w:val="21"/>
          <w:szCs w:val="21"/>
          <w:highlight w:val="none"/>
          <w:lang w:val="en-US" w:eastAsia="zh-CN" w:bidi="ar-SA"/>
        </w:rPr>
        <w:t>详见采购文件。</w:t>
      </w:r>
    </w:p>
    <w:p w14:paraId="5DB76785">
      <w:pPr>
        <w:pStyle w:val="7"/>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本项目接受联合体：</w:t>
      </w:r>
      <w:r>
        <w:rPr>
          <w:rFonts w:hint="eastAsia" w:ascii="宋体" w:hAnsi="宋体" w:eastAsia="宋体" w:cs="宋体"/>
          <w:color w:val="auto"/>
          <w:kern w:val="0"/>
          <w:sz w:val="21"/>
          <w:szCs w:val="21"/>
          <w:highlight w:val="none"/>
        </w:rPr>
        <w:t>☐</w:t>
      </w:r>
      <w:r>
        <w:rPr>
          <w:rFonts w:hint="eastAsia" w:ascii="宋体" w:hAnsi="宋体" w:eastAsia="宋体" w:cs="宋体"/>
          <w:b/>
          <w:color w:val="auto"/>
          <w:sz w:val="21"/>
          <w:szCs w:val="21"/>
          <w:highlight w:val="none"/>
        </w:rPr>
        <w:t>是，</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rPr>
        <w:sym w:font="Wingdings" w:char="F0FE"/>
      </w:r>
      <w:r>
        <w:rPr>
          <w:rFonts w:hint="eastAsia" w:ascii="宋体" w:hAnsi="宋体" w:eastAsia="宋体" w:cs="宋体"/>
          <w:b/>
          <w:color w:val="auto"/>
          <w:sz w:val="21"/>
          <w:szCs w:val="21"/>
          <w:highlight w:val="none"/>
        </w:rPr>
        <w:t>否</w:t>
      </w:r>
      <w:r>
        <w:rPr>
          <w:rFonts w:hint="eastAsia" w:ascii="宋体" w:hAnsi="宋体" w:eastAsia="宋体" w:cs="宋体"/>
          <w:color w:val="auto"/>
          <w:kern w:val="0"/>
          <w:sz w:val="21"/>
          <w:szCs w:val="21"/>
          <w:highlight w:val="none"/>
        </w:rPr>
        <w:t>。</w:t>
      </w:r>
    </w:p>
    <w:p w14:paraId="641D35A7">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14:paraId="2DEB4552">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3E683118">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snapToGrid w:val="0"/>
          <w:color w:val="auto"/>
          <w:kern w:val="28"/>
          <w:sz w:val="21"/>
          <w:szCs w:val="21"/>
          <w:highlight w:val="none"/>
        </w:rPr>
        <w:t xml:space="preserve">    2.落实政府采购政策需满足的资格要求：</w:t>
      </w:r>
      <w:r>
        <w:rPr>
          <w:rFonts w:hint="eastAsia" w:ascii="宋体" w:hAnsi="宋体" w:cs="宋体"/>
          <w:color w:val="auto"/>
          <w:sz w:val="21"/>
          <w:szCs w:val="21"/>
          <w:highlight w:val="none"/>
          <w:lang w:val="en-US" w:eastAsia="zh-CN"/>
        </w:rPr>
        <w:t>无</w:t>
      </w:r>
      <w:r>
        <w:rPr>
          <w:rFonts w:hint="eastAsia" w:ascii="宋体" w:hAnsi="宋体" w:eastAsia="宋体" w:cs="宋体"/>
          <w:color w:val="auto"/>
          <w:sz w:val="21"/>
          <w:szCs w:val="21"/>
          <w:highlight w:val="none"/>
        </w:rPr>
        <w:t>；</w:t>
      </w:r>
    </w:p>
    <w:p w14:paraId="02334306">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182E1BEA">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3.1供应商须具有</w:t>
      </w:r>
      <w:r>
        <w:rPr>
          <w:rFonts w:hint="eastAsia" w:ascii="宋体" w:hAnsi="宋体" w:cs="宋体"/>
          <w:color w:val="auto"/>
          <w:sz w:val="21"/>
          <w:szCs w:val="21"/>
          <w:highlight w:val="none"/>
          <w:lang w:val="en-US" w:eastAsia="zh-CN"/>
        </w:rPr>
        <w:t>市政公用工程</w:t>
      </w:r>
      <w:r>
        <w:rPr>
          <w:rFonts w:hint="eastAsia" w:ascii="宋体" w:hAnsi="宋体" w:eastAsia="宋体" w:cs="宋体"/>
          <w:color w:val="auto"/>
          <w:sz w:val="21"/>
          <w:szCs w:val="21"/>
          <w:highlight w:val="none"/>
        </w:rPr>
        <w:t>施工总承包叁级及以上资质；</w:t>
      </w:r>
    </w:p>
    <w:p w14:paraId="2EB72969">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3.2供应商须具有有效的建筑施工企业安全生产许可证。</w:t>
      </w:r>
    </w:p>
    <w:p w14:paraId="15B0A42F">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81428EB">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三、获取采购文件 </w:t>
      </w:r>
    </w:p>
    <w:p w14:paraId="50F3C9F0">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时间：</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rPr>
        <w:t>，每天上午00</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00至12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 ，下午12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00至23</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59（北京时间）。</w:t>
      </w:r>
    </w:p>
    <w:p w14:paraId="6159C27C">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7954D865">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方式：</w:t>
      </w:r>
      <w:r>
        <w:rPr>
          <w:rFonts w:hint="eastAsia" w:ascii="宋体" w:hAnsi="宋体" w:eastAsia="宋体" w:cs="宋体"/>
          <w:color w:val="auto"/>
          <w:sz w:val="21"/>
          <w:szCs w:val="21"/>
          <w:highlight w:val="none"/>
        </w:rPr>
        <w:t>供应商登录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 xml:space="preserve">/在线申请获取采购文件（进入“项目采购”应用，在获取采购文件菜单中选择项目，申请获取采购文件）。 </w:t>
      </w:r>
    </w:p>
    <w:p w14:paraId="55FF5817">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售价（元）：</w:t>
      </w:r>
      <w:r>
        <w:rPr>
          <w:rFonts w:hint="eastAsia" w:ascii="宋体" w:hAnsi="宋体" w:eastAsia="宋体" w:cs="宋体"/>
          <w:color w:val="auto"/>
          <w:sz w:val="21"/>
          <w:szCs w:val="21"/>
          <w:highlight w:val="none"/>
        </w:rPr>
        <w:t xml:space="preserve">0 </w:t>
      </w:r>
      <w:r>
        <w:rPr>
          <w:rFonts w:hint="eastAsia" w:ascii="宋体" w:hAnsi="宋体" w:eastAsia="宋体" w:cs="宋体"/>
          <w:color w:val="auto"/>
          <w:sz w:val="21"/>
          <w:szCs w:val="21"/>
          <w:highlight w:val="none"/>
        </w:rPr>
        <w:tab/>
      </w:r>
    </w:p>
    <w:p w14:paraId="613ADC83">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四、首次提交响应文件截止时间、磋商时间和地点</w:t>
      </w:r>
    </w:p>
    <w:p w14:paraId="6BB1C768">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首次提交响应文件截止时间：</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color w:val="0000FF"/>
          <w:sz w:val="21"/>
          <w:szCs w:val="21"/>
          <w:highlight w:val="none"/>
        </w:rPr>
        <w:t>（</w:t>
      </w:r>
      <w:r>
        <w:rPr>
          <w:rFonts w:hint="eastAsia" w:ascii="宋体" w:hAnsi="宋体" w:eastAsia="宋体" w:cs="宋体"/>
          <w:color w:val="auto"/>
          <w:sz w:val="21"/>
          <w:szCs w:val="21"/>
          <w:highlight w:val="none"/>
        </w:rPr>
        <w:t>北京时间）。</w:t>
      </w:r>
    </w:p>
    <w:p w14:paraId="44670AE1">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提交响应文件地点（网址）：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349AF6E1">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Cs/>
          <w:color w:val="auto"/>
          <w:sz w:val="21"/>
          <w:szCs w:val="21"/>
          <w:highlight w:val="none"/>
          <w:u w:val="single"/>
        </w:rPr>
      </w:pPr>
      <w:r>
        <w:rPr>
          <w:rFonts w:hint="eastAsia" w:ascii="宋体" w:hAnsi="宋体" w:eastAsia="宋体" w:cs="宋体"/>
          <w:b/>
          <w:color w:val="auto"/>
          <w:sz w:val="21"/>
          <w:szCs w:val="21"/>
          <w:highlight w:val="none"/>
        </w:rPr>
        <w:t>首次提交响应文件开启时间：</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bCs/>
          <w:color w:val="auto"/>
          <w:sz w:val="21"/>
          <w:szCs w:val="21"/>
          <w:highlight w:val="none"/>
        </w:rPr>
        <w:t>。</w:t>
      </w:r>
    </w:p>
    <w:p w14:paraId="6228C06D">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首次提交响应文件开启地点（网址）：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0CED6A6D">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首次提交响应文件开启地点（线下）：</w:t>
      </w:r>
      <w:r>
        <w:rPr>
          <w:rFonts w:hint="eastAsia" w:ascii="宋体" w:hAnsi="宋体" w:eastAsia="宋体" w:cs="宋体"/>
          <w:bCs/>
          <w:color w:val="auto"/>
          <w:sz w:val="21"/>
          <w:szCs w:val="21"/>
          <w:highlight w:val="none"/>
        </w:rPr>
        <w:t>宁波市奉化区公共资源交易中心开标厅</w:t>
      </w:r>
      <w:r>
        <w:rPr>
          <w:rFonts w:hint="eastAsia" w:ascii="宋体" w:hAnsi="宋体" w:cs="宋体"/>
          <w:bCs/>
          <w:color w:val="auto"/>
          <w:sz w:val="21"/>
          <w:szCs w:val="21"/>
          <w:highlight w:val="none"/>
          <w:lang w:val="en-US" w:eastAsia="zh-CN"/>
        </w:rPr>
        <w:t>二</w:t>
      </w:r>
      <w:r>
        <w:rPr>
          <w:rFonts w:hint="eastAsia" w:ascii="宋体" w:hAnsi="宋体" w:eastAsia="宋体" w:cs="宋体"/>
          <w:bCs/>
          <w:color w:val="0000FF"/>
          <w:sz w:val="21"/>
          <w:szCs w:val="21"/>
          <w:highlight w:val="none"/>
        </w:rPr>
        <w:t>（</w:t>
      </w:r>
      <w:r>
        <w:rPr>
          <w:rFonts w:hint="eastAsia" w:ascii="宋体" w:hAnsi="宋体" w:eastAsia="宋体" w:cs="宋体"/>
          <w:bCs/>
          <w:color w:val="auto"/>
          <w:sz w:val="21"/>
          <w:szCs w:val="21"/>
          <w:highlight w:val="none"/>
        </w:rPr>
        <w:t>宁波市奉化区大成东路277号4楼）</w:t>
      </w:r>
    </w:p>
    <w:p w14:paraId="51BC2360">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五、公告期限 </w:t>
      </w:r>
    </w:p>
    <w:p w14:paraId="16616DE1">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自本公告发布之日起5个工作日。</w:t>
      </w:r>
    </w:p>
    <w:p w14:paraId="78EF085C">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六、其他补充事宜</w:t>
      </w:r>
    </w:p>
    <w:p w14:paraId="41B2F9F8">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w:t>
      </w:r>
    </w:p>
    <w:p w14:paraId="3CD97E9C">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其他事项：（1）需要落实的政府采购政策：包括节约资源、保护环境、支持创新、促进中小企业发展等。详见采购文件的第二部分总则。（2）电子交易的说明：①电子交易：本项目以数据电文形式，依托“政府采购云平台（</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）”进行磋商活动，不接受纸质响应文件；②磋商准备：注册账号--点击“商家入驻”，进行政府采购供应商资料填写；申领CA数字证书---申领流程详见“</w:t>
      </w:r>
      <w:r>
        <w:rPr>
          <w:rFonts w:hint="eastAsia" w:ascii="宋体" w:hAnsi="宋体" w:eastAsia="宋体" w:cs="宋体"/>
          <w:color w:val="auto"/>
          <w:sz w:val="21"/>
          <w:szCs w:val="21"/>
          <w:highlight w:val="none"/>
          <w:lang w:eastAsia="zh-CN"/>
        </w:rPr>
        <w:t>浙江企业采购信息服务网</w:t>
      </w:r>
      <w:r>
        <w:rPr>
          <w:rFonts w:hint="eastAsia" w:ascii="宋体" w:hAnsi="宋体" w:eastAsia="宋体" w:cs="宋体"/>
          <w:color w:val="auto"/>
          <w:sz w:val="21"/>
          <w:szCs w:val="21"/>
          <w:highlight w:val="none"/>
        </w:rPr>
        <w:t>-下载专区-电子交易客户端-CA驱动和申领流程”；安装“</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采云电子交易客户端”----前往“</w:t>
      </w:r>
      <w:r>
        <w:rPr>
          <w:rFonts w:hint="eastAsia" w:ascii="宋体" w:hAnsi="宋体" w:eastAsia="宋体" w:cs="宋体"/>
          <w:color w:val="auto"/>
          <w:sz w:val="21"/>
          <w:szCs w:val="21"/>
          <w:highlight w:val="none"/>
          <w:lang w:eastAsia="zh-CN"/>
        </w:rPr>
        <w:t>浙江企业采购信息服务网</w:t>
      </w:r>
      <w:r>
        <w:rPr>
          <w:rFonts w:hint="eastAsia" w:ascii="宋体" w:hAnsi="宋体" w:eastAsia="宋体" w:cs="宋体"/>
          <w:color w:val="auto"/>
          <w:sz w:val="21"/>
          <w:szCs w:val="21"/>
          <w:highlight w:val="none"/>
        </w:rPr>
        <w:t>-下载专区-电子交易客户端</w:t>
      </w:r>
      <w:r>
        <w:rPr>
          <w:rFonts w:hint="eastAsia" w:ascii="宋体" w:hAnsi="宋体" w:eastAsia="宋体" w:cs="宋体"/>
          <w:color w:val="auto"/>
          <w:sz w:val="21"/>
          <w:szCs w:val="21"/>
          <w:highlight w:val="none"/>
          <w:lang w:eastAsia="zh-CN"/>
        </w:rPr>
        <w:t>（https://b.zhengcaiyun.cn/luban/category?parentId=550045&amp;childrenCode=qicaiCategory17&amp;utm=luban.luban-PC-39026.959-pc-websitegroup-navBar-front.8.ebdec73052c711ef9ade896d008b9248）</w:t>
      </w:r>
      <w:r>
        <w:rPr>
          <w:rFonts w:hint="eastAsia" w:ascii="宋体" w:hAnsi="宋体" w:eastAsia="宋体" w:cs="宋体"/>
          <w:color w:val="auto"/>
          <w:sz w:val="21"/>
          <w:szCs w:val="21"/>
          <w:highlight w:val="none"/>
        </w:rPr>
        <w:t>”进行下载并安装；</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在磋商前应确保成为浙江省政府采购网正式注册入库供应商，并完成CA数字证书办理。完成CA数字证书办理在资料齐全的情况下预计7个工作日左右，请各</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合理预估时间，及时办理。③采购文件的获取：使用账号登录或者使用CA登录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采云平台；进入“项目采购”应用，在获取采购文件菜单中选择项目，获取采购文件；④响应文件的制作：在“</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采云电子交易客户端”中完成“填写基本信息”、“导入响应文件”、“标书关联”、“标书检查”、“电子签名”、“生成电子标书”等操作；⑤采购人、采购代理机构将依托</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采云平台完成本项目的电子交易活动，平台不接受未按上述方式获取采购文件的供应商进行磋商响应活动； ⑥对未按上述方式获取采购文件的供应商对该文件提出的质疑，采购人或采购代理机构将不予处理；⑦不提供采购文件纸质版；⑧响应文件的解密：</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按照平台提示和采购文件的规定在半小时内完成在线解密。⑨具体操作指南：详见</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采云平台“服务中心-帮助文档-项目采购-操作流程-电子招投标-政府采购项目电子交易管理操作指南-供应商”。</w:t>
      </w:r>
    </w:p>
    <w:p w14:paraId="6796FA87">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七、对本次采购提出询问、质疑、投诉，请按以下方式联系</w:t>
      </w:r>
    </w:p>
    <w:p w14:paraId="53949F93">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257FF26E">
      <w:pPr>
        <w:spacing w:line="360" w:lineRule="auto"/>
        <w:ind w:firstLine="48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称：</w:t>
      </w:r>
      <w:r>
        <w:rPr>
          <w:rFonts w:hint="eastAsia" w:ascii="宋体" w:hAnsi="宋体" w:cs="宋体"/>
          <w:color w:val="auto"/>
          <w:sz w:val="21"/>
          <w:szCs w:val="21"/>
          <w:highlight w:val="none"/>
          <w:lang w:eastAsia="zh-CN"/>
        </w:rPr>
        <w:t>宁波市名山建设发展集团有限公司</w:t>
      </w:r>
    </w:p>
    <w:p w14:paraId="78959B27">
      <w:pPr>
        <w:spacing w:line="360" w:lineRule="auto"/>
        <w:ind w:firstLine="48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地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址：</w:t>
      </w:r>
      <w:r>
        <w:rPr>
          <w:rFonts w:hint="eastAsia" w:ascii="宋体" w:hAnsi="宋体" w:cs="宋体"/>
          <w:color w:val="auto"/>
          <w:sz w:val="21"/>
          <w:szCs w:val="21"/>
          <w:highlight w:val="none"/>
          <w:lang w:eastAsia="zh-CN"/>
        </w:rPr>
        <w:t>宁波市奉化区溪口镇中兴路290-2号</w:t>
      </w:r>
    </w:p>
    <w:p w14:paraId="2B71E91D">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真：/</w:t>
      </w:r>
    </w:p>
    <w:p w14:paraId="0A4B5809">
      <w:pPr>
        <w:spacing w:line="360" w:lineRule="auto"/>
        <w:ind w:firstLine="48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cs="宋体"/>
          <w:color w:val="auto"/>
          <w:sz w:val="21"/>
          <w:szCs w:val="21"/>
          <w:highlight w:val="none"/>
          <w:lang w:val="en-US" w:eastAsia="zh-CN"/>
        </w:rPr>
        <w:t>单先生</w:t>
      </w:r>
    </w:p>
    <w:p w14:paraId="63C4BDF9">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cs="宋体"/>
          <w:color w:val="auto"/>
          <w:sz w:val="21"/>
          <w:szCs w:val="21"/>
          <w:highlight w:val="none"/>
          <w:lang w:val="en-US" w:eastAsia="zh-CN"/>
        </w:rPr>
        <w:t>0574-88854688</w:t>
      </w:r>
    </w:p>
    <w:p w14:paraId="7C85449B">
      <w:pPr>
        <w:spacing w:line="360" w:lineRule="auto"/>
        <w:ind w:firstLine="48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质疑联系人：</w:t>
      </w:r>
      <w:r>
        <w:rPr>
          <w:rFonts w:hint="eastAsia" w:ascii="宋体" w:hAnsi="宋体" w:cs="宋体"/>
          <w:color w:val="auto"/>
          <w:sz w:val="21"/>
          <w:szCs w:val="21"/>
          <w:highlight w:val="none"/>
          <w:lang w:val="en-US" w:eastAsia="zh-CN"/>
        </w:rPr>
        <w:t>林先生</w:t>
      </w:r>
    </w:p>
    <w:p w14:paraId="3BB5ACE6">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cs="宋体"/>
          <w:color w:val="auto"/>
          <w:sz w:val="21"/>
          <w:szCs w:val="21"/>
          <w:highlight w:val="none"/>
          <w:lang w:val="en-US" w:eastAsia="zh-CN"/>
        </w:rPr>
        <w:t xml:space="preserve">0574-89284180 </w:t>
      </w:r>
    </w:p>
    <w:p w14:paraId="1805D198">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2.采购代理机构信息            </w:t>
      </w:r>
    </w:p>
    <w:p w14:paraId="1185CE8F">
      <w:pPr>
        <w:keepNext w:val="0"/>
        <w:keepLines w:val="0"/>
        <w:pageBreakBefore w:val="0"/>
        <w:kinsoku/>
        <w:wordWrap/>
        <w:overflowPunct/>
        <w:topLinePunct w:val="0"/>
        <w:bidi w:val="0"/>
        <w:spacing w:line="440" w:lineRule="exact"/>
        <w:ind w:firstLine="48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名    称：</w:t>
      </w:r>
      <w:r>
        <w:rPr>
          <w:rFonts w:hint="eastAsia" w:ascii="宋体" w:hAnsi="宋体" w:cs="宋体"/>
          <w:color w:val="auto"/>
          <w:sz w:val="21"/>
          <w:szCs w:val="21"/>
          <w:highlight w:val="none"/>
          <w:lang w:val="en-US" w:eastAsia="zh-CN"/>
        </w:rPr>
        <w:t>宁波德立工程项目管理咨询有限公司</w:t>
      </w:r>
    </w:p>
    <w:p w14:paraId="71B3E519">
      <w:pPr>
        <w:spacing w:line="360" w:lineRule="auto"/>
        <w:ind w:firstLine="48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    址：</w:t>
      </w:r>
      <w:r>
        <w:rPr>
          <w:rFonts w:hint="eastAsia" w:ascii="宋体" w:hAnsi="宋体" w:cs="宋体"/>
          <w:color w:val="auto"/>
          <w:sz w:val="21"/>
          <w:szCs w:val="21"/>
          <w:highlight w:val="none"/>
          <w:lang w:val="en-US" w:eastAsia="zh-CN"/>
        </w:rPr>
        <w:t>宁波市奉化区南山路160号商贸大厦4楼</w:t>
      </w:r>
    </w:p>
    <w:p w14:paraId="0FB5D6A0">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p>
    <w:p w14:paraId="2F769854">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cs="宋体"/>
          <w:color w:val="auto"/>
          <w:sz w:val="21"/>
          <w:szCs w:val="21"/>
          <w:highlight w:val="none"/>
          <w:lang w:val="en-US" w:eastAsia="zh-CN"/>
        </w:rPr>
        <w:t>吴欣怡</w:t>
      </w:r>
    </w:p>
    <w:p w14:paraId="40703624">
      <w:pPr>
        <w:keepNext w:val="0"/>
        <w:keepLines w:val="0"/>
        <w:pageBreakBefore w:val="0"/>
        <w:kinsoku/>
        <w:wordWrap/>
        <w:overflowPunct/>
        <w:topLinePunct w:val="0"/>
        <w:bidi w:val="0"/>
        <w:spacing w:line="440" w:lineRule="exact"/>
        <w:ind w:firstLine="480"/>
        <w:textAlignment w:val="auto"/>
        <w:rPr>
          <w:rFonts w:hint="default" w:ascii="宋体" w:hAnsi="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项目联系方式（询问）：0574-</w:t>
      </w:r>
      <w:r>
        <w:rPr>
          <w:rFonts w:hint="eastAsia" w:ascii="宋体" w:hAnsi="宋体" w:cs="宋体"/>
          <w:color w:val="auto"/>
          <w:sz w:val="21"/>
          <w:szCs w:val="21"/>
          <w:highlight w:val="none"/>
          <w:lang w:val="en-US" w:eastAsia="zh-CN"/>
        </w:rPr>
        <w:t>88581100</w:t>
      </w:r>
    </w:p>
    <w:p w14:paraId="2AFD8BD8">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质疑联系人： </w:t>
      </w:r>
      <w:r>
        <w:rPr>
          <w:rFonts w:hint="eastAsia" w:ascii="宋体" w:hAnsi="宋体" w:cs="宋体"/>
          <w:color w:val="auto"/>
          <w:sz w:val="21"/>
          <w:szCs w:val="21"/>
          <w:highlight w:val="none"/>
          <w:lang w:val="en-US" w:eastAsia="zh-CN"/>
        </w:rPr>
        <w:t>林远远</w:t>
      </w:r>
    </w:p>
    <w:p w14:paraId="75C32865">
      <w:pPr>
        <w:keepNext w:val="0"/>
        <w:keepLines w:val="0"/>
        <w:pageBreakBefore w:val="0"/>
        <w:kinsoku/>
        <w:wordWrap/>
        <w:overflowPunct/>
        <w:topLinePunct w:val="0"/>
        <w:bidi w:val="0"/>
        <w:spacing w:line="440" w:lineRule="exact"/>
        <w:ind w:firstLine="48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质疑联系方式：0574-</w:t>
      </w:r>
      <w:r>
        <w:rPr>
          <w:rFonts w:hint="eastAsia" w:ascii="宋体" w:hAnsi="宋体" w:cs="宋体"/>
          <w:color w:val="auto"/>
          <w:sz w:val="21"/>
          <w:szCs w:val="21"/>
          <w:highlight w:val="none"/>
          <w:lang w:val="en-US" w:eastAsia="zh-CN"/>
        </w:rPr>
        <w:t>88581100</w:t>
      </w:r>
    </w:p>
    <w:p w14:paraId="474F85E1">
      <w:pPr>
        <w:pStyle w:val="22"/>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3.同级监督管理部门            </w:t>
      </w:r>
    </w:p>
    <w:p w14:paraId="1BDCA032">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名    称：</w:t>
      </w:r>
      <w:r>
        <w:rPr>
          <w:rFonts w:hint="eastAsia" w:ascii="宋体" w:hAnsi="宋体" w:cs="宋体"/>
          <w:bCs/>
          <w:color w:val="auto"/>
          <w:sz w:val="21"/>
          <w:szCs w:val="21"/>
          <w:highlight w:val="none"/>
          <w:lang w:val="en-US" w:eastAsia="zh-CN"/>
        </w:rPr>
        <w:t xml:space="preserve">宁波市名山建设发展集团有限公司纪检监察（审计）室 </w:t>
      </w:r>
    </w:p>
    <w:p w14:paraId="43FA8C2E">
      <w:pPr>
        <w:keepNext w:val="0"/>
        <w:keepLines w:val="0"/>
        <w:pageBreakBefore w:val="0"/>
        <w:kinsoku/>
        <w:wordWrap/>
        <w:overflowPunct/>
        <w:topLinePunct w:val="0"/>
        <w:bidi w:val="0"/>
        <w:spacing w:line="440" w:lineRule="exac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地    址：</w:t>
      </w:r>
      <w:r>
        <w:rPr>
          <w:rFonts w:hint="eastAsia" w:ascii="宋体" w:hAnsi="宋体" w:cs="宋体"/>
          <w:bCs/>
          <w:color w:val="auto"/>
          <w:sz w:val="21"/>
          <w:szCs w:val="21"/>
          <w:highlight w:val="none"/>
          <w:lang w:val="en-US" w:eastAsia="zh-CN"/>
        </w:rPr>
        <w:t>宁波市奉化区溪口镇中兴路290-2号</w:t>
      </w:r>
    </w:p>
    <w:p w14:paraId="2CFFB4A5">
      <w:pPr>
        <w:keepNext w:val="0"/>
        <w:keepLines w:val="0"/>
        <w:pageBreakBefore w:val="0"/>
        <w:kinsoku/>
        <w:wordWrap/>
        <w:overflowPunct/>
        <w:topLinePunct w:val="0"/>
        <w:bidi w:val="0"/>
        <w:spacing w:line="440" w:lineRule="exac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联 系 人 ：</w:t>
      </w:r>
      <w:r>
        <w:rPr>
          <w:rFonts w:hint="eastAsia" w:ascii="宋体" w:hAnsi="宋体" w:cs="宋体"/>
          <w:color w:val="auto"/>
          <w:sz w:val="21"/>
          <w:szCs w:val="21"/>
          <w:highlight w:val="none"/>
          <w:lang w:val="en-US" w:eastAsia="zh-CN"/>
        </w:rPr>
        <w:t>李娜</w:t>
      </w:r>
    </w:p>
    <w:p w14:paraId="2997B331">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监督投诉电话：0574-89284167  </w:t>
      </w:r>
    </w:p>
    <w:p w14:paraId="600709DA">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/），点击右侧咨询小采，获取采小蜜智能服务管家帮助，或拨打</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采云服务热线95763获取热线服务帮助。</w:t>
      </w:r>
    </w:p>
    <w:p w14:paraId="22A81608">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CA问题联系电话（人工）：汇信CA 400-888-4636；天谷CA 400-087-8198。</w:t>
      </w:r>
    </w:p>
    <w:p w14:paraId="69C171EF">
      <w:pPr>
        <w:spacing w:line="360" w:lineRule="auto"/>
        <w:jc w:val="center"/>
        <w:outlineLvl w:val="0"/>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en-US" w:eastAsia="zh-CN"/>
        </w:rPr>
        <w:t xml:space="preserve">  </w:t>
      </w:r>
    </w:p>
    <w:p w14:paraId="3E650205">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262860D4">
      <w:pPr>
        <w:spacing w:line="360" w:lineRule="auto"/>
        <w:jc w:val="center"/>
        <w:outlineLvl w:val="0"/>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第二部分</w:t>
      </w:r>
      <w:bookmarkEnd w:id="8"/>
      <w:r>
        <w:rPr>
          <w:rFonts w:hint="eastAsia" w:asciiTheme="minorEastAsia" w:hAnsiTheme="minorEastAsia" w:eastAsiaTheme="minorEastAsia" w:cstheme="minorEastAsia"/>
          <w:b/>
          <w:color w:val="auto"/>
          <w:sz w:val="36"/>
          <w:szCs w:val="20"/>
          <w:highlight w:val="none"/>
        </w:rPr>
        <w:t xml:space="preserve"> 响应须知</w:t>
      </w:r>
      <w:bookmarkEnd w:id="9"/>
    </w:p>
    <w:p w14:paraId="6C7DEA21">
      <w:pPr>
        <w:snapToGrid w:val="0"/>
        <w:spacing w:line="360" w:lineRule="auto"/>
        <w:jc w:val="center"/>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24"/>
        <w:tblW w:w="913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662"/>
      </w:tblGrid>
      <w:tr w14:paraId="0C98C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2517064">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C862FB9">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事项</w:t>
            </w:r>
          </w:p>
        </w:tc>
        <w:tc>
          <w:tcPr>
            <w:tcW w:w="6662" w:type="dxa"/>
            <w:tcBorders>
              <w:top w:val="single" w:color="000000" w:sz="8" w:space="0"/>
              <w:left w:val="single" w:color="000000" w:sz="2" w:space="0"/>
              <w:bottom w:val="single" w:color="000000" w:sz="8" w:space="0"/>
              <w:right w:val="single" w:color="000000" w:sz="8" w:space="0"/>
            </w:tcBorders>
            <w:vAlign w:val="center"/>
          </w:tcPr>
          <w:p w14:paraId="08972DC6">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本项目的特别规定</w:t>
            </w:r>
          </w:p>
        </w:tc>
      </w:tr>
      <w:tr w14:paraId="58072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101F67EF">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23370C4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7749BAE9">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6E9441E7">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13996C01">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3005C02B">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9A065E2">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报价要求</w:t>
            </w:r>
          </w:p>
        </w:tc>
        <w:tc>
          <w:tcPr>
            <w:tcW w:w="6662" w:type="dxa"/>
            <w:tcBorders>
              <w:top w:val="single" w:color="000000" w:sz="8" w:space="0"/>
              <w:left w:val="single" w:color="000000" w:sz="2" w:space="0"/>
              <w:bottom w:val="single" w:color="000000" w:sz="8" w:space="0"/>
              <w:right w:val="single" w:color="000000" w:sz="8" w:space="0"/>
            </w:tcBorders>
            <w:vAlign w:val="center"/>
          </w:tcPr>
          <w:p w14:paraId="1D4F8B7D">
            <w:pPr>
              <w:keepNext w:val="0"/>
              <w:keepLines w:val="0"/>
              <w:pageBreakBefore w:val="0"/>
              <w:widowControl w:val="0"/>
              <w:kinsoku/>
              <w:wordWrap/>
              <w:overflowPunct/>
              <w:topLinePunct w:val="0"/>
              <w:autoSpaceDE/>
              <w:autoSpaceDN/>
              <w:bidi w:val="0"/>
              <w:adjustRightInd/>
              <w:snapToGrid w:val="0"/>
              <w:spacing w:line="400" w:lineRule="exact"/>
              <w:jc w:val="left"/>
              <w:textAlignment w:val="auto"/>
              <w:rPr>
                <w:rFonts w:hint="default" w:ascii="宋体" w:hAnsi="宋体" w:eastAsia="宋体" w:cs="宋体"/>
                <w:b/>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rPr>
              <w:t>有关本项目实施所需的所有费用（含税费）均计入报价。</w:t>
            </w:r>
            <w:r>
              <w:rPr>
                <w:rFonts w:hint="eastAsia" w:ascii="宋体" w:hAnsi="宋体" w:eastAsia="宋体" w:cs="宋体"/>
                <w:color w:val="auto"/>
                <w:sz w:val="21"/>
                <w:szCs w:val="21"/>
                <w:highlight w:val="none"/>
              </w:rPr>
              <w:t>报价一览表是报价的唯一载体</w:t>
            </w:r>
            <w:r>
              <w:rPr>
                <w:rFonts w:hint="eastAsia" w:ascii="宋体" w:hAnsi="宋体" w:eastAsia="宋体" w:cs="宋体"/>
                <w:color w:val="auto"/>
                <w:kern w:val="0"/>
                <w:sz w:val="21"/>
                <w:szCs w:val="21"/>
                <w:highlight w:val="none"/>
                <w:lang w:val="zh-CN"/>
              </w:rPr>
              <w:t>。</w:t>
            </w:r>
            <w:r>
              <w:rPr>
                <w:rFonts w:hint="eastAsia" w:ascii="宋体" w:hAnsi="宋体" w:eastAsia="宋体" w:cs="宋体"/>
                <w:b/>
                <w:bCs/>
                <w:color w:val="auto"/>
                <w:kern w:val="0"/>
                <w:sz w:val="21"/>
                <w:szCs w:val="21"/>
                <w:highlight w:val="none"/>
                <w:lang w:val="zh-CN"/>
              </w:rPr>
              <w:t>响应文件中</w:t>
            </w:r>
            <w:r>
              <w:rPr>
                <w:rFonts w:hint="eastAsia" w:ascii="宋体" w:hAnsi="宋体" w:cs="宋体"/>
                <w:b/>
                <w:bCs/>
                <w:color w:val="auto"/>
                <w:kern w:val="0"/>
                <w:sz w:val="21"/>
                <w:szCs w:val="21"/>
                <w:highlight w:val="none"/>
                <w:lang w:val="en-US" w:eastAsia="zh-CN"/>
              </w:rPr>
              <w:t>价格采用综合折扣报价。</w:t>
            </w:r>
          </w:p>
          <w:p w14:paraId="5BF35F26">
            <w:pPr>
              <w:keepNext w:val="0"/>
              <w:keepLines w:val="0"/>
              <w:pageBreakBefore w:val="0"/>
              <w:widowControl w:val="0"/>
              <w:kinsoku/>
              <w:wordWrap/>
              <w:overflowPunct/>
              <w:topLinePunct w:val="0"/>
              <w:autoSpaceDE/>
              <w:autoSpaceDN/>
              <w:bidi w:val="0"/>
              <w:adjustRightInd/>
              <w:snapToGrid w:val="0"/>
              <w:spacing w:line="400" w:lineRule="exact"/>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响应报价出现下列情形的，响应无效：</w:t>
            </w:r>
          </w:p>
          <w:p w14:paraId="05E92F93">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响应文件出现不是唯一的、有选择性响应报价的；</w:t>
            </w:r>
          </w:p>
          <w:p w14:paraId="2BD3E3C8">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响应报价超过采购文件中规定的</w:t>
            </w:r>
            <w:r>
              <w:rPr>
                <w:rFonts w:hint="eastAsia" w:ascii="宋体" w:hAnsi="宋体" w:cs="宋体"/>
                <w:b/>
                <w:color w:val="auto"/>
                <w:kern w:val="0"/>
                <w:sz w:val="21"/>
                <w:szCs w:val="21"/>
                <w:highlight w:val="none"/>
                <w:lang w:val="en-US" w:eastAsia="zh-CN"/>
              </w:rPr>
              <w:t>最高综合折扣94%的</w:t>
            </w:r>
            <w:r>
              <w:rPr>
                <w:rFonts w:hint="eastAsia" w:ascii="宋体" w:hAnsi="宋体" w:eastAsia="宋体" w:cs="宋体"/>
                <w:b/>
                <w:color w:val="auto"/>
                <w:kern w:val="0"/>
                <w:sz w:val="21"/>
                <w:szCs w:val="21"/>
                <w:highlight w:val="none"/>
                <w:lang w:val="zh-CN"/>
              </w:rPr>
              <w:t>；</w:t>
            </w:r>
          </w:p>
          <w:p w14:paraId="219C4866">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报价明显低于其他通过符合性审查供应商的报价，有可能影响服务质量或者不能诚信履约的，未能按要求提供书面说明或者提交相关证明材料证明其报价合理性的</w:t>
            </w:r>
            <w:r>
              <w:rPr>
                <w:rFonts w:hint="eastAsia" w:ascii="宋体" w:hAnsi="宋体" w:eastAsia="宋体" w:cs="宋体"/>
                <w:b/>
                <w:color w:val="auto"/>
                <w:sz w:val="21"/>
                <w:szCs w:val="21"/>
                <w:highlight w:val="none"/>
              </w:rPr>
              <w:t>;</w:t>
            </w:r>
          </w:p>
          <w:p w14:paraId="7BA4671B">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供应商对根据修正原则修正后的报价不确认的</w:t>
            </w:r>
            <w:r>
              <w:rPr>
                <w:rFonts w:hint="eastAsia" w:ascii="宋体" w:hAnsi="宋体" w:eastAsia="宋体" w:cs="宋体"/>
                <w:b/>
                <w:color w:val="auto"/>
                <w:sz w:val="21"/>
                <w:szCs w:val="21"/>
                <w:highlight w:val="none"/>
              </w:rPr>
              <w:t>。</w:t>
            </w:r>
          </w:p>
        </w:tc>
      </w:tr>
      <w:tr w14:paraId="75185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80F5D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5FD4004">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分包</w:t>
            </w:r>
          </w:p>
        </w:tc>
        <w:tc>
          <w:tcPr>
            <w:tcW w:w="6662" w:type="dxa"/>
            <w:tcBorders>
              <w:top w:val="single" w:color="000000" w:sz="8" w:space="0"/>
              <w:left w:val="single" w:color="000000" w:sz="2" w:space="0"/>
              <w:bottom w:val="single" w:color="000000" w:sz="8" w:space="0"/>
              <w:right w:val="single" w:color="000000" w:sz="8" w:space="0"/>
            </w:tcBorders>
            <w:vAlign w:val="center"/>
          </w:tcPr>
          <w:p w14:paraId="115D866B">
            <w:pPr>
              <w:keepNext w:val="0"/>
              <w:keepLines w:val="0"/>
              <w:pageBreakBefore w:val="0"/>
              <w:widowControl w:val="0"/>
              <w:kinsoku/>
              <w:wordWrap/>
              <w:overflowPunct/>
              <w:topLinePunct w:val="0"/>
              <w:autoSpaceDE/>
              <w:autoSpaceDN/>
              <w:bidi w:val="0"/>
              <w:adjustRightInd/>
              <w:spacing w:line="40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不同意分包。</w:t>
            </w:r>
          </w:p>
        </w:tc>
      </w:tr>
      <w:tr w14:paraId="56AE1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17A5D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E2DABF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供应商应当提供的资格文件</w:t>
            </w:r>
          </w:p>
        </w:tc>
        <w:tc>
          <w:tcPr>
            <w:tcW w:w="6662" w:type="dxa"/>
            <w:tcBorders>
              <w:top w:val="single" w:color="000000" w:sz="8" w:space="0"/>
              <w:left w:val="single" w:color="000000" w:sz="2" w:space="0"/>
              <w:bottom w:val="single" w:color="000000" w:sz="8" w:space="0"/>
              <w:right w:val="single" w:color="000000" w:sz="8" w:space="0"/>
            </w:tcBorders>
            <w:vAlign w:val="center"/>
          </w:tcPr>
          <w:p w14:paraId="45D7A90C">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资格证明文件：见采购文件第二部分9.1。</w:t>
            </w:r>
          </w:p>
          <w:p w14:paraId="02225DE1">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资格证明文件不全的或者不符合采购文件标明的资格要求的</w:t>
            </w:r>
            <w:r>
              <w:rPr>
                <w:rFonts w:hint="eastAsia" w:ascii="宋体" w:hAnsi="宋体" w:eastAsia="宋体" w:cs="宋体"/>
                <w:color w:val="auto"/>
                <w:sz w:val="21"/>
                <w:szCs w:val="21"/>
                <w:highlight w:val="none"/>
                <w:lang w:val="zh-CN"/>
              </w:rPr>
              <w:t>，视为供应商不具备采购文件中规定的资格要求，响应无效。</w:t>
            </w:r>
          </w:p>
        </w:tc>
      </w:tr>
      <w:tr w14:paraId="72867F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292781CB">
            <w:pPr>
              <w:keepNext w:val="0"/>
              <w:keepLines w:val="0"/>
              <w:pageBreakBefore w:val="0"/>
              <w:widowControl w:val="0"/>
              <w:kinsoku/>
              <w:wordWrap/>
              <w:overflowPunct/>
              <w:topLinePunct w:val="0"/>
              <w:autoSpaceDE/>
              <w:autoSpaceDN/>
              <w:bidi w:val="0"/>
              <w:adjustRightInd/>
              <w:snapToGrid w:val="0"/>
              <w:spacing w:line="400" w:lineRule="exact"/>
              <w:ind w:firstLine="210" w:firstLineChars="100"/>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62BAF2B">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现场考察</w:t>
            </w:r>
          </w:p>
        </w:tc>
        <w:tc>
          <w:tcPr>
            <w:tcW w:w="6662" w:type="dxa"/>
            <w:tcBorders>
              <w:top w:val="single" w:color="000000" w:sz="8" w:space="0"/>
              <w:left w:val="single" w:color="000000" w:sz="2" w:space="0"/>
              <w:bottom w:val="single" w:color="000000" w:sz="8" w:space="0"/>
              <w:right w:val="single" w:color="000000" w:sz="8" w:space="0"/>
            </w:tcBorders>
            <w:vAlign w:val="center"/>
          </w:tcPr>
          <w:p w14:paraId="7665FFD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不组织。</w:t>
            </w:r>
          </w:p>
        </w:tc>
      </w:tr>
      <w:tr w14:paraId="0DB9CB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7E931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5E13FDA">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样品提供</w:t>
            </w:r>
          </w:p>
        </w:tc>
        <w:tc>
          <w:tcPr>
            <w:tcW w:w="6662" w:type="dxa"/>
            <w:tcBorders>
              <w:top w:val="single" w:color="000000" w:sz="8" w:space="0"/>
              <w:left w:val="single" w:color="000000" w:sz="2" w:space="0"/>
              <w:bottom w:val="single" w:color="000000" w:sz="8" w:space="0"/>
              <w:right w:val="single" w:color="000000" w:sz="8" w:space="0"/>
            </w:tcBorders>
            <w:vAlign w:val="center"/>
          </w:tcPr>
          <w:p w14:paraId="534CCBB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不要求提供。</w:t>
            </w:r>
          </w:p>
        </w:tc>
      </w:tr>
      <w:tr w14:paraId="60263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B81B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8C2DC94">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方案讲解演示</w:t>
            </w:r>
          </w:p>
        </w:tc>
        <w:tc>
          <w:tcPr>
            <w:tcW w:w="6662" w:type="dxa"/>
            <w:tcBorders>
              <w:top w:val="single" w:color="000000" w:sz="8" w:space="0"/>
              <w:left w:val="single" w:color="000000" w:sz="2" w:space="0"/>
              <w:bottom w:val="single" w:color="000000" w:sz="8" w:space="0"/>
              <w:right w:val="single" w:color="000000" w:sz="8" w:space="0"/>
            </w:tcBorders>
            <w:vAlign w:val="center"/>
          </w:tcPr>
          <w:p w14:paraId="16CEAB5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sz w:val="21"/>
                <w:szCs w:val="21"/>
                <w:highlight w:val="none"/>
              </w:rPr>
              <w:t>不组织。</w:t>
            </w:r>
          </w:p>
        </w:tc>
      </w:tr>
      <w:tr w14:paraId="6B75DE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0EF6EE4">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4544A8C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是否允许采购进口产品</w:t>
            </w:r>
          </w:p>
        </w:tc>
        <w:tc>
          <w:tcPr>
            <w:tcW w:w="6662" w:type="dxa"/>
            <w:tcBorders>
              <w:top w:val="single" w:color="000000" w:sz="8" w:space="0"/>
              <w:left w:val="single" w:color="000000" w:sz="2" w:space="0"/>
              <w:bottom w:val="single" w:color="000000" w:sz="8" w:space="0"/>
              <w:right w:val="single" w:color="000000" w:sz="8" w:space="0"/>
            </w:tcBorders>
            <w:vAlign w:val="center"/>
          </w:tcPr>
          <w:p w14:paraId="1D22F3E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本项目不允许采购进口产品。</w:t>
            </w:r>
          </w:p>
        </w:tc>
      </w:tr>
      <w:tr w14:paraId="1C394D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EB4E73">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37839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采购标的对应的中小企业划分标准所属行业</w:t>
            </w:r>
          </w:p>
        </w:tc>
        <w:tc>
          <w:tcPr>
            <w:tcW w:w="6662" w:type="dxa"/>
            <w:tcBorders>
              <w:top w:val="single" w:color="000000" w:sz="8" w:space="0"/>
              <w:left w:val="single" w:color="000000" w:sz="2" w:space="0"/>
              <w:bottom w:val="single" w:color="000000" w:sz="8" w:space="0"/>
              <w:right w:val="single" w:color="000000" w:sz="8" w:space="0"/>
            </w:tcBorders>
            <w:vAlign w:val="center"/>
          </w:tcPr>
          <w:p w14:paraId="3B65383D">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标的：</w:t>
            </w:r>
            <w:r>
              <w:rPr>
                <w:rFonts w:hint="eastAsia" w:ascii="宋体" w:hAnsi="宋体" w:cs="宋体"/>
                <w:bCs/>
                <w:snapToGrid w:val="0"/>
                <w:color w:val="auto"/>
                <w:kern w:val="2"/>
                <w:sz w:val="21"/>
                <w:szCs w:val="21"/>
                <w:highlight w:val="none"/>
                <w:lang w:val="en-US" w:eastAsia="zh-CN" w:bidi="ar-SA"/>
              </w:rPr>
              <w:t>大慈路与公园路交叉口提升工程项目</w:t>
            </w:r>
            <w:r>
              <w:rPr>
                <w:rFonts w:hint="eastAsia" w:ascii="宋体" w:hAnsi="宋体" w:eastAsia="宋体" w:cs="宋体"/>
                <w:color w:val="auto"/>
                <w:kern w:val="0"/>
                <w:sz w:val="21"/>
                <w:szCs w:val="21"/>
                <w:highlight w:val="none"/>
              </w:rPr>
              <w:t>，属于</w:t>
            </w:r>
            <w:r>
              <w:rPr>
                <w:rFonts w:hint="eastAsia" w:ascii="宋体" w:hAnsi="宋体" w:cs="宋体"/>
                <w:color w:val="auto"/>
                <w:kern w:val="0"/>
                <w:sz w:val="21"/>
                <w:szCs w:val="21"/>
                <w:highlight w:val="none"/>
                <w:u w:val="single"/>
                <w:lang w:val="en-US" w:eastAsia="zh-CN"/>
              </w:rPr>
              <w:t>建筑</w:t>
            </w:r>
            <w:r>
              <w:rPr>
                <w:rFonts w:hint="eastAsia" w:ascii="宋体" w:hAnsi="宋体" w:eastAsia="宋体" w:cs="宋体"/>
                <w:color w:val="auto"/>
                <w:kern w:val="0"/>
                <w:sz w:val="21"/>
                <w:szCs w:val="21"/>
                <w:highlight w:val="none"/>
              </w:rPr>
              <w:t>行业；</w:t>
            </w:r>
          </w:p>
        </w:tc>
      </w:tr>
      <w:tr w14:paraId="0D7E70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92" w:hRule="atLeast"/>
          <w:tblHeader/>
        </w:trPr>
        <w:tc>
          <w:tcPr>
            <w:tcW w:w="629" w:type="dxa"/>
            <w:tcBorders>
              <w:top w:val="single" w:color="auto" w:sz="4" w:space="0"/>
              <w:left w:val="single" w:color="000000" w:sz="8" w:space="0"/>
              <w:right w:val="single" w:color="000000" w:sz="2" w:space="0"/>
            </w:tcBorders>
            <w:vAlign w:val="center"/>
          </w:tcPr>
          <w:p w14:paraId="409C37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0</w:t>
            </w:r>
          </w:p>
        </w:tc>
        <w:tc>
          <w:tcPr>
            <w:tcW w:w="1843" w:type="dxa"/>
            <w:tcBorders>
              <w:top w:val="single" w:color="000000" w:sz="8" w:space="0"/>
              <w:left w:val="single" w:color="000000" w:sz="2" w:space="0"/>
              <w:right w:val="single" w:color="000000" w:sz="8" w:space="0"/>
            </w:tcBorders>
            <w:vAlign w:val="center"/>
          </w:tcPr>
          <w:p w14:paraId="33EE9F91">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代理服务费</w:t>
            </w:r>
          </w:p>
        </w:tc>
        <w:tc>
          <w:tcPr>
            <w:tcW w:w="6662" w:type="dxa"/>
            <w:tcBorders>
              <w:top w:val="single" w:color="000000" w:sz="8" w:space="0"/>
              <w:left w:val="single" w:color="000000" w:sz="2" w:space="0"/>
              <w:bottom w:val="single" w:color="000000" w:sz="8" w:space="0"/>
              <w:right w:val="single" w:color="000000" w:sz="8" w:space="0"/>
            </w:tcBorders>
            <w:vAlign w:val="center"/>
          </w:tcPr>
          <w:p w14:paraId="7A83F53F">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auto"/>
                <w:sz w:val="21"/>
                <w:szCs w:val="21"/>
                <w:highlight w:val="none"/>
              </w:rPr>
            </w:pPr>
            <w:r>
              <w:rPr>
                <w:rFonts w:hint="eastAsia" w:ascii="宋体" w:hAnsi="宋体" w:cs="宋体"/>
                <w:bCs/>
                <w:snapToGrid w:val="0"/>
                <w:color w:val="auto"/>
                <w:kern w:val="2"/>
                <w:sz w:val="21"/>
                <w:szCs w:val="21"/>
                <w:highlight w:val="none"/>
                <w:lang w:val="en-US" w:eastAsia="zh-CN" w:bidi="ar-SA"/>
              </w:rPr>
              <w:t>本项目成交服务费10000元，中标人应在本公司发出中标通知书5个工作日内向本招标公司支付招标服务费。招标服务费只收现金、银行票汇款、电汇款。</w:t>
            </w:r>
          </w:p>
        </w:tc>
      </w:tr>
      <w:bookmarkEnd w:id="10"/>
    </w:tbl>
    <w:p w14:paraId="7BA96790">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bookmarkStart w:id="11" w:name="_Toc164416483"/>
      <w:bookmarkStart w:id="12" w:name="第三部分"/>
      <w:bookmarkStart w:id="13" w:name="第四部分"/>
      <w:r>
        <w:rPr>
          <w:rFonts w:hint="eastAsia" w:asciiTheme="minorEastAsia" w:hAnsiTheme="minorEastAsia" w:eastAsiaTheme="minorEastAsia" w:cstheme="minorEastAsia"/>
          <w:b/>
          <w:color w:val="auto"/>
          <w:sz w:val="32"/>
          <w:szCs w:val="20"/>
          <w:highlight w:val="none"/>
        </w:rPr>
        <w:t>一、总则</w:t>
      </w:r>
    </w:p>
    <w:p w14:paraId="7EF3DB9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适用范围</w:t>
      </w:r>
    </w:p>
    <w:p w14:paraId="460CCE62">
      <w:pPr>
        <w:snapToGrid w:val="0"/>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文件适用于该项目的</w:t>
      </w:r>
      <w:r>
        <w:rPr>
          <w:rFonts w:hint="eastAsia" w:asciiTheme="minorEastAsia" w:hAnsiTheme="minorEastAsia" w:eastAsiaTheme="minorEastAsia" w:cstheme="minorEastAsia"/>
          <w:color w:val="auto"/>
          <w:sz w:val="21"/>
          <w:szCs w:val="21"/>
          <w:highlight w:val="none"/>
          <w:lang w:eastAsia="zh-CN"/>
        </w:rPr>
        <w:t>采购</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响应文件开启</w:t>
      </w:r>
      <w:r>
        <w:rPr>
          <w:rFonts w:hint="eastAsia" w:asciiTheme="minorEastAsia" w:hAnsiTheme="minorEastAsia" w:eastAsiaTheme="minorEastAsia" w:cstheme="minorEastAsia"/>
          <w:color w:val="auto"/>
          <w:sz w:val="21"/>
          <w:szCs w:val="21"/>
          <w:highlight w:val="none"/>
        </w:rPr>
        <w:t>、资格审查及信用信息查询、评</w:t>
      </w:r>
      <w:r>
        <w:rPr>
          <w:rFonts w:hint="eastAsia" w:asciiTheme="minorEastAsia" w:hAnsiTheme="minorEastAsia" w:eastAsiaTheme="minorEastAsia" w:cstheme="minorEastAsia"/>
          <w:color w:val="auto"/>
          <w:sz w:val="21"/>
          <w:szCs w:val="21"/>
          <w:highlight w:val="none"/>
          <w:lang w:eastAsia="zh-CN"/>
        </w:rPr>
        <w:t>审</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成交供应商确定</w:t>
      </w:r>
      <w:r>
        <w:rPr>
          <w:rFonts w:hint="eastAsia" w:asciiTheme="minorEastAsia" w:hAnsiTheme="minorEastAsia" w:eastAsiaTheme="minorEastAsia" w:cstheme="minorEastAsia"/>
          <w:color w:val="auto"/>
          <w:sz w:val="21"/>
          <w:szCs w:val="21"/>
          <w:highlight w:val="none"/>
        </w:rPr>
        <w:t>、合同、验收等行为（法律、法规另有规定的，从其规定）。</w:t>
      </w:r>
    </w:p>
    <w:p w14:paraId="4C464CB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定义</w:t>
      </w:r>
    </w:p>
    <w:p w14:paraId="63C227CB">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 “采购人”系指竞争性磋商公告中载明的本项目的采购人。</w:t>
      </w:r>
    </w:p>
    <w:p w14:paraId="48A1F64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2.2 “采购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机构”系指竞争性磋商公告中载明的本项目的采购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p>
    <w:p w14:paraId="3C7DBB3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2.3 “</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”系指是指响应</w:t>
      </w:r>
      <w:r>
        <w:rPr>
          <w:rFonts w:hint="eastAsia" w:asciiTheme="minorEastAsia" w:hAnsiTheme="minorEastAsia" w:eastAsiaTheme="minorEastAsia" w:cstheme="minorEastAsia"/>
          <w:color w:val="auto"/>
          <w:sz w:val="21"/>
          <w:szCs w:val="21"/>
          <w:highlight w:val="none"/>
          <w:lang w:eastAsia="zh-CN"/>
        </w:rPr>
        <w:t>采购</w:t>
      </w:r>
      <w:r>
        <w:rPr>
          <w:rFonts w:hint="eastAsia" w:asciiTheme="minorEastAsia" w:hAnsiTheme="minorEastAsia" w:eastAsiaTheme="minorEastAsia" w:cstheme="minorEastAsia"/>
          <w:color w:val="auto"/>
          <w:sz w:val="21"/>
          <w:szCs w:val="21"/>
          <w:highlight w:val="none"/>
        </w:rPr>
        <w:t>、参加</w:t>
      </w:r>
      <w:r>
        <w:rPr>
          <w:rFonts w:hint="eastAsia" w:asciiTheme="minorEastAsia" w:hAnsiTheme="minorEastAsia" w:eastAsiaTheme="minorEastAsia" w:cstheme="minorEastAsia"/>
          <w:color w:val="auto"/>
          <w:sz w:val="21"/>
          <w:szCs w:val="21"/>
          <w:highlight w:val="none"/>
          <w:lang w:eastAsia="zh-CN"/>
        </w:rPr>
        <w:t>磋商</w:t>
      </w:r>
      <w:r>
        <w:rPr>
          <w:rFonts w:hint="eastAsia" w:asciiTheme="minorEastAsia" w:hAnsiTheme="minorEastAsia" w:eastAsiaTheme="minorEastAsia" w:cstheme="minorEastAsia"/>
          <w:color w:val="auto"/>
          <w:sz w:val="21"/>
          <w:szCs w:val="21"/>
          <w:highlight w:val="none"/>
        </w:rPr>
        <w:t>竞争的法人、其他组织或者自然人。</w:t>
      </w:r>
    </w:p>
    <w:p w14:paraId="61E1F28F">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2.4 “负责人”系指法人企业的法定负责人，或其他组织为法律、行政法规规定代表单位行使职权的主要负责人，或自然人本人。</w:t>
      </w:r>
    </w:p>
    <w:p w14:paraId="6DD8547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2.5“电子签名”系指数据电文中以电子形式所含、所附用于识别签名人身份并表明签名人认可其中内容的数据；“公章”系指单位法定名称章。</w:t>
      </w:r>
    </w:p>
    <w:p w14:paraId="1F3FCF4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2.6“电子交易平台”是指本项目政府采购活动所依托的政府采购云平台（https</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www.lecaiyun.com</w:t>
      </w:r>
      <w:r>
        <w:rPr>
          <w:rFonts w:hint="eastAsia" w:asciiTheme="minorEastAsia" w:hAnsiTheme="minorEastAsia" w:eastAsiaTheme="minorEastAsia" w:cstheme="minorEastAsia"/>
          <w:color w:val="auto"/>
          <w:sz w:val="21"/>
          <w:szCs w:val="21"/>
          <w:highlight w:val="none"/>
        </w:rPr>
        <w:t>/）。</w:t>
      </w:r>
    </w:p>
    <w:p w14:paraId="1F23042E">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2.7 “▲” 系指实质性要求条款，“</w:t>
      </w:r>
      <w:r>
        <w:rPr>
          <w:rFonts w:hint="eastAsia" w:ascii="宋体" w:hAnsi="宋体" w:eastAsia="宋体" w:cs="宋体"/>
          <w:color w:val="auto"/>
          <w:kern w:val="0"/>
          <w:sz w:val="21"/>
          <w:szCs w:val="21"/>
          <w:highlight w:val="none"/>
        </w:rPr>
        <w:sym w:font="Wingdings" w:char="F0FE"/>
      </w:r>
      <w:r>
        <w:rPr>
          <w:rFonts w:hint="eastAsia" w:asciiTheme="minorEastAsia" w:hAnsiTheme="minorEastAsia" w:eastAsiaTheme="minorEastAsia" w:cstheme="minorEastAsia"/>
          <w:color w:val="auto"/>
          <w:sz w:val="21"/>
          <w:szCs w:val="21"/>
          <w:highlight w:val="none"/>
        </w:rPr>
        <w:t>” 系指适用本项目的要求，“</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rPr>
        <w:t>” 系指不适用本项目的要求。</w:t>
      </w:r>
    </w:p>
    <w:p w14:paraId="669A457A">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采购项目需要落实的政府采购政策</w:t>
      </w:r>
    </w:p>
    <w:p w14:paraId="07BB981C">
      <w:pPr>
        <w:numPr>
          <w:ilvl w:val="1"/>
          <w:numId w:val="2"/>
        </w:num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本项目不允许采购进口产品。</w:t>
      </w:r>
    </w:p>
    <w:p w14:paraId="0F7D7B30">
      <w:pPr>
        <w:numPr>
          <w:ilvl w:val="0"/>
          <w:numId w:val="0"/>
        </w:num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3.2 支持绿色发展</w:t>
      </w:r>
    </w:p>
    <w:p w14:paraId="71852EC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3.3支持中小企业发展</w:t>
      </w:r>
    </w:p>
    <w:p w14:paraId="3FE0154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79B46E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符合中小企业划分标准的个体工商户，在政府采购活动中视同中小企业。</w:t>
      </w:r>
    </w:p>
    <w:p w14:paraId="3154C328">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Cs/>
          <w:color w:val="auto"/>
          <w:sz w:val="21"/>
          <w:szCs w:val="21"/>
          <w:highlight w:val="none"/>
        </w:rPr>
        <w:t>3.3.2</w:t>
      </w:r>
      <w:r>
        <w:rPr>
          <w:rFonts w:hint="eastAsia" w:asciiTheme="minorEastAsia" w:hAnsiTheme="minorEastAsia" w:eastAsiaTheme="minorEastAsia" w:cstheme="minorEastAsia"/>
          <w:color w:val="auto"/>
          <w:kern w:val="0"/>
          <w:sz w:val="21"/>
          <w:szCs w:val="21"/>
          <w:highlight w:val="none"/>
        </w:rPr>
        <w:t>在政府采购活动中，</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提供的货物、工程或者服务符合下列情形的，享受中小企业扶持政策：</w:t>
      </w:r>
    </w:p>
    <w:p w14:paraId="46C5C304">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3.3.2.1在货物采购项目中，货物由中小企业制造，即货物由中小企业生产且使用该中小企业商号或者注册商标；</w:t>
      </w:r>
    </w:p>
    <w:p w14:paraId="22650F4B">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3.3.2.2在工程采购项目中，工程由中小企业承建，即工程施工单位为中小企业；</w:t>
      </w:r>
    </w:p>
    <w:p w14:paraId="30ABDD14">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3.3.2.3在服务采购项目中，服务由中小企业承接，即提供服务的人员为中小企业依照《中华人民共和国劳动合同法》订立劳动合同的从业人员。</w:t>
      </w:r>
    </w:p>
    <w:p w14:paraId="20B87E0B">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在货物采购项目中，</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提供的货物既有中小企业制造货物，也有大型企业制造货物的，不享受中小企业扶持政策。</w:t>
      </w:r>
    </w:p>
    <w:p w14:paraId="538175D8">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以联合体形式参加政府采购活动，联合体各方均为中小企业的，联合体视同中小企业。其中，联合体各方均为小微企业的，联合体视同小微企业。</w:t>
      </w:r>
    </w:p>
    <w:p w14:paraId="76743BC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3.3.3对于未预留份额专门面向中小企业的政府采购货物或服务或工程项目，以及预留份额政府采购货物或服务项目中的非预留部分标项，对小型和微型企业的</w:t>
      </w:r>
      <w:r>
        <w:rPr>
          <w:rFonts w:hint="eastAsia" w:asciiTheme="minorEastAsia" w:hAnsiTheme="minorEastAsia" w:eastAsiaTheme="minorEastAsia" w:cstheme="minorEastAsia"/>
          <w:color w:val="auto"/>
          <w:sz w:val="21"/>
          <w:szCs w:val="21"/>
          <w:highlight w:val="none"/>
          <w:lang w:eastAsia="zh-CN"/>
        </w:rPr>
        <w:t>谈判</w:t>
      </w:r>
      <w:r>
        <w:rPr>
          <w:rFonts w:hint="eastAsia" w:asciiTheme="minorEastAsia" w:hAnsiTheme="minorEastAsia" w:eastAsiaTheme="minorEastAsia" w:cstheme="minorEastAsia"/>
          <w:color w:val="auto"/>
          <w:sz w:val="21"/>
          <w:szCs w:val="21"/>
          <w:highlight w:val="none"/>
        </w:rPr>
        <w:t>报价给予10%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%（工程项目为 2%）的扣除，用扣除后的价格参加评审。组成联合体或者接受分包的小微企业与联合体内其他企业、分包企业之间存在直接控股、管理关系的，不享受价格扣除优惠政策。</w:t>
      </w:r>
    </w:p>
    <w:p w14:paraId="60CE4DF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3.3.4符合《关于促进残疾人就业政府采购政策的通知》（财库〔2017〕141号）规定的条件并提供《残疾人福利性单位声明函》的残疾人福利性单位视同小型、微型企业；</w:t>
      </w:r>
    </w:p>
    <w:p w14:paraId="74DF7A63">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7C8E48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3.3.6可享受中小企业扶持政策的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文件格式要求提供《中小企业声明函》，</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提供的《中小企业声明函》与实际情况不符的，不享受中小企业扶持政策。声明内容不实的，属于提供虚假材料谋取中标、成交的，依法承担法律责任。</w:t>
      </w:r>
    </w:p>
    <w:p w14:paraId="294E5E3A">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3.3.7中小企业享受扶持政策获得政府采购合同的，小微企业不得将合同分包给大中型企业，中型企业不得将合同分包给大型企业。</w:t>
      </w:r>
    </w:p>
    <w:p w14:paraId="1DEC69B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特别说明</w:t>
      </w:r>
    </w:p>
    <w:p w14:paraId="37812DDB">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4.1</w:t>
      </w:r>
      <w:r>
        <w:rPr>
          <w:rFonts w:hint="eastAsia" w:asciiTheme="minorEastAsia" w:hAnsiTheme="minorEastAsia" w:eastAsiaTheme="minorEastAsia" w:cstheme="minorEastAsia"/>
          <w:color w:val="auto"/>
          <w:sz w:val="21"/>
          <w:szCs w:val="21"/>
          <w:highlight w:val="none"/>
        </w:rPr>
        <w:t>关于分公司</w:t>
      </w:r>
      <w:r>
        <w:rPr>
          <w:rFonts w:hint="eastAsia" w:asciiTheme="minorEastAsia" w:hAnsiTheme="minorEastAsia" w:eastAsiaTheme="minorEastAsia" w:cstheme="minorEastAsia"/>
          <w:color w:val="auto"/>
          <w:sz w:val="21"/>
          <w:szCs w:val="21"/>
          <w:highlight w:val="none"/>
          <w:lang w:eastAsia="zh-CN"/>
        </w:rPr>
        <w:t>磋商响应</w:t>
      </w:r>
    </w:p>
    <w:p w14:paraId="587CABA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除银行、保险、石油石化、电力、电信等特殊行业外。法人的分支机构由于不能独立承担民事责任，不能以分支机构的身份参加政府采购，只能</w:t>
      </w:r>
      <w:r>
        <w:rPr>
          <w:rFonts w:hint="eastAsia" w:asciiTheme="minorEastAsia" w:hAnsiTheme="minorEastAsia" w:eastAsiaTheme="minorEastAsia" w:cstheme="minorEastAsia"/>
          <w:color w:val="auto"/>
          <w:sz w:val="21"/>
          <w:szCs w:val="21"/>
          <w:highlight w:val="none"/>
          <w:lang w:eastAsia="zh-CN"/>
        </w:rPr>
        <w:t>以</w:t>
      </w:r>
      <w:r>
        <w:rPr>
          <w:rFonts w:hint="eastAsia" w:asciiTheme="minorEastAsia" w:hAnsiTheme="minorEastAsia" w:eastAsiaTheme="minorEastAsia" w:cstheme="minorEastAsia"/>
          <w:color w:val="auto"/>
          <w:sz w:val="21"/>
          <w:szCs w:val="21"/>
          <w:highlight w:val="none"/>
        </w:rPr>
        <w:t xml:space="preserve">法人身份参加。 </w:t>
      </w:r>
    </w:p>
    <w:p w14:paraId="4CBBF24B">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4.2关于知识产权</w:t>
      </w:r>
    </w:p>
    <w:p w14:paraId="5F9EF2E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必须保证，采购人在中华人民共和国境内使用</w:t>
      </w:r>
      <w:r>
        <w:rPr>
          <w:rFonts w:hint="eastAsia" w:asciiTheme="minorEastAsia" w:hAnsiTheme="minorEastAsia" w:eastAsiaTheme="minorEastAsia" w:cstheme="minorEastAsia"/>
          <w:color w:val="auto"/>
          <w:sz w:val="21"/>
          <w:szCs w:val="21"/>
          <w:highlight w:val="none"/>
          <w:lang w:eastAsia="zh-CN"/>
        </w:rPr>
        <w:t>磋商响应</w:t>
      </w:r>
      <w:r>
        <w:rPr>
          <w:rFonts w:hint="eastAsia" w:asciiTheme="minorEastAsia" w:hAnsiTheme="minorEastAsia" w:eastAsiaTheme="minorEastAsia" w:cstheme="minorEastAsia"/>
          <w:color w:val="auto"/>
          <w:sz w:val="21"/>
          <w:szCs w:val="21"/>
          <w:highlight w:val="none"/>
        </w:rPr>
        <w:t>货物、资料、技术、服务或其任何一部分时，享有不受限制的无偿使用权，如有第三方向采购人提出侵犯其专利权、商标权或其它知识产权的主张，该责任应由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w:t>
      </w:r>
    </w:p>
    <w:p w14:paraId="035C61B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lang w:eastAsia="zh-CN"/>
        </w:rPr>
        <w:t>磋商</w:t>
      </w:r>
      <w:r>
        <w:rPr>
          <w:rFonts w:hint="eastAsia" w:asciiTheme="minorEastAsia" w:hAnsiTheme="minorEastAsia" w:eastAsiaTheme="minorEastAsia" w:cstheme="minorEastAsia"/>
          <w:color w:val="auto"/>
          <w:sz w:val="21"/>
          <w:szCs w:val="21"/>
          <w:highlight w:val="none"/>
        </w:rPr>
        <w:t>报价应包含所有应向所有权人支付的专利权、商标权或其它知识产权的一切相关费用。</w:t>
      </w:r>
    </w:p>
    <w:p w14:paraId="40E5DD94">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3</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系统软件、通用软件必须是具有在中国境内的合法使用权或版权的正版软件，涉及到第三方提出侵权或知识产权的起诉及支付版税等费用由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承担所有责任及费用。</w:t>
      </w:r>
    </w:p>
    <w:p w14:paraId="1D62552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的风险</w:t>
      </w:r>
    </w:p>
    <w:p w14:paraId="10E8EFA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应详细阅读</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中的全部内容和要求，按照</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的要求提交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文件，没有按照</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要求提供</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文件和资料导致的风险由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承担,并对所提供的全部资料的真实性承担法律责任。</w:t>
      </w:r>
    </w:p>
    <w:p w14:paraId="4AAE181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无论因何种原因导致本次采购活动终止致</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损失的，相关责任人均不承担任何责任。</w:t>
      </w:r>
    </w:p>
    <w:p w14:paraId="6099B552">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询问、质疑、投诉</w:t>
      </w:r>
    </w:p>
    <w:p w14:paraId="2D7EA811">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.1供应商询问</w:t>
      </w:r>
    </w:p>
    <w:p w14:paraId="27C56744">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zh-CN"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505CAD9">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.2供应商质疑</w:t>
      </w:r>
    </w:p>
    <w:p w14:paraId="513DE4C3">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.1提出质疑的供应商应当是参与所质疑项目采购活动的供应商。潜在供应商已依法获取其可质疑的</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文件的，可以对该文件提出质疑。</w:t>
      </w:r>
    </w:p>
    <w:p w14:paraId="69FFCDC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.2供应商认为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提出质疑，否则，采购人或者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不予受理：</w:t>
      </w:r>
    </w:p>
    <w:p w14:paraId="5F45F639">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5.2.2.1对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文件提出质疑的，质疑期限为供应商获得</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文件之日或者</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文件公告期限届满之日起计算。</w:t>
      </w:r>
    </w:p>
    <w:p w14:paraId="557C488C">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5.2.2.2对采购过程提出质疑的，质疑期限为各采购程序环节结束之日起计算。</w:t>
      </w:r>
    </w:p>
    <w:p w14:paraId="718E627E">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5.2.2.3对采购结果提出质疑的，质疑期限自采购结果公告期限届满之日起计算。</w:t>
      </w:r>
    </w:p>
    <w:p w14:paraId="5F2DA76A">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5.2.2.4对同一采购程序环节的质疑，供应商须一次性提出。</w:t>
      </w:r>
    </w:p>
    <w:p w14:paraId="2D801B9D">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w:t>
      </w:r>
      <w:r>
        <w:rPr>
          <w:rFonts w:hint="eastAsia" w:asciiTheme="minorEastAsia" w:hAnsiTheme="minorEastAsia" w:eastAsiaTheme="minorEastAsia" w:cstheme="minorEastAsia"/>
          <w:color w:val="auto"/>
          <w:sz w:val="21"/>
          <w:szCs w:val="21"/>
          <w:highlight w:val="none"/>
          <w:lang w:val="en-US" w:eastAsia="zh-CN"/>
        </w:rPr>
        <w:t>供应商提出质疑应当提交质疑函和必要的证明材料。质疑函应当包括下列内容：</w:t>
      </w:r>
    </w:p>
    <w:p w14:paraId="3681AA5B">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.2.3.1供应商的姓名或者名称、地址、邮编、联系人及联系电话；</w:t>
      </w:r>
    </w:p>
    <w:p w14:paraId="7E430F5B">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.2.3.2质疑项目的名称、编号；</w:t>
      </w:r>
    </w:p>
    <w:p w14:paraId="6F342FE0">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.2.3.3具体、明确的质疑事项和与质疑事项相关的请求；</w:t>
      </w:r>
    </w:p>
    <w:p w14:paraId="23AD0E1C">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.2.3.4事实依据；</w:t>
      </w:r>
    </w:p>
    <w:p w14:paraId="2B7D5982">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.2.3.5必要的法律依据；</w:t>
      </w:r>
    </w:p>
    <w:p w14:paraId="7EEB2E0C">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.2.3.6提出质疑的日期。</w:t>
      </w:r>
    </w:p>
    <w:p w14:paraId="4EB4F73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5.2.3.7对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文件提出质疑的需要提供在政采云平台获取</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文件的截图。</w:t>
      </w:r>
    </w:p>
    <w:p w14:paraId="2BBF7C3C">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供应商提交的质疑函需一式三份。供应商为自然人的，应当由本人签字；供应商为法人或者其他组织的，应当由法定代表人、主要负责人，或者其授权代表签字或者盖章，并加盖公章。</w:t>
      </w:r>
    </w:p>
    <w:p w14:paraId="6E45BB28">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质疑函范本请到浙江政府采购网下载专区下载。</w:t>
      </w:r>
    </w:p>
    <w:p w14:paraId="5680C21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.4采购人或者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应当在收到供应商的书面质疑后七个工作日内作出答复，并以书面形式通知质疑供应商和其他与质疑处理结果有利害关系的政府采购当事人，但答复的内容不得涉及商业秘密。</w:t>
      </w:r>
    </w:p>
    <w:p w14:paraId="7E35DBAD">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.5询问或者质疑事项可能影响采购结果的，采购人应当暂停签订合同，已经签订合同的，应当中止履行合同。</w:t>
      </w:r>
    </w:p>
    <w:p w14:paraId="5C593ED3">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.3供应商投诉</w:t>
      </w:r>
    </w:p>
    <w:p w14:paraId="1834B6D6">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5.3.1质疑供应商对采购人、采购代理机构的答复不满意或者采购人、采购代理机构未在规定的时间内作出答复的，可以在答复期满后十五个工作日内向同级政府采购监督管理部门提出投诉。</w:t>
      </w:r>
    </w:p>
    <w:p w14:paraId="07CCA5B7">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供应商投诉的事项不得超出已质疑事项的范围，基于质疑答复内容提出的投诉事项除外。</w:t>
      </w:r>
    </w:p>
    <w:p w14:paraId="4082198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5.3.3供应商投诉应当有明确的请求和必要的证明材料。</w:t>
      </w:r>
    </w:p>
    <w:p w14:paraId="2A6DE45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5.3.4 以联合体形式参加政府采购活动的，其投诉应当由组成联合体的所有供应商共同提出。</w:t>
      </w:r>
    </w:p>
    <w:p w14:paraId="33808F3A">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5.3.5投诉人对集团纪检部门的投诉处理决定不服或集团纪检部门逾期未作处理的，可以向区国资段落中心反映。供应商或相关厉害关系人在采购过程中发现涉及违法违纪行为或造成国有资产损失的，可以向纪检监察部门和区国资管理中心反映。举报违法行为，应提供有效线索和证明材料。 </w:t>
      </w:r>
    </w:p>
    <w:p w14:paraId="3E4E9C3C">
      <w:pPr>
        <w:adjustRightInd/>
        <w:spacing w:line="360" w:lineRule="auto"/>
        <w:ind w:firstLine="420" w:firstLineChars="200"/>
        <w:jc w:val="both"/>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color w:val="auto"/>
          <w:sz w:val="21"/>
          <w:szCs w:val="21"/>
          <w:highlight w:val="none"/>
          <w:lang w:val="en-US" w:eastAsia="zh-CN"/>
        </w:rPr>
        <w:t>投诉书范本请到浙江企业采购信息服务网下载专区下载。</w:t>
      </w:r>
      <w:r>
        <w:rPr>
          <w:rFonts w:hint="eastAsia" w:asciiTheme="minorEastAsia" w:hAnsiTheme="minorEastAsia" w:eastAsiaTheme="minorEastAsia" w:cstheme="minorEastAsia"/>
          <w:b/>
          <w:color w:val="auto"/>
          <w:sz w:val="32"/>
          <w:szCs w:val="20"/>
          <w:highlight w:val="none"/>
        </w:rPr>
        <w:t xml:space="preserve">      </w:t>
      </w:r>
    </w:p>
    <w:p w14:paraId="30B681FA">
      <w:pP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br w:type="page"/>
      </w:r>
    </w:p>
    <w:p w14:paraId="7B837283">
      <w:pPr>
        <w:adjustRightInd/>
        <w:spacing w:line="360" w:lineRule="auto"/>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w:t>
      </w:r>
      <w:r>
        <w:rPr>
          <w:rFonts w:hint="eastAsia" w:asciiTheme="minorEastAsia" w:hAnsiTheme="minorEastAsia" w:eastAsiaTheme="minorEastAsia" w:cstheme="minorEastAsia"/>
          <w:b/>
          <w:color w:val="auto"/>
          <w:sz w:val="32"/>
          <w:szCs w:val="20"/>
          <w:highlight w:val="none"/>
          <w:lang w:eastAsia="zh-CN"/>
        </w:rPr>
        <w:t>竞争性磋商</w:t>
      </w:r>
      <w:r>
        <w:rPr>
          <w:rFonts w:hint="eastAsia" w:asciiTheme="minorEastAsia" w:hAnsiTheme="minorEastAsia" w:eastAsiaTheme="minorEastAsia" w:cstheme="minorEastAsia"/>
          <w:b/>
          <w:color w:val="auto"/>
          <w:sz w:val="32"/>
          <w:szCs w:val="20"/>
          <w:highlight w:val="none"/>
        </w:rPr>
        <w:t>文件的构成、澄清、修改</w:t>
      </w:r>
    </w:p>
    <w:p w14:paraId="741E852A">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文件的构成</w:t>
      </w:r>
    </w:p>
    <w:p w14:paraId="62C1A6EC">
      <w:pPr>
        <w:pStyle w:val="12"/>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 xml:space="preserve">.1 </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文件包括下列文件及附件：</w:t>
      </w:r>
    </w:p>
    <w:p w14:paraId="6CDD53AE">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6.1.1 竞争性磋商公告；</w:t>
      </w:r>
    </w:p>
    <w:p w14:paraId="494C5C62">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6.1.2 </w:t>
      </w:r>
      <w:r>
        <w:rPr>
          <w:rFonts w:hint="eastAsia" w:asciiTheme="minorEastAsia" w:hAnsiTheme="minorEastAsia" w:eastAsiaTheme="minorEastAsia" w:cstheme="minorEastAsia"/>
          <w:color w:val="auto"/>
          <w:sz w:val="21"/>
          <w:szCs w:val="21"/>
          <w:highlight w:val="none"/>
          <w:lang w:val="zh-CN" w:eastAsia="zh-CN"/>
        </w:rPr>
        <w:t>响应</w:t>
      </w:r>
      <w:r>
        <w:rPr>
          <w:rFonts w:hint="eastAsia" w:asciiTheme="minorEastAsia" w:hAnsiTheme="minorEastAsia" w:eastAsiaTheme="minorEastAsia" w:cstheme="minorEastAsia"/>
          <w:color w:val="auto"/>
          <w:sz w:val="21"/>
          <w:szCs w:val="21"/>
          <w:highlight w:val="none"/>
          <w:lang w:val="en-US" w:eastAsia="zh-CN"/>
        </w:rPr>
        <w:t>须知；</w:t>
      </w:r>
    </w:p>
    <w:p w14:paraId="493B4356">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6.1.3 采购需求；</w:t>
      </w:r>
    </w:p>
    <w:p w14:paraId="013933A8">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6.1.4 评审办法；</w:t>
      </w:r>
    </w:p>
    <w:p w14:paraId="05AFDC33">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6.1.5 拟签订的合同文本；</w:t>
      </w:r>
    </w:p>
    <w:p w14:paraId="1EFEF640">
      <w:pPr>
        <w:pStyle w:val="12"/>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6.1.6 应提交的有关格式范例。</w:t>
      </w:r>
    </w:p>
    <w:p w14:paraId="6105B94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.2与本项目有关的</w:t>
      </w:r>
      <w:r>
        <w:rPr>
          <w:rFonts w:hint="eastAsia" w:asciiTheme="minorEastAsia" w:hAnsiTheme="minorEastAsia" w:eastAsiaTheme="minorEastAsia" w:cstheme="minorEastAsia"/>
          <w:bCs/>
          <w:color w:val="auto"/>
          <w:sz w:val="21"/>
          <w:szCs w:val="21"/>
          <w:highlight w:val="none"/>
        </w:rPr>
        <w:t>澄清或者修改的内容为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bCs/>
          <w:color w:val="auto"/>
          <w:sz w:val="21"/>
          <w:szCs w:val="21"/>
          <w:highlight w:val="none"/>
        </w:rPr>
        <w:t>文件的组成部分</w:t>
      </w:r>
      <w:r>
        <w:rPr>
          <w:rFonts w:hint="eastAsia" w:asciiTheme="minorEastAsia" w:hAnsiTheme="minorEastAsia" w:eastAsiaTheme="minorEastAsia" w:cstheme="minorEastAsia"/>
          <w:color w:val="auto"/>
          <w:sz w:val="21"/>
          <w:szCs w:val="21"/>
          <w:highlight w:val="none"/>
        </w:rPr>
        <w:t>。</w:t>
      </w:r>
    </w:p>
    <w:p w14:paraId="33F632A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文件的澄清、修改</w:t>
      </w:r>
    </w:p>
    <w:p w14:paraId="6B12C829">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7.1 采购人对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文件进行必要的澄清或者修改的，在采购信息发布网站上发布更正公告。澄清或者修改的内容可能影响响应文件编制的，更正公告在响应截止时间至少5日前发出；不足5日的，顺延提交响应文件截止时间。</w:t>
      </w:r>
    </w:p>
    <w:p w14:paraId="7BF0688B">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7.2 更正公告为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文件的组成部分，一经在网站发布，视同已通知所有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文件的收受人，不再采用其它方式传达相关信息, 若因未能及时了解到上述网站上发布的相关信息而导致的一切后果自行承担。</w:t>
      </w:r>
    </w:p>
    <w:p w14:paraId="429AC366">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7.3 如更正公告有重新发布电子</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应下载最新发布的电子</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文件制作响应文件。</w:t>
      </w:r>
    </w:p>
    <w:p w14:paraId="57CA9285">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7.4 已获取</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文件的潜在</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，若有问题需要澄清，应于响应截止时间前，以书面形式向采购代理机构提出。</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在规定的时间内未对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文件提出疑问、质疑或要求澄清的，将视其为无异议。对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文件中描述有歧义或前后不一致的地方，磋商小组有权进行评判，但对同一条款的评判应适用于每个</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w:t>
      </w:r>
    </w:p>
    <w:p w14:paraId="7274C321">
      <w:pPr>
        <w:adjustRightInd/>
        <w:spacing w:line="360" w:lineRule="auto"/>
        <w:jc w:val="center"/>
        <w:outlineLvl w:val="0"/>
        <w:rPr>
          <w:rFonts w:hint="eastAsia" w:asciiTheme="minorEastAsia" w:hAnsiTheme="minorEastAsia" w:eastAsiaTheme="minorEastAsia" w:cstheme="minorEastAsia"/>
          <w:b/>
          <w:color w:val="auto"/>
          <w:sz w:val="30"/>
          <w:szCs w:val="20"/>
          <w:highlight w:val="none"/>
          <w:lang w:eastAsia="zh-CN"/>
        </w:rPr>
      </w:pPr>
      <w:r>
        <w:rPr>
          <w:rFonts w:hint="eastAsia" w:asciiTheme="minorEastAsia" w:hAnsiTheme="minorEastAsia" w:eastAsiaTheme="minorEastAsia" w:cstheme="minorEastAsia"/>
          <w:b/>
          <w:color w:val="auto"/>
          <w:sz w:val="30"/>
          <w:szCs w:val="20"/>
          <w:highlight w:val="none"/>
        </w:rPr>
        <w:br w:type="page"/>
      </w:r>
      <w:r>
        <w:rPr>
          <w:rFonts w:hint="eastAsia" w:asciiTheme="minorEastAsia" w:hAnsiTheme="minorEastAsia" w:eastAsiaTheme="minorEastAsia" w:cstheme="minorEastAsia"/>
          <w:b/>
          <w:color w:val="auto"/>
          <w:sz w:val="30"/>
          <w:szCs w:val="20"/>
          <w:highlight w:val="none"/>
        </w:rPr>
        <w:t>三、</w:t>
      </w:r>
      <w:r>
        <w:rPr>
          <w:rFonts w:hint="eastAsia" w:asciiTheme="minorEastAsia" w:hAnsiTheme="minorEastAsia" w:eastAsiaTheme="minorEastAsia" w:cstheme="minorEastAsia"/>
          <w:b/>
          <w:color w:val="auto"/>
          <w:sz w:val="30"/>
          <w:szCs w:val="20"/>
          <w:highlight w:val="none"/>
          <w:lang w:eastAsia="zh-CN"/>
        </w:rPr>
        <w:t>响应</w:t>
      </w:r>
    </w:p>
    <w:p w14:paraId="46BAD0EF">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文件的语言</w:t>
      </w:r>
    </w:p>
    <w:p w14:paraId="0656CB7F">
      <w:pPr>
        <w:autoSpaceDE w:val="0"/>
        <w:autoSpaceDN w:val="0"/>
        <w:spacing w:line="360" w:lineRule="auto"/>
        <w:ind w:firstLine="420" w:firstLineChars="200"/>
        <w:rPr>
          <w:rFonts w:hint="eastAsia" w:asciiTheme="minorEastAsia" w:hAnsiTheme="minorEastAsia" w:eastAsiaTheme="minorEastAsia" w:cstheme="minorEastAsia"/>
          <w:color w:val="auto"/>
          <w:sz w:val="21"/>
          <w:szCs w:val="21"/>
          <w:highlight w:val="none"/>
          <w:lang w:val="zh-CN"/>
        </w:rPr>
      </w:pP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文件及</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与采购有关的来往通知、函件和文件均应使用中文。</w:t>
      </w:r>
    </w:p>
    <w:p w14:paraId="64B06CC5">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文件的组成</w:t>
      </w:r>
    </w:p>
    <w:p w14:paraId="0A31B0F9">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lang w:val="en-US" w:eastAsia="zh-CN"/>
        </w:rPr>
        <w:t>9</w:t>
      </w:r>
      <w:r>
        <w:rPr>
          <w:rFonts w:hint="eastAsia" w:asciiTheme="minorEastAsia" w:hAnsiTheme="minorEastAsia" w:eastAsiaTheme="minorEastAsia" w:cstheme="minorEastAsia"/>
          <w:b/>
          <w:bCs/>
          <w:color w:val="auto"/>
          <w:sz w:val="21"/>
          <w:szCs w:val="21"/>
          <w:highlight w:val="none"/>
        </w:rPr>
        <w:t>.1</w:t>
      </w:r>
      <w:r>
        <w:rPr>
          <w:rFonts w:hint="eastAsia" w:asciiTheme="minorEastAsia" w:hAnsiTheme="minorEastAsia" w:eastAsiaTheme="minorEastAsia" w:cstheme="minorEastAsia"/>
          <w:b/>
          <w:bCs/>
          <w:color w:val="auto"/>
          <w:sz w:val="21"/>
          <w:szCs w:val="21"/>
          <w:highlight w:val="none"/>
          <w:lang w:val="en-US" w:eastAsia="zh-CN"/>
        </w:rPr>
        <w:t xml:space="preserve"> </w:t>
      </w:r>
      <w:r>
        <w:rPr>
          <w:rFonts w:hint="eastAsia" w:asciiTheme="minorEastAsia" w:hAnsiTheme="minorEastAsia" w:eastAsiaTheme="minorEastAsia" w:cstheme="minorEastAsia"/>
          <w:b/>
          <w:bCs/>
          <w:color w:val="auto"/>
          <w:sz w:val="21"/>
          <w:szCs w:val="21"/>
          <w:highlight w:val="none"/>
        </w:rPr>
        <w:t>资格文件：</w:t>
      </w:r>
    </w:p>
    <w:p w14:paraId="71ED320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9.1.1有效的企业法人营业执照（或事业法人登记证）、其他组织（个体工商户）的营业执照或者民办非企业单位登记证书；</w:t>
      </w:r>
    </w:p>
    <w:p w14:paraId="123F7B12">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9.1.2符合参加政府采购活动应当具备的一般条件的承诺函(格式见第六部分)；</w:t>
      </w:r>
    </w:p>
    <w:p w14:paraId="4FB602C6">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9.1.3落实政府采购政策需满足的资格要求（如适用）；</w:t>
      </w:r>
    </w:p>
    <w:p w14:paraId="1F060D64">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9.1.4本项目的特定资格要求。</w:t>
      </w:r>
    </w:p>
    <w:p w14:paraId="661C2158">
      <w:pPr>
        <w:snapToGrid w:val="0"/>
        <w:spacing w:line="360" w:lineRule="auto"/>
        <w:ind w:firstLine="420" w:firstLineChars="200"/>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9.1.5其他资料（如有）</w:t>
      </w:r>
    </w:p>
    <w:p w14:paraId="28C92110">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lang w:val="zh-CN" w:eastAsia="zh-CN"/>
        </w:rPr>
      </w:pPr>
      <w:r>
        <w:rPr>
          <w:rFonts w:hint="eastAsia" w:asciiTheme="minorEastAsia" w:hAnsiTheme="minorEastAsia" w:eastAsiaTheme="minorEastAsia" w:cstheme="minorEastAsia"/>
          <w:b/>
          <w:bCs/>
          <w:color w:val="auto"/>
          <w:sz w:val="21"/>
          <w:szCs w:val="21"/>
          <w:highlight w:val="none"/>
          <w:lang w:val="en-US" w:eastAsia="zh-CN"/>
        </w:rPr>
        <w:t>9</w:t>
      </w:r>
      <w:r>
        <w:rPr>
          <w:rFonts w:hint="eastAsia" w:asciiTheme="minorEastAsia" w:hAnsiTheme="minorEastAsia" w:eastAsiaTheme="minorEastAsia" w:cstheme="minorEastAsia"/>
          <w:b/>
          <w:bCs/>
          <w:color w:val="auto"/>
          <w:sz w:val="21"/>
          <w:szCs w:val="21"/>
          <w:highlight w:val="none"/>
          <w:lang w:val="zh-CN" w:eastAsia="zh-CN"/>
        </w:rPr>
        <w:t>.</w:t>
      </w:r>
      <w:r>
        <w:rPr>
          <w:rFonts w:hint="eastAsia" w:asciiTheme="minorEastAsia" w:hAnsiTheme="minorEastAsia" w:eastAsiaTheme="minorEastAsia" w:cstheme="minorEastAsia"/>
          <w:b/>
          <w:bCs/>
          <w:color w:val="auto"/>
          <w:sz w:val="21"/>
          <w:szCs w:val="21"/>
          <w:highlight w:val="none"/>
          <w:lang w:val="en-US" w:eastAsia="zh-CN"/>
        </w:rPr>
        <w:t>2</w:t>
      </w:r>
      <w:r>
        <w:rPr>
          <w:rFonts w:hint="eastAsia" w:asciiTheme="minorEastAsia" w:hAnsiTheme="minorEastAsia" w:eastAsiaTheme="minorEastAsia" w:cstheme="minorEastAsia"/>
          <w:b/>
          <w:bCs/>
          <w:color w:val="auto"/>
          <w:sz w:val="21"/>
          <w:szCs w:val="21"/>
          <w:highlight w:val="none"/>
          <w:lang w:val="zh-CN" w:eastAsia="zh-CN"/>
        </w:rPr>
        <w:t xml:space="preserve"> </w:t>
      </w:r>
      <w:r>
        <w:rPr>
          <w:rFonts w:hint="eastAsia" w:asciiTheme="minorEastAsia" w:hAnsiTheme="minorEastAsia" w:eastAsiaTheme="minorEastAsia" w:cstheme="minorEastAsia"/>
          <w:b/>
          <w:bCs/>
          <w:color w:val="auto"/>
          <w:sz w:val="21"/>
          <w:szCs w:val="21"/>
          <w:highlight w:val="none"/>
          <w:lang w:val="en-US" w:eastAsia="zh-CN"/>
        </w:rPr>
        <w:t>商务技术</w:t>
      </w:r>
      <w:r>
        <w:rPr>
          <w:rFonts w:hint="eastAsia" w:asciiTheme="minorEastAsia" w:hAnsiTheme="minorEastAsia" w:eastAsiaTheme="minorEastAsia" w:cstheme="minorEastAsia"/>
          <w:b/>
          <w:bCs/>
          <w:color w:val="auto"/>
          <w:sz w:val="21"/>
          <w:szCs w:val="21"/>
          <w:highlight w:val="none"/>
          <w:lang w:val="zh-CN" w:eastAsia="zh-CN"/>
        </w:rPr>
        <w:t>文件：</w:t>
      </w:r>
    </w:p>
    <w:p w14:paraId="0D3726C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 评分索引表；</w:t>
      </w:r>
    </w:p>
    <w:p w14:paraId="707B238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9.2.2符合性自查表；</w:t>
      </w:r>
    </w:p>
    <w:p w14:paraId="5A89A7B7">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9.2.3 磋商函；</w:t>
      </w:r>
      <w:r>
        <w:rPr>
          <w:rFonts w:hint="eastAsia" w:asciiTheme="minorEastAsia" w:hAnsiTheme="minorEastAsia" w:eastAsiaTheme="minorEastAsia" w:cstheme="minorEastAsia"/>
          <w:color w:val="auto"/>
          <w:sz w:val="21"/>
          <w:szCs w:val="21"/>
          <w:highlight w:val="none"/>
          <w:lang w:val="zh-CN" w:eastAsia="zh-CN"/>
        </w:rPr>
        <w:t xml:space="preserve"> </w:t>
      </w:r>
    </w:p>
    <w:p w14:paraId="7FFBDCCB">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9.2.4 授权委托书或法定代表人（单位负责人、自然人本人）身份证明；</w:t>
      </w:r>
    </w:p>
    <w:p w14:paraId="02857E51">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9.2.5 供应商情况表；</w:t>
      </w:r>
    </w:p>
    <w:p w14:paraId="106F812B">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9.2.6 距采购人最近或者能为本项目提供最优服务的网点情况表；</w:t>
      </w:r>
    </w:p>
    <w:p w14:paraId="6DAB32C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w:t>
      </w:r>
      <w:r>
        <w:rPr>
          <w:rFonts w:hint="eastAsia" w:asciiTheme="minorEastAsia" w:hAnsiTheme="minorEastAsia" w:eastAsiaTheme="minorEastAsia" w:cstheme="minorEastAsia"/>
          <w:color w:val="auto"/>
          <w:sz w:val="21"/>
          <w:szCs w:val="21"/>
          <w:highlight w:val="none"/>
          <w:lang w:val="zh-CN" w:eastAsia="zh-CN"/>
        </w:rPr>
        <w:t>.</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lang w:val="zh-CN" w:eastAsia="zh-CN"/>
        </w:rPr>
        <w:t>.</w:t>
      </w:r>
      <w:r>
        <w:rPr>
          <w:rFonts w:hint="eastAsia" w:asciiTheme="minorEastAsia" w:hAnsiTheme="minorEastAsia" w:eastAsiaTheme="minorEastAsia" w:cstheme="minorEastAsia"/>
          <w:color w:val="auto"/>
          <w:sz w:val="21"/>
          <w:szCs w:val="21"/>
          <w:highlight w:val="none"/>
          <w:lang w:val="en-US" w:eastAsia="zh-CN"/>
        </w:rPr>
        <w:t>7 评标标准相应的商务技术资料；</w:t>
      </w:r>
    </w:p>
    <w:p w14:paraId="0613E65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9.2.8 商务响应表；</w:t>
      </w:r>
    </w:p>
    <w:p w14:paraId="36B1F055">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9.2.9 技术响应表；</w:t>
      </w:r>
    </w:p>
    <w:p w14:paraId="322F35C6">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9.2.10 同类业绩情况一览表；</w:t>
      </w:r>
    </w:p>
    <w:p w14:paraId="028F9F54">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9.2.11</w:t>
      </w:r>
      <w:r>
        <w:rPr>
          <w:rFonts w:hint="eastAsia" w:asciiTheme="minorEastAsia" w:hAnsiTheme="minorEastAsia" w:eastAsiaTheme="minorEastAsia" w:cstheme="minorEastAsia"/>
          <w:color w:val="auto"/>
          <w:sz w:val="21"/>
          <w:szCs w:val="21"/>
          <w:highlight w:val="none"/>
          <w:lang w:val="zh-CN" w:eastAsia="zh-CN"/>
        </w:rPr>
        <w:t>政府采购供应商廉洁自律承诺书；</w:t>
      </w:r>
    </w:p>
    <w:p w14:paraId="7D742551">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9.2.12其他资料（如有）。</w:t>
      </w:r>
    </w:p>
    <w:p w14:paraId="6350FFEF">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u w:val="single"/>
          <w:lang w:val="zh-CN"/>
        </w:rPr>
      </w:pPr>
      <w:r>
        <w:rPr>
          <w:rFonts w:hint="eastAsia" w:asciiTheme="minorEastAsia" w:hAnsiTheme="minorEastAsia" w:eastAsiaTheme="minorEastAsia" w:cstheme="minorEastAsia"/>
          <w:b/>
          <w:bCs/>
          <w:color w:val="auto"/>
          <w:kern w:val="0"/>
          <w:sz w:val="21"/>
          <w:szCs w:val="21"/>
          <w:highlight w:val="none"/>
          <w:lang w:val="en-US" w:eastAsia="zh-CN"/>
        </w:rPr>
        <w:t>9</w:t>
      </w:r>
      <w:r>
        <w:rPr>
          <w:rFonts w:hint="eastAsia" w:asciiTheme="minorEastAsia" w:hAnsiTheme="minorEastAsia" w:eastAsiaTheme="minorEastAsia" w:cstheme="minorEastAsia"/>
          <w:b/>
          <w:bCs/>
          <w:color w:val="auto"/>
          <w:kern w:val="0"/>
          <w:sz w:val="21"/>
          <w:szCs w:val="21"/>
          <w:highlight w:val="none"/>
          <w:lang w:val="zh-CN"/>
        </w:rPr>
        <w:t>.</w:t>
      </w:r>
      <w:r>
        <w:rPr>
          <w:rFonts w:hint="eastAsia" w:asciiTheme="minorEastAsia" w:hAnsiTheme="minorEastAsia" w:eastAsiaTheme="minorEastAsia" w:cstheme="minorEastAsia"/>
          <w:b/>
          <w:bCs/>
          <w:color w:val="auto"/>
          <w:kern w:val="0"/>
          <w:sz w:val="21"/>
          <w:szCs w:val="21"/>
          <w:highlight w:val="none"/>
        </w:rPr>
        <w:t>3</w:t>
      </w:r>
      <w:r>
        <w:rPr>
          <w:rFonts w:hint="eastAsia" w:asciiTheme="minorEastAsia" w:hAnsiTheme="minorEastAsia" w:eastAsiaTheme="minorEastAsia" w:cstheme="minorEastAsia"/>
          <w:b/>
          <w:bCs/>
          <w:color w:val="auto"/>
          <w:kern w:val="0"/>
          <w:sz w:val="21"/>
          <w:szCs w:val="21"/>
          <w:highlight w:val="none"/>
          <w:lang w:val="en-US" w:eastAsia="zh-CN"/>
        </w:rPr>
        <w:t xml:space="preserve"> </w:t>
      </w:r>
      <w:r>
        <w:rPr>
          <w:rFonts w:hint="eastAsia" w:asciiTheme="minorEastAsia" w:hAnsiTheme="minorEastAsia" w:eastAsiaTheme="minorEastAsia" w:cstheme="minorEastAsia"/>
          <w:b/>
          <w:bCs/>
          <w:color w:val="auto"/>
          <w:sz w:val="21"/>
          <w:szCs w:val="21"/>
          <w:highlight w:val="none"/>
        </w:rPr>
        <w:t xml:space="preserve">报价文件： </w:t>
      </w:r>
    </w:p>
    <w:p w14:paraId="5BE67A4D">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9.3.1 报价一览表；</w:t>
      </w:r>
    </w:p>
    <w:p w14:paraId="6E88D86C">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9.3.2 中小企业声明函（如有）；</w:t>
      </w:r>
    </w:p>
    <w:p w14:paraId="1D3E934C">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9.3.3残疾人福利性单位声明函（如有）；</w:t>
      </w:r>
    </w:p>
    <w:p w14:paraId="76593AD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9.3.4监狱企业的证明文件（如有）；</w:t>
      </w:r>
    </w:p>
    <w:p w14:paraId="55693773">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9.3.5 政府采购统计基础信息表；</w:t>
      </w:r>
    </w:p>
    <w:p w14:paraId="0977357C">
      <w:pPr>
        <w:pStyle w:val="31"/>
        <w:rPr>
          <w:rFonts w:hint="default"/>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9.3.6其他资料（如有）</w:t>
      </w:r>
    </w:p>
    <w:p w14:paraId="75FB25A3">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响应文件的编制</w:t>
      </w:r>
    </w:p>
    <w:p w14:paraId="4FA59DF8">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.1响应文件分为资格文件、商务技术文件、报价文件三部分。各供应商在编制响应文件时请按照竞争性磋商文件第六部分规定的格式进行。</w:t>
      </w:r>
      <w:r>
        <w:rPr>
          <w:rFonts w:hint="eastAsia" w:asciiTheme="minorEastAsia" w:hAnsiTheme="minorEastAsia" w:eastAsiaTheme="minorEastAsia" w:cstheme="minorEastAsia"/>
          <w:color w:val="auto"/>
          <w:kern w:val="0"/>
          <w:sz w:val="21"/>
          <w:szCs w:val="21"/>
          <w:highlight w:val="none"/>
          <w:lang w:val="en-US" w:eastAsia="zh-CN"/>
        </w:rPr>
        <w:t>未有规定格式的资料，</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rPr>
        <w:t>应自行编制，但至少须包含9.响应文件组成中的内容。</w:t>
      </w:r>
      <w:r>
        <w:rPr>
          <w:rFonts w:hint="eastAsia" w:asciiTheme="minorEastAsia" w:hAnsiTheme="minorEastAsia" w:eastAsiaTheme="minorEastAsia" w:cstheme="minorEastAsia"/>
          <w:color w:val="auto"/>
          <w:kern w:val="0"/>
          <w:sz w:val="21"/>
          <w:szCs w:val="21"/>
          <w:highlight w:val="none"/>
          <w:lang w:val="zh-CN"/>
        </w:rPr>
        <w:t>混乱的编排导致响应文件被误读或磋商小组查找不到有效文件是供应商的风险。</w:t>
      </w:r>
    </w:p>
    <w:p w14:paraId="7BA1DAC5">
      <w:pPr>
        <w:spacing w:line="360" w:lineRule="auto"/>
        <w:ind w:firstLine="420" w:firstLineChars="200"/>
        <w:rPr>
          <w:rFonts w:hint="eastAsia" w:asciiTheme="minorEastAsia" w:hAnsiTheme="minorEastAsia" w:eastAsiaTheme="minorEastAsia" w:cstheme="minorEastAsia"/>
          <w:color w:val="auto"/>
          <w:kern w:val="0"/>
          <w:sz w:val="21"/>
          <w:szCs w:val="21"/>
          <w:highlight w:val="none"/>
          <w:lang w:val="zh-CN"/>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.2供应商进行电子投标应安装客户端软件—“</w:t>
      </w:r>
      <w:r>
        <w:rPr>
          <w:rFonts w:hint="eastAsia" w:ascii="宋体" w:hAnsi="宋体" w:cs="宋体"/>
          <w:color w:val="auto"/>
          <w:sz w:val="21"/>
          <w:szCs w:val="21"/>
          <w:highlight w:val="none"/>
          <w:lang w:val="en-US" w:eastAsia="zh-CN"/>
        </w:rPr>
        <w:t>乐</w:t>
      </w:r>
      <w:r>
        <w:rPr>
          <w:rFonts w:hint="eastAsia" w:asciiTheme="minorEastAsia" w:hAnsiTheme="minorEastAsia" w:eastAsiaTheme="minorEastAsia" w:cstheme="minorEastAsia"/>
          <w:color w:val="auto"/>
          <w:kern w:val="0"/>
          <w:sz w:val="21"/>
          <w:szCs w:val="21"/>
          <w:highlight w:val="none"/>
          <w:lang w:val="zh-CN"/>
        </w:rPr>
        <w:t>采云电子交易客户端</w:t>
      </w:r>
      <w:r>
        <w:rPr>
          <w:rFonts w:hint="eastAsia" w:cs="仿宋" w:asciiTheme="majorEastAsia" w:hAnsiTheme="majorEastAsia" w:eastAsiaTheme="majorEastAsia"/>
          <w:kern w:val="0"/>
          <w:sz w:val="24"/>
          <w:lang w:val="zh-CN"/>
        </w:rPr>
        <w:t>（</w:t>
      </w:r>
      <w:r>
        <w:rPr>
          <w:rFonts w:hint="eastAsia" w:asciiTheme="minorEastAsia" w:hAnsiTheme="minorEastAsia" w:eastAsiaTheme="minorEastAsia" w:cstheme="minorEastAsia"/>
          <w:color w:val="auto"/>
          <w:kern w:val="0"/>
          <w:sz w:val="21"/>
          <w:szCs w:val="21"/>
          <w:highlight w:val="none"/>
          <w:lang w:val="en-US" w:eastAsia="zh-CN"/>
        </w:rPr>
        <w:t>下载地址：https://b.zhengcaiyun.cn/luban/category?parentId=550045&amp;childrenCode=qicaiCategory17&amp;utm=luban.luban-PC-39026.959-pc-websitegroup-navBar-front.8.ebdec73052c711ef9ade896d008b9248</w:t>
      </w:r>
      <w:r>
        <w:rPr>
          <w:rFonts w:hint="eastAsia" w:asciiTheme="minorEastAsia" w:hAnsiTheme="minorEastAsia" w:eastAsiaTheme="minorEastAsia" w:cstheme="minorEastAsia"/>
          <w:color w:val="auto"/>
          <w:kern w:val="0"/>
          <w:sz w:val="21"/>
          <w:szCs w:val="21"/>
          <w:highlight w:val="none"/>
          <w:lang w:val="zh-CN"/>
        </w:rPr>
        <w:t>）”，并按照竞争性磋商文件和电子交易平台的要求编制并加密响应文件。供应商未按规定加密的响应文件，电子交易平台将拒收并提示。</w:t>
      </w:r>
    </w:p>
    <w:p w14:paraId="365A4BFB">
      <w:pPr>
        <w:spacing w:line="360" w:lineRule="auto"/>
        <w:ind w:firstLine="420" w:firstLineChars="200"/>
        <w:rPr>
          <w:rFonts w:hint="eastAsia" w:asciiTheme="minorEastAsia" w:hAnsiTheme="minorEastAsia" w:eastAsiaTheme="minorEastAsia" w:cstheme="minorEastAsia"/>
          <w:color w:val="auto"/>
          <w:kern w:val="0"/>
          <w:sz w:val="21"/>
          <w:szCs w:val="21"/>
          <w:highlight w:val="none"/>
          <w:lang w:val="zh-CN"/>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.3使用“</w:t>
      </w:r>
      <w:r>
        <w:rPr>
          <w:rFonts w:hint="eastAsia" w:asciiTheme="minorEastAsia" w:hAnsiTheme="minorEastAsia" w:eastAsiaTheme="minorEastAsia" w:cstheme="minorEastAsia"/>
          <w:color w:val="auto"/>
          <w:kern w:val="0"/>
          <w:sz w:val="21"/>
          <w:szCs w:val="21"/>
          <w:highlight w:val="none"/>
          <w:lang w:val="en-US" w:eastAsia="zh-CN"/>
        </w:rPr>
        <w:t>乐</w:t>
      </w:r>
      <w:r>
        <w:rPr>
          <w:rFonts w:hint="eastAsia" w:asciiTheme="minorEastAsia" w:hAnsiTheme="minorEastAsia" w:eastAsiaTheme="minorEastAsia" w:cstheme="minorEastAsia"/>
          <w:color w:val="auto"/>
          <w:kern w:val="0"/>
          <w:sz w:val="21"/>
          <w:szCs w:val="21"/>
          <w:highlight w:val="none"/>
          <w:lang w:val="zh-CN"/>
        </w:rPr>
        <w:t>采云电子交易客户端”需要提前申领CA数字证书，申领流程请自行前往“浙江</w:t>
      </w:r>
      <w:r>
        <w:rPr>
          <w:rFonts w:hint="eastAsia" w:asciiTheme="minorEastAsia" w:hAnsiTheme="minorEastAsia" w:eastAsiaTheme="minorEastAsia" w:cstheme="minorEastAsia"/>
          <w:color w:val="auto"/>
          <w:kern w:val="0"/>
          <w:sz w:val="21"/>
          <w:szCs w:val="21"/>
          <w:highlight w:val="none"/>
          <w:lang w:val="en-US" w:eastAsia="zh-CN"/>
        </w:rPr>
        <w:t>企业</w:t>
      </w:r>
      <w:r>
        <w:rPr>
          <w:rFonts w:hint="eastAsia" w:asciiTheme="minorEastAsia" w:hAnsiTheme="minorEastAsia" w:eastAsiaTheme="minorEastAsia" w:cstheme="minorEastAsia"/>
          <w:color w:val="auto"/>
          <w:kern w:val="0"/>
          <w:sz w:val="21"/>
          <w:szCs w:val="21"/>
          <w:highlight w:val="none"/>
          <w:lang w:val="zh-CN"/>
        </w:rPr>
        <w:t>采购</w:t>
      </w:r>
      <w:r>
        <w:rPr>
          <w:rFonts w:hint="eastAsia" w:asciiTheme="minorEastAsia" w:hAnsiTheme="minorEastAsia" w:eastAsiaTheme="minorEastAsia" w:cstheme="minorEastAsia"/>
          <w:color w:val="auto"/>
          <w:kern w:val="0"/>
          <w:sz w:val="21"/>
          <w:szCs w:val="21"/>
          <w:highlight w:val="none"/>
          <w:lang w:val="en-US" w:eastAsia="zh-CN"/>
        </w:rPr>
        <w:t>信息服务</w:t>
      </w:r>
      <w:r>
        <w:rPr>
          <w:rFonts w:hint="eastAsia" w:asciiTheme="minorEastAsia" w:hAnsiTheme="minorEastAsia" w:eastAsiaTheme="minorEastAsia" w:cstheme="minorEastAsia"/>
          <w:color w:val="auto"/>
          <w:kern w:val="0"/>
          <w:sz w:val="21"/>
          <w:szCs w:val="21"/>
          <w:highlight w:val="none"/>
          <w:lang w:val="zh-CN"/>
        </w:rPr>
        <w:t>网-下载专区-电子交易客户端-CA驱动和申领流程”进行查阅。</w:t>
      </w:r>
    </w:p>
    <w:p w14:paraId="5FD757EB">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投</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文件的签署、盖章</w:t>
      </w:r>
    </w:p>
    <w:p w14:paraId="2836212B">
      <w:pPr>
        <w:pStyle w:val="51"/>
        <w:snapToGrid w:val="0"/>
        <w:spacing w:before="0" w:line="360" w:lineRule="auto"/>
        <w:ind w:firstLine="48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文件第六部分格式要求进行签署、盖章。</w:t>
      </w: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供应商</w:t>
      </w:r>
      <w:r>
        <w:rPr>
          <w:rFonts w:hint="eastAsia" w:asciiTheme="minorEastAsia" w:hAnsiTheme="minorEastAsia" w:eastAsiaTheme="minorEastAsia" w:cstheme="minorEastAsia"/>
          <w:b/>
          <w:color w:val="auto"/>
          <w:sz w:val="21"/>
          <w:szCs w:val="21"/>
          <w:highlight w:val="none"/>
        </w:rPr>
        <w:t>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文件未按照</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文件要求签署、盖章的，其</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无效</w:t>
      </w:r>
      <w:r>
        <w:rPr>
          <w:rFonts w:hint="eastAsia" w:asciiTheme="minorEastAsia" w:hAnsiTheme="minorEastAsia" w:eastAsiaTheme="minorEastAsia" w:cstheme="minorEastAsia"/>
          <w:color w:val="auto"/>
          <w:sz w:val="21"/>
          <w:szCs w:val="21"/>
          <w:highlight w:val="none"/>
        </w:rPr>
        <w:t>。</w:t>
      </w:r>
    </w:p>
    <w:p w14:paraId="10F5A4CD">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.2为确保网上操作合法、有效和安全，</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应当在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截止时间前完成在“政府采购云平台”的身份认证，确保在电子投标过程中能够对相关数据电文进行加密和使用电子签名。</w:t>
      </w:r>
    </w:p>
    <w:p w14:paraId="0EF94A25">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.3</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文件对</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文件签署、盖章的要求适用于电子签名。</w:t>
      </w:r>
    </w:p>
    <w:p w14:paraId="2FACE19C">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响应文件的提交、补充、修改、撤回</w:t>
      </w:r>
    </w:p>
    <w:p w14:paraId="2F3562B0">
      <w:pPr>
        <w:pStyle w:val="51"/>
        <w:spacing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.1 供应商应当在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截止时间前完成</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文件的传输递交，并可以补充、修改或者撤回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文件。补充或者修改</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文件的，应当先行撤回原文件，补充、修改后重新传输递交。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截止时间前未完成传输的，视为撤回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截止时间后递交的</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文件，电子交易平台将拒收。</w:t>
      </w:r>
    </w:p>
    <w:p w14:paraId="5D9C748C">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.2电子交易平台收到</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文件，将妥善保存并即时向供应商发出确认回执通知。在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截止时间前，除供应商补充、修改或者撤回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文件外，任何单位和个人不得解密或提取</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p>
    <w:p w14:paraId="6E66589A">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.3采购人、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可以视情况延长</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文件提交的截止时间。在上述情况下，</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与</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以前在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截止期方面的全部权利、责任和义务，将适用于延长至新的</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截止期。</w:t>
      </w:r>
    </w:p>
    <w:p w14:paraId="396AFC5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响应有效期</w:t>
      </w:r>
    </w:p>
    <w:p w14:paraId="2A4A1BE1">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有效期为从提交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文件的截止之日起90天。▲</w:t>
      </w:r>
      <w:r>
        <w:rPr>
          <w:rFonts w:hint="eastAsia" w:asciiTheme="minorEastAsia" w:hAnsiTheme="minorEastAsia" w:eastAsiaTheme="minorEastAsia" w:cstheme="minorEastAsia"/>
          <w:b/>
          <w:color w:val="auto"/>
          <w:sz w:val="21"/>
          <w:szCs w:val="21"/>
          <w:highlight w:val="none"/>
          <w:lang w:eastAsia="zh-CN"/>
        </w:rPr>
        <w:t>供应商</w:t>
      </w:r>
      <w:r>
        <w:rPr>
          <w:rFonts w:hint="eastAsia" w:asciiTheme="minorEastAsia" w:hAnsiTheme="minorEastAsia" w:eastAsiaTheme="minorEastAsia" w:cstheme="minorEastAsia"/>
          <w:b/>
          <w:color w:val="auto"/>
          <w:sz w:val="21"/>
          <w:szCs w:val="21"/>
          <w:highlight w:val="none"/>
        </w:rPr>
        <w:t>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文件中承诺的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有效期少于</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文件中载明的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有效期的，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无效。</w:t>
      </w:r>
    </w:p>
    <w:p w14:paraId="3C9A92B4">
      <w:pPr>
        <w:pStyle w:val="51"/>
        <w:spacing w:before="0" w:line="360" w:lineRule="auto"/>
        <w:ind w:firstLine="643"/>
        <w:rPr>
          <w:rFonts w:hint="eastAsia" w:asciiTheme="minorEastAsia" w:hAnsiTheme="minorEastAsia" w:eastAsiaTheme="minorEastAsia" w:cstheme="minorEastAsia"/>
          <w:b/>
          <w:color w:val="auto"/>
          <w:sz w:val="32"/>
          <w:highlight w:val="none"/>
        </w:rPr>
      </w:pPr>
    </w:p>
    <w:p w14:paraId="7D4FE6D5">
      <w:pPr>
        <w:pStyle w:val="51"/>
        <w:spacing w:before="0" w:line="360" w:lineRule="auto"/>
        <w:ind w:left="0" w:leftChars="0"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w:t>
      </w:r>
      <w:r>
        <w:rPr>
          <w:rFonts w:hint="eastAsia" w:asciiTheme="minorEastAsia" w:hAnsiTheme="minorEastAsia" w:eastAsiaTheme="minorEastAsia" w:cstheme="minorEastAsia"/>
          <w:b/>
          <w:color w:val="auto"/>
          <w:sz w:val="32"/>
          <w:highlight w:val="none"/>
          <w:lang w:eastAsia="zh-CN"/>
        </w:rPr>
        <w:t>响应文件开启</w:t>
      </w:r>
      <w:r>
        <w:rPr>
          <w:rFonts w:hint="eastAsia" w:asciiTheme="minorEastAsia" w:hAnsiTheme="minorEastAsia" w:eastAsiaTheme="minorEastAsia" w:cstheme="minorEastAsia"/>
          <w:b/>
          <w:color w:val="auto"/>
          <w:sz w:val="32"/>
          <w:highlight w:val="none"/>
        </w:rPr>
        <w:t>、资格审查与信用信息查询</w:t>
      </w:r>
    </w:p>
    <w:p w14:paraId="6743CDEF">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 xml:space="preserve">响应文件开启 </w:t>
      </w:r>
    </w:p>
    <w:p w14:paraId="1413595C">
      <w:pPr>
        <w:pStyle w:val="46"/>
        <w:spacing w:before="0" w:line="360" w:lineRule="auto"/>
        <w:ind w:left="0" w:firstLine="420" w:firstLineChars="200"/>
        <w:contextualSpacing/>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文件规定的时间通过电子交易平台组织</w:t>
      </w:r>
      <w:r>
        <w:rPr>
          <w:rFonts w:hint="eastAsia" w:asciiTheme="minorEastAsia" w:hAnsiTheme="minorEastAsia" w:eastAsiaTheme="minorEastAsia" w:cstheme="minorEastAsia"/>
          <w:color w:val="auto"/>
          <w:sz w:val="21"/>
          <w:szCs w:val="21"/>
          <w:highlight w:val="none"/>
          <w:lang w:val="en-US" w:eastAsia="zh-CN"/>
        </w:rPr>
        <w:t>响应文件开启</w:t>
      </w:r>
      <w:r>
        <w:rPr>
          <w:rFonts w:hint="eastAsia" w:asciiTheme="minorEastAsia" w:hAnsiTheme="minorEastAsia" w:eastAsiaTheme="minorEastAsia" w:cstheme="minorEastAsia"/>
          <w:color w:val="auto"/>
          <w:sz w:val="21"/>
          <w:szCs w:val="21"/>
          <w:highlight w:val="none"/>
        </w:rPr>
        <w:t>，所有</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均应当准时在线参加。</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不足3家的，不得开</w:t>
      </w:r>
      <w:r>
        <w:rPr>
          <w:rFonts w:hint="eastAsia" w:asciiTheme="minorEastAsia" w:hAnsiTheme="minorEastAsia" w:eastAsiaTheme="minorEastAsia" w:cstheme="minorEastAsia"/>
          <w:color w:val="auto"/>
          <w:sz w:val="21"/>
          <w:szCs w:val="21"/>
          <w:highlight w:val="none"/>
          <w:lang w:eastAsia="zh-CN"/>
        </w:rPr>
        <w:t>启响应文件</w:t>
      </w:r>
      <w:r>
        <w:rPr>
          <w:rFonts w:hint="eastAsia" w:asciiTheme="minorEastAsia" w:hAnsiTheme="minorEastAsia" w:eastAsiaTheme="minorEastAsia" w:cstheme="minorEastAsia"/>
          <w:color w:val="auto"/>
          <w:sz w:val="21"/>
          <w:szCs w:val="21"/>
          <w:highlight w:val="none"/>
        </w:rPr>
        <w:t>。</w:t>
      </w:r>
    </w:p>
    <w:p w14:paraId="7B9007C4">
      <w:pPr>
        <w:pStyle w:val="46"/>
        <w:spacing w:before="0" w:line="360" w:lineRule="auto"/>
        <w:ind w:left="0" w:firstLine="210" w:firstLineChars="100"/>
        <w:contextualSpacing/>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1</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.2开</w:t>
      </w:r>
      <w:r>
        <w:rPr>
          <w:rFonts w:hint="eastAsia" w:asciiTheme="minorEastAsia" w:hAnsiTheme="minorEastAsia" w:eastAsiaTheme="minorEastAsia" w:cstheme="minorEastAsia"/>
          <w:color w:val="auto"/>
          <w:sz w:val="21"/>
          <w:szCs w:val="21"/>
          <w:highlight w:val="none"/>
          <w:lang w:eastAsia="zh-CN"/>
        </w:rPr>
        <w:t>启响应文件</w:t>
      </w:r>
      <w:r>
        <w:rPr>
          <w:rFonts w:hint="eastAsia" w:asciiTheme="minorEastAsia" w:hAnsiTheme="minorEastAsia" w:eastAsiaTheme="minorEastAsia" w:cstheme="minorEastAsia"/>
          <w:color w:val="auto"/>
          <w:sz w:val="21"/>
          <w:szCs w:val="21"/>
          <w:highlight w:val="none"/>
        </w:rPr>
        <w:t>时，电子交易平台按</w:t>
      </w:r>
      <w:r>
        <w:rPr>
          <w:rFonts w:hint="eastAsia" w:asciiTheme="minorEastAsia" w:hAnsiTheme="minorEastAsia" w:eastAsiaTheme="minorEastAsia" w:cstheme="minorEastAsia"/>
          <w:color w:val="auto"/>
          <w:sz w:val="21"/>
          <w:szCs w:val="21"/>
          <w:highlight w:val="none"/>
          <w:lang w:eastAsia="zh-CN"/>
        </w:rPr>
        <w:t>响应文件</w:t>
      </w:r>
      <w:r>
        <w:rPr>
          <w:rFonts w:hint="eastAsia" w:asciiTheme="minorEastAsia" w:hAnsiTheme="minorEastAsia" w:eastAsiaTheme="minorEastAsia" w:cstheme="minorEastAsia"/>
          <w:color w:val="auto"/>
          <w:sz w:val="21"/>
          <w:szCs w:val="21"/>
          <w:highlight w:val="none"/>
        </w:rPr>
        <w:t>开</w:t>
      </w:r>
      <w:r>
        <w:rPr>
          <w:rFonts w:hint="eastAsia" w:asciiTheme="minorEastAsia" w:hAnsiTheme="minorEastAsia" w:eastAsiaTheme="minorEastAsia" w:cstheme="minorEastAsia"/>
          <w:color w:val="auto"/>
          <w:sz w:val="21"/>
          <w:szCs w:val="21"/>
          <w:highlight w:val="none"/>
          <w:lang w:eastAsia="zh-CN"/>
        </w:rPr>
        <w:t>启</w:t>
      </w:r>
      <w:r>
        <w:rPr>
          <w:rFonts w:hint="eastAsia" w:asciiTheme="minorEastAsia" w:hAnsiTheme="minorEastAsia" w:eastAsiaTheme="minorEastAsia" w:cstheme="minorEastAsia"/>
          <w:color w:val="auto"/>
          <w:sz w:val="21"/>
          <w:szCs w:val="21"/>
          <w:highlight w:val="none"/>
        </w:rPr>
        <w:t>时间自动提取所有</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依托电子交易平台发起开始解密指令，</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按照平台提示和</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文件的规定在半小时内完成在线解密。</w:t>
      </w:r>
    </w:p>
    <w:p w14:paraId="74EC77E1">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资格审查</w:t>
      </w:r>
    </w:p>
    <w:p w14:paraId="06B4B172">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sz w:val="21"/>
          <w:szCs w:val="21"/>
          <w:highlight w:val="none"/>
          <w:lang w:eastAsia="zh-CN"/>
        </w:rPr>
        <w:t>响应文件</w:t>
      </w:r>
      <w:r>
        <w:rPr>
          <w:rFonts w:hint="eastAsia" w:asciiTheme="minorEastAsia" w:hAnsiTheme="minorEastAsia" w:eastAsiaTheme="minorEastAsia" w:cstheme="minorEastAsia"/>
          <w:color w:val="auto"/>
          <w:sz w:val="21"/>
          <w:szCs w:val="21"/>
          <w:highlight w:val="none"/>
        </w:rPr>
        <w:t>开</w:t>
      </w:r>
      <w:r>
        <w:rPr>
          <w:rFonts w:hint="eastAsia" w:asciiTheme="minorEastAsia" w:hAnsiTheme="minorEastAsia" w:eastAsiaTheme="minorEastAsia" w:cstheme="minorEastAsia"/>
          <w:color w:val="auto"/>
          <w:sz w:val="21"/>
          <w:szCs w:val="21"/>
          <w:highlight w:val="none"/>
          <w:lang w:eastAsia="zh-CN"/>
        </w:rPr>
        <w:t>启</w:t>
      </w:r>
      <w:r>
        <w:rPr>
          <w:rFonts w:hint="eastAsia" w:asciiTheme="minorEastAsia" w:hAnsiTheme="minorEastAsia" w:eastAsiaTheme="minorEastAsia" w:cstheme="minorEastAsia"/>
          <w:color w:val="auto"/>
          <w:kern w:val="0"/>
          <w:sz w:val="21"/>
          <w:szCs w:val="21"/>
          <w:highlight w:val="none"/>
        </w:rPr>
        <w:t>后，采购人或</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依据法律法规和</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文件的规定，对</w:t>
      </w:r>
      <w:r>
        <w:rPr>
          <w:rFonts w:hint="eastAsia" w:asciiTheme="minorEastAsia" w:hAnsiTheme="minorEastAsia" w:eastAsiaTheme="minorEastAsia" w:cstheme="minorEastAsia"/>
          <w:color w:val="auto"/>
          <w:kern w:val="0"/>
          <w:sz w:val="21"/>
          <w:szCs w:val="21"/>
          <w:highlight w:val="none"/>
          <w:lang w:eastAsia="zh-CN"/>
        </w:rPr>
        <w:t>供应商</w:t>
      </w:r>
      <w:r>
        <w:rPr>
          <w:rFonts w:hint="eastAsia" w:asciiTheme="minorEastAsia" w:hAnsiTheme="minorEastAsia" w:eastAsiaTheme="minorEastAsia" w:cstheme="minorEastAsia"/>
          <w:color w:val="auto"/>
          <w:kern w:val="0"/>
          <w:sz w:val="21"/>
          <w:szCs w:val="21"/>
          <w:highlight w:val="none"/>
        </w:rPr>
        <w:t>的资格条件进行审查。</w:t>
      </w:r>
    </w:p>
    <w:p w14:paraId="0CEBBDE4">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对未通过资格审查的</w:t>
      </w: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，采购人或</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告知其未通过的原因。</w:t>
      </w:r>
    </w:p>
    <w:p w14:paraId="04E5E4DA">
      <w:pPr>
        <w:pStyle w:val="51"/>
        <w:spacing w:before="0" w:line="360" w:lineRule="auto"/>
        <w:ind w:firstLine="48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合格</w:t>
      </w: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不足3家的，不再</w:t>
      </w:r>
      <w:r>
        <w:rPr>
          <w:rFonts w:hint="eastAsia" w:asciiTheme="minorEastAsia" w:hAnsiTheme="minorEastAsia" w:eastAsiaTheme="minorEastAsia" w:cstheme="minorEastAsia"/>
          <w:color w:val="auto"/>
          <w:sz w:val="21"/>
          <w:szCs w:val="21"/>
          <w:highlight w:val="none"/>
          <w:lang w:eastAsia="zh-CN"/>
        </w:rPr>
        <w:t>评审，但符合《政府采购竞争性磋商采购方式管理暂行办法》第二十一条第三款和《财政部关于政府采购竞争性磋商采购方式管理暂行办法有关问题的补充通知》规定的情形，采购活动可以继续进行。</w:t>
      </w:r>
    </w:p>
    <w:p w14:paraId="20CD8699">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信用信息查询</w:t>
      </w:r>
    </w:p>
    <w:p w14:paraId="08F2EB84">
      <w:pPr>
        <w:pStyle w:val="51"/>
        <w:spacing w:before="0" w:line="360" w:lineRule="auto"/>
        <w:ind w:firstLine="495" w:firstLineChars="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16</w:t>
      </w:r>
      <w:r>
        <w:rPr>
          <w:rFonts w:hint="eastAsia" w:asciiTheme="minorEastAsia" w:hAnsiTheme="minorEastAsia" w:eastAsiaTheme="minorEastAsia" w:cstheme="minorEastAsia"/>
          <w:color w:val="auto"/>
          <w:kern w:val="0"/>
          <w:sz w:val="21"/>
          <w:szCs w:val="21"/>
          <w:highlight w:val="none"/>
        </w:rPr>
        <w:t>.1信用信息查询渠道及截止时间：</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将通过“信用中国”网站(www.creditchina.gov.cn)、中国政府采购网(www.ccgp.gov.cn)渠道查询</w:t>
      </w:r>
      <w:r>
        <w:rPr>
          <w:rFonts w:hint="eastAsia" w:asciiTheme="minorEastAsia" w:hAnsiTheme="minorEastAsia" w:eastAsiaTheme="minorEastAsia" w:cstheme="minorEastAsia"/>
          <w:color w:val="auto"/>
          <w:kern w:val="0"/>
          <w:sz w:val="21"/>
          <w:szCs w:val="21"/>
          <w:highlight w:val="none"/>
          <w:lang w:eastAsia="zh-CN"/>
        </w:rPr>
        <w:t>供应商响应</w:t>
      </w:r>
      <w:r>
        <w:rPr>
          <w:rFonts w:hint="eastAsia" w:asciiTheme="minorEastAsia" w:hAnsiTheme="minorEastAsia" w:eastAsiaTheme="minorEastAsia" w:cstheme="minorEastAsia"/>
          <w:color w:val="auto"/>
          <w:kern w:val="0"/>
          <w:sz w:val="21"/>
          <w:szCs w:val="21"/>
          <w:highlight w:val="none"/>
        </w:rPr>
        <w:t>截止时间当天的信用记录。</w:t>
      </w:r>
    </w:p>
    <w:p w14:paraId="633E317B">
      <w:pPr>
        <w:pStyle w:val="51"/>
        <w:spacing w:before="0" w:line="360" w:lineRule="auto"/>
        <w:ind w:firstLine="495" w:firstLineChars="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16</w:t>
      </w:r>
      <w:r>
        <w:rPr>
          <w:rFonts w:hint="eastAsia" w:asciiTheme="minorEastAsia" w:hAnsiTheme="minorEastAsia" w:eastAsiaTheme="minorEastAsia" w:cstheme="minorEastAsia"/>
          <w:color w:val="auto"/>
          <w:kern w:val="0"/>
          <w:sz w:val="21"/>
          <w:szCs w:val="21"/>
          <w:highlight w:val="none"/>
        </w:rPr>
        <w:t>.2信用信息的使用规则：经查询列入失信被执行人名单、重大税收违法案件当事人名单、政府采购严重违法失信行为记录名单的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将被拒绝参与政府采购活动。</w:t>
      </w:r>
    </w:p>
    <w:p w14:paraId="1C4A81BA">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lang w:eastAsia="zh-CN"/>
        </w:rPr>
      </w:pPr>
      <w:r>
        <w:rPr>
          <w:rFonts w:hint="eastAsia" w:asciiTheme="minorEastAsia" w:hAnsiTheme="minorEastAsia" w:eastAsiaTheme="minorEastAsia" w:cstheme="minorEastAsia"/>
          <w:b/>
          <w:color w:val="auto"/>
          <w:sz w:val="36"/>
          <w:szCs w:val="36"/>
          <w:highlight w:val="none"/>
        </w:rPr>
        <w:t>五、评</w:t>
      </w:r>
      <w:r>
        <w:rPr>
          <w:rFonts w:hint="eastAsia" w:asciiTheme="minorEastAsia" w:hAnsiTheme="minorEastAsia" w:eastAsiaTheme="minorEastAsia" w:cstheme="minorEastAsia"/>
          <w:b/>
          <w:color w:val="auto"/>
          <w:sz w:val="36"/>
          <w:szCs w:val="36"/>
          <w:highlight w:val="none"/>
          <w:lang w:eastAsia="zh-CN"/>
        </w:rPr>
        <w:t>审</w:t>
      </w:r>
    </w:p>
    <w:p w14:paraId="307F2CCC">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bookmarkStart w:id="14" w:name="_Toc91899903"/>
      <w:r>
        <w:rPr>
          <w:rFonts w:hint="eastAsia" w:asciiTheme="minorEastAsia" w:hAnsiTheme="minorEastAsia" w:eastAsiaTheme="minorEastAsia" w:cstheme="minorEastAsia"/>
          <w:b/>
          <w:color w:val="auto"/>
          <w:sz w:val="21"/>
          <w:szCs w:val="21"/>
          <w:highlight w:val="none"/>
          <w:lang w:val="en-US" w:eastAsia="zh-CN"/>
        </w:rPr>
        <w:t>磋商小组</w:t>
      </w:r>
    </w:p>
    <w:p w14:paraId="57EFF40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17.1 本次采购依法组建磋商小组。磋商小组由采购人代表和评审专家组成，评审专家从专家库随机抽取。</w:t>
      </w:r>
    </w:p>
    <w:p w14:paraId="15F6878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17.2 评标原则。磋商小组必须遵循公平、公正、客观、科学的原则和规定的程序进行评审；评审依据为竞争性磋商文件和响应文件；评审人员应独立评审，不得带有任何倾向性和启发性影响他人评审；任何单位和个人不得干扰、影响评标的正常进行；磋商小组及有关工作人员不得私下与供应商接触，不得向外界透露任何与评审有关的内容。</w:t>
      </w:r>
    </w:p>
    <w:p w14:paraId="4735169E">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 评审专家有下列情形之一的，受到邀请应主动提出回避，采购当事人也可以要求该评审专家回避：</w:t>
      </w:r>
    </w:p>
    <w:p w14:paraId="197F342B">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17.3.1 参加采购活动前三年内，与供应商存在劳动关系，或者担任过供应商的董事、监事，或者是供应商的控股股东或实际控制人；</w:t>
      </w:r>
    </w:p>
    <w:p w14:paraId="6B88D6D5">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17.3.2 与供应商的法定代表人或者负责人有夫妻、直系血亲、三代以内旁系血亲或者近姻亲关系；</w:t>
      </w:r>
    </w:p>
    <w:p w14:paraId="63D0AECE">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17.3.3 任职单位与参加该采购项目供应商存在行政隶属关系；</w:t>
      </w:r>
    </w:p>
    <w:p w14:paraId="56230BD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17.3.4 曾经参加过该采购项目的进口产品或招标文件、采购需求、采购方式的论证和咨询服务工作；</w:t>
      </w:r>
    </w:p>
    <w:p w14:paraId="39F974ED">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17.3.5 是参加该采购项目供应商的上级主管部门、控股或参股单位的工作人员，或与该供应商存在其他经济利益关系；</w:t>
      </w:r>
    </w:p>
    <w:p w14:paraId="00747479">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17.3.6 评标委员会成员之间具有配偶、近亲属关系等；</w:t>
      </w:r>
    </w:p>
    <w:p w14:paraId="41603CAB">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17.3.7 法律、法规、规章规定应当回避以及其他可能影响政府采购活动公平、公正进行的关系。</w:t>
      </w:r>
    </w:p>
    <w:p w14:paraId="03EAA895">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17.4 评标委员会判断投标文件的有效性、合格性和响应情况，仅依据投标人所递交一切文件的真实表述，不受与本项目无直接关联的外部信息、传言而影响自身的专业判断。</w:t>
      </w:r>
    </w:p>
    <w:p w14:paraId="498423A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463B5A09">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评标</w:t>
      </w:r>
    </w:p>
    <w:p w14:paraId="5B263E6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磋商小组将根据竞争性磋商文件和有关规定，履行评标工作职责，并按照评标方法及评分标准，全面衡量各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对竞争性磋商文件的响应情况。对实质上响应竞争性磋商文件的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，按照评审因素的量化指标推荐综合得分排名第一的为中标候选人。</w:t>
      </w:r>
    </w:p>
    <w:p w14:paraId="17E6E07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得分相同的，按投标报价由低到高顺序排列。得分且投标报价相同的，投标文件满足招标文件全部实质性要求，且按照评审因素的量化指标评审得分最高的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为排名第一的中标候选人。</w:t>
      </w:r>
    </w:p>
    <w:p w14:paraId="175DCF8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详见招标文件第四部分评标办法。</w:t>
      </w:r>
    </w:p>
    <w:p w14:paraId="1658FC74">
      <w:pPr>
        <w:spacing w:line="360" w:lineRule="auto"/>
        <w:rPr>
          <w:rFonts w:hint="eastAsia" w:asciiTheme="minorEastAsia" w:hAnsiTheme="minorEastAsia" w:eastAsiaTheme="minorEastAsia" w:cstheme="minorEastAsia"/>
          <w:b/>
          <w:color w:val="auto"/>
          <w:sz w:val="24"/>
          <w:highlight w:val="none"/>
        </w:rPr>
      </w:pPr>
    </w:p>
    <w:p w14:paraId="65658F0E">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 标</w:t>
      </w:r>
    </w:p>
    <w:p w14:paraId="6D7C373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确定成交供应商</w:t>
      </w:r>
    </w:p>
    <w:p w14:paraId="5BC8192F">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color w:val="auto"/>
          <w:kern w:val="0"/>
          <w:sz w:val="21"/>
          <w:szCs w:val="21"/>
          <w:highlight w:val="none"/>
          <w:lang w:val="en-US" w:eastAsia="zh-CN"/>
        </w:rPr>
        <w:t>本项目由磋商小组直接</w:t>
      </w:r>
      <w:r>
        <w:rPr>
          <w:color w:val="auto"/>
          <w:kern w:val="0"/>
          <w:sz w:val="21"/>
          <w:szCs w:val="21"/>
          <w:highlight w:val="none"/>
        </w:rPr>
        <w:t>确定评审报告排序第一的供应商为成交供应商。</w:t>
      </w:r>
    </w:p>
    <w:p w14:paraId="10A5F81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成交通知与成交结果公告</w:t>
      </w:r>
    </w:p>
    <w:p w14:paraId="5E05ACBF">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20.1自成交供应商确定之日起2个工作日内，采购代理机构通过电子交易平台向成交供应商发出成交通知书，同时编制发布采购结果公告。采购代理机构也可以以纸质形式进行成交通知。</w:t>
      </w:r>
    </w:p>
    <w:p w14:paraId="0BF76138">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20.2成交结果公告内容包括采购人及其委托的采购代理机构的名称、地址、联系方式，项目名称和项目编号，成交人名称、地址和成交金额，主要成交标的的名称、规格型号、数量、单价、服务要求，开标记录、成交公告期限以及评审专家名单。</w:t>
      </w:r>
    </w:p>
    <w:p w14:paraId="387C272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20.3公告期限为1个工作日。</w:t>
      </w:r>
    </w:p>
    <w:p w14:paraId="67AC361D">
      <w:pPr>
        <w:snapToGrid w:val="0"/>
        <w:spacing w:line="360" w:lineRule="auto"/>
        <w:jc w:val="both"/>
        <w:rPr>
          <w:rFonts w:hint="eastAsia" w:asciiTheme="minorEastAsia" w:hAnsiTheme="minorEastAsia" w:eastAsiaTheme="minorEastAsia" w:cstheme="minorEastAsia"/>
          <w:b/>
          <w:color w:val="auto"/>
          <w:sz w:val="32"/>
          <w:highlight w:val="none"/>
        </w:rPr>
      </w:pPr>
    </w:p>
    <w:p w14:paraId="6AE2CC8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317CE50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合同授予</w:t>
      </w:r>
    </w:p>
    <w:p w14:paraId="153BFC3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合同主要条款详见第五部分拟签订的合同文本。</w:t>
      </w:r>
    </w:p>
    <w:p w14:paraId="0C0511D2">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合同的签订</w:t>
      </w:r>
    </w:p>
    <w:p w14:paraId="5EB1D54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22.1 采购人与成交供应商应当通过电子交易平台在成交通知书发出之日起三十日内，按照竞争性磋商文件及成交供应商的响应文件确定的事项签订政府采购合同，并在合同签订之日起2个工作日内依法发布合同公告。</w:t>
      </w:r>
    </w:p>
    <w:p w14:paraId="2B5905F6">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zh-CN" w:eastAsia="zh-CN"/>
        </w:rPr>
        <w:t>2</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lang w:val="zh-CN" w:eastAsia="zh-CN"/>
        </w:rPr>
        <w:t>.2成交供应商按规定的日期、时间、地点，由法定代表人或其授权代表与采购人代表签订合同。如成交人为联合体的，由联合体成员各方法定代表人或其授权代表与采购人代表签订合同。</w:t>
      </w:r>
    </w:p>
    <w:p w14:paraId="0E6E778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22.3如签订合同并生效后，供应商无故拒绝或延期，除按照合同条款处理外，列入不良行为记录名单，并给予通报。</w:t>
      </w:r>
    </w:p>
    <w:p w14:paraId="7283CA5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22.4</w:t>
      </w:r>
      <w:r>
        <w:rPr>
          <w:rFonts w:hint="eastAsia" w:asciiTheme="minorEastAsia" w:hAnsiTheme="minorEastAsia" w:eastAsiaTheme="minorEastAsia" w:cstheme="minorEastAsia"/>
          <w:color w:val="auto"/>
          <w:kern w:val="0"/>
          <w:sz w:val="21"/>
          <w:szCs w:val="21"/>
          <w:highlight w:val="none"/>
          <w:lang w:val="zh-CN" w:eastAsia="zh-CN"/>
        </w:rPr>
        <w:t>成交</w:t>
      </w:r>
      <w:r>
        <w:rPr>
          <w:rFonts w:hint="eastAsia" w:asciiTheme="minorEastAsia" w:hAnsiTheme="minorEastAsia" w:eastAsiaTheme="minorEastAsia" w:cstheme="minorEastAsia"/>
          <w:color w:val="auto"/>
          <w:kern w:val="0"/>
          <w:sz w:val="21"/>
          <w:szCs w:val="21"/>
          <w:highlight w:val="none"/>
          <w:lang w:val="en-US" w:eastAsia="zh-CN"/>
        </w:rPr>
        <w:t>供应商拒绝与采购人签订合同的，列入不良行为记录名单，采购人、采购代理机构重新开展政府采购活动。</w:t>
      </w:r>
    </w:p>
    <w:p w14:paraId="47094F7C">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22.5采购合同由采购人与</w:t>
      </w:r>
      <w:r>
        <w:rPr>
          <w:rFonts w:hint="eastAsia" w:asciiTheme="minorEastAsia" w:hAnsiTheme="minorEastAsia" w:eastAsiaTheme="minorEastAsia" w:cstheme="minorEastAsia"/>
          <w:color w:val="auto"/>
          <w:kern w:val="0"/>
          <w:sz w:val="21"/>
          <w:szCs w:val="21"/>
          <w:highlight w:val="none"/>
          <w:lang w:val="zh-CN" w:eastAsia="zh-CN"/>
        </w:rPr>
        <w:t>成交</w:t>
      </w:r>
      <w:r>
        <w:rPr>
          <w:rFonts w:hint="eastAsia" w:asciiTheme="minorEastAsia" w:hAnsiTheme="minorEastAsia" w:eastAsiaTheme="minorEastAsia" w:cstheme="minorEastAsia"/>
          <w:color w:val="auto"/>
          <w:kern w:val="0"/>
          <w:sz w:val="21"/>
          <w:szCs w:val="21"/>
          <w:highlight w:val="none"/>
          <w:lang w:val="en-US" w:eastAsia="zh-CN"/>
        </w:rPr>
        <w:t>供应商根据竞争性磋商文件、响应文件等内容通过政府采购电子交易平台在线签订，自动备案。</w:t>
      </w:r>
    </w:p>
    <w:p w14:paraId="24A9DFDD">
      <w:pPr>
        <w:snapToGrid w:val="0"/>
        <w:spacing w:line="360" w:lineRule="auto"/>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2C11FA73">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电子交易活动的中止</w:t>
      </w:r>
    </w:p>
    <w:p w14:paraId="528FFE0F">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采购过程中出现以下情形，导致电子交易平台无法正常运行，或者无法保证电子交易的公平、公正和安全时，</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可中止电子交易活动：</w:t>
      </w:r>
    </w:p>
    <w:p w14:paraId="601EBA6A">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 xml:space="preserve">.1电子交易平台发生故障而无法登录访问的； </w:t>
      </w:r>
    </w:p>
    <w:p w14:paraId="5FF369D2">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.2电子交易平台应用或数据库出现错误，不能进行正常操作的；</w:t>
      </w:r>
    </w:p>
    <w:p w14:paraId="148B650F">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.3电子交易平台发现严重安全漏洞，有潜在泄密危险的；</w:t>
      </w:r>
    </w:p>
    <w:p w14:paraId="02CAC55E">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 xml:space="preserve">.4病毒发作导致不能进行正常操作的； </w:t>
      </w:r>
    </w:p>
    <w:p w14:paraId="669F8AAD">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.5其他无法保证电子交易的公平、公正和安全的情况。</w:t>
      </w:r>
    </w:p>
    <w:p w14:paraId="6457B0B9">
      <w:pPr>
        <w:snapToGrid w:val="0"/>
        <w:spacing w:line="360" w:lineRule="auto"/>
        <w:jc w:val="both"/>
        <w:rPr>
          <w:rFonts w:hint="eastAsia" w:asciiTheme="minorEastAsia" w:hAnsiTheme="minorEastAsia" w:eastAsiaTheme="minorEastAsia" w:cstheme="minorEastAsia"/>
          <w:b/>
          <w:color w:val="auto"/>
          <w:sz w:val="32"/>
          <w:highlight w:val="none"/>
        </w:rPr>
      </w:pPr>
    </w:p>
    <w:p w14:paraId="2177444A">
      <w:pPr>
        <w:snapToGrid w:val="0"/>
        <w:spacing w:line="360" w:lineRule="auto"/>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3D77F5C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验收</w:t>
      </w:r>
    </w:p>
    <w:p w14:paraId="6EF25A45">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2F35D7D">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rPr>
        <w:t>严格按照采购合同开展履约验收。采购人成立验收小组</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为社会公众提供的公共服务项目验收时，验收小组成员必须包含部分服务对象</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返还条件挂钩。履约验收的各项资料应当存档备查。</w:t>
      </w:r>
    </w:p>
    <w:p w14:paraId="4BF1BC84">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督管理部门。</w:t>
      </w:r>
      <w:bookmarkEnd w:id="11"/>
      <w:bookmarkEnd w:id="12"/>
      <w:bookmarkEnd w:id="14"/>
      <w:bookmarkStart w:id="15" w:name="_Hlt68072998"/>
      <w:bookmarkEnd w:id="15"/>
      <w:bookmarkStart w:id="16" w:name="_Hlt68072990"/>
      <w:bookmarkEnd w:id="16"/>
      <w:bookmarkStart w:id="17" w:name="_Hlt68073093"/>
      <w:bookmarkEnd w:id="17"/>
      <w:bookmarkStart w:id="18" w:name="_Hlt74707468"/>
      <w:bookmarkEnd w:id="18"/>
      <w:bookmarkStart w:id="19" w:name="_Hlt74730295"/>
      <w:bookmarkEnd w:id="19"/>
      <w:bookmarkStart w:id="20" w:name="_Hlt68403820"/>
      <w:bookmarkEnd w:id="20"/>
      <w:bookmarkStart w:id="21" w:name="_Hlt75236101"/>
      <w:bookmarkEnd w:id="21"/>
      <w:bookmarkStart w:id="22" w:name="_Hlt75236011"/>
      <w:bookmarkEnd w:id="22"/>
      <w:bookmarkStart w:id="23" w:name="_Hlt68057669"/>
      <w:bookmarkEnd w:id="23"/>
      <w:bookmarkStart w:id="24" w:name="_Hlt74729768"/>
      <w:bookmarkEnd w:id="24"/>
      <w:bookmarkStart w:id="25" w:name="_Hlt74714665"/>
      <w:bookmarkEnd w:id="25"/>
      <w:bookmarkStart w:id="26" w:name="_Hlt75236290"/>
      <w:bookmarkEnd w:id="26"/>
    </w:p>
    <w:p w14:paraId="03587C7E">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br w:type="page"/>
      </w:r>
    </w:p>
    <w:p w14:paraId="4DF657CF">
      <w:pPr>
        <w:tabs>
          <w:tab w:val="left" w:pos="0"/>
        </w:tabs>
        <w:spacing w:line="360" w:lineRule="auto"/>
        <w:jc w:val="center"/>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第三部分   采购需求</w:t>
      </w:r>
    </w:p>
    <w:p w14:paraId="2D295CCB">
      <w:pPr>
        <w:snapToGrid w:val="0"/>
        <w:spacing w:line="360" w:lineRule="auto"/>
        <w:ind w:left="120" w:leftChars="57" w:firstLine="316" w:firstLineChars="150"/>
        <w:jc w:val="left"/>
        <w:rPr>
          <w:rFonts w:hint="eastAsia" w:ascii="宋体" w:hAnsi="宋体" w:cs="仿宋"/>
          <w:b/>
          <w:sz w:val="21"/>
          <w:szCs w:val="21"/>
          <w:highlight w:val="none"/>
        </w:rPr>
      </w:pPr>
      <w:r>
        <w:rPr>
          <w:rFonts w:hint="eastAsia" w:ascii="宋体" w:hAnsi="宋体" w:cs="仿宋"/>
          <w:b/>
          <w:sz w:val="21"/>
          <w:szCs w:val="21"/>
          <w:highlight w:val="none"/>
        </w:rPr>
        <w:t>一、项目情况</w:t>
      </w:r>
    </w:p>
    <w:p w14:paraId="10330C1B">
      <w:pPr>
        <w:pStyle w:val="71"/>
        <w:jc w:val="left"/>
        <w:rPr>
          <w:rFonts w:ascii="宋体" w:hAnsi="宋体"/>
          <w:sz w:val="21"/>
          <w:szCs w:val="21"/>
          <w:highlight w:val="none"/>
        </w:rPr>
      </w:pPr>
      <w:r>
        <w:rPr>
          <w:rFonts w:hint="eastAsia" w:ascii="宋体" w:hAnsi="宋体" w:eastAsia="宋体" w:cs="仿宋"/>
          <w:bCs/>
          <w:sz w:val="21"/>
          <w:szCs w:val="21"/>
          <w:highlight w:val="none"/>
        </w:rPr>
        <w:t>（一）采购范围：</w:t>
      </w:r>
    </w:p>
    <w:p w14:paraId="72287EEE">
      <w:pPr>
        <w:adjustRightInd w:val="0"/>
        <w:snapToGrid w:val="0"/>
        <w:spacing w:line="360" w:lineRule="auto"/>
        <w:ind w:firstLine="420" w:firstLineChars="200"/>
        <w:jc w:val="left"/>
        <w:outlineLvl w:val="1"/>
        <w:rPr>
          <w:rFonts w:hint="eastAsia" w:ascii="宋体" w:hAnsi="宋体" w:eastAsia="宋体" w:cs="仿宋"/>
          <w:bCs/>
          <w:sz w:val="21"/>
          <w:szCs w:val="21"/>
          <w:highlight w:val="none"/>
        </w:rPr>
      </w:pPr>
      <w:bookmarkStart w:id="27" w:name="OLE_LINK8"/>
      <w:bookmarkStart w:id="28" w:name="OLE_LINK9"/>
      <w:r>
        <w:rPr>
          <w:rFonts w:hint="eastAsia" w:ascii="宋体" w:hAnsi="宋体" w:eastAsia="宋体" w:cs="仿宋"/>
          <w:bCs/>
          <w:sz w:val="21"/>
          <w:szCs w:val="21"/>
          <w:highlight w:val="none"/>
          <w:lang w:val="en-US" w:eastAsia="zh-CN"/>
        </w:rPr>
        <w:t>本项目位于大慈路与公园路交叉口，主要建设内容包括旅游集散中心入口路面改造、入口两侧人行道改造、交叉口信号灯及标志标线改造等。</w:t>
      </w:r>
      <w:r>
        <w:rPr>
          <w:rFonts w:hint="eastAsia" w:ascii="宋体" w:hAnsi="宋体" w:eastAsia="宋体" w:cs="仿宋"/>
          <w:bCs/>
          <w:sz w:val="21"/>
          <w:szCs w:val="21"/>
          <w:highlight w:val="none"/>
        </w:rPr>
        <w:t>（具体详见图纸及工程量清单）</w:t>
      </w:r>
      <w:bookmarkEnd w:id="27"/>
      <w:bookmarkEnd w:id="28"/>
    </w:p>
    <w:p w14:paraId="50BF2B1E">
      <w:pPr>
        <w:spacing w:before="120" w:beforeLines="50" w:line="360" w:lineRule="auto"/>
        <w:ind w:firstLine="420" w:firstLineChars="200"/>
        <w:rPr>
          <w:rFonts w:hint="eastAsia" w:ascii="宋体" w:hAnsi="宋体" w:cs="仿宋"/>
          <w:bCs/>
          <w:sz w:val="21"/>
          <w:szCs w:val="21"/>
          <w:highlight w:val="none"/>
        </w:rPr>
      </w:pPr>
      <w:r>
        <w:rPr>
          <w:rFonts w:hint="eastAsia" w:ascii="宋体" w:hAnsi="宋体" w:cs="仿宋"/>
          <w:bCs/>
          <w:sz w:val="21"/>
          <w:szCs w:val="21"/>
          <w:highlight w:val="none"/>
        </w:rPr>
        <w:t xml:space="preserve"> (</w:t>
      </w:r>
      <w:r>
        <w:rPr>
          <w:rFonts w:hint="eastAsia" w:ascii="宋体" w:hAnsi="宋体" w:cs="仿宋"/>
          <w:bCs/>
          <w:sz w:val="21"/>
          <w:szCs w:val="21"/>
          <w:highlight w:val="none"/>
          <w:lang w:val="en-US" w:eastAsia="zh-CN"/>
        </w:rPr>
        <w:t>二</w:t>
      </w:r>
      <w:r>
        <w:rPr>
          <w:rFonts w:hint="eastAsia" w:ascii="宋体" w:hAnsi="宋体" w:cs="仿宋"/>
          <w:bCs/>
          <w:sz w:val="21"/>
          <w:szCs w:val="21"/>
          <w:highlight w:val="none"/>
        </w:rPr>
        <w:t>）工程量清单、图纸</w:t>
      </w:r>
    </w:p>
    <w:p w14:paraId="59DBFD5C">
      <w:pPr>
        <w:spacing w:before="120" w:beforeLines="50" w:line="360" w:lineRule="auto"/>
        <w:ind w:firstLine="420" w:firstLineChars="200"/>
        <w:rPr>
          <w:rFonts w:hint="eastAsia" w:ascii="宋体" w:hAnsi="宋体" w:cs="仿宋"/>
          <w:bCs/>
          <w:sz w:val="21"/>
          <w:szCs w:val="21"/>
          <w:highlight w:val="none"/>
        </w:rPr>
      </w:pPr>
      <w:r>
        <w:rPr>
          <w:rFonts w:hint="eastAsia" w:ascii="宋体" w:hAnsi="宋体" w:cs="仿宋"/>
          <w:bCs/>
          <w:sz w:val="21"/>
          <w:szCs w:val="21"/>
          <w:highlight w:val="none"/>
        </w:rPr>
        <w:t>详见采购文件附件：工程造价咨询报告书、图纸。</w:t>
      </w:r>
    </w:p>
    <w:p w14:paraId="0DF6345C">
      <w:pPr>
        <w:snapToGrid w:val="0"/>
        <w:spacing w:line="360" w:lineRule="auto"/>
        <w:ind w:left="120" w:leftChars="57" w:firstLine="316" w:firstLineChars="150"/>
        <w:jc w:val="left"/>
        <w:rPr>
          <w:rFonts w:hint="eastAsia" w:ascii="宋体" w:hAnsi="宋体" w:cs="仿宋"/>
          <w:b/>
          <w:sz w:val="21"/>
          <w:szCs w:val="21"/>
          <w:highlight w:val="none"/>
        </w:rPr>
      </w:pPr>
      <w:r>
        <w:rPr>
          <w:rFonts w:hint="eastAsia" w:ascii="宋体" w:hAnsi="宋体" w:cs="仿宋"/>
          <w:b/>
          <w:sz w:val="21"/>
          <w:szCs w:val="21"/>
          <w:highlight w:val="none"/>
        </w:rPr>
        <w:t>二、技术要求</w:t>
      </w:r>
    </w:p>
    <w:p w14:paraId="0C3A0A1E">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1、本项目工程量清单是根据采购文件中包括的、有合同约束力的图纸以及有关工程量清单的国家标准、行业标准、合同条款中约定的工程量计算规则编制。计量采用中华人民共和国法定计量单位。</w:t>
      </w:r>
    </w:p>
    <w:p w14:paraId="7864E433">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2、本项目工程量清单应与采购文件中的竞争性磋商须知、合同条款、技术标准和要求及图纸等一起阅读和理解。</w:t>
      </w:r>
    </w:p>
    <w:p w14:paraId="3BB63D8C">
      <w:pPr>
        <w:adjustRightInd w:val="0"/>
        <w:snapToGrid w:val="0"/>
        <w:spacing w:line="360" w:lineRule="auto"/>
        <w:ind w:firstLine="420" w:firstLineChars="200"/>
        <w:jc w:val="left"/>
        <w:outlineLvl w:val="1"/>
        <w:rPr>
          <w:rFonts w:hint="eastAsia" w:ascii="宋体" w:hAnsi="宋体" w:cs="仿宋"/>
          <w:bCs/>
          <w:sz w:val="24"/>
          <w:highlight w:val="none"/>
        </w:rPr>
      </w:pPr>
      <w:r>
        <w:rPr>
          <w:rFonts w:hint="eastAsia" w:ascii="Calibri" w:hAnsi="Calibri" w:eastAsia="宋体" w:cs="宋体"/>
          <w:color w:val="auto"/>
          <w:kern w:val="2"/>
          <w:sz w:val="21"/>
          <w:szCs w:val="21"/>
          <w:highlight w:val="none"/>
          <w:lang w:val="en-US" w:eastAsia="zh-CN" w:bidi="ar-SA"/>
        </w:rPr>
        <w:t>▲</w:t>
      </w:r>
      <w:r>
        <w:rPr>
          <w:rFonts w:hint="eastAsia" w:ascii="宋体" w:hAnsi="宋体" w:cs="仿宋"/>
          <w:sz w:val="24"/>
          <w:highlight w:val="none"/>
        </w:rPr>
        <w:t>3</w:t>
      </w:r>
      <w:r>
        <w:rPr>
          <w:rFonts w:hint="eastAsia" w:ascii="宋体" w:hAnsi="宋体" w:cs="仿宋"/>
          <w:bCs/>
          <w:sz w:val="24"/>
          <w:highlight w:val="none"/>
        </w:rPr>
        <w:t>、主要人员配备要求：</w:t>
      </w:r>
    </w:p>
    <w:tbl>
      <w:tblPr>
        <w:tblStyle w:val="24"/>
        <w:tblW w:w="96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345"/>
        <w:gridCol w:w="654"/>
        <w:gridCol w:w="2597"/>
        <w:gridCol w:w="4385"/>
      </w:tblGrid>
      <w:tr w14:paraId="54295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14:paraId="0E2BAF0C">
            <w:pPr>
              <w:spacing w:line="44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1345" w:type="dxa"/>
            <w:tcBorders>
              <w:top w:val="single" w:color="auto" w:sz="4" w:space="0"/>
              <w:left w:val="single" w:color="auto" w:sz="4" w:space="0"/>
              <w:bottom w:val="single" w:color="auto" w:sz="4" w:space="0"/>
              <w:right w:val="single" w:color="auto" w:sz="4" w:space="0"/>
            </w:tcBorders>
            <w:noWrap w:val="0"/>
            <w:vAlign w:val="center"/>
          </w:tcPr>
          <w:p w14:paraId="4B5A8BDB">
            <w:pPr>
              <w:spacing w:line="44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岗位</w:t>
            </w:r>
          </w:p>
        </w:tc>
        <w:tc>
          <w:tcPr>
            <w:tcW w:w="654" w:type="dxa"/>
            <w:tcBorders>
              <w:top w:val="single" w:color="auto" w:sz="4" w:space="0"/>
              <w:left w:val="single" w:color="auto" w:sz="4" w:space="0"/>
              <w:bottom w:val="single" w:color="auto" w:sz="4" w:space="0"/>
              <w:right w:val="single" w:color="auto" w:sz="4" w:space="0"/>
            </w:tcBorders>
            <w:noWrap w:val="0"/>
            <w:vAlign w:val="center"/>
          </w:tcPr>
          <w:p w14:paraId="22B525F2">
            <w:pPr>
              <w:spacing w:line="44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数量</w:t>
            </w:r>
          </w:p>
        </w:tc>
        <w:tc>
          <w:tcPr>
            <w:tcW w:w="2597" w:type="dxa"/>
            <w:tcBorders>
              <w:top w:val="single" w:color="auto" w:sz="4" w:space="0"/>
              <w:left w:val="single" w:color="auto" w:sz="4" w:space="0"/>
              <w:bottom w:val="single" w:color="auto" w:sz="4" w:space="0"/>
              <w:right w:val="single" w:color="auto" w:sz="4" w:space="0"/>
            </w:tcBorders>
            <w:noWrap w:val="0"/>
            <w:vAlign w:val="center"/>
          </w:tcPr>
          <w:p w14:paraId="01083EF3">
            <w:pPr>
              <w:spacing w:line="440" w:lineRule="exact"/>
              <w:ind w:firstLine="420" w:firstLineChars="20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证书要求</w:t>
            </w:r>
          </w:p>
        </w:tc>
        <w:tc>
          <w:tcPr>
            <w:tcW w:w="4385" w:type="dxa"/>
            <w:tcBorders>
              <w:top w:val="single" w:color="auto" w:sz="4" w:space="0"/>
              <w:left w:val="single" w:color="auto" w:sz="4" w:space="0"/>
              <w:bottom w:val="single" w:color="auto" w:sz="4" w:space="0"/>
              <w:right w:val="single" w:color="auto" w:sz="4" w:space="0"/>
            </w:tcBorders>
            <w:noWrap w:val="0"/>
            <w:vAlign w:val="center"/>
          </w:tcPr>
          <w:p w14:paraId="071D7204">
            <w:pPr>
              <w:spacing w:line="440" w:lineRule="exact"/>
              <w:ind w:firstLine="420" w:firstLineChars="20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备注</w:t>
            </w:r>
          </w:p>
        </w:tc>
      </w:tr>
      <w:tr w14:paraId="0F44C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14:paraId="035698A5">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45" w:type="dxa"/>
            <w:tcBorders>
              <w:top w:val="single" w:color="auto" w:sz="4" w:space="0"/>
              <w:left w:val="single" w:color="auto" w:sz="4" w:space="0"/>
              <w:bottom w:val="single" w:color="auto" w:sz="4" w:space="0"/>
              <w:right w:val="single" w:color="auto" w:sz="4" w:space="0"/>
            </w:tcBorders>
            <w:noWrap w:val="0"/>
            <w:vAlign w:val="center"/>
          </w:tcPr>
          <w:p w14:paraId="64ED8C9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val="en-US" w:eastAsia="zh-CN"/>
              </w:rPr>
              <w:t>负责人</w:t>
            </w:r>
          </w:p>
        </w:tc>
        <w:tc>
          <w:tcPr>
            <w:tcW w:w="654" w:type="dxa"/>
            <w:tcBorders>
              <w:top w:val="single" w:color="auto" w:sz="4" w:space="0"/>
              <w:left w:val="single" w:color="auto" w:sz="4" w:space="0"/>
              <w:bottom w:val="single" w:color="auto" w:sz="4" w:space="0"/>
              <w:right w:val="single" w:color="auto" w:sz="4" w:space="0"/>
            </w:tcBorders>
            <w:noWrap w:val="0"/>
            <w:vAlign w:val="center"/>
          </w:tcPr>
          <w:p w14:paraId="5408054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人</w:t>
            </w:r>
          </w:p>
        </w:tc>
        <w:tc>
          <w:tcPr>
            <w:tcW w:w="2597" w:type="dxa"/>
            <w:tcBorders>
              <w:top w:val="single" w:color="auto" w:sz="4" w:space="0"/>
              <w:left w:val="single" w:color="auto" w:sz="4" w:space="0"/>
              <w:bottom w:val="single" w:color="auto" w:sz="4" w:space="0"/>
              <w:right w:val="single" w:color="auto" w:sz="4" w:space="0"/>
            </w:tcBorders>
            <w:noWrap w:val="0"/>
            <w:vAlign w:val="center"/>
          </w:tcPr>
          <w:p w14:paraId="5C207DA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具备市政公用工程专业二级及以上注册建造师资格，且具备有效的安全生产考核合格证（B证）</w:t>
            </w:r>
          </w:p>
        </w:tc>
        <w:tc>
          <w:tcPr>
            <w:tcW w:w="4385" w:type="dxa"/>
            <w:tcBorders>
              <w:top w:val="single" w:color="auto" w:sz="4" w:space="0"/>
              <w:left w:val="single" w:color="auto" w:sz="4" w:space="0"/>
              <w:bottom w:val="single" w:color="auto" w:sz="4" w:space="0"/>
              <w:right w:val="single" w:color="auto" w:sz="4" w:space="0"/>
            </w:tcBorders>
            <w:noWrap w:val="0"/>
            <w:vAlign w:val="center"/>
          </w:tcPr>
          <w:p w14:paraId="6D436E9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需提供项目</w:t>
            </w:r>
            <w:r>
              <w:rPr>
                <w:rFonts w:hint="eastAsia" w:ascii="宋体" w:hAnsi="宋体" w:eastAsia="宋体" w:cs="宋体"/>
                <w:color w:val="auto"/>
                <w:sz w:val="21"/>
                <w:szCs w:val="21"/>
                <w:highlight w:val="none"/>
                <w:lang w:val="en-US" w:eastAsia="zh-CN"/>
              </w:rPr>
              <w:t>负责人</w:t>
            </w:r>
            <w:r>
              <w:rPr>
                <w:rFonts w:hint="eastAsia" w:ascii="宋体" w:hAnsi="宋体" w:eastAsia="宋体" w:cs="宋体"/>
                <w:color w:val="auto"/>
                <w:sz w:val="21"/>
                <w:szCs w:val="21"/>
                <w:highlight w:val="none"/>
              </w:rPr>
              <w:t>执业资格证书及安全生产考核合格证（B证）复印件，若提供了一级建造师电子注册证书的，电子注册证书应符合住建部《关于全面实行一级建造师电子注册证书的通知》建办市【2021】40号文规定，自2022年1月1日起，一级建造师统一使用电子证书。一级建造师打印电子证书后，应在个人签名处手写本人签名，未手写签名或签名图像笔迹不一致的，该电子证书无效。</w:t>
            </w:r>
          </w:p>
        </w:tc>
      </w:tr>
      <w:tr w14:paraId="208CD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14:paraId="3B5BAA5F">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45" w:type="dxa"/>
            <w:tcBorders>
              <w:top w:val="single" w:color="auto" w:sz="4" w:space="0"/>
              <w:left w:val="single" w:color="auto" w:sz="4" w:space="0"/>
              <w:bottom w:val="single" w:color="auto" w:sz="4" w:space="0"/>
              <w:right w:val="single" w:color="auto" w:sz="4" w:space="0"/>
            </w:tcBorders>
            <w:noWrap w:val="0"/>
            <w:vAlign w:val="center"/>
          </w:tcPr>
          <w:p w14:paraId="255EA50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技术负责人</w:t>
            </w:r>
          </w:p>
        </w:tc>
        <w:tc>
          <w:tcPr>
            <w:tcW w:w="654" w:type="dxa"/>
            <w:tcBorders>
              <w:top w:val="single" w:color="auto" w:sz="4" w:space="0"/>
              <w:left w:val="single" w:color="auto" w:sz="4" w:space="0"/>
              <w:bottom w:val="single" w:color="auto" w:sz="4" w:space="0"/>
              <w:right w:val="single" w:color="auto" w:sz="4" w:space="0"/>
            </w:tcBorders>
            <w:noWrap w:val="0"/>
            <w:vAlign w:val="center"/>
          </w:tcPr>
          <w:p w14:paraId="218B456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人</w:t>
            </w:r>
          </w:p>
        </w:tc>
        <w:tc>
          <w:tcPr>
            <w:tcW w:w="2597" w:type="dxa"/>
            <w:tcBorders>
              <w:top w:val="single" w:color="auto" w:sz="4" w:space="0"/>
              <w:left w:val="single" w:color="auto" w:sz="4" w:space="0"/>
              <w:bottom w:val="single" w:color="auto" w:sz="4" w:space="0"/>
              <w:right w:val="single" w:color="auto" w:sz="4" w:space="0"/>
            </w:tcBorders>
            <w:noWrap w:val="0"/>
            <w:vAlign w:val="center"/>
          </w:tcPr>
          <w:p w14:paraId="075F94D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具备市政（施工类）专业</w:t>
            </w:r>
            <w:r>
              <w:rPr>
                <w:rFonts w:hint="eastAsia" w:ascii="宋体" w:hAnsi="宋体" w:eastAsia="宋体" w:cs="宋体"/>
                <w:color w:val="auto"/>
                <w:sz w:val="21"/>
                <w:szCs w:val="21"/>
                <w:highlight w:val="none"/>
              </w:rPr>
              <w:t>中级及以上技术职称证书</w:t>
            </w:r>
          </w:p>
        </w:tc>
        <w:tc>
          <w:tcPr>
            <w:tcW w:w="4385" w:type="dxa"/>
            <w:tcBorders>
              <w:top w:val="single" w:color="auto" w:sz="4" w:space="0"/>
              <w:left w:val="single" w:color="auto" w:sz="4" w:space="0"/>
              <w:bottom w:val="single" w:color="auto" w:sz="4" w:space="0"/>
              <w:right w:val="single" w:color="auto" w:sz="4" w:space="0"/>
            </w:tcBorders>
            <w:noWrap w:val="0"/>
            <w:vAlign w:val="center"/>
          </w:tcPr>
          <w:p w14:paraId="093FF128">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需提供职称证书</w:t>
            </w:r>
          </w:p>
        </w:tc>
      </w:tr>
      <w:tr w14:paraId="000D1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7" w:type="dxa"/>
            <w:tcBorders>
              <w:top w:val="single" w:color="auto" w:sz="4" w:space="0"/>
              <w:left w:val="single" w:color="auto" w:sz="4" w:space="0"/>
              <w:bottom w:val="single" w:color="auto" w:sz="4" w:space="0"/>
              <w:right w:val="single" w:color="auto" w:sz="4" w:space="0"/>
            </w:tcBorders>
            <w:noWrap w:val="0"/>
            <w:vAlign w:val="center"/>
          </w:tcPr>
          <w:p w14:paraId="0A45C0E3">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45" w:type="dxa"/>
            <w:tcBorders>
              <w:top w:val="single" w:color="auto" w:sz="4" w:space="0"/>
              <w:left w:val="single" w:color="auto" w:sz="4" w:space="0"/>
              <w:bottom w:val="single" w:color="auto" w:sz="4" w:space="0"/>
              <w:right w:val="single" w:color="auto" w:sz="4" w:space="0"/>
            </w:tcBorders>
            <w:noWrap w:val="0"/>
            <w:vAlign w:val="center"/>
          </w:tcPr>
          <w:p w14:paraId="01A4D5F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安全员</w:t>
            </w:r>
          </w:p>
        </w:tc>
        <w:tc>
          <w:tcPr>
            <w:tcW w:w="654" w:type="dxa"/>
            <w:tcBorders>
              <w:top w:val="single" w:color="auto" w:sz="4" w:space="0"/>
              <w:left w:val="single" w:color="auto" w:sz="4" w:space="0"/>
              <w:bottom w:val="single" w:color="auto" w:sz="4" w:space="0"/>
              <w:right w:val="single" w:color="auto" w:sz="4" w:space="0"/>
            </w:tcBorders>
            <w:noWrap w:val="0"/>
            <w:vAlign w:val="center"/>
          </w:tcPr>
          <w:p w14:paraId="56F10CF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人</w:t>
            </w:r>
          </w:p>
        </w:tc>
        <w:tc>
          <w:tcPr>
            <w:tcW w:w="2597" w:type="dxa"/>
            <w:tcBorders>
              <w:top w:val="single" w:color="auto" w:sz="4" w:space="0"/>
              <w:left w:val="single" w:color="auto" w:sz="4" w:space="0"/>
              <w:bottom w:val="single" w:color="auto" w:sz="4" w:space="0"/>
              <w:right w:val="single" w:color="auto" w:sz="4" w:space="0"/>
            </w:tcBorders>
            <w:noWrap w:val="0"/>
            <w:vAlign w:val="center"/>
          </w:tcPr>
          <w:p w14:paraId="4D00056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具备安全生产考核合格证书（C证）</w:t>
            </w:r>
          </w:p>
        </w:tc>
        <w:tc>
          <w:tcPr>
            <w:tcW w:w="4385" w:type="dxa"/>
            <w:tcBorders>
              <w:top w:val="single" w:color="auto" w:sz="4" w:space="0"/>
              <w:left w:val="single" w:color="auto" w:sz="4" w:space="0"/>
              <w:bottom w:val="single" w:color="auto" w:sz="4" w:space="0"/>
              <w:right w:val="single" w:color="auto" w:sz="4" w:space="0"/>
            </w:tcBorders>
            <w:noWrap w:val="0"/>
            <w:vAlign w:val="center"/>
          </w:tcPr>
          <w:p w14:paraId="1366BB28">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需提供安全生产考核合格证书（C证）</w:t>
            </w:r>
          </w:p>
        </w:tc>
      </w:tr>
    </w:tbl>
    <w:p w14:paraId="1B94ECC2">
      <w:pPr>
        <w:spacing w:line="480" w:lineRule="exact"/>
        <w:rPr>
          <w:rFonts w:hint="eastAsia" w:ascii="宋体" w:hAnsi="宋体" w:eastAsia="宋体" w:cs="宋体"/>
          <w:b/>
          <w:color w:val="auto"/>
          <w:sz w:val="21"/>
          <w:szCs w:val="21"/>
          <w:highlight w:val="cyan"/>
          <w:lang w:val="en-US" w:eastAsia="zh-CN"/>
        </w:rPr>
      </w:pPr>
      <w:r>
        <w:rPr>
          <w:rFonts w:hint="eastAsia" w:ascii="宋体" w:hAnsi="宋体" w:cs="仿宋"/>
          <w:b/>
          <w:sz w:val="21"/>
          <w:szCs w:val="21"/>
          <w:highlight w:val="none"/>
        </w:rPr>
        <w:t>注：供应商需在响应文件中提供以上人员的有效证</w:t>
      </w:r>
      <w:r>
        <w:rPr>
          <w:rFonts w:hint="eastAsia" w:ascii="宋体" w:hAnsi="宋体" w:eastAsia="宋体" w:cs="仿宋"/>
          <w:b/>
          <w:sz w:val="21"/>
          <w:szCs w:val="21"/>
          <w:highlight w:val="none"/>
        </w:rPr>
        <w:t>书及</w:t>
      </w:r>
      <w:r>
        <w:rPr>
          <w:rFonts w:hint="eastAsia" w:ascii="宋体" w:hAnsi="宋体" w:eastAsia="宋体" w:cs="仿宋"/>
          <w:b/>
          <w:sz w:val="21"/>
          <w:szCs w:val="21"/>
          <w:highlight w:val="none"/>
          <w:lang w:val="en-US" w:eastAsia="zh-CN"/>
        </w:rPr>
        <w:t>开标前近三个月</w:t>
      </w:r>
      <w:r>
        <w:rPr>
          <w:rFonts w:hint="eastAsia" w:ascii="宋体" w:hAnsi="宋体" w:eastAsia="宋体" w:cs="仿宋"/>
          <w:b/>
          <w:sz w:val="21"/>
          <w:szCs w:val="21"/>
          <w:highlight w:val="none"/>
        </w:rPr>
        <w:t>社保</w:t>
      </w:r>
      <w:r>
        <w:rPr>
          <w:rFonts w:hint="eastAsia" w:ascii="宋体" w:hAnsi="宋体" w:cs="仿宋"/>
          <w:b/>
          <w:sz w:val="21"/>
          <w:szCs w:val="21"/>
          <w:highlight w:val="none"/>
        </w:rPr>
        <w:t>缴纳证明材料及拟派项目负责人无在建承诺按附件1格式承诺，未提供或提供不全的，响应文件作无效处理。</w:t>
      </w:r>
    </w:p>
    <w:p w14:paraId="43FCF971">
      <w:pPr>
        <w:adjustRightInd w:val="0"/>
        <w:snapToGrid w:val="0"/>
        <w:spacing w:line="360" w:lineRule="auto"/>
        <w:ind w:firstLine="422" w:firstLineChars="200"/>
        <w:jc w:val="left"/>
        <w:outlineLvl w:val="1"/>
        <w:rPr>
          <w:rFonts w:ascii="宋体" w:hAnsi="宋体" w:cs="仿宋"/>
          <w:b/>
          <w:sz w:val="21"/>
          <w:szCs w:val="21"/>
          <w:highlight w:val="none"/>
        </w:rPr>
      </w:pPr>
      <w:r>
        <w:rPr>
          <w:rFonts w:hint="eastAsia" w:ascii="宋体" w:hAnsi="宋体" w:cs="仿宋"/>
          <w:b/>
          <w:sz w:val="21"/>
          <w:szCs w:val="21"/>
          <w:highlight w:val="none"/>
        </w:rPr>
        <w:t>4、施工机械设备根据本工程实际选用。</w:t>
      </w:r>
    </w:p>
    <w:p w14:paraId="4ABCF68F">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 xml:space="preserve">5、施工过程中，供应商须做好安全防护工作，保证施工人员和过往行人、车辆的安全，由此产生的安全责任及费用均由供应商负责。 </w:t>
      </w:r>
    </w:p>
    <w:p w14:paraId="7FEE1F15">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 xml:space="preserve">6、施工期间，供应商应做好防火、防盗等措施，减少对周边建筑物、构筑物、地下管线的影响及扰民现象的产生，绝不影响采购人日常工作，做好安全防护工作，文明施工，保证项目的顺利推进；否则由此造成的不良结果所导致工期拖延、质量影响及一切经济损失和纠纷调解等后果均由供应商负责，与采购人无关。 </w:t>
      </w:r>
    </w:p>
    <w:p w14:paraId="129AB8AE">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 xml:space="preserve">7、供应商必须为其施工人员投保人员工伤保险，费用自理。施工期间，发生的一切工伤事故均由施工单位自负，发包人概不负责。 </w:t>
      </w:r>
    </w:p>
    <w:p w14:paraId="51D8D074">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 xml:space="preserve">8、环保要求：要求供应商制定详细的施工方案，确保在工程施工期间有效控制现场的扬尘、噪音、水、光等污染，按规范要求处置各类废弃物。 </w:t>
      </w:r>
    </w:p>
    <w:p w14:paraId="60310D2C">
      <w:pPr>
        <w:adjustRightInd w:val="0"/>
        <w:snapToGrid w:val="0"/>
        <w:spacing w:line="360" w:lineRule="auto"/>
        <w:ind w:firstLine="420" w:firstLineChars="200"/>
        <w:jc w:val="left"/>
        <w:outlineLvl w:val="1"/>
        <w:rPr>
          <w:rFonts w:hint="eastAsia" w:ascii="宋体" w:hAnsi="宋体" w:cs="仿宋"/>
          <w:bCs/>
          <w:sz w:val="21"/>
          <w:szCs w:val="21"/>
          <w:highlight w:val="none"/>
        </w:rPr>
      </w:pPr>
      <w:r>
        <w:rPr>
          <w:rFonts w:hint="eastAsia" w:ascii="宋体" w:hAnsi="宋体" w:cs="仿宋"/>
          <w:bCs/>
          <w:sz w:val="21"/>
          <w:szCs w:val="21"/>
          <w:highlight w:val="none"/>
        </w:rPr>
        <w:t>9、安全文明施工要求：在合同履行期间供应商须保证施工人员（含所有参与本项目的人员）、项目所在地及第三方的安全，做到安全生产，文明施工。包含但不限于施工现场悬挂“五牌一图”和安全文明施工警示牌、对施工造成的道路上的洒落进行清理、材料堆放要求整齐并做好维护等。期间若发生安全责任事故或被相关部门查处的，一切责任及经济赔偿由供应商承担，由此给采购人造成损失的，由供应商予以赔偿。</w:t>
      </w:r>
    </w:p>
    <w:p w14:paraId="2EF23744">
      <w:pPr>
        <w:adjustRightInd w:val="0"/>
        <w:snapToGrid w:val="0"/>
        <w:spacing w:line="360" w:lineRule="auto"/>
        <w:ind w:firstLine="420" w:firstLineChars="200"/>
        <w:jc w:val="left"/>
        <w:outlineLvl w:val="1"/>
        <w:rPr>
          <w:rFonts w:ascii="宋体" w:hAnsi="宋体" w:cs="仿宋"/>
          <w:bCs/>
          <w:sz w:val="24"/>
          <w:highlight w:val="none"/>
        </w:rPr>
      </w:pPr>
      <w:r>
        <w:rPr>
          <w:rFonts w:hint="eastAsia" w:ascii="宋体" w:hAnsi="宋体" w:cs="仿宋"/>
          <w:bCs/>
          <w:sz w:val="21"/>
          <w:szCs w:val="21"/>
          <w:highlight w:val="none"/>
        </w:rPr>
        <w:t>10、按照国家及地方颁发的现行相关建筑工程施工及验收规范、标准，组织实施本项目工程的施工。</w:t>
      </w:r>
    </w:p>
    <w:p w14:paraId="60D500C5">
      <w:pPr>
        <w:rPr>
          <w:rFonts w:hint="eastAsia" w:ascii="宋体" w:hAnsi="宋体" w:cs="仿宋"/>
          <w:b/>
          <w:sz w:val="24"/>
          <w:highlight w:val="none"/>
        </w:rPr>
      </w:pPr>
      <w:r>
        <w:rPr>
          <w:rFonts w:hint="eastAsia" w:ascii="宋体" w:hAnsi="宋体" w:cs="仿宋"/>
          <w:b/>
          <w:sz w:val="24"/>
          <w:highlight w:val="none"/>
        </w:rPr>
        <w:t>三、商务要求</w:t>
      </w:r>
    </w:p>
    <w:tbl>
      <w:tblPr>
        <w:tblStyle w:val="24"/>
        <w:tblW w:w="0" w:type="auto"/>
        <w:tblInd w:w="0" w:type="dxa"/>
        <w:tblLayout w:type="fixed"/>
        <w:tblCellMar>
          <w:top w:w="0" w:type="dxa"/>
          <w:left w:w="108" w:type="dxa"/>
          <w:bottom w:w="0" w:type="dxa"/>
          <w:right w:w="108" w:type="dxa"/>
        </w:tblCellMar>
      </w:tblPr>
      <w:tblGrid>
        <w:gridCol w:w="1111"/>
        <w:gridCol w:w="8011"/>
      </w:tblGrid>
      <w:tr w14:paraId="69FBD60F">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2E040597">
            <w:pPr>
              <w:tabs>
                <w:tab w:val="left" w:pos="0"/>
              </w:tabs>
              <w:adjustRightInd w:val="0"/>
              <w:snapToGrid w:val="0"/>
              <w:spacing w:line="360" w:lineRule="auto"/>
              <w:jc w:val="center"/>
              <w:rPr>
                <w:rFonts w:ascii="宋体" w:hAnsi="宋体" w:cs="仿宋"/>
                <w:b/>
                <w:bCs/>
                <w:kern w:val="0"/>
                <w:sz w:val="21"/>
                <w:szCs w:val="21"/>
                <w:highlight w:val="none"/>
              </w:rPr>
            </w:pPr>
            <w:r>
              <w:rPr>
                <w:rFonts w:hint="eastAsia" w:ascii="宋体" w:hAnsi="宋体" w:cs="仿宋"/>
                <w:b/>
                <w:bCs/>
                <w:kern w:val="0"/>
                <w:sz w:val="21"/>
                <w:szCs w:val="21"/>
                <w:highlight w:val="none"/>
              </w:rPr>
              <w:t>序号</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181B0DA9">
            <w:pPr>
              <w:tabs>
                <w:tab w:val="left" w:pos="0"/>
              </w:tabs>
              <w:adjustRightInd w:val="0"/>
              <w:snapToGrid w:val="0"/>
              <w:spacing w:line="360" w:lineRule="auto"/>
              <w:jc w:val="center"/>
              <w:rPr>
                <w:rFonts w:hint="eastAsia" w:ascii="宋体" w:hAnsi="宋体" w:cs="仿宋"/>
                <w:b/>
                <w:bCs/>
                <w:kern w:val="0"/>
                <w:sz w:val="21"/>
                <w:szCs w:val="21"/>
                <w:highlight w:val="none"/>
              </w:rPr>
            </w:pPr>
            <w:r>
              <w:rPr>
                <w:rFonts w:hint="eastAsia" w:ascii="宋体" w:hAnsi="宋体" w:cs="仿宋"/>
                <w:kern w:val="0"/>
                <w:sz w:val="21"/>
                <w:szCs w:val="21"/>
                <w:highlight w:val="none"/>
              </w:rPr>
              <w:t>商务条款要求</w:t>
            </w:r>
          </w:p>
        </w:tc>
      </w:tr>
      <w:tr w14:paraId="20D51D97">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6402C4BA">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1</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506CBF22">
            <w:pPr>
              <w:tabs>
                <w:tab w:val="left" w:pos="0"/>
              </w:tabs>
              <w:adjustRightInd w:val="0"/>
              <w:snapToGrid w:val="0"/>
              <w:spacing w:line="360" w:lineRule="auto"/>
              <w:jc w:val="left"/>
              <w:rPr>
                <w:rFonts w:ascii="宋体" w:hAnsi="宋体" w:cs="仿宋"/>
                <w:kern w:val="0"/>
                <w:sz w:val="21"/>
                <w:szCs w:val="21"/>
                <w:highlight w:val="none"/>
              </w:rPr>
            </w:pPr>
            <w:r>
              <w:rPr>
                <w:rFonts w:hint="eastAsia" w:ascii="宋体" w:hAnsi="宋体" w:cs="仿宋"/>
                <w:kern w:val="0"/>
                <w:sz w:val="21"/>
                <w:szCs w:val="21"/>
                <w:highlight w:val="none"/>
              </w:rPr>
              <w:t>履约保证金：电汇、</w:t>
            </w:r>
            <w:bookmarkStart w:id="29" w:name="OLE_LINK63"/>
            <w:bookmarkStart w:id="30" w:name="OLE_LINK64"/>
            <w:r>
              <w:rPr>
                <w:rFonts w:hint="eastAsia" w:ascii="宋体" w:hAnsi="宋体" w:cs="仿宋"/>
                <w:kern w:val="0"/>
                <w:sz w:val="21"/>
                <w:szCs w:val="21"/>
                <w:highlight w:val="none"/>
              </w:rPr>
              <w:t>银行保函、保险公司保函</w:t>
            </w:r>
            <w:bookmarkEnd w:id="29"/>
            <w:bookmarkEnd w:id="30"/>
            <w:r>
              <w:rPr>
                <w:rFonts w:hint="eastAsia" w:ascii="宋体" w:hAnsi="宋体" w:cs="仿宋"/>
                <w:kern w:val="0"/>
                <w:sz w:val="21"/>
                <w:szCs w:val="21"/>
                <w:highlight w:val="none"/>
              </w:rPr>
              <w:t>。</w:t>
            </w:r>
          </w:p>
          <w:p w14:paraId="0478157A">
            <w:pPr>
              <w:tabs>
                <w:tab w:val="left" w:pos="0"/>
              </w:tabs>
              <w:adjustRightInd w:val="0"/>
              <w:snapToGrid w:val="0"/>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履约担保的收取及退还：按合同总价的</w:t>
            </w:r>
            <w:r>
              <w:rPr>
                <w:rFonts w:hint="eastAsia" w:ascii="宋体" w:hAnsi="宋体" w:cs="仿宋"/>
                <w:kern w:val="0"/>
                <w:sz w:val="21"/>
                <w:szCs w:val="21"/>
                <w:highlight w:val="none"/>
                <w:lang w:val="en-US" w:eastAsia="zh-CN"/>
              </w:rPr>
              <w:t>2.5</w:t>
            </w:r>
            <w:r>
              <w:rPr>
                <w:rFonts w:hint="eastAsia" w:ascii="宋体" w:hAnsi="宋体" w:cs="仿宋"/>
                <w:kern w:val="0"/>
                <w:sz w:val="21"/>
                <w:szCs w:val="21"/>
                <w:highlight w:val="none"/>
              </w:rPr>
              <w:t>%计收，合同履行完毕后5日内无息退还。</w:t>
            </w:r>
          </w:p>
        </w:tc>
      </w:tr>
      <w:tr w14:paraId="542B4118">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6EDC8132">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2</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734DF915">
            <w:pPr>
              <w:tabs>
                <w:tab w:val="left" w:pos="0"/>
              </w:tabs>
              <w:adjustRightInd w:val="0"/>
              <w:snapToGrid w:val="0"/>
              <w:spacing w:line="360" w:lineRule="auto"/>
              <w:jc w:val="left"/>
              <w:rPr>
                <w:rFonts w:ascii="宋体" w:hAnsi="宋体" w:cs="仿宋"/>
                <w:kern w:val="0"/>
                <w:sz w:val="21"/>
                <w:szCs w:val="21"/>
                <w:highlight w:val="none"/>
              </w:rPr>
            </w:pPr>
            <w:r>
              <w:rPr>
                <w:rFonts w:hint="eastAsia" w:ascii="宋体" w:hAnsi="宋体" w:cs="仿宋"/>
                <w:kern w:val="0"/>
                <w:sz w:val="21"/>
                <w:szCs w:val="21"/>
                <w:highlight w:val="none"/>
              </w:rPr>
              <w:t>承包方式：包工包料</w:t>
            </w:r>
          </w:p>
        </w:tc>
      </w:tr>
      <w:tr w14:paraId="3418A128">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6F6341C3">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3</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2DD79AD2">
            <w:pPr>
              <w:tabs>
                <w:tab w:val="left" w:pos="0"/>
              </w:tabs>
              <w:adjustRightInd w:val="0"/>
              <w:snapToGrid w:val="0"/>
              <w:spacing w:line="360" w:lineRule="auto"/>
              <w:jc w:val="left"/>
              <w:rPr>
                <w:rFonts w:ascii="宋体" w:hAnsi="宋体" w:cs="仿宋"/>
                <w:kern w:val="0"/>
                <w:sz w:val="21"/>
                <w:szCs w:val="21"/>
                <w:highlight w:val="none"/>
              </w:rPr>
            </w:pPr>
            <w:r>
              <w:rPr>
                <w:rFonts w:hint="eastAsia" w:ascii="宋体" w:hAnsi="宋体" w:cs="仿宋"/>
                <w:kern w:val="0"/>
                <w:sz w:val="21"/>
                <w:szCs w:val="21"/>
                <w:highlight w:val="none"/>
              </w:rPr>
              <w:t>质量要求：达到国家和行业施工验收规范一次性验收合格</w:t>
            </w:r>
          </w:p>
        </w:tc>
      </w:tr>
      <w:tr w14:paraId="19D9E518">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767149B2">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4</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6B118501">
            <w:pPr>
              <w:tabs>
                <w:tab w:val="left" w:pos="0"/>
              </w:tabs>
              <w:adjustRightInd w:val="0"/>
              <w:snapToGrid w:val="0"/>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安全要求：合格</w:t>
            </w:r>
          </w:p>
        </w:tc>
      </w:tr>
      <w:tr w14:paraId="4BCAE2D7">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44C901F8">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5</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4EF74FCD">
            <w:pPr>
              <w:tabs>
                <w:tab w:val="left" w:pos="0"/>
              </w:tabs>
              <w:adjustRightInd w:val="0"/>
              <w:snapToGrid w:val="0"/>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工期：</w:t>
            </w:r>
            <w:r>
              <w:rPr>
                <w:rFonts w:hint="eastAsia" w:ascii="宋体" w:hAnsi="宋体" w:cs="仿宋"/>
                <w:kern w:val="0"/>
                <w:sz w:val="21"/>
                <w:szCs w:val="21"/>
                <w:highlight w:val="none"/>
                <w:lang w:val="en-US" w:eastAsia="zh-CN"/>
              </w:rPr>
              <w:t>50</w:t>
            </w:r>
            <w:r>
              <w:rPr>
                <w:rFonts w:hint="eastAsia" w:ascii="宋体" w:hAnsi="宋体" w:cs="仿宋"/>
                <w:kern w:val="0"/>
                <w:sz w:val="21"/>
                <w:szCs w:val="21"/>
                <w:highlight w:val="none"/>
              </w:rPr>
              <w:t>日历天</w:t>
            </w:r>
          </w:p>
        </w:tc>
      </w:tr>
      <w:tr w14:paraId="7E598461">
        <w:tblPrEx>
          <w:tblCellMar>
            <w:top w:w="0" w:type="dxa"/>
            <w:left w:w="108" w:type="dxa"/>
            <w:bottom w:w="0" w:type="dxa"/>
            <w:right w:w="108" w:type="dxa"/>
          </w:tblCellMar>
        </w:tblPrEx>
        <w:trPr>
          <w:trHeight w:val="35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2A590726">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6</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1153F3FA">
            <w:pPr>
              <w:tabs>
                <w:tab w:val="left" w:pos="0"/>
              </w:tabs>
              <w:adjustRightInd w:val="0"/>
              <w:snapToGrid w:val="0"/>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合同条款：按竞争性磋商文件第五部分“拟签订的合同文本”执行</w:t>
            </w:r>
          </w:p>
        </w:tc>
      </w:tr>
      <w:tr w14:paraId="29B87A87">
        <w:tblPrEx>
          <w:tblCellMar>
            <w:top w:w="0" w:type="dxa"/>
            <w:left w:w="108" w:type="dxa"/>
            <w:bottom w:w="0" w:type="dxa"/>
            <w:right w:w="108" w:type="dxa"/>
          </w:tblCellMar>
        </w:tblPrEx>
        <w:trPr>
          <w:trHeight w:val="46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5069D6B4">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7</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1688B10B">
            <w:pPr>
              <w:tabs>
                <w:tab w:val="left" w:pos="0"/>
              </w:tabs>
              <w:adjustRightInd w:val="0"/>
              <w:snapToGrid w:val="0"/>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付款方式：合同签订后15个工作日内支付签约合同价的30%,项目交工验收通过后15个工作日内支付至实际完成工程总造价的80%,工程结算经发包人委托的造价咨询机构审核完成后支付至审核价款的 95%，余款待相关部门复审完成或备案后扣除工程质量保证金外一次性付清。（若工程质量担保以非保证金形式提供的，则余款全额拨付，扣除所有违约金及罚款）</w:t>
            </w:r>
          </w:p>
        </w:tc>
      </w:tr>
      <w:tr w14:paraId="6BF2D8E1">
        <w:tblPrEx>
          <w:tblCellMar>
            <w:top w:w="0" w:type="dxa"/>
            <w:left w:w="108" w:type="dxa"/>
            <w:bottom w:w="0" w:type="dxa"/>
            <w:right w:w="108" w:type="dxa"/>
          </w:tblCellMar>
        </w:tblPrEx>
        <w:trPr>
          <w:trHeight w:val="208"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02C75619">
            <w:pPr>
              <w:tabs>
                <w:tab w:val="left" w:pos="0"/>
              </w:tabs>
              <w:adjustRightInd w:val="0"/>
              <w:snapToGrid w:val="0"/>
              <w:spacing w:line="360" w:lineRule="auto"/>
              <w:jc w:val="center"/>
              <w:rPr>
                <w:rFonts w:ascii="宋体" w:hAnsi="宋体" w:cs="仿宋"/>
                <w:kern w:val="0"/>
                <w:sz w:val="21"/>
                <w:szCs w:val="21"/>
                <w:highlight w:val="none"/>
              </w:rPr>
            </w:pPr>
            <w:r>
              <w:rPr>
                <w:rFonts w:hint="eastAsia" w:ascii="宋体" w:hAnsi="宋体" w:cs="仿宋"/>
                <w:kern w:val="0"/>
                <w:sz w:val="21"/>
                <w:szCs w:val="21"/>
                <w:highlight w:val="none"/>
              </w:rPr>
              <w:t>8</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58EBFD42">
            <w:pPr>
              <w:tabs>
                <w:tab w:val="left" w:pos="0"/>
              </w:tabs>
              <w:adjustRightInd w:val="0"/>
              <w:snapToGrid w:val="0"/>
              <w:spacing w:line="360" w:lineRule="auto"/>
              <w:rPr>
                <w:rFonts w:hint="eastAsia" w:ascii="宋体" w:hAnsi="宋体" w:cs="仿宋"/>
                <w:kern w:val="0"/>
                <w:sz w:val="21"/>
                <w:szCs w:val="21"/>
                <w:highlight w:val="none"/>
              </w:rPr>
            </w:pPr>
            <w:r>
              <w:rPr>
                <w:rFonts w:hint="eastAsia" w:ascii="宋体" w:hAnsi="宋体" w:cs="仿宋"/>
                <w:sz w:val="21"/>
                <w:szCs w:val="21"/>
                <w:highlight w:val="none"/>
              </w:rPr>
              <w:t>缺陷责任期（工程质量保修期）：本工程缺陷责任期为1年。保修期（缺陷责任期）自实际交工日期起计算。在保修范围内和保修期限内发生质量问题的，承包人应当履行保修义务，并对造成的损失承担赔偿责任。</w:t>
            </w:r>
          </w:p>
        </w:tc>
      </w:tr>
      <w:tr w14:paraId="5E5CFCCE">
        <w:tblPrEx>
          <w:tblCellMar>
            <w:top w:w="0" w:type="dxa"/>
            <w:left w:w="108" w:type="dxa"/>
            <w:bottom w:w="0" w:type="dxa"/>
            <w:right w:w="108" w:type="dxa"/>
          </w:tblCellMar>
        </w:tblPrEx>
        <w:trPr>
          <w:trHeight w:val="90"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49937C3C">
            <w:pPr>
              <w:tabs>
                <w:tab w:val="left" w:pos="0"/>
              </w:tabs>
              <w:adjustRightInd w:val="0"/>
              <w:snapToGrid w:val="0"/>
              <w:spacing w:line="360" w:lineRule="auto"/>
              <w:jc w:val="center"/>
              <w:rPr>
                <w:rFonts w:ascii="宋体" w:hAnsi="宋体" w:cs="仿宋"/>
                <w:sz w:val="21"/>
                <w:szCs w:val="21"/>
                <w:highlight w:val="none"/>
              </w:rPr>
            </w:pPr>
            <w:r>
              <w:rPr>
                <w:rFonts w:hint="eastAsia" w:ascii="宋体" w:hAnsi="宋体" w:cs="仿宋"/>
                <w:sz w:val="21"/>
                <w:szCs w:val="21"/>
                <w:highlight w:val="none"/>
              </w:rPr>
              <w:t>9</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5F5C6AE9">
            <w:pPr>
              <w:tabs>
                <w:tab w:val="left" w:pos="0"/>
              </w:tabs>
              <w:adjustRightInd w:val="0"/>
              <w:snapToGrid w:val="0"/>
              <w:spacing w:line="360" w:lineRule="auto"/>
              <w:jc w:val="left"/>
              <w:rPr>
                <w:rFonts w:ascii="宋体" w:hAnsi="宋体" w:cs="仿宋"/>
                <w:kern w:val="0"/>
                <w:sz w:val="21"/>
                <w:szCs w:val="21"/>
                <w:highlight w:val="none"/>
              </w:rPr>
            </w:pPr>
            <w:r>
              <w:rPr>
                <w:rFonts w:hint="eastAsia" w:ascii="宋体" w:hAnsi="宋体" w:cs="仿宋"/>
                <w:kern w:val="0"/>
                <w:sz w:val="21"/>
                <w:szCs w:val="21"/>
                <w:highlight w:val="none"/>
              </w:rPr>
              <w:t>报价方式：采用综合折扣率方式进行报价。</w:t>
            </w:r>
          </w:p>
          <w:p w14:paraId="489D4FEE">
            <w:pPr>
              <w:spacing w:line="360" w:lineRule="auto"/>
              <w:jc w:val="left"/>
              <w:rPr>
                <w:rFonts w:hint="eastAsia" w:ascii="宋体" w:hAnsi="宋体" w:cs="仿宋"/>
                <w:kern w:val="0"/>
                <w:sz w:val="21"/>
                <w:szCs w:val="21"/>
                <w:highlight w:val="none"/>
              </w:rPr>
            </w:pPr>
            <w:r>
              <w:rPr>
                <w:rFonts w:hint="eastAsia" w:ascii="宋体" w:hAnsi="宋体" w:cs="仿宋"/>
                <w:kern w:val="0"/>
                <w:sz w:val="21"/>
                <w:szCs w:val="21"/>
                <w:highlight w:val="none"/>
              </w:rPr>
              <w:t>合同类型：本工程采用单价合同形式，结算单价以采购人提供的工程量清单中各子项综合单价结合综合折扣率确定，工程量按实调整。</w:t>
            </w:r>
          </w:p>
          <w:p w14:paraId="0529B4FB">
            <w:pPr>
              <w:tabs>
                <w:tab w:val="left" w:pos="0"/>
              </w:tabs>
              <w:adjustRightInd w:val="0"/>
              <w:snapToGrid w:val="0"/>
              <w:spacing w:line="360" w:lineRule="auto"/>
              <w:rPr>
                <w:rFonts w:hint="eastAsia" w:ascii="宋体" w:hAnsi="宋体" w:cs="仿宋"/>
                <w:kern w:val="0"/>
                <w:sz w:val="21"/>
                <w:szCs w:val="21"/>
                <w:highlight w:val="none"/>
              </w:rPr>
            </w:pPr>
            <w:r>
              <w:rPr>
                <w:rFonts w:hint="eastAsia" w:ascii="宋体" w:hAnsi="宋体" w:cs="仿宋"/>
                <w:kern w:val="0"/>
                <w:sz w:val="21"/>
                <w:szCs w:val="21"/>
                <w:highlight w:val="none"/>
              </w:rPr>
              <w:t>本项目工程量清单中标明的总价：均已包括为实施本工程所需的人工费、材料费、机械费、管理费、与施工方案相关的技术措施费、施工组织措施费、规费、保险、利润、税金、风险费、成品保护费、垃圾外运及处置费、保洁清理费、采购代理服务费及政策性文件规定费用等所有费用。以及合同明示或暗示的所有责任、义务和一切风险。</w:t>
            </w:r>
          </w:p>
          <w:p w14:paraId="1AC74715">
            <w:pPr>
              <w:tabs>
                <w:tab w:val="left" w:pos="0"/>
              </w:tabs>
              <w:adjustRightInd w:val="0"/>
              <w:snapToGrid w:val="0"/>
              <w:spacing w:line="360" w:lineRule="auto"/>
              <w:rPr>
                <w:rFonts w:hint="eastAsia" w:ascii="宋体" w:hAnsi="宋体" w:cs="仿宋"/>
                <w:kern w:val="0"/>
                <w:sz w:val="21"/>
                <w:szCs w:val="21"/>
                <w:highlight w:val="none"/>
              </w:rPr>
            </w:pPr>
            <w:r>
              <w:rPr>
                <w:rFonts w:hint="eastAsia" w:ascii="宋体" w:hAnsi="宋体" w:cs="仿宋"/>
                <w:kern w:val="0"/>
                <w:sz w:val="21"/>
                <w:szCs w:val="21"/>
                <w:highlight w:val="none"/>
              </w:rPr>
              <w:t>其它报价要求：供应商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部分项工程量清单项目与施工图纸相对应的项目就具体构造、作法、用材等出现矛盾时，谈判时以采购人提供的工程量清单为准，结算时按实际工程量调整。</w:t>
            </w:r>
          </w:p>
          <w:p w14:paraId="7158DB8D">
            <w:pPr>
              <w:tabs>
                <w:tab w:val="left" w:pos="0"/>
              </w:tabs>
              <w:adjustRightInd w:val="0"/>
              <w:snapToGrid w:val="0"/>
              <w:spacing w:line="360" w:lineRule="auto"/>
              <w:rPr>
                <w:rFonts w:hint="eastAsia" w:ascii="宋体" w:hAnsi="宋体" w:cs="仿宋"/>
                <w:kern w:val="0"/>
                <w:sz w:val="21"/>
                <w:szCs w:val="21"/>
                <w:highlight w:val="none"/>
              </w:rPr>
            </w:pPr>
            <w:r>
              <w:rPr>
                <w:rFonts w:hint="eastAsia" w:ascii="宋体" w:hAnsi="宋体" w:cs="仿宋"/>
                <w:kern w:val="0"/>
                <w:sz w:val="21"/>
                <w:szCs w:val="21"/>
                <w:highlight w:val="none"/>
              </w:rPr>
              <w:t>结算价要求：结算价小于等于合同价的，按合同约定实际结算；超过合同总价的，可以与中标供应商签订补充合同，对工程进行追加后按实际结算，最高追加比例为10%，且追加后总价不超过预算价。</w:t>
            </w:r>
          </w:p>
        </w:tc>
      </w:tr>
      <w:tr w14:paraId="3C46A773">
        <w:tblPrEx>
          <w:tblCellMar>
            <w:top w:w="0" w:type="dxa"/>
            <w:left w:w="108" w:type="dxa"/>
            <w:bottom w:w="0" w:type="dxa"/>
            <w:right w:w="108" w:type="dxa"/>
          </w:tblCellMar>
        </w:tblPrEx>
        <w:trPr>
          <w:trHeight w:val="719" w:hRule="atLeast"/>
        </w:trPr>
        <w:tc>
          <w:tcPr>
            <w:tcW w:w="1111" w:type="dxa"/>
            <w:tcBorders>
              <w:top w:val="single" w:color="000000" w:sz="4" w:space="0"/>
              <w:left w:val="single" w:color="000000" w:sz="4" w:space="0"/>
              <w:bottom w:val="single" w:color="000000" w:sz="4" w:space="0"/>
              <w:right w:val="single" w:color="000000" w:sz="4" w:space="0"/>
            </w:tcBorders>
            <w:noWrap w:val="0"/>
            <w:vAlign w:val="center"/>
          </w:tcPr>
          <w:p w14:paraId="30371A51">
            <w:pPr>
              <w:tabs>
                <w:tab w:val="left" w:pos="0"/>
              </w:tabs>
              <w:adjustRightInd w:val="0"/>
              <w:snapToGrid w:val="0"/>
              <w:jc w:val="center"/>
              <w:rPr>
                <w:rFonts w:ascii="宋体" w:hAnsi="宋体" w:cs="仿宋"/>
                <w:sz w:val="21"/>
                <w:szCs w:val="21"/>
                <w:highlight w:val="none"/>
              </w:rPr>
            </w:pPr>
            <w:r>
              <w:rPr>
                <w:rFonts w:hint="eastAsia" w:ascii="宋体" w:hAnsi="宋体" w:cs="仿宋"/>
                <w:sz w:val="21"/>
                <w:szCs w:val="21"/>
                <w:highlight w:val="none"/>
              </w:rPr>
              <w:t>10</w:t>
            </w:r>
          </w:p>
        </w:tc>
        <w:tc>
          <w:tcPr>
            <w:tcW w:w="8011" w:type="dxa"/>
            <w:tcBorders>
              <w:top w:val="single" w:color="000000" w:sz="4" w:space="0"/>
              <w:left w:val="single" w:color="000000" w:sz="4" w:space="0"/>
              <w:bottom w:val="single" w:color="000000" w:sz="4" w:space="0"/>
              <w:right w:val="single" w:color="000000" w:sz="4" w:space="0"/>
            </w:tcBorders>
            <w:noWrap w:val="0"/>
            <w:vAlign w:val="center"/>
          </w:tcPr>
          <w:p w14:paraId="4FFC0653">
            <w:pPr>
              <w:tabs>
                <w:tab w:val="left" w:pos="0"/>
              </w:tabs>
              <w:adjustRightInd w:val="0"/>
              <w:snapToGrid w:val="0"/>
              <w:jc w:val="left"/>
              <w:rPr>
                <w:rFonts w:ascii="宋体" w:hAnsi="宋体" w:cs="仿宋"/>
                <w:kern w:val="0"/>
                <w:sz w:val="21"/>
                <w:szCs w:val="21"/>
                <w:highlight w:val="none"/>
              </w:rPr>
            </w:pPr>
            <w:r>
              <w:rPr>
                <w:rFonts w:hint="eastAsia" w:ascii="宋体" w:hAnsi="宋体" w:cs="仿宋"/>
                <w:sz w:val="21"/>
                <w:szCs w:val="21"/>
                <w:highlight w:val="none"/>
                <w:lang w:val="zh-CN"/>
              </w:rPr>
              <w:t>签约合同价</w:t>
            </w:r>
            <w:r>
              <w:rPr>
                <w:rFonts w:hint="eastAsia" w:ascii="宋体" w:hAnsi="宋体" w:cs="仿宋"/>
                <w:sz w:val="21"/>
                <w:szCs w:val="21"/>
                <w:highlight w:val="none"/>
              </w:rPr>
              <w:t>=（预算金额-暂定价）*成交综合折扣率+暂定价</w:t>
            </w:r>
          </w:p>
        </w:tc>
      </w:tr>
    </w:tbl>
    <w:p w14:paraId="18062131">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6FB02680">
      <w:pPr>
        <w:ind w:firstLine="2891" w:firstLineChars="800"/>
        <w:jc w:val="both"/>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31" w:name="_Toc184310343"/>
      <w:bookmarkEnd w:id="31"/>
      <w:bookmarkStart w:id="32" w:name="_Toc184313273"/>
      <w:bookmarkEnd w:id="32"/>
      <w:bookmarkStart w:id="33" w:name="_Toc184308053"/>
      <w:bookmarkEnd w:id="33"/>
      <w:bookmarkStart w:id="34" w:name="_Toc184314420"/>
      <w:bookmarkEnd w:id="34"/>
      <w:bookmarkStart w:id="35" w:name="_Toc184314463"/>
      <w:bookmarkEnd w:id="35"/>
      <w:bookmarkStart w:id="36" w:name="_Toc184310312"/>
      <w:bookmarkEnd w:id="36"/>
      <w:bookmarkStart w:id="37" w:name="_Toc184308054"/>
      <w:bookmarkEnd w:id="37"/>
      <w:bookmarkStart w:id="38" w:name="_Toc184314472"/>
      <w:bookmarkEnd w:id="38"/>
      <w:bookmarkStart w:id="39" w:name="_Toc184312089"/>
      <w:bookmarkEnd w:id="39"/>
      <w:bookmarkStart w:id="40" w:name="_Toc184314448"/>
      <w:bookmarkEnd w:id="40"/>
      <w:bookmarkStart w:id="41" w:name="_Toc184308057"/>
      <w:bookmarkEnd w:id="41"/>
      <w:bookmarkStart w:id="42" w:name="_Toc184308076"/>
      <w:bookmarkEnd w:id="42"/>
      <w:bookmarkStart w:id="43" w:name="_Toc184310338"/>
      <w:bookmarkEnd w:id="43"/>
      <w:bookmarkStart w:id="44" w:name="_Toc184314467"/>
      <w:bookmarkEnd w:id="44"/>
      <w:bookmarkStart w:id="45" w:name="_Toc184310342"/>
      <w:bookmarkEnd w:id="45"/>
      <w:bookmarkStart w:id="46" w:name="_Toc184314460"/>
      <w:bookmarkEnd w:id="46"/>
      <w:bookmarkStart w:id="47" w:name="_Toc184310334"/>
      <w:bookmarkEnd w:id="47"/>
      <w:bookmarkStart w:id="48" w:name="_Toc184310329"/>
      <w:bookmarkEnd w:id="48"/>
      <w:bookmarkStart w:id="49" w:name="_Toc184312131"/>
      <w:bookmarkEnd w:id="49"/>
      <w:bookmarkStart w:id="50" w:name="_Toc184312113"/>
      <w:bookmarkEnd w:id="50"/>
      <w:bookmarkStart w:id="51" w:name="_Toc184314441"/>
      <w:bookmarkEnd w:id="51"/>
      <w:bookmarkStart w:id="52" w:name="_Toc184313271"/>
      <w:bookmarkEnd w:id="52"/>
      <w:bookmarkStart w:id="53" w:name="_Toc184314475"/>
      <w:bookmarkEnd w:id="53"/>
      <w:bookmarkStart w:id="54" w:name="_Toc184313270"/>
      <w:bookmarkEnd w:id="54"/>
      <w:bookmarkStart w:id="55" w:name="_Toc184314413"/>
      <w:bookmarkEnd w:id="55"/>
      <w:bookmarkStart w:id="56" w:name="_Toc184310325"/>
      <w:bookmarkEnd w:id="56"/>
      <w:bookmarkStart w:id="57" w:name="_Toc184314425"/>
      <w:bookmarkEnd w:id="57"/>
      <w:bookmarkStart w:id="58" w:name="_Toc184310276"/>
      <w:bookmarkEnd w:id="58"/>
      <w:bookmarkStart w:id="59" w:name="_Toc184310307"/>
      <w:bookmarkEnd w:id="59"/>
      <w:bookmarkStart w:id="60" w:name="_Toc184313284"/>
      <w:bookmarkEnd w:id="60"/>
      <w:bookmarkStart w:id="61" w:name="_Toc184310340"/>
      <w:bookmarkEnd w:id="61"/>
      <w:bookmarkStart w:id="62" w:name="_Toc184308068"/>
      <w:bookmarkEnd w:id="62"/>
      <w:bookmarkStart w:id="63" w:name="_Toc184310283"/>
      <w:bookmarkEnd w:id="63"/>
      <w:bookmarkStart w:id="64" w:name="_Toc184310309"/>
      <w:bookmarkEnd w:id="64"/>
      <w:bookmarkStart w:id="65" w:name="_Toc184308048"/>
      <w:bookmarkEnd w:id="65"/>
      <w:bookmarkStart w:id="66" w:name="_Toc184310311"/>
      <w:bookmarkEnd w:id="66"/>
      <w:bookmarkStart w:id="67" w:name="_Toc184313287"/>
      <w:bookmarkEnd w:id="67"/>
      <w:bookmarkStart w:id="68" w:name="_Toc184308043"/>
      <w:bookmarkEnd w:id="68"/>
      <w:bookmarkStart w:id="69" w:name="_Toc184310333"/>
      <w:bookmarkEnd w:id="69"/>
      <w:bookmarkStart w:id="70" w:name="_Toc184312100"/>
      <w:bookmarkEnd w:id="70"/>
      <w:bookmarkStart w:id="71" w:name="_Toc184312111"/>
      <w:bookmarkEnd w:id="71"/>
      <w:bookmarkStart w:id="72" w:name="_Toc184308074"/>
      <w:bookmarkEnd w:id="72"/>
      <w:bookmarkStart w:id="73" w:name="_Toc184310310"/>
      <w:bookmarkEnd w:id="73"/>
      <w:bookmarkStart w:id="74" w:name="_Toc184312134"/>
      <w:bookmarkEnd w:id="74"/>
      <w:bookmarkStart w:id="75" w:name="_Toc184314477"/>
      <w:bookmarkEnd w:id="75"/>
      <w:bookmarkStart w:id="76" w:name="_Toc184308049"/>
      <w:bookmarkEnd w:id="76"/>
      <w:bookmarkStart w:id="77" w:name="_Toc184313244"/>
      <w:bookmarkEnd w:id="77"/>
      <w:bookmarkStart w:id="78" w:name="_Toc184312136"/>
      <w:bookmarkEnd w:id="78"/>
      <w:bookmarkStart w:id="79" w:name="_Toc184310272"/>
      <w:bookmarkEnd w:id="79"/>
      <w:bookmarkStart w:id="80" w:name="_Toc184308083"/>
      <w:bookmarkEnd w:id="80"/>
      <w:bookmarkStart w:id="81" w:name="_Toc184312110"/>
      <w:bookmarkEnd w:id="81"/>
      <w:bookmarkStart w:id="82" w:name="_Toc184313241"/>
      <w:bookmarkEnd w:id="82"/>
      <w:bookmarkStart w:id="83" w:name="_Toc184308102"/>
      <w:bookmarkEnd w:id="83"/>
      <w:bookmarkStart w:id="84" w:name="_Toc184313253"/>
      <w:bookmarkEnd w:id="84"/>
      <w:bookmarkStart w:id="85" w:name="_Toc184308090"/>
      <w:bookmarkEnd w:id="85"/>
      <w:bookmarkStart w:id="86" w:name="_Toc184308061"/>
      <w:bookmarkEnd w:id="86"/>
      <w:bookmarkStart w:id="87" w:name="_Toc184312101"/>
      <w:bookmarkEnd w:id="87"/>
      <w:bookmarkStart w:id="88" w:name="_Toc184314442"/>
      <w:bookmarkEnd w:id="88"/>
      <w:bookmarkStart w:id="89" w:name="_Toc184312118"/>
      <w:bookmarkEnd w:id="89"/>
      <w:bookmarkStart w:id="90" w:name="_Toc184313309"/>
      <w:bookmarkEnd w:id="90"/>
      <w:bookmarkStart w:id="91" w:name="_Toc184314415"/>
      <w:bookmarkEnd w:id="91"/>
      <w:bookmarkStart w:id="92" w:name="_Toc184312123"/>
      <w:bookmarkEnd w:id="92"/>
      <w:bookmarkStart w:id="93" w:name="_Toc184310303"/>
      <w:bookmarkEnd w:id="93"/>
      <w:bookmarkStart w:id="94" w:name="_Toc184308079"/>
      <w:bookmarkEnd w:id="94"/>
      <w:bookmarkStart w:id="95" w:name="_Toc184314421"/>
      <w:bookmarkEnd w:id="95"/>
      <w:bookmarkStart w:id="96" w:name="_Toc184308082"/>
      <w:bookmarkEnd w:id="96"/>
      <w:bookmarkStart w:id="97" w:name="_Toc184308089"/>
      <w:bookmarkEnd w:id="97"/>
      <w:bookmarkStart w:id="98" w:name="_Toc184313264"/>
      <w:bookmarkEnd w:id="98"/>
      <w:bookmarkStart w:id="99" w:name="_Toc184314458"/>
      <w:bookmarkEnd w:id="99"/>
      <w:bookmarkStart w:id="100" w:name="_Toc184313310"/>
      <w:bookmarkEnd w:id="100"/>
      <w:bookmarkStart w:id="101" w:name="_Toc184312088"/>
      <w:bookmarkEnd w:id="101"/>
      <w:bookmarkStart w:id="102" w:name="_Toc184314429"/>
      <w:bookmarkEnd w:id="102"/>
      <w:bookmarkStart w:id="103" w:name="_Toc184313240"/>
      <w:bookmarkEnd w:id="103"/>
      <w:bookmarkStart w:id="104" w:name="_Toc184313242"/>
      <w:bookmarkEnd w:id="104"/>
      <w:bookmarkStart w:id="105" w:name="_Toc184314435"/>
      <w:bookmarkEnd w:id="105"/>
      <w:bookmarkStart w:id="106" w:name="_Toc184313261"/>
      <w:bookmarkEnd w:id="106"/>
      <w:bookmarkStart w:id="107" w:name="_Toc184314444"/>
      <w:bookmarkEnd w:id="107"/>
      <w:bookmarkStart w:id="108" w:name="_Toc184308073"/>
      <w:bookmarkEnd w:id="108"/>
      <w:bookmarkStart w:id="109" w:name="_Toc184314410"/>
      <w:bookmarkEnd w:id="109"/>
      <w:bookmarkStart w:id="110" w:name="_Toc184314464"/>
      <w:bookmarkEnd w:id="110"/>
      <w:bookmarkStart w:id="111" w:name="_Toc184310291"/>
      <w:bookmarkEnd w:id="111"/>
      <w:bookmarkStart w:id="112" w:name="_Toc184313285"/>
      <w:bookmarkEnd w:id="112"/>
      <w:bookmarkStart w:id="113" w:name="_Toc184312105"/>
      <w:bookmarkEnd w:id="113"/>
      <w:bookmarkStart w:id="114" w:name="_Toc184312128"/>
      <w:bookmarkEnd w:id="114"/>
      <w:bookmarkStart w:id="115" w:name="_Toc184308047"/>
      <w:bookmarkEnd w:id="115"/>
      <w:bookmarkStart w:id="116" w:name="_Toc184310308"/>
      <w:bookmarkEnd w:id="116"/>
      <w:bookmarkStart w:id="117" w:name="_Toc184314468"/>
      <w:bookmarkEnd w:id="117"/>
      <w:bookmarkStart w:id="118" w:name="_Toc184314456"/>
      <w:bookmarkEnd w:id="118"/>
      <w:bookmarkStart w:id="119" w:name="_Toc184312074"/>
      <w:bookmarkEnd w:id="119"/>
      <w:bookmarkStart w:id="120" w:name="_Toc184310344"/>
      <w:bookmarkEnd w:id="120"/>
      <w:bookmarkStart w:id="121" w:name="_Toc184310298"/>
      <w:bookmarkEnd w:id="121"/>
      <w:bookmarkStart w:id="122" w:name="_Toc184310323"/>
      <w:bookmarkEnd w:id="122"/>
      <w:bookmarkStart w:id="123" w:name="_Toc184310316"/>
      <w:bookmarkEnd w:id="123"/>
      <w:bookmarkStart w:id="124" w:name="_Toc184308072"/>
      <w:bookmarkEnd w:id="124"/>
      <w:bookmarkStart w:id="125" w:name="_Toc184308096"/>
      <w:bookmarkEnd w:id="125"/>
      <w:bookmarkStart w:id="126" w:name="_Toc184308067"/>
      <w:bookmarkEnd w:id="126"/>
      <w:bookmarkStart w:id="127" w:name="_Toc184314481"/>
      <w:bookmarkEnd w:id="127"/>
      <w:bookmarkStart w:id="128" w:name="_Toc184314457"/>
      <w:bookmarkEnd w:id="128"/>
      <w:bookmarkStart w:id="129" w:name="_Toc184312122"/>
      <w:bookmarkEnd w:id="129"/>
      <w:bookmarkStart w:id="130" w:name="_Toc184314452"/>
      <w:bookmarkEnd w:id="130"/>
      <w:bookmarkStart w:id="131" w:name="_Toc184308039"/>
      <w:bookmarkEnd w:id="131"/>
      <w:bookmarkStart w:id="132" w:name="_Toc184310331"/>
      <w:bookmarkEnd w:id="132"/>
      <w:bookmarkStart w:id="133" w:name="_Toc184314476"/>
      <w:bookmarkEnd w:id="133"/>
      <w:bookmarkStart w:id="134" w:name="_Toc184310275"/>
      <w:bookmarkEnd w:id="134"/>
      <w:bookmarkStart w:id="135" w:name="_Toc184314454"/>
      <w:bookmarkEnd w:id="135"/>
      <w:bookmarkStart w:id="136" w:name="_Toc184314427"/>
      <w:bookmarkEnd w:id="136"/>
      <w:bookmarkStart w:id="137" w:name="_Toc184312072"/>
      <w:bookmarkEnd w:id="137"/>
      <w:bookmarkStart w:id="138" w:name="_Toc184314459"/>
      <w:bookmarkEnd w:id="138"/>
      <w:bookmarkStart w:id="139" w:name="_Toc184313262"/>
      <w:bookmarkEnd w:id="139"/>
      <w:bookmarkStart w:id="140" w:name="_Toc184308069"/>
      <w:bookmarkEnd w:id="140"/>
      <w:bookmarkStart w:id="141" w:name="_Toc184313249"/>
      <w:bookmarkEnd w:id="141"/>
      <w:bookmarkStart w:id="142" w:name="_Toc184308107"/>
      <w:bookmarkEnd w:id="142"/>
      <w:bookmarkStart w:id="143" w:name="_Toc184312095"/>
      <w:bookmarkEnd w:id="143"/>
      <w:bookmarkStart w:id="144" w:name="_Toc184310292"/>
      <w:bookmarkEnd w:id="144"/>
      <w:bookmarkStart w:id="145" w:name="_Toc184308091"/>
      <w:bookmarkEnd w:id="145"/>
      <w:bookmarkStart w:id="146" w:name="_Toc184310294"/>
      <w:bookmarkEnd w:id="146"/>
      <w:bookmarkStart w:id="147" w:name="_Toc184308093"/>
      <w:bookmarkEnd w:id="147"/>
      <w:bookmarkStart w:id="148" w:name="_Toc184312126"/>
      <w:bookmarkEnd w:id="148"/>
      <w:bookmarkStart w:id="149" w:name="_Toc184310305"/>
      <w:bookmarkEnd w:id="149"/>
      <w:bookmarkStart w:id="150" w:name="_Toc184313245"/>
      <w:bookmarkEnd w:id="150"/>
      <w:bookmarkStart w:id="151" w:name="_Toc184313256"/>
      <w:bookmarkEnd w:id="151"/>
      <w:bookmarkStart w:id="152" w:name="_Toc184310293"/>
      <w:bookmarkEnd w:id="152"/>
      <w:bookmarkStart w:id="153" w:name="_Toc184310313"/>
      <w:bookmarkEnd w:id="153"/>
      <w:bookmarkStart w:id="154" w:name="_Toc184313305"/>
      <w:bookmarkEnd w:id="154"/>
      <w:bookmarkStart w:id="155" w:name="_Toc184310286"/>
      <w:bookmarkEnd w:id="155"/>
      <w:bookmarkStart w:id="156" w:name="_Toc184313307"/>
      <w:bookmarkEnd w:id="156"/>
      <w:bookmarkStart w:id="157" w:name="_Toc184310278"/>
      <w:bookmarkEnd w:id="157"/>
      <w:bookmarkStart w:id="158" w:name="_Toc184308059"/>
      <w:bookmarkEnd w:id="158"/>
      <w:bookmarkStart w:id="159" w:name="_Toc184312130"/>
      <w:bookmarkEnd w:id="159"/>
      <w:bookmarkStart w:id="160" w:name="_Toc184312094"/>
      <w:bookmarkEnd w:id="160"/>
      <w:bookmarkStart w:id="161" w:name="_Toc184313265"/>
      <w:bookmarkEnd w:id="161"/>
      <w:bookmarkStart w:id="162" w:name="_Toc184310337"/>
      <w:bookmarkEnd w:id="162"/>
      <w:bookmarkStart w:id="163" w:name="_Toc184314428"/>
      <w:bookmarkEnd w:id="163"/>
      <w:bookmarkStart w:id="164" w:name="_Toc184308044"/>
      <w:bookmarkEnd w:id="164"/>
      <w:bookmarkStart w:id="165" w:name="_Toc184310320"/>
      <w:bookmarkEnd w:id="165"/>
      <w:bookmarkStart w:id="166" w:name="_Toc184313248"/>
      <w:bookmarkEnd w:id="166"/>
      <w:bookmarkStart w:id="167" w:name="_Toc184313286"/>
      <w:bookmarkEnd w:id="167"/>
      <w:bookmarkStart w:id="168" w:name="_Toc184310332"/>
      <w:bookmarkEnd w:id="168"/>
      <w:bookmarkStart w:id="169" w:name="_Toc184308065"/>
      <w:bookmarkEnd w:id="169"/>
      <w:bookmarkStart w:id="170" w:name="_Toc184312127"/>
      <w:bookmarkEnd w:id="170"/>
      <w:bookmarkStart w:id="171" w:name="_Toc184312097"/>
      <w:bookmarkEnd w:id="171"/>
      <w:bookmarkStart w:id="172" w:name="_Toc184310297"/>
      <w:bookmarkEnd w:id="172"/>
      <w:bookmarkStart w:id="173" w:name="_Toc184308085"/>
      <w:bookmarkEnd w:id="173"/>
      <w:bookmarkStart w:id="174" w:name="_Toc184312082"/>
      <w:bookmarkEnd w:id="174"/>
      <w:bookmarkStart w:id="175" w:name="_Toc184314430"/>
      <w:bookmarkEnd w:id="175"/>
      <w:bookmarkStart w:id="176" w:name="_Toc184308098"/>
      <w:bookmarkEnd w:id="176"/>
      <w:bookmarkStart w:id="177" w:name="_Toc184310336"/>
      <w:bookmarkEnd w:id="177"/>
      <w:bookmarkStart w:id="178" w:name="_Toc184312119"/>
      <w:bookmarkEnd w:id="178"/>
      <w:bookmarkStart w:id="179" w:name="_Toc184314478"/>
      <w:bookmarkEnd w:id="179"/>
      <w:bookmarkStart w:id="180" w:name="_Toc184308086"/>
      <w:bookmarkEnd w:id="180"/>
      <w:bookmarkStart w:id="181" w:name="_Toc184310289"/>
      <w:bookmarkEnd w:id="181"/>
      <w:bookmarkStart w:id="182" w:name="_Toc184312078"/>
      <w:bookmarkEnd w:id="182"/>
      <w:bookmarkStart w:id="183" w:name="_Toc184310281"/>
      <w:bookmarkEnd w:id="183"/>
      <w:bookmarkStart w:id="184" w:name="_Toc184308036"/>
      <w:bookmarkEnd w:id="184"/>
      <w:bookmarkStart w:id="185" w:name="_Toc184308080"/>
      <w:bookmarkEnd w:id="185"/>
      <w:bookmarkStart w:id="186" w:name="_Toc184312115"/>
      <w:bookmarkEnd w:id="186"/>
      <w:bookmarkStart w:id="187" w:name="_Toc184310277"/>
      <w:bookmarkEnd w:id="187"/>
      <w:bookmarkStart w:id="188" w:name="_Toc184314465"/>
      <w:bookmarkEnd w:id="188"/>
      <w:bookmarkStart w:id="189" w:name="_Toc184310290"/>
      <w:bookmarkEnd w:id="189"/>
      <w:bookmarkStart w:id="190" w:name="_Toc184313292"/>
      <w:bookmarkEnd w:id="190"/>
      <w:bookmarkStart w:id="191" w:name="_Toc184308078"/>
      <w:bookmarkEnd w:id="191"/>
      <w:bookmarkStart w:id="192" w:name="_Toc184308042"/>
      <w:bookmarkEnd w:id="192"/>
      <w:bookmarkStart w:id="193" w:name="_Toc184310287"/>
      <w:bookmarkEnd w:id="193"/>
      <w:bookmarkStart w:id="194" w:name="_Toc184312102"/>
      <w:bookmarkEnd w:id="194"/>
      <w:bookmarkStart w:id="195" w:name="_Toc184314474"/>
      <w:bookmarkEnd w:id="195"/>
      <w:bookmarkStart w:id="196" w:name="_Toc184308055"/>
      <w:bookmarkEnd w:id="196"/>
      <w:bookmarkStart w:id="197" w:name="_Toc184313283"/>
      <w:bookmarkEnd w:id="197"/>
      <w:bookmarkStart w:id="198" w:name="_Toc184308099"/>
      <w:bookmarkEnd w:id="198"/>
      <w:bookmarkStart w:id="199" w:name="_Toc184312091"/>
      <w:bookmarkEnd w:id="199"/>
      <w:bookmarkStart w:id="200" w:name="_Toc184314473"/>
      <w:bookmarkEnd w:id="200"/>
      <w:bookmarkStart w:id="201" w:name="_Toc184308070"/>
      <w:bookmarkEnd w:id="201"/>
      <w:bookmarkStart w:id="202" w:name="_Toc184312112"/>
      <w:bookmarkEnd w:id="202"/>
      <w:bookmarkStart w:id="203" w:name="_Toc184308071"/>
      <w:bookmarkEnd w:id="203"/>
      <w:bookmarkStart w:id="204" w:name="_Toc184310296"/>
      <w:bookmarkEnd w:id="204"/>
      <w:bookmarkStart w:id="205" w:name="_Toc184310321"/>
      <w:bookmarkEnd w:id="205"/>
      <w:bookmarkStart w:id="206" w:name="_Toc184310300"/>
      <w:bookmarkEnd w:id="206"/>
      <w:bookmarkStart w:id="207" w:name="_Toc184314414"/>
      <w:bookmarkEnd w:id="207"/>
      <w:bookmarkStart w:id="208" w:name="_Toc184313247"/>
      <w:bookmarkEnd w:id="208"/>
      <w:bookmarkStart w:id="209" w:name="_Toc184308104"/>
      <w:bookmarkEnd w:id="209"/>
      <w:bookmarkStart w:id="210" w:name="_Toc184308103"/>
      <w:bookmarkEnd w:id="210"/>
      <w:bookmarkStart w:id="211" w:name="_Toc184314422"/>
      <w:bookmarkEnd w:id="211"/>
      <w:bookmarkStart w:id="212" w:name="_Toc184312068"/>
      <w:bookmarkEnd w:id="212"/>
      <w:bookmarkStart w:id="213" w:name="_Toc184312073"/>
      <w:bookmarkEnd w:id="213"/>
      <w:bookmarkStart w:id="214" w:name="_Toc184312104"/>
      <w:bookmarkEnd w:id="214"/>
      <w:bookmarkStart w:id="215" w:name="_Toc184312121"/>
      <w:bookmarkEnd w:id="215"/>
      <w:bookmarkStart w:id="216" w:name="_Toc184308088"/>
      <w:bookmarkEnd w:id="216"/>
      <w:bookmarkStart w:id="217" w:name="_Toc184310295"/>
      <w:bookmarkEnd w:id="217"/>
      <w:bookmarkStart w:id="218" w:name="_Toc184313303"/>
      <w:bookmarkEnd w:id="218"/>
      <w:bookmarkStart w:id="219" w:name="_Toc184310327"/>
      <w:bookmarkEnd w:id="219"/>
      <w:bookmarkStart w:id="220" w:name="_Toc184308064"/>
      <w:bookmarkEnd w:id="220"/>
      <w:bookmarkStart w:id="221" w:name="_Toc184313297"/>
      <w:bookmarkEnd w:id="221"/>
      <w:bookmarkStart w:id="222" w:name="_Toc184308037"/>
      <w:bookmarkEnd w:id="222"/>
      <w:bookmarkStart w:id="223" w:name="_Toc184312093"/>
      <w:bookmarkEnd w:id="223"/>
      <w:bookmarkStart w:id="224" w:name="_Toc184312124"/>
      <w:bookmarkEnd w:id="224"/>
      <w:bookmarkStart w:id="225" w:name="_Toc184312069"/>
      <w:bookmarkEnd w:id="225"/>
      <w:bookmarkStart w:id="226" w:name="_Toc184314469"/>
      <w:bookmarkEnd w:id="226"/>
      <w:bookmarkStart w:id="227" w:name="_Toc184310319"/>
      <w:bookmarkEnd w:id="227"/>
      <w:bookmarkStart w:id="228" w:name="_Toc184310274"/>
      <w:bookmarkEnd w:id="228"/>
      <w:bookmarkStart w:id="229" w:name="_Toc184310322"/>
      <w:bookmarkEnd w:id="229"/>
      <w:bookmarkStart w:id="230" w:name="_Toc184308051"/>
      <w:bookmarkEnd w:id="230"/>
      <w:bookmarkStart w:id="231" w:name="_Toc184310335"/>
      <w:bookmarkEnd w:id="231"/>
      <w:bookmarkStart w:id="232" w:name="_Toc184308041"/>
      <w:bookmarkEnd w:id="232"/>
      <w:bookmarkStart w:id="233" w:name="_Toc184308050"/>
      <w:bookmarkEnd w:id="233"/>
      <w:bookmarkStart w:id="234" w:name="_Toc184312135"/>
      <w:bookmarkEnd w:id="234"/>
      <w:bookmarkStart w:id="235" w:name="_Toc184308052"/>
      <w:bookmarkEnd w:id="235"/>
      <w:bookmarkStart w:id="236" w:name="_Toc184314455"/>
      <w:bookmarkEnd w:id="236"/>
      <w:bookmarkStart w:id="237" w:name="_Toc184312133"/>
      <w:bookmarkEnd w:id="237"/>
      <w:bookmarkStart w:id="238" w:name="_Toc184312117"/>
      <w:bookmarkEnd w:id="238"/>
      <w:bookmarkStart w:id="239" w:name="_Toc184312090"/>
      <w:bookmarkEnd w:id="239"/>
      <w:bookmarkStart w:id="240" w:name="_Toc184314479"/>
      <w:bookmarkEnd w:id="240"/>
      <w:bookmarkStart w:id="241" w:name="_Toc184312116"/>
      <w:bookmarkEnd w:id="241"/>
      <w:bookmarkStart w:id="242" w:name="_Toc184313277"/>
      <w:bookmarkEnd w:id="242"/>
      <w:bookmarkStart w:id="243" w:name="_Toc184310301"/>
      <w:bookmarkEnd w:id="243"/>
      <w:bookmarkStart w:id="244" w:name="_Toc184310330"/>
      <w:bookmarkEnd w:id="244"/>
      <w:bookmarkStart w:id="245" w:name="_Toc184308077"/>
      <w:bookmarkEnd w:id="245"/>
      <w:bookmarkStart w:id="246" w:name="_Toc184310324"/>
      <w:bookmarkEnd w:id="246"/>
      <w:bookmarkStart w:id="247" w:name="_Toc184314462"/>
      <w:bookmarkEnd w:id="247"/>
      <w:bookmarkStart w:id="248" w:name="_Toc184308081"/>
      <w:bookmarkEnd w:id="248"/>
      <w:bookmarkStart w:id="249" w:name="_Toc184314424"/>
      <w:bookmarkEnd w:id="249"/>
      <w:bookmarkStart w:id="250" w:name="_Toc184310315"/>
      <w:bookmarkEnd w:id="250"/>
      <w:bookmarkStart w:id="251" w:name="_Toc184313282"/>
      <w:bookmarkEnd w:id="251"/>
      <w:bookmarkStart w:id="252" w:name="_Toc184308100"/>
      <w:bookmarkEnd w:id="252"/>
      <w:bookmarkStart w:id="253" w:name="_Toc184312098"/>
      <w:bookmarkEnd w:id="253"/>
      <w:bookmarkStart w:id="254" w:name="_Toc184313281"/>
      <w:bookmarkEnd w:id="254"/>
      <w:bookmarkStart w:id="255" w:name="_Toc184313259"/>
      <w:bookmarkEnd w:id="255"/>
      <w:bookmarkStart w:id="256" w:name="_Toc184314461"/>
      <w:bookmarkEnd w:id="256"/>
      <w:bookmarkStart w:id="257" w:name="_Toc184314426"/>
      <w:bookmarkEnd w:id="257"/>
      <w:bookmarkStart w:id="258" w:name="_Toc184313276"/>
      <w:bookmarkEnd w:id="258"/>
      <w:bookmarkStart w:id="259" w:name="_Toc184314449"/>
      <w:bookmarkEnd w:id="259"/>
      <w:bookmarkStart w:id="260" w:name="_Toc184314416"/>
      <w:bookmarkEnd w:id="260"/>
      <w:bookmarkStart w:id="261" w:name="_Toc184314450"/>
      <w:bookmarkEnd w:id="261"/>
      <w:bookmarkStart w:id="262" w:name="_Toc184308094"/>
      <w:bookmarkEnd w:id="262"/>
      <w:bookmarkStart w:id="263" w:name="_Toc184313298"/>
      <w:bookmarkEnd w:id="263"/>
      <w:bookmarkStart w:id="264" w:name="_Toc184310302"/>
      <w:bookmarkEnd w:id="264"/>
      <w:bookmarkStart w:id="265" w:name="_Toc184312109"/>
      <w:bookmarkEnd w:id="265"/>
      <w:bookmarkStart w:id="266" w:name="_Toc184313255"/>
      <w:bookmarkEnd w:id="266"/>
      <w:bookmarkStart w:id="267" w:name="_Toc184313250"/>
      <w:bookmarkEnd w:id="267"/>
      <w:bookmarkStart w:id="268" w:name="_Toc184313289"/>
      <w:bookmarkEnd w:id="268"/>
      <w:bookmarkStart w:id="269" w:name="_Toc184314437"/>
      <w:bookmarkEnd w:id="269"/>
      <w:bookmarkStart w:id="270" w:name="_Toc184314417"/>
      <w:bookmarkEnd w:id="270"/>
      <w:bookmarkStart w:id="271" w:name="_Toc184308084"/>
      <w:bookmarkEnd w:id="271"/>
      <w:bookmarkStart w:id="272" w:name="_Toc184314471"/>
      <w:bookmarkEnd w:id="272"/>
      <w:bookmarkStart w:id="273" w:name="_Toc184313278"/>
      <w:bookmarkEnd w:id="273"/>
      <w:bookmarkStart w:id="274" w:name="_Toc184314470"/>
      <w:bookmarkEnd w:id="274"/>
      <w:bookmarkStart w:id="275" w:name="_Toc184314418"/>
      <w:bookmarkEnd w:id="275"/>
      <w:bookmarkStart w:id="276" w:name="_Toc184308063"/>
      <w:bookmarkEnd w:id="276"/>
      <w:bookmarkStart w:id="277" w:name="_Toc184313299"/>
      <w:bookmarkEnd w:id="277"/>
      <w:bookmarkStart w:id="278" w:name="_Toc184313280"/>
      <w:bookmarkEnd w:id="278"/>
      <w:bookmarkStart w:id="279" w:name="_Toc184313263"/>
      <w:bookmarkEnd w:id="279"/>
      <w:bookmarkStart w:id="280" w:name="_Toc184312125"/>
      <w:bookmarkEnd w:id="280"/>
      <w:bookmarkStart w:id="281" w:name="_Toc184314447"/>
      <w:bookmarkEnd w:id="281"/>
      <w:bookmarkStart w:id="282" w:name="_Toc184314411"/>
      <w:bookmarkEnd w:id="282"/>
      <w:bookmarkStart w:id="283" w:name="_Toc184308075"/>
      <w:bookmarkEnd w:id="283"/>
      <w:bookmarkStart w:id="284" w:name="_Toc184313260"/>
      <w:bookmarkEnd w:id="284"/>
      <w:bookmarkStart w:id="285" w:name="_Toc184308066"/>
      <w:bookmarkEnd w:id="285"/>
      <w:bookmarkStart w:id="286" w:name="_Toc184312080"/>
      <w:bookmarkEnd w:id="286"/>
      <w:bookmarkStart w:id="287" w:name="_Toc184310328"/>
      <w:bookmarkEnd w:id="287"/>
      <w:bookmarkStart w:id="288" w:name="_Toc184313269"/>
      <w:bookmarkEnd w:id="288"/>
      <w:bookmarkStart w:id="289" w:name="_Toc184312103"/>
      <w:bookmarkEnd w:id="289"/>
      <w:bookmarkStart w:id="290" w:name="_Toc184308046"/>
      <w:bookmarkEnd w:id="290"/>
      <w:bookmarkStart w:id="291" w:name="_Toc184314434"/>
      <w:bookmarkEnd w:id="291"/>
      <w:bookmarkStart w:id="292" w:name="_Toc184312099"/>
      <w:bookmarkEnd w:id="292"/>
      <w:bookmarkStart w:id="293" w:name="_Toc184308108"/>
      <w:bookmarkEnd w:id="293"/>
      <w:bookmarkStart w:id="294" w:name="_Toc184313306"/>
      <w:bookmarkEnd w:id="294"/>
      <w:bookmarkStart w:id="295" w:name="_Toc184310339"/>
      <w:bookmarkEnd w:id="295"/>
      <w:bookmarkStart w:id="296" w:name="_Toc184312079"/>
      <w:bookmarkEnd w:id="296"/>
      <w:bookmarkStart w:id="297" w:name="_Toc184313254"/>
      <w:bookmarkEnd w:id="297"/>
      <w:bookmarkStart w:id="298" w:name="_Toc184314443"/>
      <w:bookmarkEnd w:id="298"/>
      <w:bookmarkStart w:id="299" w:name="_Toc184313291"/>
      <w:bookmarkEnd w:id="299"/>
      <w:bookmarkStart w:id="300" w:name="_Toc184313308"/>
      <w:bookmarkEnd w:id="300"/>
      <w:bookmarkStart w:id="301" w:name="_Toc184313239"/>
      <w:bookmarkEnd w:id="301"/>
      <w:bookmarkStart w:id="302" w:name="_Toc184310273"/>
      <w:bookmarkEnd w:id="302"/>
      <w:bookmarkStart w:id="303" w:name="_Toc184313274"/>
      <w:bookmarkEnd w:id="303"/>
      <w:bookmarkStart w:id="304" w:name="_Toc184314438"/>
      <w:bookmarkEnd w:id="304"/>
      <w:bookmarkStart w:id="305" w:name="_Toc184313279"/>
      <w:bookmarkEnd w:id="305"/>
      <w:bookmarkStart w:id="306" w:name="_Toc184310279"/>
      <w:bookmarkEnd w:id="306"/>
      <w:bookmarkStart w:id="307" w:name="_Toc184312120"/>
      <w:bookmarkEnd w:id="307"/>
      <w:bookmarkStart w:id="308" w:name="_Toc184313294"/>
      <w:bookmarkEnd w:id="308"/>
      <w:bookmarkStart w:id="309" w:name="_Toc184313243"/>
      <w:bookmarkEnd w:id="309"/>
      <w:bookmarkStart w:id="310" w:name="_Toc184314445"/>
      <w:bookmarkEnd w:id="310"/>
      <w:bookmarkStart w:id="311" w:name="_Toc184313296"/>
      <w:bookmarkEnd w:id="311"/>
      <w:bookmarkStart w:id="312" w:name="_Toc184312106"/>
      <w:bookmarkEnd w:id="312"/>
      <w:bookmarkStart w:id="313" w:name="_Toc184314419"/>
      <w:bookmarkEnd w:id="313"/>
      <w:bookmarkStart w:id="314" w:name="_Toc184312138"/>
      <w:bookmarkEnd w:id="314"/>
      <w:bookmarkStart w:id="315" w:name="_Toc184313300"/>
      <w:bookmarkEnd w:id="315"/>
      <w:bookmarkStart w:id="316" w:name="_Toc184312086"/>
      <w:bookmarkEnd w:id="316"/>
      <w:bookmarkStart w:id="317" w:name="_Toc184314466"/>
      <w:bookmarkEnd w:id="317"/>
      <w:bookmarkStart w:id="318" w:name="_Toc184313238"/>
      <w:bookmarkEnd w:id="318"/>
      <w:bookmarkStart w:id="319" w:name="_Toc184308058"/>
      <w:bookmarkEnd w:id="319"/>
      <w:bookmarkStart w:id="320" w:name="_Toc184312075"/>
      <w:bookmarkEnd w:id="320"/>
      <w:bookmarkStart w:id="321" w:name="_Toc184312092"/>
      <w:bookmarkEnd w:id="321"/>
      <w:bookmarkStart w:id="322" w:name="_Toc184313304"/>
      <w:bookmarkEnd w:id="322"/>
      <w:bookmarkStart w:id="323" w:name="_Toc184314480"/>
      <w:bookmarkEnd w:id="323"/>
      <w:bookmarkStart w:id="324" w:name="_Toc184313266"/>
      <w:bookmarkEnd w:id="324"/>
      <w:bookmarkStart w:id="325" w:name="_Toc184313257"/>
      <w:bookmarkEnd w:id="325"/>
      <w:bookmarkStart w:id="326" w:name="_Toc184310282"/>
      <w:bookmarkEnd w:id="326"/>
      <w:bookmarkStart w:id="327" w:name="_Toc184308095"/>
      <w:bookmarkEnd w:id="327"/>
      <w:bookmarkStart w:id="328" w:name="_Toc184310288"/>
      <w:bookmarkEnd w:id="328"/>
      <w:bookmarkStart w:id="329" w:name="_Toc184308062"/>
      <w:bookmarkEnd w:id="329"/>
      <w:bookmarkStart w:id="330" w:name="_Toc184313293"/>
      <w:bookmarkEnd w:id="330"/>
      <w:bookmarkStart w:id="331" w:name="_Toc184310299"/>
      <w:bookmarkEnd w:id="331"/>
      <w:bookmarkStart w:id="332" w:name="_Toc184308056"/>
      <w:bookmarkEnd w:id="332"/>
      <w:bookmarkStart w:id="333" w:name="_Toc184308045"/>
      <w:bookmarkEnd w:id="333"/>
      <w:bookmarkStart w:id="334" w:name="_Toc184310314"/>
      <w:bookmarkEnd w:id="334"/>
      <w:bookmarkStart w:id="335" w:name="_Toc184314431"/>
      <w:bookmarkEnd w:id="335"/>
      <w:bookmarkStart w:id="336" w:name="_Toc184308092"/>
      <w:bookmarkEnd w:id="336"/>
      <w:bookmarkStart w:id="337" w:name="_Toc184310280"/>
      <w:bookmarkEnd w:id="337"/>
      <w:bookmarkStart w:id="338" w:name="_Toc184313301"/>
      <w:bookmarkEnd w:id="338"/>
      <w:bookmarkStart w:id="339" w:name="_Toc184314412"/>
      <w:bookmarkEnd w:id="339"/>
      <w:bookmarkStart w:id="340" w:name="_Toc184313268"/>
      <w:bookmarkEnd w:id="340"/>
      <w:bookmarkStart w:id="341" w:name="_Toc184310318"/>
      <w:bookmarkEnd w:id="341"/>
      <w:bookmarkStart w:id="342" w:name="_Toc184310317"/>
      <w:bookmarkEnd w:id="342"/>
      <w:bookmarkStart w:id="343" w:name="_Toc184308101"/>
      <w:bookmarkEnd w:id="343"/>
      <w:bookmarkStart w:id="344" w:name="_Toc184314433"/>
      <w:bookmarkEnd w:id="344"/>
      <w:bookmarkStart w:id="345" w:name="_Toc184313275"/>
      <w:bookmarkEnd w:id="345"/>
      <w:bookmarkStart w:id="346" w:name="_Toc184314439"/>
      <w:bookmarkEnd w:id="346"/>
      <w:bookmarkStart w:id="347" w:name="_Toc184314446"/>
      <w:bookmarkEnd w:id="347"/>
      <w:bookmarkStart w:id="348" w:name="_Toc184312107"/>
      <w:bookmarkEnd w:id="348"/>
      <w:bookmarkStart w:id="349" w:name="_Toc184313302"/>
      <w:bookmarkEnd w:id="349"/>
      <w:bookmarkStart w:id="350" w:name="_Toc184312081"/>
      <w:bookmarkEnd w:id="350"/>
      <w:bookmarkStart w:id="351" w:name="_Toc184312077"/>
      <w:bookmarkEnd w:id="351"/>
      <w:bookmarkStart w:id="352" w:name="_Toc184313246"/>
      <w:bookmarkEnd w:id="352"/>
      <w:bookmarkStart w:id="353" w:name="_Toc184312114"/>
      <w:bookmarkEnd w:id="353"/>
      <w:bookmarkStart w:id="354" w:name="_Toc184312129"/>
      <w:bookmarkEnd w:id="354"/>
      <w:bookmarkStart w:id="355" w:name="_Toc184313290"/>
      <w:bookmarkEnd w:id="355"/>
      <w:bookmarkStart w:id="356" w:name="_Toc184312070"/>
      <w:bookmarkEnd w:id="356"/>
      <w:bookmarkStart w:id="357" w:name="_Toc184313267"/>
      <w:bookmarkEnd w:id="357"/>
      <w:bookmarkStart w:id="358" w:name="_Toc184312108"/>
      <w:bookmarkEnd w:id="358"/>
      <w:bookmarkStart w:id="359" w:name="_Toc184313258"/>
      <w:bookmarkEnd w:id="359"/>
      <w:bookmarkStart w:id="360" w:name="_Toc184314432"/>
      <w:bookmarkEnd w:id="360"/>
      <w:bookmarkStart w:id="361" w:name="_Toc184312083"/>
      <w:bookmarkEnd w:id="361"/>
      <w:bookmarkStart w:id="362" w:name="_Toc184312132"/>
      <w:bookmarkEnd w:id="362"/>
      <w:bookmarkStart w:id="363" w:name="_Toc184314451"/>
      <w:bookmarkEnd w:id="363"/>
      <w:bookmarkStart w:id="364" w:name="_Toc184310306"/>
      <w:bookmarkEnd w:id="364"/>
      <w:bookmarkStart w:id="365" w:name="_Toc184314453"/>
      <w:bookmarkEnd w:id="365"/>
      <w:bookmarkStart w:id="366" w:name="_Toc184308040"/>
      <w:bookmarkEnd w:id="366"/>
      <w:bookmarkStart w:id="367" w:name="_Toc184313288"/>
      <w:bookmarkEnd w:id="367"/>
      <w:bookmarkStart w:id="368" w:name="_Toc184308097"/>
      <w:bookmarkEnd w:id="368"/>
      <w:bookmarkStart w:id="369" w:name="_Toc184310341"/>
      <w:bookmarkEnd w:id="369"/>
      <w:bookmarkStart w:id="370" w:name="_Toc184312087"/>
      <w:bookmarkEnd w:id="370"/>
      <w:bookmarkStart w:id="371" w:name="_Toc184312137"/>
      <w:bookmarkEnd w:id="371"/>
      <w:bookmarkStart w:id="372" w:name="_Toc184310304"/>
      <w:bookmarkEnd w:id="372"/>
      <w:bookmarkStart w:id="373" w:name="_Toc184312071"/>
      <w:bookmarkEnd w:id="373"/>
      <w:bookmarkStart w:id="374" w:name="_Toc184310326"/>
      <w:bookmarkEnd w:id="374"/>
      <w:bookmarkStart w:id="375" w:name="_Toc184312096"/>
      <w:bookmarkEnd w:id="375"/>
      <w:bookmarkStart w:id="376" w:name="_Toc184310285"/>
      <w:bookmarkEnd w:id="376"/>
      <w:bookmarkStart w:id="377" w:name="_Toc184308105"/>
      <w:bookmarkEnd w:id="377"/>
      <w:bookmarkStart w:id="378" w:name="_Toc184310284"/>
      <w:bookmarkEnd w:id="378"/>
      <w:bookmarkStart w:id="379" w:name="_Toc184314440"/>
      <w:bookmarkEnd w:id="379"/>
      <w:bookmarkStart w:id="380" w:name="_Toc184313251"/>
      <w:bookmarkEnd w:id="380"/>
      <w:bookmarkStart w:id="381" w:name="_Toc184312076"/>
      <w:bookmarkEnd w:id="381"/>
      <w:bookmarkStart w:id="382" w:name="_Toc184312139"/>
      <w:bookmarkEnd w:id="382"/>
      <w:bookmarkStart w:id="383" w:name="_Toc184312084"/>
      <w:bookmarkEnd w:id="383"/>
      <w:bookmarkStart w:id="384" w:name="_Toc184308038"/>
      <w:bookmarkEnd w:id="384"/>
      <w:bookmarkStart w:id="385" w:name="_Toc184308106"/>
      <w:bookmarkEnd w:id="385"/>
      <w:bookmarkStart w:id="386" w:name="_Toc184312085"/>
      <w:bookmarkEnd w:id="386"/>
      <w:bookmarkStart w:id="387" w:name="_Toc184308060"/>
      <w:bookmarkEnd w:id="387"/>
      <w:bookmarkStart w:id="388" w:name="_Toc184314436"/>
      <w:bookmarkEnd w:id="388"/>
      <w:bookmarkStart w:id="389" w:name="_Toc184314423"/>
      <w:bookmarkEnd w:id="389"/>
      <w:bookmarkStart w:id="390" w:name="_Toc184308087"/>
      <w:bookmarkEnd w:id="390"/>
      <w:bookmarkStart w:id="391" w:name="_Toc184313252"/>
      <w:bookmarkEnd w:id="391"/>
      <w:bookmarkStart w:id="392" w:name="_Toc184312067"/>
      <w:bookmarkEnd w:id="392"/>
      <w:bookmarkStart w:id="393" w:name="_Toc184313272"/>
      <w:bookmarkEnd w:id="393"/>
      <w:bookmarkStart w:id="394" w:name="_Toc184313295"/>
      <w:bookmarkEnd w:id="394"/>
      <w:bookmarkStart w:id="395" w:name="_Toc184314482"/>
      <w:bookmarkEnd w:id="395"/>
      <w:r>
        <w:rPr>
          <w:rFonts w:hint="eastAsia" w:asciiTheme="minorEastAsia" w:hAnsiTheme="minorEastAsia" w:eastAsiaTheme="minorEastAsia" w:cstheme="minorEastAsia"/>
          <w:b/>
          <w:color w:val="auto"/>
          <w:sz w:val="36"/>
          <w:szCs w:val="36"/>
          <w:highlight w:val="none"/>
        </w:rPr>
        <w:t>评审办法</w:t>
      </w:r>
    </w:p>
    <w:p w14:paraId="734902ED">
      <w:pPr>
        <w:snapToGrid w:val="0"/>
        <w:spacing w:line="360" w:lineRule="auto"/>
        <w:jc w:val="center"/>
        <w:rPr>
          <w:rFonts w:asciiTheme="minorEastAsia" w:hAnsiTheme="minorEastAsia" w:eastAsiaTheme="minorEastAsia" w:cstheme="minorEastAsia"/>
          <w:color w:val="auto"/>
          <w:sz w:val="28"/>
          <w:highlight w:val="none"/>
        </w:rPr>
      </w:pPr>
      <w:r>
        <w:rPr>
          <w:rFonts w:hint="eastAsia" w:asciiTheme="minorEastAsia" w:hAnsiTheme="minorEastAsia" w:eastAsiaTheme="minorEastAsia" w:cstheme="minorEastAsia"/>
          <w:b/>
          <w:color w:val="auto"/>
          <w:sz w:val="32"/>
          <w:szCs w:val="20"/>
          <w:highlight w:val="none"/>
        </w:rPr>
        <w:t>评审办法前附表</w:t>
      </w:r>
    </w:p>
    <w:tbl>
      <w:tblPr>
        <w:tblStyle w:val="24"/>
        <w:tblW w:w="1010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24"/>
        <w:gridCol w:w="1150"/>
        <w:gridCol w:w="8330"/>
      </w:tblGrid>
      <w:tr w14:paraId="26583E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noWrap w:val="0"/>
            <w:vAlign w:val="center"/>
          </w:tcPr>
          <w:p w14:paraId="5FA583D5">
            <w:pPr>
              <w:pageBreakBefore w:val="0"/>
              <w:kinsoku/>
              <w:wordWrap/>
              <w:overflowPunct/>
              <w:topLinePunct w:val="0"/>
              <w:bidi w:val="0"/>
              <w:spacing w:line="360" w:lineRule="auto"/>
              <w:rPr>
                <w:color w:val="auto"/>
                <w:szCs w:val="21"/>
                <w:highlight w:val="none"/>
              </w:rPr>
            </w:pPr>
          </w:p>
        </w:tc>
        <w:tc>
          <w:tcPr>
            <w:tcW w:w="1150" w:type="dxa"/>
            <w:noWrap w:val="0"/>
            <w:vAlign w:val="center"/>
          </w:tcPr>
          <w:p w14:paraId="6A186166">
            <w:pPr>
              <w:pageBreakBefore w:val="0"/>
              <w:kinsoku/>
              <w:wordWrap/>
              <w:overflowPunct/>
              <w:topLinePunct w:val="0"/>
              <w:bidi w:val="0"/>
              <w:spacing w:line="360" w:lineRule="auto"/>
              <w:jc w:val="center"/>
              <w:rPr>
                <w:color w:val="auto"/>
                <w:szCs w:val="21"/>
                <w:highlight w:val="none"/>
              </w:rPr>
            </w:pPr>
            <w:r>
              <w:rPr>
                <w:rFonts w:hint="eastAsia"/>
                <w:color w:val="auto"/>
                <w:highlight w:val="none"/>
              </w:rPr>
              <w:t>项目</w:t>
            </w:r>
          </w:p>
        </w:tc>
        <w:tc>
          <w:tcPr>
            <w:tcW w:w="8330" w:type="dxa"/>
            <w:noWrap w:val="0"/>
            <w:vAlign w:val="center"/>
          </w:tcPr>
          <w:p w14:paraId="3E096240">
            <w:pPr>
              <w:pageBreakBefore w:val="0"/>
              <w:tabs>
                <w:tab w:val="left" w:pos="4915"/>
              </w:tabs>
              <w:kinsoku/>
              <w:wordWrap/>
              <w:overflowPunct/>
              <w:topLinePunct w:val="0"/>
              <w:bidi w:val="0"/>
              <w:spacing w:line="360" w:lineRule="auto"/>
              <w:jc w:val="center"/>
              <w:rPr>
                <w:color w:val="auto"/>
                <w:szCs w:val="21"/>
                <w:highlight w:val="none"/>
              </w:rPr>
            </w:pPr>
            <w:r>
              <w:rPr>
                <w:rFonts w:hint="eastAsia"/>
                <w:color w:val="auto"/>
                <w:highlight w:val="none"/>
              </w:rPr>
              <w:t>评分细则</w:t>
            </w:r>
          </w:p>
        </w:tc>
      </w:tr>
      <w:tr w14:paraId="0264A5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624" w:type="dxa"/>
            <w:vMerge w:val="restart"/>
            <w:noWrap w:val="0"/>
            <w:vAlign w:val="center"/>
          </w:tcPr>
          <w:p w14:paraId="1BE3DAE7">
            <w:pPr>
              <w:pageBreakBefore w:val="0"/>
              <w:kinsoku/>
              <w:wordWrap/>
              <w:overflowPunct/>
              <w:topLinePunct w:val="0"/>
              <w:bidi w:val="0"/>
              <w:spacing w:line="360" w:lineRule="auto"/>
              <w:rPr>
                <w:color w:val="auto"/>
                <w:szCs w:val="21"/>
                <w:highlight w:val="none"/>
              </w:rPr>
            </w:pPr>
            <w:r>
              <w:rPr>
                <w:color w:val="auto"/>
                <w:szCs w:val="21"/>
                <w:highlight w:val="none"/>
              </w:rPr>
              <w:t>技术资信</w:t>
            </w:r>
            <w:r>
              <w:rPr>
                <w:rFonts w:hint="eastAsia"/>
                <w:color w:val="auto"/>
                <w:szCs w:val="21"/>
                <w:highlight w:val="none"/>
              </w:rPr>
              <w:t>部分</w:t>
            </w:r>
            <w:r>
              <w:rPr>
                <w:rFonts w:hint="eastAsia"/>
                <w:color w:val="auto"/>
                <w:szCs w:val="21"/>
                <w:highlight w:val="none"/>
                <w:lang w:val="en-US" w:eastAsia="zh-CN"/>
              </w:rPr>
              <w:t>65</w:t>
            </w:r>
            <w:r>
              <w:rPr>
                <w:color w:val="auto"/>
                <w:szCs w:val="21"/>
                <w:highlight w:val="none"/>
              </w:rPr>
              <w:t>分</w:t>
            </w:r>
          </w:p>
        </w:tc>
        <w:tc>
          <w:tcPr>
            <w:tcW w:w="1150" w:type="dxa"/>
            <w:noWrap w:val="0"/>
            <w:vAlign w:val="center"/>
          </w:tcPr>
          <w:p w14:paraId="6EF7C441">
            <w:pPr>
              <w:pageBreakBefore w:val="0"/>
              <w:numPr>
                <w:ilvl w:val="0"/>
                <w:numId w:val="0"/>
              </w:numPr>
              <w:tabs>
                <w:tab w:val="left" w:pos="4915"/>
              </w:tabs>
              <w:kinsoku/>
              <w:wordWrap/>
              <w:overflowPunct/>
              <w:topLinePunct w:val="0"/>
              <w:bidi w:val="0"/>
              <w:spacing w:line="360" w:lineRule="auto"/>
              <w:rPr>
                <w:rFonts w:hint="eastAsia" w:ascii="Calibri" w:hAnsi="Calibri" w:eastAsia="宋体" w:cs="宋体"/>
                <w:color w:val="auto"/>
                <w:kern w:val="2"/>
                <w:sz w:val="21"/>
                <w:szCs w:val="21"/>
                <w:highlight w:val="none"/>
                <w:lang w:val="en-US" w:eastAsia="zh-CN" w:bidi="ar-SA"/>
              </w:rPr>
            </w:pPr>
            <w:r>
              <w:rPr>
                <w:rFonts w:hint="eastAsia" w:ascii="Calibri" w:hAnsi="Calibri" w:eastAsia="宋体" w:cs="宋体"/>
                <w:color w:val="auto"/>
                <w:kern w:val="2"/>
                <w:sz w:val="21"/>
                <w:szCs w:val="21"/>
                <w:highlight w:val="none"/>
                <w:lang w:val="en-US" w:eastAsia="zh-CN" w:bidi="ar-SA"/>
              </w:rPr>
              <w:t>项目主要技术要求</w:t>
            </w:r>
          </w:p>
          <w:p w14:paraId="2202B9F3">
            <w:pPr>
              <w:pageBreakBefore w:val="0"/>
              <w:numPr>
                <w:ilvl w:val="0"/>
                <w:numId w:val="0"/>
              </w:numPr>
              <w:tabs>
                <w:tab w:val="left" w:pos="4915"/>
              </w:tabs>
              <w:kinsoku/>
              <w:wordWrap/>
              <w:overflowPunct/>
              <w:topLinePunct w:val="0"/>
              <w:bidi w:val="0"/>
              <w:spacing w:line="360" w:lineRule="auto"/>
              <w:rPr>
                <w:rFonts w:hint="eastAsia" w:ascii="Calibri" w:hAnsi="Calibri" w:eastAsia="宋体" w:cs="宋体"/>
                <w:color w:val="auto"/>
                <w:kern w:val="2"/>
                <w:sz w:val="21"/>
                <w:szCs w:val="21"/>
                <w:highlight w:val="none"/>
                <w:lang w:val="en-US" w:eastAsia="zh-CN" w:bidi="ar-SA"/>
              </w:rPr>
            </w:pPr>
            <w:r>
              <w:rPr>
                <w:rFonts w:hint="eastAsia" w:ascii="Calibri" w:hAnsi="Calibri" w:eastAsia="宋体" w:cs="宋体"/>
                <w:color w:val="auto"/>
                <w:kern w:val="2"/>
                <w:sz w:val="21"/>
                <w:szCs w:val="21"/>
                <w:highlight w:val="none"/>
                <w:lang w:val="en-US" w:eastAsia="zh-CN" w:bidi="ar-SA"/>
              </w:rPr>
              <w:t>响应情况</w:t>
            </w:r>
          </w:p>
          <w:p w14:paraId="0ADDB29A">
            <w:pPr>
              <w:pageBreakBefore w:val="0"/>
              <w:numPr>
                <w:ilvl w:val="0"/>
                <w:numId w:val="0"/>
              </w:numPr>
              <w:tabs>
                <w:tab w:val="left" w:pos="4915"/>
              </w:tabs>
              <w:kinsoku/>
              <w:wordWrap/>
              <w:overflowPunct/>
              <w:topLinePunct w:val="0"/>
              <w:bidi w:val="0"/>
              <w:spacing w:line="360" w:lineRule="auto"/>
              <w:rPr>
                <w:color w:val="auto"/>
                <w:szCs w:val="21"/>
                <w:highlight w:val="none"/>
              </w:rPr>
            </w:pPr>
            <w:r>
              <w:rPr>
                <w:rFonts w:hint="eastAsia" w:ascii="Calibri" w:hAnsi="Calibri" w:eastAsia="宋体" w:cs="宋体"/>
                <w:color w:val="auto"/>
                <w:kern w:val="2"/>
                <w:sz w:val="21"/>
                <w:szCs w:val="21"/>
                <w:highlight w:val="none"/>
                <w:lang w:val="en-US" w:eastAsia="zh-CN" w:bidi="ar-SA"/>
              </w:rPr>
              <w:t>（15分）</w:t>
            </w:r>
          </w:p>
        </w:tc>
        <w:tc>
          <w:tcPr>
            <w:tcW w:w="8330" w:type="dxa"/>
            <w:noWrap w:val="0"/>
            <w:vAlign w:val="center"/>
          </w:tcPr>
          <w:p w14:paraId="66DEAAC6">
            <w:pPr>
              <w:pageBreakBefore w:val="0"/>
              <w:numPr>
                <w:ilvl w:val="0"/>
                <w:numId w:val="0"/>
              </w:numPr>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1、项目技术要求</w:t>
            </w:r>
            <w:r>
              <w:rPr>
                <w:rFonts w:hint="eastAsia" w:cs="宋体"/>
                <w:color w:val="auto"/>
                <w:szCs w:val="21"/>
                <w:highlight w:val="none"/>
              </w:rPr>
              <w:t>响应情况（</w:t>
            </w:r>
            <w:r>
              <w:rPr>
                <w:rFonts w:hint="eastAsia" w:cs="宋体"/>
                <w:color w:val="auto"/>
                <w:szCs w:val="21"/>
                <w:highlight w:val="none"/>
                <w:lang w:val="en-US" w:eastAsia="zh-CN"/>
              </w:rPr>
              <w:t>15</w:t>
            </w:r>
            <w:r>
              <w:rPr>
                <w:rFonts w:hint="eastAsia" w:cs="宋体"/>
                <w:color w:val="auto"/>
                <w:szCs w:val="21"/>
                <w:highlight w:val="none"/>
              </w:rPr>
              <w:t>分）</w:t>
            </w:r>
          </w:p>
          <w:p w14:paraId="637A2941">
            <w:pPr>
              <w:pageBreakBefore w:val="0"/>
              <w:numPr>
                <w:ilvl w:val="0"/>
                <w:numId w:val="0"/>
              </w:numPr>
              <w:tabs>
                <w:tab w:val="left" w:pos="4915"/>
              </w:tabs>
              <w:kinsoku/>
              <w:wordWrap/>
              <w:overflowPunct/>
              <w:topLinePunct w:val="0"/>
              <w:bidi w:val="0"/>
              <w:spacing w:line="360" w:lineRule="auto"/>
              <w:rPr>
                <w:rFonts w:hint="default" w:cs="宋体"/>
                <w:color w:val="auto"/>
                <w:szCs w:val="21"/>
                <w:highlight w:val="none"/>
                <w:lang w:val="en-US" w:eastAsia="zh-CN"/>
              </w:rPr>
            </w:pPr>
            <w:r>
              <w:rPr>
                <w:rFonts w:hint="eastAsia" w:ascii="Calibri" w:hAnsi="Calibri" w:eastAsia="宋体" w:cs="宋体"/>
                <w:color w:val="auto"/>
                <w:kern w:val="2"/>
                <w:sz w:val="21"/>
                <w:szCs w:val="21"/>
                <w:highlight w:val="none"/>
                <w:lang w:val="en-US" w:eastAsia="zh-CN" w:bidi="ar-SA"/>
              </w:rPr>
              <w:t>响应文件对“采购文件第三部分采购需求”的响应情况：全部满足采购文件要求的得</w:t>
            </w:r>
            <w:r>
              <w:rPr>
                <w:rFonts w:hint="eastAsia" w:eastAsia="宋体" w:cs="宋体"/>
                <w:color w:val="auto"/>
                <w:kern w:val="2"/>
                <w:sz w:val="21"/>
                <w:szCs w:val="21"/>
                <w:highlight w:val="none"/>
                <w:lang w:val="en-US" w:eastAsia="zh-CN" w:bidi="ar-SA"/>
              </w:rPr>
              <w:t>1</w:t>
            </w:r>
            <w:r>
              <w:rPr>
                <w:rFonts w:hint="eastAsia" w:cs="宋体"/>
                <w:color w:val="auto"/>
                <w:kern w:val="2"/>
                <w:sz w:val="21"/>
                <w:szCs w:val="21"/>
                <w:highlight w:val="none"/>
                <w:lang w:val="en-US" w:eastAsia="zh-CN" w:bidi="ar-SA"/>
              </w:rPr>
              <w:t>5</w:t>
            </w:r>
            <w:r>
              <w:rPr>
                <w:rFonts w:hint="eastAsia" w:ascii="Calibri" w:hAnsi="Calibri" w:eastAsia="宋体" w:cs="宋体"/>
                <w:color w:val="auto"/>
                <w:kern w:val="2"/>
                <w:sz w:val="21"/>
                <w:szCs w:val="21"/>
                <w:highlight w:val="none"/>
                <w:lang w:val="en-US" w:eastAsia="zh-CN" w:bidi="ar-SA"/>
              </w:rPr>
              <w:t>分，每负偏离一项扣1分，扣完为止。标有“▲”的</w:t>
            </w:r>
            <w:r>
              <w:rPr>
                <w:rFonts w:hint="eastAsia" w:eastAsia="宋体" w:cs="宋体"/>
                <w:color w:val="auto"/>
                <w:kern w:val="2"/>
                <w:sz w:val="21"/>
                <w:szCs w:val="21"/>
                <w:highlight w:val="none"/>
                <w:lang w:val="en-US" w:eastAsia="zh-CN" w:bidi="ar-SA"/>
              </w:rPr>
              <w:t>服务要求有</w:t>
            </w:r>
            <w:r>
              <w:rPr>
                <w:rFonts w:hint="eastAsia" w:ascii="Calibri" w:hAnsi="Calibri" w:eastAsia="宋体" w:cs="宋体"/>
                <w:color w:val="auto"/>
                <w:kern w:val="2"/>
                <w:sz w:val="21"/>
                <w:szCs w:val="21"/>
                <w:highlight w:val="none"/>
                <w:lang w:val="en-US" w:eastAsia="zh-CN" w:bidi="ar-SA"/>
              </w:rPr>
              <w:t>负偏离</w:t>
            </w:r>
            <w:r>
              <w:rPr>
                <w:rFonts w:hint="eastAsia" w:eastAsia="宋体" w:cs="宋体"/>
                <w:color w:val="auto"/>
                <w:kern w:val="2"/>
                <w:sz w:val="21"/>
                <w:szCs w:val="21"/>
                <w:highlight w:val="none"/>
                <w:lang w:val="en-US" w:eastAsia="zh-CN" w:bidi="ar-SA"/>
              </w:rPr>
              <w:t>的</w:t>
            </w:r>
            <w:r>
              <w:rPr>
                <w:rFonts w:hint="eastAsia" w:ascii="Calibri" w:hAnsi="Calibri" w:eastAsia="宋体" w:cs="宋体"/>
                <w:color w:val="auto"/>
                <w:kern w:val="2"/>
                <w:sz w:val="21"/>
                <w:szCs w:val="21"/>
                <w:highlight w:val="none"/>
                <w:lang w:val="en-US" w:eastAsia="zh-CN" w:bidi="ar-SA"/>
              </w:rPr>
              <w:t>作无效标处理。</w:t>
            </w:r>
          </w:p>
        </w:tc>
      </w:tr>
      <w:tr w14:paraId="013A6F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66" w:hRule="atLeast"/>
        </w:trPr>
        <w:tc>
          <w:tcPr>
            <w:tcW w:w="624" w:type="dxa"/>
            <w:vMerge w:val="continue"/>
            <w:noWrap w:val="0"/>
            <w:vAlign w:val="center"/>
          </w:tcPr>
          <w:p w14:paraId="0C34F074">
            <w:pPr>
              <w:pageBreakBefore w:val="0"/>
              <w:widowControl/>
              <w:kinsoku/>
              <w:wordWrap/>
              <w:overflowPunct/>
              <w:topLinePunct w:val="0"/>
              <w:bidi w:val="0"/>
              <w:spacing w:line="360" w:lineRule="auto"/>
              <w:jc w:val="left"/>
              <w:rPr>
                <w:color w:val="auto"/>
                <w:szCs w:val="21"/>
                <w:highlight w:val="none"/>
              </w:rPr>
            </w:pPr>
          </w:p>
        </w:tc>
        <w:tc>
          <w:tcPr>
            <w:tcW w:w="1150" w:type="dxa"/>
            <w:vMerge w:val="restart"/>
            <w:noWrap w:val="0"/>
            <w:vAlign w:val="center"/>
          </w:tcPr>
          <w:p w14:paraId="2A7591C6">
            <w:pPr>
              <w:pageBreakBefore w:val="0"/>
              <w:kinsoku/>
              <w:wordWrap/>
              <w:overflowPunct/>
              <w:topLinePunct w:val="0"/>
              <w:bidi w:val="0"/>
              <w:spacing w:line="360" w:lineRule="auto"/>
              <w:jc w:val="center"/>
              <w:rPr>
                <w:rFonts w:hint="eastAsia"/>
                <w:color w:val="auto"/>
                <w:szCs w:val="21"/>
                <w:highlight w:val="none"/>
              </w:rPr>
            </w:pPr>
            <w:r>
              <w:rPr>
                <w:rFonts w:hint="eastAsia"/>
                <w:color w:val="auto"/>
                <w:szCs w:val="21"/>
                <w:highlight w:val="none"/>
              </w:rPr>
              <w:t>施工组织方案</w:t>
            </w:r>
          </w:p>
          <w:p w14:paraId="13375573">
            <w:pPr>
              <w:pageBreakBefore w:val="0"/>
              <w:kinsoku/>
              <w:wordWrap/>
              <w:overflowPunct/>
              <w:topLinePunct w:val="0"/>
              <w:bidi w:val="0"/>
              <w:spacing w:line="360" w:lineRule="auto"/>
              <w:jc w:val="center"/>
              <w:rPr>
                <w:color w:val="auto"/>
                <w:szCs w:val="21"/>
                <w:highlight w:val="none"/>
              </w:rPr>
            </w:pPr>
            <w:r>
              <w:rPr>
                <w:color w:val="auto"/>
                <w:szCs w:val="21"/>
                <w:highlight w:val="none"/>
              </w:rPr>
              <w:t>（</w:t>
            </w:r>
            <w:r>
              <w:rPr>
                <w:rFonts w:hint="eastAsia"/>
                <w:color w:val="auto"/>
                <w:szCs w:val="21"/>
                <w:highlight w:val="none"/>
              </w:rPr>
              <w:t>3</w:t>
            </w:r>
            <w:r>
              <w:rPr>
                <w:rFonts w:hint="eastAsia"/>
                <w:color w:val="auto"/>
                <w:szCs w:val="21"/>
                <w:highlight w:val="none"/>
                <w:lang w:val="en-US" w:eastAsia="zh-CN"/>
              </w:rPr>
              <w:t>0</w:t>
            </w:r>
            <w:r>
              <w:rPr>
                <w:color w:val="auto"/>
                <w:szCs w:val="21"/>
                <w:highlight w:val="none"/>
              </w:rPr>
              <w:t>分）</w:t>
            </w:r>
          </w:p>
        </w:tc>
        <w:tc>
          <w:tcPr>
            <w:tcW w:w="8330" w:type="dxa"/>
            <w:noWrap w:val="0"/>
            <w:vAlign w:val="center"/>
          </w:tcPr>
          <w:p w14:paraId="076F980C">
            <w:pPr>
              <w:pageBreakBefore w:val="0"/>
              <w:numPr>
                <w:ilvl w:val="0"/>
                <w:numId w:val="3"/>
              </w:numPr>
              <w:tabs>
                <w:tab w:val="left" w:pos="4915"/>
              </w:tabs>
              <w:kinsoku/>
              <w:wordWrap/>
              <w:overflowPunct/>
              <w:topLinePunct w:val="0"/>
              <w:bidi w:val="0"/>
              <w:spacing w:line="360" w:lineRule="auto"/>
              <w:rPr>
                <w:rFonts w:hint="eastAsia" w:cs="宋体"/>
                <w:color w:val="auto"/>
                <w:szCs w:val="21"/>
                <w:highlight w:val="none"/>
                <w:lang w:val="en-US" w:eastAsia="zh-CN"/>
              </w:rPr>
            </w:pPr>
            <w:r>
              <w:rPr>
                <w:rFonts w:hint="eastAsia" w:cs="宋体"/>
                <w:color w:val="auto"/>
                <w:szCs w:val="21"/>
                <w:highlight w:val="none"/>
                <w:lang w:val="en-US" w:eastAsia="zh-CN"/>
              </w:rPr>
              <w:t>项目背景调查（5分）</w:t>
            </w:r>
          </w:p>
          <w:p w14:paraId="7298C1A3">
            <w:pPr>
              <w:pageBreakBefore w:val="0"/>
              <w:numPr>
                <w:ilvl w:val="0"/>
                <w:numId w:val="0"/>
              </w:numPr>
              <w:tabs>
                <w:tab w:val="left" w:pos="4915"/>
              </w:tabs>
              <w:kinsoku/>
              <w:wordWrap/>
              <w:overflowPunct/>
              <w:topLinePunct w:val="0"/>
              <w:bidi w:val="0"/>
              <w:spacing w:line="360" w:lineRule="auto"/>
              <w:rPr>
                <w:rFonts w:hint="default" w:eastAsia="宋体" w:cs="宋体"/>
                <w:color w:val="auto"/>
                <w:szCs w:val="21"/>
                <w:highlight w:val="none"/>
                <w:lang w:val="en-US" w:eastAsia="zh-CN"/>
              </w:rPr>
            </w:pPr>
            <w:r>
              <w:rPr>
                <w:rFonts w:hint="eastAsia" w:cs="宋体"/>
                <w:color w:val="auto"/>
                <w:szCs w:val="21"/>
                <w:highlight w:val="none"/>
              </w:rPr>
              <w:t>评委对</w:t>
            </w:r>
            <w:r>
              <w:rPr>
                <w:rFonts w:hint="eastAsia" w:cs="宋体"/>
                <w:color w:val="auto"/>
                <w:szCs w:val="21"/>
                <w:highlight w:val="none"/>
                <w:lang w:val="en-US" w:eastAsia="zh-CN"/>
              </w:rPr>
              <w:t>供应商根据目前项目情况所进行的调查和分析</w:t>
            </w:r>
            <w:r>
              <w:rPr>
                <w:rFonts w:hint="eastAsia" w:cs="宋体"/>
                <w:color w:val="auto"/>
                <w:szCs w:val="21"/>
                <w:highlight w:val="none"/>
              </w:rPr>
              <w:t>进行综合评议并打分：方案完全符合本项目需求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调查充分、分析全面</w:t>
            </w:r>
            <w:r>
              <w:rPr>
                <w:rFonts w:hint="eastAsia" w:cs="宋体"/>
                <w:color w:val="auto"/>
                <w:szCs w:val="21"/>
                <w:highlight w:val="none"/>
              </w:rPr>
              <w:t>的得5分</w:t>
            </w:r>
            <w:r>
              <w:rPr>
                <w:rFonts w:hint="eastAsia" w:cs="宋体"/>
                <w:color w:val="auto"/>
                <w:szCs w:val="21"/>
                <w:highlight w:val="none"/>
                <w:lang w:eastAsia="zh-CN"/>
              </w:rPr>
              <w:t>；</w:t>
            </w:r>
            <w:r>
              <w:rPr>
                <w:rFonts w:hint="eastAsia" w:cs="宋体"/>
                <w:color w:val="auto"/>
                <w:szCs w:val="21"/>
                <w:highlight w:val="none"/>
              </w:rPr>
              <w:t>方案能满足项目的</w:t>
            </w:r>
            <w:r>
              <w:rPr>
                <w:rFonts w:hint="eastAsia" w:cs="宋体"/>
                <w:color w:val="auto"/>
                <w:szCs w:val="21"/>
                <w:highlight w:val="none"/>
                <w:lang w:val="en-US" w:eastAsia="zh-CN"/>
              </w:rPr>
              <w:t>主体</w:t>
            </w:r>
            <w:r>
              <w:rPr>
                <w:rFonts w:hint="eastAsia" w:cs="宋体"/>
                <w:color w:val="auto"/>
                <w:szCs w:val="21"/>
                <w:highlight w:val="none"/>
              </w:rPr>
              <w:t>需求，</w:t>
            </w:r>
            <w:r>
              <w:rPr>
                <w:rFonts w:hint="eastAsia" w:cs="宋体"/>
                <w:color w:val="auto"/>
                <w:szCs w:val="21"/>
                <w:highlight w:val="none"/>
                <w:lang w:val="en-US" w:eastAsia="zh-CN"/>
              </w:rPr>
              <w:t>调查不够充分、分析不够全面</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方案有明显缺漏项</w:t>
            </w:r>
            <w:r>
              <w:rPr>
                <w:rFonts w:hint="eastAsia" w:cs="宋体"/>
                <w:color w:val="auto"/>
                <w:szCs w:val="21"/>
                <w:highlight w:val="none"/>
                <w:lang w:val="en-US" w:eastAsia="zh-CN"/>
              </w:rPr>
              <w:t>或没有针对性</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05CBB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03" w:hRule="atLeast"/>
        </w:trPr>
        <w:tc>
          <w:tcPr>
            <w:tcW w:w="624" w:type="dxa"/>
            <w:vMerge w:val="continue"/>
            <w:noWrap w:val="0"/>
            <w:vAlign w:val="center"/>
          </w:tcPr>
          <w:p w14:paraId="1FAAFECC">
            <w:pPr>
              <w:pageBreakBefore w:val="0"/>
              <w:widowControl/>
              <w:kinsoku/>
              <w:wordWrap/>
              <w:overflowPunct/>
              <w:topLinePunct w:val="0"/>
              <w:bidi w:val="0"/>
              <w:spacing w:line="360" w:lineRule="auto"/>
              <w:jc w:val="left"/>
              <w:rPr>
                <w:color w:val="auto"/>
                <w:szCs w:val="21"/>
                <w:highlight w:val="none"/>
              </w:rPr>
            </w:pPr>
          </w:p>
        </w:tc>
        <w:tc>
          <w:tcPr>
            <w:tcW w:w="1150" w:type="dxa"/>
            <w:vMerge w:val="continue"/>
            <w:noWrap w:val="0"/>
            <w:vAlign w:val="center"/>
          </w:tcPr>
          <w:p w14:paraId="53F87BDE">
            <w:pPr>
              <w:pageBreakBefore w:val="0"/>
              <w:widowControl/>
              <w:kinsoku/>
              <w:wordWrap/>
              <w:overflowPunct/>
              <w:topLinePunct w:val="0"/>
              <w:bidi w:val="0"/>
              <w:spacing w:line="360" w:lineRule="auto"/>
              <w:jc w:val="left"/>
              <w:rPr>
                <w:color w:val="auto"/>
                <w:szCs w:val="21"/>
                <w:highlight w:val="none"/>
              </w:rPr>
            </w:pPr>
          </w:p>
        </w:tc>
        <w:tc>
          <w:tcPr>
            <w:tcW w:w="8330" w:type="dxa"/>
            <w:noWrap w:val="0"/>
            <w:vAlign w:val="center"/>
          </w:tcPr>
          <w:p w14:paraId="7EB7168A">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3、</w:t>
            </w:r>
            <w:r>
              <w:rPr>
                <w:rFonts w:hint="eastAsia" w:cs="宋体"/>
                <w:color w:val="auto"/>
                <w:szCs w:val="21"/>
                <w:highlight w:val="none"/>
              </w:rPr>
              <w:t>施工组织方案</w:t>
            </w:r>
            <w:r>
              <w:rPr>
                <w:rFonts w:hint="eastAsia" w:cs="宋体"/>
                <w:color w:val="auto"/>
                <w:szCs w:val="21"/>
                <w:highlight w:val="none"/>
                <w:lang w:val="en-US" w:eastAsia="zh-CN"/>
              </w:rPr>
              <w:t>实施</w:t>
            </w:r>
            <w:r>
              <w:rPr>
                <w:rFonts w:hint="eastAsia" w:cs="宋体"/>
                <w:color w:val="auto"/>
                <w:szCs w:val="21"/>
                <w:highlight w:val="none"/>
              </w:rPr>
              <w:t>（5分）</w:t>
            </w:r>
          </w:p>
          <w:p w14:paraId="37A84544">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评委对整体施工组织方案进行综合评议并打分：方案完全符合本项目需求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工程关键节点分析准确、把控得当</w:t>
            </w:r>
            <w:r>
              <w:rPr>
                <w:rFonts w:hint="eastAsia" w:cs="宋体"/>
                <w:color w:val="auto"/>
                <w:szCs w:val="21"/>
                <w:highlight w:val="none"/>
              </w:rPr>
              <w:t>的得5分</w:t>
            </w:r>
            <w:r>
              <w:rPr>
                <w:rFonts w:hint="eastAsia" w:cs="宋体"/>
                <w:color w:val="auto"/>
                <w:szCs w:val="21"/>
                <w:highlight w:val="none"/>
                <w:lang w:eastAsia="zh-CN"/>
              </w:rPr>
              <w:t>；</w:t>
            </w:r>
            <w:r>
              <w:rPr>
                <w:rFonts w:hint="eastAsia" w:cs="宋体"/>
                <w:color w:val="auto"/>
                <w:szCs w:val="21"/>
                <w:highlight w:val="none"/>
              </w:rPr>
              <w:t>方案能满足项目的</w:t>
            </w:r>
            <w:r>
              <w:rPr>
                <w:rFonts w:hint="eastAsia" w:cs="宋体"/>
                <w:color w:val="auto"/>
                <w:szCs w:val="21"/>
                <w:highlight w:val="none"/>
                <w:lang w:val="en-US" w:eastAsia="zh-CN"/>
              </w:rPr>
              <w:t>主体</w:t>
            </w:r>
            <w:r>
              <w:rPr>
                <w:rFonts w:hint="eastAsia" w:cs="宋体"/>
                <w:color w:val="auto"/>
                <w:szCs w:val="21"/>
                <w:highlight w:val="none"/>
              </w:rPr>
              <w:t>需求，</w:t>
            </w:r>
            <w:r>
              <w:rPr>
                <w:rFonts w:hint="eastAsia" w:cs="宋体"/>
                <w:color w:val="auto"/>
                <w:szCs w:val="21"/>
                <w:highlight w:val="none"/>
                <w:lang w:val="en-US" w:eastAsia="zh-CN"/>
              </w:rPr>
              <w:t>工程关键节点把控不够明确</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方案有明显缺漏项</w:t>
            </w:r>
            <w:r>
              <w:rPr>
                <w:rFonts w:hint="eastAsia" w:cs="宋体"/>
                <w:color w:val="auto"/>
                <w:szCs w:val="21"/>
                <w:highlight w:val="none"/>
                <w:lang w:val="en-US" w:eastAsia="zh-CN"/>
              </w:rPr>
              <w:t>或没有针对性</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951CF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4" w:type="dxa"/>
            <w:vMerge w:val="continue"/>
            <w:noWrap w:val="0"/>
            <w:vAlign w:val="center"/>
          </w:tcPr>
          <w:p w14:paraId="36C904E6">
            <w:pPr>
              <w:pageBreakBefore w:val="0"/>
              <w:widowControl/>
              <w:kinsoku/>
              <w:wordWrap/>
              <w:overflowPunct/>
              <w:topLinePunct w:val="0"/>
              <w:bidi w:val="0"/>
              <w:spacing w:line="360" w:lineRule="auto"/>
              <w:jc w:val="left"/>
              <w:rPr>
                <w:color w:val="auto"/>
                <w:szCs w:val="21"/>
                <w:highlight w:val="none"/>
              </w:rPr>
            </w:pPr>
          </w:p>
        </w:tc>
        <w:tc>
          <w:tcPr>
            <w:tcW w:w="1150" w:type="dxa"/>
            <w:vMerge w:val="continue"/>
            <w:noWrap w:val="0"/>
            <w:vAlign w:val="center"/>
          </w:tcPr>
          <w:p w14:paraId="1DB17A2E">
            <w:pPr>
              <w:pageBreakBefore w:val="0"/>
              <w:widowControl/>
              <w:kinsoku/>
              <w:wordWrap/>
              <w:overflowPunct/>
              <w:topLinePunct w:val="0"/>
              <w:bidi w:val="0"/>
              <w:spacing w:line="360" w:lineRule="auto"/>
              <w:jc w:val="left"/>
              <w:rPr>
                <w:color w:val="auto"/>
                <w:szCs w:val="21"/>
                <w:highlight w:val="none"/>
              </w:rPr>
            </w:pPr>
          </w:p>
        </w:tc>
        <w:tc>
          <w:tcPr>
            <w:tcW w:w="8330" w:type="dxa"/>
            <w:noWrap w:val="0"/>
            <w:vAlign w:val="center"/>
          </w:tcPr>
          <w:p w14:paraId="4F6C1D49">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4、</w:t>
            </w:r>
            <w:r>
              <w:rPr>
                <w:rFonts w:hint="eastAsia" w:cs="宋体"/>
                <w:color w:val="auto"/>
                <w:szCs w:val="21"/>
                <w:highlight w:val="none"/>
              </w:rPr>
              <w:t>工程质量保证措施（5分）</w:t>
            </w:r>
          </w:p>
          <w:p w14:paraId="43CE4316">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评委对工程质量保证措施进行综合评议并打分：</w:t>
            </w:r>
            <w:r>
              <w:rPr>
                <w:rFonts w:hint="eastAsia" w:cs="宋体"/>
                <w:color w:val="auto"/>
                <w:szCs w:val="21"/>
                <w:highlight w:val="none"/>
                <w:lang w:val="en-US" w:eastAsia="zh-CN"/>
              </w:rPr>
              <w:t>各项保证</w:t>
            </w:r>
            <w:r>
              <w:rPr>
                <w:rFonts w:hint="eastAsia" w:cs="宋体"/>
                <w:color w:val="auto"/>
                <w:szCs w:val="21"/>
                <w:highlight w:val="none"/>
              </w:rPr>
              <w:t>措施有力</w:t>
            </w:r>
            <w:r>
              <w:rPr>
                <w:rFonts w:hint="eastAsia" w:cs="宋体"/>
                <w:color w:val="auto"/>
                <w:szCs w:val="21"/>
                <w:highlight w:val="none"/>
                <w:lang w:eastAsia="zh-CN"/>
              </w:rPr>
              <w:t>、</w:t>
            </w:r>
            <w:r>
              <w:rPr>
                <w:rFonts w:hint="eastAsia" w:cs="宋体"/>
                <w:color w:val="auto"/>
                <w:szCs w:val="21"/>
                <w:highlight w:val="none"/>
                <w:lang w:val="en-US" w:eastAsia="zh-CN"/>
              </w:rPr>
              <w:t>符合行业规范</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措施上有</w:t>
            </w:r>
            <w:r>
              <w:rPr>
                <w:rFonts w:hint="eastAsia" w:cs="宋体"/>
                <w:color w:val="auto"/>
                <w:szCs w:val="21"/>
                <w:highlight w:val="none"/>
                <w:lang w:val="en-US" w:eastAsia="zh-CN"/>
              </w:rPr>
              <w:t>部分非主体内容的欠缺</w:t>
            </w:r>
            <w:r>
              <w:rPr>
                <w:rFonts w:hint="eastAsia" w:cs="宋体"/>
                <w:color w:val="auto"/>
                <w:szCs w:val="21"/>
                <w:highlight w:val="none"/>
              </w:rPr>
              <w:t>，</w:t>
            </w:r>
            <w:r>
              <w:rPr>
                <w:rFonts w:hint="eastAsia" w:cs="宋体"/>
                <w:color w:val="auto"/>
                <w:szCs w:val="21"/>
                <w:highlight w:val="none"/>
                <w:lang w:val="en-US" w:eastAsia="zh-CN"/>
              </w:rPr>
              <w:t>尚不影响履约</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w:t>
            </w:r>
            <w:r>
              <w:rPr>
                <w:rFonts w:hint="eastAsia" w:cs="宋体"/>
                <w:color w:val="auto"/>
                <w:szCs w:val="21"/>
                <w:highlight w:val="none"/>
                <w:lang w:val="en-US" w:eastAsia="zh-CN"/>
              </w:rPr>
              <w:t>上有主体内容的缺项</w:t>
            </w:r>
            <w:r>
              <w:rPr>
                <w:rFonts w:hint="eastAsia" w:cs="宋体"/>
                <w:color w:val="auto"/>
                <w:szCs w:val="21"/>
                <w:highlight w:val="none"/>
              </w:rPr>
              <w:t>或缺少具体</w:t>
            </w:r>
            <w:r>
              <w:rPr>
                <w:rFonts w:hint="eastAsia" w:cs="宋体"/>
                <w:color w:val="auto"/>
                <w:szCs w:val="21"/>
                <w:highlight w:val="none"/>
                <w:lang w:val="en-US" w:eastAsia="zh-CN"/>
              </w:rPr>
              <w:t>有效的保证措施</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保证满足项目需求的得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FDCF0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4" w:hRule="atLeast"/>
        </w:trPr>
        <w:tc>
          <w:tcPr>
            <w:tcW w:w="624" w:type="dxa"/>
            <w:vMerge w:val="continue"/>
            <w:noWrap w:val="0"/>
            <w:vAlign w:val="center"/>
          </w:tcPr>
          <w:p w14:paraId="4E1F5D37">
            <w:pPr>
              <w:pageBreakBefore w:val="0"/>
              <w:widowControl/>
              <w:kinsoku/>
              <w:wordWrap/>
              <w:overflowPunct/>
              <w:topLinePunct w:val="0"/>
              <w:bidi w:val="0"/>
              <w:spacing w:line="360" w:lineRule="auto"/>
              <w:jc w:val="left"/>
              <w:rPr>
                <w:color w:val="auto"/>
                <w:szCs w:val="21"/>
                <w:highlight w:val="none"/>
              </w:rPr>
            </w:pPr>
          </w:p>
        </w:tc>
        <w:tc>
          <w:tcPr>
            <w:tcW w:w="1150" w:type="dxa"/>
            <w:vMerge w:val="continue"/>
            <w:noWrap w:val="0"/>
            <w:vAlign w:val="center"/>
          </w:tcPr>
          <w:p w14:paraId="40374092">
            <w:pPr>
              <w:pageBreakBefore w:val="0"/>
              <w:widowControl/>
              <w:kinsoku/>
              <w:wordWrap/>
              <w:overflowPunct/>
              <w:topLinePunct w:val="0"/>
              <w:bidi w:val="0"/>
              <w:spacing w:line="360" w:lineRule="auto"/>
              <w:jc w:val="left"/>
              <w:rPr>
                <w:color w:val="auto"/>
                <w:szCs w:val="21"/>
                <w:highlight w:val="none"/>
              </w:rPr>
            </w:pPr>
          </w:p>
        </w:tc>
        <w:tc>
          <w:tcPr>
            <w:tcW w:w="8330" w:type="dxa"/>
            <w:noWrap w:val="0"/>
            <w:vAlign w:val="center"/>
          </w:tcPr>
          <w:p w14:paraId="3AB9AB41">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5、</w:t>
            </w:r>
            <w:r>
              <w:rPr>
                <w:rFonts w:hint="eastAsia" w:cs="宋体"/>
                <w:color w:val="auto"/>
                <w:szCs w:val="21"/>
                <w:highlight w:val="none"/>
              </w:rPr>
              <w:t>施工进度管理与控制（5分）</w:t>
            </w:r>
          </w:p>
          <w:p w14:paraId="23A92698">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评委对施工进度管理与控制进行综合评议并打分：</w:t>
            </w:r>
            <w:r>
              <w:rPr>
                <w:rFonts w:hint="eastAsia" w:cs="宋体"/>
                <w:color w:val="auto"/>
                <w:szCs w:val="21"/>
                <w:highlight w:val="none"/>
                <w:lang w:val="en-US" w:eastAsia="zh-CN"/>
              </w:rPr>
              <w:t>进度计划安排得当、各时间节点明确、项目工期有有效保障的得5分；进度安排尚能满足项目需求、部分时间节点不够明确或存在前松后紧的得3分；进度安排存在明显不合理之处、或时间节点混乱、难以保障项目工期的得1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8C188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624" w:type="dxa"/>
            <w:vMerge w:val="continue"/>
            <w:noWrap w:val="0"/>
            <w:vAlign w:val="center"/>
          </w:tcPr>
          <w:p w14:paraId="15FD7D87">
            <w:pPr>
              <w:pageBreakBefore w:val="0"/>
              <w:widowControl/>
              <w:kinsoku/>
              <w:wordWrap/>
              <w:overflowPunct/>
              <w:topLinePunct w:val="0"/>
              <w:bidi w:val="0"/>
              <w:spacing w:line="360" w:lineRule="auto"/>
              <w:jc w:val="left"/>
              <w:rPr>
                <w:color w:val="auto"/>
                <w:szCs w:val="21"/>
                <w:highlight w:val="none"/>
              </w:rPr>
            </w:pPr>
          </w:p>
        </w:tc>
        <w:tc>
          <w:tcPr>
            <w:tcW w:w="1150" w:type="dxa"/>
            <w:vMerge w:val="continue"/>
            <w:noWrap w:val="0"/>
            <w:vAlign w:val="center"/>
          </w:tcPr>
          <w:p w14:paraId="41A00AA6">
            <w:pPr>
              <w:pageBreakBefore w:val="0"/>
              <w:widowControl/>
              <w:kinsoku/>
              <w:wordWrap/>
              <w:overflowPunct/>
              <w:topLinePunct w:val="0"/>
              <w:bidi w:val="0"/>
              <w:spacing w:line="360" w:lineRule="auto"/>
              <w:jc w:val="left"/>
              <w:rPr>
                <w:color w:val="auto"/>
                <w:szCs w:val="21"/>
                <w:highlight w:val="none"/>
              </w:rPr>
            </w:pPr>
          </w:p>
        </w:tc>
        <w:tc>
          <w:tcPr>
            <w:tcW w:w="8330" w:type="dxa"/>
            <w:noWrap w:val="0"/>
            <w:vAlign w:val="center"/>
          </w:tcPr>
          <w:p w14:paraId="18B9EEE0">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6、</w:t>
            </w:r>
            <w:r>
              <w:rPr>
                <w:rFonts w:hint="eastAsia" w:cs="宋体"/>
                <w:color w:val="auto"/>
                <w:szCs w:val="21"/>
                <w:highlight w:val="none"/>
              </w:rPr>
              <w:t>安全生产、文明施工措施（5分）</w:t>
            </w:r>
          </w:p>
          <w:p w14:paraId="4035398C">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评委对安全生产、文明施工措施进行综合评议并打分：</w:t>
            </w:r>
            <w:r>
              <w:rPr>
                <w:rFonts w:hint="eastAsia" w:cs="宋体"/>
                <w:color w:val="auto"/>
                <w:szCs w:val="21"/>
                <w:highlight w:val="none"/>
                <w:lang w:val="en-US" w:eastAsia="zh-CN"/>
              </w:rPr>
              <w:t>对施工噪音、施工震动、施工扬尘等防治</w:t>
            </w:r>
            <w:r>
              <w:rPr>
                <w:rFonts w:hint="eastAsia" w:cs="宋体"/>
                <w:color w:val="auto"/>
                <w:szCs w:val="21"/>
                <w:highlight w:val="none"/>
              </w:rPr>
              <w:t>措施</w:t>
            </w:r>
            <w:r>
              <w:rPr>
                <w:rFonts w:hint="eastAsia" w:cs="宋体"/>
                <w:color w:val="auto"/>
                <w:szCs w:val="21"/>
                <w:highlight w:val="none"/>
                <w:lang w:val="en-US" w:eastAsia="zh-CN"/>
              </w:rPr>
              <w:t>具体有效</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措施上</w:t>
            </w:r>
            <w:r>
              <w:rPr>
                <w:rFonts w:hint="eastAsia" w:cs="宋体"/>
                <w:color w:val="auto"/>
                <w:szCs w:val="21"/>
                <w:highlight w:val="none"/>
                <w:lang w:val="en-US" w:eastAsia="zh-CN"/>
              </w:rPr>
              <w:t>存在细节</w:t>
            </w:r>
            <w:r>
              <w:rPr>
                <w:rFonts w:hint="eastAsia" w:cs="宋体"/>
                <w:color w:val="auto"/>
                <w:szCs w:val="21"/>
                <w:highlight w:val="none"/>
              </w:rPr>
              <w:t>部分欠缺，</w:t>
            </w:r>
            <w:r>
              <w:rPr>
                <w:rFonts w:hint="eastAsia" w:cs="宋体"/>
                <w:color w:val="auto"/>
                <w:szCs w:val="21"/>
                <w:highlight w:val="none"/>
                <w:lang w:val="en-US" w:eastAsia="zh-CN"/>
              </w:rPr>
              <w:t>尚不影响履约</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w:t>
            </w:r>
            <w:r>
              <w:rPr>
                <w:rFonts w:hint="eastAsia" w:cs="宋体"/>
                <w:color w:val="auto"/>
                <w:szCs w:val="21"/>
                <w:highlight w:val="none"/>
                <w:lang w:val="en-US" w:eastAsia="zh-CN"/>
              </w:rPr>
              <w:t>有缺项</w:t>
            </w:r>
            <w:r>
              <w:rPr>
                <w:rFonts w:hint="eastAsia" w:cs="宋体"/>
                <w:color w:val="auto"/>
                <w:szCs w:val="21"/>
                <w:highlight w:val="none"/>
              </w:rPr>
              <w:t>或缺少</w:t>
            </w:r>
            <w:r>
              <w:rPr>
                <w:rFonts w:hint="eastAsia" w:cs="宋体"/>
                <w:color w:val="auto"/>
                <w:szCs w:val="21"/>
                <w:highlight w:val="none"/>
                <w:lang w:val="en-US" w:eastAsia="zh-CN"/>
              </w:rPr>
              <w:t>有效防治手段</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2EADC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92" w:hRule="atLeast"/>
        </w:trPr>
        <w:tc>
          <w:tcPr>
            <w:tcW w:w="624" w:type="dxa"/>
            <w:vMerge w:val="continue"/>
            <w:noWrap w:val="0"/>
            <w:vAlign w:val="center"/>
          </w:tcPr>
          <w:p w14:paraId="5FE0CB1E">
            <w:pPr>
              <w:pageBreakBefore w:val="0"/>
              <w:widowControl/>
              <w:kinsoku/>
              <w:wordWrap/>
              <w:overflowPunct/>
              <w:topLinePunct w:val="0"/>
              <w:bidi w:val="0"/>
              <w:spacing w:line="360" w:lineRule="auto"/>
              <w:jc w:val="left"/>
              <w:rPr>
                <w:color w:val="auto"/>
                <w:szCs w:val="21"/>
                <w:highlight w:val="none"/>
              </w:rPr>
            </w:pPr>
          </w:p>
        </w:tc>
        <w:tc>
          <w:tcPr>
            <w:tcW w:w="1150" w:type="dxa"/>
            <w:vMerge w:val="continue"/>
            <w:noWrap w:val="0"/>
            <w:vAlign w:val="center"/>
          </w:tcPr>
          <w:p w14:paraId="403B67FB">
            <w:pPr>
              <w:pageBreakBefore w:val="0"/>
              <w:widowControl/>
              <w:kinsoku/>
              <w:wordWrap/>
              <w:overflowPunct/>
              <w:topLinePunct w:val="0"/>
              <w:bidi w:val="0"/>
              <w:spacing w:line="360" w:lineRule="auto"/>
              <w:jc w:val="left"/>
              <w:rPr>
                <w:color w:val="auto"/>
                <w:szCs w:val="21"/>
                <w:highlight w:val="none"/>
              </w:rPr>
            </w:pPr>
          </w:p>
        </w:tc>
        <w:tc>
          <w:tcPr>
            <w:tcW w:w="8330" w:type="dxa"/>
            <w:noWrap w:val="0"/>
            <w:vAlign w:val="center"/>
          </w:tcPr>
          <w:p w14:paraId="69A661B3">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7、</w:t>
            </w:r>
            <w:r>
              <w:rPr>
                <w:rFonts w:hint="eastAsia" w:cs="宋体"/>
                <w:color w:val="auto"/>
                <w:szCs w:val="21"/>
                <w:highlight w:val="none"/>
              </w:rPr>
              <w:t>环保管理体系和措施（5分）</w:t>
            </w:r>
          </w:p>
          <w:p w14:paraId="030732DC">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评委对环保管理体系和措施进行综合评议并打分：</w:t>
            </w:r>
            <w:r>
              <w:rPr>
                <w:rFonts w:hint="eastAsia" w:cs="宋体"/>
                <w:color w:val="auto"/>
                <w:szCs w:val="21"/>
                <w:highlight w:val="none"/>
                <w:lang w:val="en-US" w:eastAsia="zh-CN"/>
              </w:rPr>
              <w:t>环保管理体系健全有效</w:t>
            </w:r>
            <w:r>
              <w:rPr>
                <w:rFonts w:hint="eastAsia" w:cs="宋体"/>
                <w:color w:val="auto"/>
                <w:szCs w:val="21"/>
                <w:highlight w:val="none"/>
              </w:rPr>
              <w:t>、措施</w:t>
            </w:r>
            <w:r>
              <w:rPr>
                <w:rFonts w:hint="eastAsia" w:cs="宋体"/>
                <w:color w:val="auto"/>
                <w:szCs w:val="21"/>
                <w:highlight w:val="none"/>
                <w:lang w:val="en-US" w:eastAsia="zh-CN"/>
              </w:rPr>
              <w:t>具体细致</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体系及</w:t>
            </w:r>
            <w:r>
              <w:rPr>
                <w:rFonts w:hint="eastAsia" w:cs="宋体"/>
                <w:color w:val="auto"/>
                <w:szCs w:val="21"/>
                <w:highlight w:val="none"/>
              </w:rPr>
              <w:t>措施上有部分欠缺，</w:t>
            </w:r>
            <w:r>
              <w:rPr>
                <w:rFonts w:hint="eastAsia" w:cs="宋体"/>
                <w:color w:val="auto"/>
                <w:szCs w:val="21"/>
                <w:highlight w:val="none"/>
                <w:lang w:val="en-US" w:eastAsia="zh-CN"/>
              </w:rPr>
              <w:t>但尚不影响实施</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体系及</w:t>
            </w:r>
            <w:r>
              <w:rPr>
                <w:rFonts w:hint="eastAsia" w:cs="宋体"/>
                <w:color w:val="auto"/>
                <w:szCs w:val="21"/>
                <w:highlight w:val="none"/>
              </w:rPr>
              <w:t>措施</w:t>
            </w:r>
            <w:r>
              <w:rPr>
                <w:rFonts w:hint="eastAsia" w:cs="宋体"/>
                <w:color w:val="auto"/>
                <w:szCs w:val="21"/>
                <w:highlight w:val="none"/>
                <w:lang w:val="en-US" w:eastAsia="zh-CN"/>
              </w:rPr>
              <w:t>有明显缺漏项</w:t>
            </w:r>
            <w:r>
              <w:rPr>
                <w:rFonts w:hint="eastAsia" w:cs="宋体"/>
                <w:color w:val="auto"/>
                <w:szCs w:val="21"/>
                <w:highlight w:val="none"/>
              </w:rPr>
              <w:t>，</w:t>
            </w:r>
            <w:r>
              <w:rPr>
                <w:rFonts w:hint="eastAsia" w:cs="宋体"/>
                <w:color w:val="auto"/>
                <w:szCs w:val="21"/>
                <w:highlight w:val="none"/>
                <w:lang w:val="en-US" w:eastAsia="zh-CN"/>
              </w:rPr>
              <w:t>或过于笼统</w:t>
            </w:r>
            <w:r>
              <w:rPr>
                <w:rFonts w:hint="eastAsia" w:cs="宋体"/>
                <w:color w:val="auto"/>
                <w:szCs w:val="21"/>
                <w:highlight w:val="none"/>
              </w:rPr>
              <w:t>无法保证项目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25BAB6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624" w:type="dxa"/>
            <w:vMerge w:val="continue"/>
            <w:noWrap w:val="0"/>
            <w:vAlign w:val="center"/>
          </w:tcPr>
          <w:p w14:paraId="6CD5B1D4">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11359784">
            <w:pPr>
              <w:pageBreakBefore w:val="0"/>
              <w:kinsoku/>
              <w:wordWrap/>
              <w:overflowPunct/>
              <w:topLinePunct w:val="0"/>
              <w:bidi w:val="0"/>
              <w:spacing w:line="360" w:lineRule="auto"/>
              <w:jc w:val="center"/>
              <w:rPr>
                <w:rFonts w:hint="eastAsia"/>
                <w:color w:val="auto"/>
                <w:szCs w:val="21"/>
                <w:highlight w:val="none"/>
              </w:rPr>
            </w:pPr>
            <w:r>
              <w:rPr>
                <w:rFonts w:hint="eastAsia"/>
                <w:color w:val="auto"/>
                <w:szCs w:val="21"/>
                <w:highlight w:val="none"/>
              </w:rPr>
              <w:t>项目团队（</w:t>
            </w:r>
            <w:r>
              <w:rPr>
                <w:rFonts w:hint="eastAsia"/>
                <w:color w:val="auto"/>
                <w:szCs w:val="21"/>
                <w:highlight w:val="none"/>
                <w:lang w:val="en-US" w:eastAsia="zh-CN"/>
              </w:rPr>
              <w:t>5</w:t>
            </w:r>
            <w:r>
              <w:rPr>
                <w:rFonts w:hint="eastAsia"/>
                <w:color w:val="auto"/>
                <w:szCs w:val="21"/>
                <w:highlight w:val="none"/>
              </w:rPr>
              <w:t>分）</w:t>
            </w:r>
          </w:p>
        </w:tc>
        <w:tc>
          <w:tcPr>
            <w:tcW w:w="8330" w:type="dxa"/>
            <w:noWrap w:val="0"/>
            <w:vAlign w:val="center"/>
          </w:tcPr>
          <w:p w14:paraId="2BA4E46A">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8、</w:t>
            </w:r>
            <w:r>
              <w:rPr>
                <w:rFonts w:hint="eastAsia" w:cs="宋体"/>
                <w:color w:val="auto"/>
                <w:szCs w:val="21"/>
                <w:highlight w:val="none"/>
              </w:rPr>
              <w:t>其他施工人员配备（</w:t>
            </w:r>
            <w:r>
              <w:rPr>
                <w:rFonts w:hint="eastAsia" w:cs="宋体"/>
                <w:color w:val="auto"/>
                <w:szCs w:val="21"/>
                <w:highlight w:val="none"/>
                <w:lang w:val="en-US" w:eastAsia="zh-CN"/>
              </w:rPr>
              <w:t>5</w:t>
            </w:r>
            <w:r>
              <w:rPr>
                <w:rFonts w:hint="eastAsia" w:cs="宋体"/>
                <w:color w:val="auto"/>
                <w:szCs w:val="21"/>
                <w:highlight w:val="none"/>
              </w:rPr>
              <w:t>分）</w:t>
            </w:r>
          </w:p>
          <w:p w14:paraId="1BB842AF">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rPr>
              <w:t>评委对其他施工人员配备进行综合评议并打分：人员配置</w:t>
            </w:r>
            <w:r>
              <w:rPr>
                <w:rFonts w:hint="eastAsia" w:cs="宋体"/>
                <w:color w:val="auto"/>
                <w:szCs w:val="21"/>
                <w:highlight w:val="none"/>
                <w:lang w:val="en-US" w:eastAsia="zh-CN"/>
              </w:rPr>
              <w:t>满足</w:t>
            </w:r>
            <w:r>
              <w:rPr>
                <w:rFonts w:hint="eastAsia" w:cs="宋体"/>
                <w:color w:val="auto"/>
                <w:szCs w:val="21"/>
                <w:highlight w:val="none"/>
              </w:rPr>
              <w:t>项目需求、人员经过</w:t>
            </w:r>
            <w:r>
              <w:rPr>
                <w:rFonts w:hint="eastAsia" w:cs="宋体"/>
                <w:color w:val="auto"/>
                <w:szCs w:val="21"/>
                <w:highlight w:val="none"/>
                <w:lang w:val="en-US" w:eastAsia="zh-CN"/>
              </w:rPr>
              <w:t>规范</w:t>
            </w:r>
            <w:r>
              <w:rPr>
                <w:rFonts w:hint="eastAsia" w:cs="宋体"/>
                <w:color w:val="auto"/>
                <w:szCs w:val="21"/>
                <w:highlight w:val="none"/>
              </w:rPr>
              <w:t>的上岗前培训</w:t>
            </w:r>
            <w:r>
              <w:rPr>
                <w:rFonts w:hint="eastAsia" w:cs="宋体"/>
                <w:color w:val="auto"/>
                <w:szCs w:val="21"/>
                <w:highlight w:val="none"/>
                <w:lang w:val="en-US" w:eastAsia="zh-CN"/>
              </w:rPr>
              <w:t>并考试合格</w:t>
            </w:r>
            <w:r>
              <w:rPr>
                <w:rFonts w:hint="eastAsia" w:cs="宋体"/>
                <w:color w:val="auto"/>
                <w:szCs w:val="21"/>
                <w:highlight w:val="none"/>
              </w:rPr>
              <w:t>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人员配置满足项目需求的、上岗培训不足的得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人员配置</w:t>
            </w:r>
            <w:r>
              <w:rPr>
                <w:rFonts w:hint="eastAsia" w:cs="宋体"/>
                <w:color w:val="auto"/>
                <w:szCs w:val="21"/>
                <w:highlight w:val="none"/>
                <w:lang w:val="en-US" w:eastAsia="zh-CN"/>
              </w:rPr>
              <w:t>难以</w:t>
            </w:r>
            <w:r>
              <w:rPr>
                <w:rFonts w:hint="eastAsia" w:cs="宋体"/>
                <w:color w:val="auto"/>
                <w:szCs w:val="21"/>
                <w:highlight w:val="none"/>
              </w:rPr>
              <w:t>满足项目需求、或未经上岗前培训的得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A1436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624" w:type="dxa"/>
            <w:vMerge w:val="continue"/>
            <w:noWrap w:val="0"/>
            <w:vAlign w:val="center"/>
          </w:tcPr>
          <w:p w14:paraId="375A907A">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5E9116CE">
            <w:pPr>
              <w:pageBreakBefore w:val="0"/>
              <w:kinsoku/>
              <w:wordWrap/>
              <w:overflowPunct/>
              <w:topLinePunct w:val="0"/>
              <w:bidi w:val="0"/>
              <w:spacing w:line="360" w:lineRule="auto"/>
              <w:rPr>
                <w:rFonts w:ascii="Calibri" w:hAnsi="Calibri" w:cs="Calibri"/>
                <w:color w:val="auto"/>
                <w:szCs w:val="21"/>
                <w:highlight w:val="none"/>
              </w:rPr>
            </w:pPr>
            <w:r>
              <w:rPr>
                <w:rFonts w:hint="eastAsia" w:ascii="Calibri" w:hAnsi="Calibri" w:cs="Calibri"/>
                <w:color w:val="auto"/>
                <w:szCs w:val="21"/>
                <w:highlight w:val="none"/>
              </w:rPr>
              <w:t>售后服务方案（</w:t>
            </w:r>
            <w:r>
              <w:rPr>
                <w:rFonts w:hint="eastAsia" w:ascii="Calibri" w:hAnsi="Calibri" w:cs="Calibri"/>
                <w:color w:val="auto"/>
                <w:szCs w:val="21"/>
                <w:highlight w:val="none"/>
                <w:lang w:val="en-US" w:eastAsia="zh-CN"/>
              </w:rPr>
              <w:t>5</w:t>
            </w:r>
            <w:r>
              <w:rPr>
                <w:rFonts w:hint="eastAsia" w:ascii="Calibri" w:hAnsi="Calibri" w:cs="Calibri"/>
                <w:color w:val="auto"/>
                <w:szCs w:val="21"/>
                <w:highlight w:val="none"/>
              </w:rPr>
              <w:t>分）</w:t>
            </w:r>
          </w:p>
        </w:tc>
        <w:tc>
          <w:tcPr>
            <w:tcW w:w="8330" w:type="dxa"/>
            <w:noWrap w:val="0"/>
            <w:vAlign w:val="center"/>
          </w:tcPr>
          <w:p w14:paraId="2F7C541F">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Calibri"/>
                <w:color w:val="auto"/>
                <w:szCs w:val="21"/>
                <w:highlight w:val="none"/>
                <w:lang w:val="en-US" w:eastAsia="zh-CN"/>
              </w:rPr>
              <w:t>9</w:t>
            </w:r>
            <w:r>
              <w:rPr>
                <w:rFonts w:hint="eastAsia" w:ascii="Calibri" w:hAnsi="Calibri" w:cs="Calibri"/>
                <w:color w:val="auto"/>
                <w:szCs w:val="21"/>
                <w:highlight w:val="none"/>
                <w:lang w:val="en-US" w:eastAsia="zh-CN"/>
              </w:rPr>
              <w:t>、</w:t>
            </w:r>
            <w:r>
              <w:rPr>
                <w:rFonts w:hint="eastAsia" w:ascii="Calibri" w:hAnsi="Calibri" w:cs="Calibri"/>
                <w:color w:val="auto"/>
                <w:szCs w:val="21"/>
                <w:highlight w:val="none"/>
              </w:rPr>
              <w:t>售后服务方案</w:t>
            </w:r>
            <w:r>
              <w:rPr>
                <w:rFonts w:hint="eastAsia" w:cs="宋体"/>
                <w:color w:val="auto"/>
                <w:szCs w:val="21"/>
                <w:highlight w:val="none"/>
              </w:rPr>
              <w:t>（</w:t>
            </w:r>
            <w:r>
              <w:rPr>
                <w:rFonts w:hint="eastAsia" w:cs="宋体"/>
                <w:color w:val="auto"/>
                <w:szCs w:val="21"/>
                <w:highlight w:val="none"/>
                <w:lang w:val="en-US" w:eastAsia="zh-CN"/>
              </w:rPr>
              <w:t>5</w:t>
            </w:r>
            <w:r>
              <w:rPr>
                <w:rFonts w:hint="eastAsia" w:cs="宋体"/>
                <w:color w:val="auto"/>
                <w:szCs w:val="21"/>
                <w:highlight w:val="none"/>
              </w:rPr>
              <w:t>分）</w:t>
            </w:r>
          </w:p>
          <w:p w14:paraId="40F8C982">
            <w:pPr>
              <w:pageBreakBefore w:val="0"/>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评委对</w:t>
            </w:r>
            <w:r>
              <w:rPr>
                <w:rFonts w:hint="eastAsia" w:cs="宋体"/>
                <w:color w:val="auto"/>
                <w:szCs w:val="21"/>
                <w:highlight w:val="none"/>
              </w:rPr>
              <w:t>售后服务</w:t>
            </w:r>
            <w:r>
              <w:rPr>
                <w:rFonts w:hint="eastAsia" w:cs="宋体"/>
                <w:color w:val="auto"/>
                <w:szCs w:val="21"/>
                <w:highlight w:val="none"/>
                <w:lang w:val="en-US" w:eastAsia="zh-CN"/>
              </w:rPr>
              <w:t>方案进行综合评议并打分</w:t>
            </w:r>
            <w:r>
              <w:rPr>
                <w:rFonts w:hint="eastAsia" w:cs="宋体"/>
                <w:color w:val="auto"/>
                <w:szCs w:val="21"/>
                <w:highlight w:val="none"/>
              </w:rPr>
              <w:t>：</w:t>
            </w:r>
            <w:r>
              <w:rPr>
                <w:rFonts w:hint="eastAsia" w:cs="宋体"/>
                <w:color w:val="auto"/>
                <w:szCs w:val="21"/>
                <w:highlight w:val="none"/>
                <w:lang w:val="en-US" w:eastAsia="zh-CN"/>
              </w:rPr>
              <w:t>服务</w:t>
            </w:r>
            <w:r>
              <w:rPr>
                <w:rFonts w:hint="eastAsia" w:cs="宋体"/>
                <w:color w:val="auto"/>
                <w:szCs w:val="21"/>
                <w:highlight w:val="none"/>
              </w:rPr>
              <w:t>保障</w:t>
            </w:r>
            <w:r>
              <w:rPr>
                <w:rFonts w:hint="eastAsia" w:cs="宋体"/>
                <w:color w:val="auto"/>
                <w:szCs w:val="21"/>
                <w:highlight w:val="none"/>
                <w:lang w:val="en-US" w:eastAsia="zh-CN"/>
              </w:rPr>
              <w:t>体系完备、方</w:t>
            </w:r>
            <w:r>
              <w:rPr>
                <w:rFonts w:hint="eastAsia" w:cs="宋体"/>
                <w:color w:val="auto"/>
                <w:szCs w:val="21"/>
                <w:highlight w:val="none"/>
              </w:rPr>
              <w:t>案内容完全符合本项目需求得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有服务保障体系但部分</w:t>
            </w:r>
            <w:r>
              <w:rPr>
                <w:rFonts w:hint="eastAsia" w:cs="宋体"/>
                <w:color w:val="auto"/>
                <w:szCs w:val="21"/>
                <w:highlight w:val="none"/>
              </w:rPr>
              <w:t>内容有欠缺、但尚不影响履约得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val="en-US" w:eastAsia="zh-CN"/>
              </w:rPr>
              <w:t>没有服务保障体系或方案</w:t>
            </w:r>
            <w:r>
              <w:rPr>
                <w:rFonts w:hint="eastAsia" w:cs="宋体"/>
                <w:color w:val="auto"/>
                <w:szCs w:val="21"/>
                <w:highlight w:val="none"/>
              </w:rPr>
              <w:t>内容</w:t>
            </w:r>
            <w:r>
              <w:rPr>
                <w:rFonts w:hint="eastAsia" w:cs="宋体"/>
                <w:color w:val="auto"/>
                <w:szCs w:val="21"/>
                <w:highlight w:val="none"/>
                <w:lang w:val="en-US" w:eastAsia="zh-CN"/>
              </w:rPr>
              <w:t>存在明显缺漏项</w:t>
            </w:r>
            <w:r>
              <w:rPr>
                <w:rFonts w:hint="eastAsia" w:cs="宋体"/>
                <w:color w:val="auto"/>
                <w:szCs w:val="21"/>
                <w:highlight w:val="none"/>
              </w:rPr>
              <w:t>、不</w:t>
            </w:r>
            <w:r>
              <w:rPr>
                <w:rFonts w:hint="eastAsia" w:cs="宋体"/>
                <w:color w:val="auto"/>
                <w:szCs w:val="21"/>
                <w:highlight w:val="none"/>
                <w:lang w:val="en-US" w:eastAsia="zh-CN"/>
              </w:rPr>
              <w:t>符合规范的</w:t>
            </w:r>
            <w:r>
              <w:rPr>
                <w:rFonts w:hint="eastAsia" w:cs="宋体"/>
                <w:color w:val="auto"/>
                <w:szCs w:val="21"/>
                <w:highlight w:val="none"/>
              </w:rPr>
              <w:t>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2FFEAB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624" w:type="dxa"/>
            <w:vMerge w:val="continue"/>
            <w:noWrap w:val="0"/>
            <w:vAlign w:val="center"/>
          </w:tcPr>
          <w:p w14:paraId="0DEE6F60">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569877E6">
            <w:pPr>
              <w:pageBreakBefore w:val="0"/>
              <w:tabs>
                <w:tab w:val="left" w:pos="4915"/>
              </w:tabs>
              <w:kinsoku/>
              <w:wordWrap/>
              <w:overflowPunct/>
              <w:topLinePunct w:val="0"/>
              <w:bidi w:val="0"/>
              <w:spacing w:line="360" w:lineRule="auto"/>
              <w:rPr>
                <w:rFonts w:hint="eastAsia" w:ascii="Calibri" w:hAnsi="Calibri" w:cs="Calibri"/>
                <w:color w:val="auto"/>
                <w:szCs w:val="21"/>
                <w:highlight w:val="none"/>
              </w:rPr>
            </w:pPr>
            <w:r>
              <w:rPr>
                <w:rFonts w:hint="eastAsia" w:ascii="Calibri" w:hAnsi="Calibri" w:cs="Calibri"/>
                <w:color w:val="auto"/>
                <w:szCs w:val="21"/>
                <w:highlight w:val="none"/>
              </w:rPr>
              <w:t>突发性事件应急预案</w:t>
            </w:r>
            <w:r>
              <w:rPr>
                <w:rFonts w:hint="eastAsia" w:ascii="Calibri" w:hAnsi="Calibri" w:cs="Calibri"/>
                <w:color w:val="auto"/>
                <w:szCs w:val="21"/>
                <w:highlight w:val="none"/>
                <w:lang w:eastAsia="zh-CN"/>
              </w:rPr>
              <w:t>（</w:t>
            </w:r>
            <w:r>
              <w:rPr>
                <w:rFonts w:hint="eastAsia" w:ascii="Calibri" w:hAnsi="Calibri" w:cs="Calibri"/>
                <w:color w:val="auto"/>
                <w:szCs w:val="21"/>
                <w:highlight w:val="none"/>
                <w:lang w:val="en-US" w:eastAsia="zh-CN"/>
              </w:rPr>
              <w:t>5分</w:t>
            </w:r>
            <w:r>
              <w:rPr>
                <w:rFonts w:hint="eastAsia" w:ascii="Calibri" w:hAnsi="Calibri" w:cs="Calibri"/>
                <w:color w:val="auto"/>
                <w:szCs w:val="21"/>
                <w:highlight w:val="none"/>
                <w:lang w:eastAsia="zh-CN"/>
              </w:rPr>
              <w:t>）</w:t>
            </w:r>
          </w:p>
        </w:tc>
        <w:tc>
          <w:tcPr>
            <w:tcW w:w="8330" w:type="dxa"/>
            <w:noWrap w:val="0"/>
            <w:vAlign w:val="center"/>
          </w:tcPr>
          <w:p w14:paraId="1FED934C">
            <w:pPr>
              <w:pageBreakBefore w:val="0"/>
              <w:kinsoku/>
              <w:wordWrap/>
              <w:overflowPunct/>
              <w:topLinePunct w:val="0"/>
              <w:bidi w:val="0"/>
              <w:spacing w:line="360" w:lineRule="auto"/>
              <w:rPr>
                <w:color w:val="auto"/>
                <w:szCs w:val="21"/>
                <w:highlight w:val="none"/>
              </w:rPr>
            </w:pPr>
            <w:r>
              <w:rPr>
                <w:rFonts w:hint="eastAsia" w:cs="宋体"/>
                <w:color w:val="auto"/>
                <w:szCs w:val="21"/>
                <w:highlight w:val="none"/>
                <w:lang w:val="en-US" w:eastAsia="zh-CN"/>
              </w:rPr>
              <w:t>10、</w:t>
            </w:r>
            <w:r>
              <w:rPr>
                <w:rFonts w:hint="eastAsia" w:cs="宋体"/>
                <w:color w:val="auto"/>
                <w:szCs w:val="21"/>
                <w:highlight w:val="none"/>
              </w:rPr>
              <w:t>评委对突发性事件应急预案进行综合评议并打分</w:t>
            </w:r>
            <w:r>
              <w:rPr>
                <w:rFonts w:hint="eastAsia" w:cs="宋体"/>
                <w:color w:val="auto"/>
                <w:szCs w:val="21"/>
                <w:highlight w:val="none"/>
                <w:lang w:eastAsia="zh-CN"/>
              </w:rPr>
              <w:t>：</w:t>
            </w:r>
            <w:r>
              <w:rPr>
                <w:rFonts w:hint="eastAsia" w:cs="宋体"/>
                <w:color w:val="auto"/>
                <w:szCs w:val="21"/>
                <w:highlight w:val="none"/>
              </w:rPr>
              <w:t>应急预案内容完全符合本项目需求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应急</w:t>
            </w:r>
            <w:r>
              <w:rPr>
                <w:rFonts w:hint="eastAsia" w:cs="宋体"/>
                <w:color w:val="auto"/>
                <w:szCs w:val="21"/>
                <w:highlight w:val="none"/>
              </w:rPr>
              <w:t>保障</w:t>
            </w:r>
            <w:r>
              <w:rPr>
                <w:rFonts w:hint="eastAsia" w:cs="宋体"/>
                <w:color w:val="auto"/>
                <w:szCs w:val="21"/>
                <w:highlight w:val="none"/>
                <w:lang w:val="en-US" w:eastAsia="zh-CN"/>
              </w:rPr>
              <w:t>体系完备得5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预案</w:t>
            </w:r>
            <w:r>
              <w:rPr>
                <w:rFonts w:hint="eastAsia" w:cs="宋体"/>
                <w:color w:val="auto"/>
                <w:szCs w:val="21"/>
                <w:highlight w:val="none"/>
              </w:rPr>
              <w:t>有</w:t>
            </w:r>
            <w:r>
              <w:rPr>
                <w:rFonts w:hint="eastAsia" w:cs="宋体"/>
                <w:color w:val="auto"/>
                <w:szCs w:val="21"/>
                <w:highlight w:val="none"/>
                <w:lang w:val="en-US" w:eastAsia="zh-CN"/>
              </w:rPr>
              <w:t>部分非主体内容的欠缺</w:t>
            </w:r>
            <w:r>
              <w:rPr>
                <w:rFonts w:hint="eastAsia" w:cs="宋体"/>
                <w:color w:val="auto"/>
                <w:szCs w:val="21"/>
                <w:highlight w:val="none"/>
              </w:rPr>
              <w:t>，</w:t>
            </w:r>
            <w:r>
              <w:rPr>
                <w:rFonts w:hint="eastAsia" w:cs="宋体"/>
                <w:color w:val="auto"/>
                <w:szCs w:val="21"/>
                <w:highlight w:val="none"/>
                <w:lang w:val="en-US" w:eastAsia="zh-CN"/>
              </w:rPr>
              <w:t>尚不影响实施</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预案不全</w:t>
            </w:r>
            <w:r>
              <w:rPr>
                <w:rFonts w:hint="eastAsia" w:cs="宋体"/>
                <w:color w:val="auto"/>
                <w:szCs w:val="21"/>
                <w:highlight w:val="none"/>
              </w:rPr>
              <w:t>或</w:t>
            </w:r>
            <w:r>
              <w:rPr>
                <w:rFonts w:hint="eastAsia" w:cs="宋体"/>
                <w:color w:val="auto"/>
                <w:szCs w:val="21"/>
                <w:highlight w:val="none"/>
                <w:lang w:val="en-US" w:eastAsia="zh-CN"/>
              </w:rPr>
              <w:t>过于笼统</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保证项目</w:t>
            </w:r>
            <w:r>
              <w:rPr>
                <w:rFonts w:hint="eastAsia" w:cs="宋体"/>
                <w:color w:val="auto"/>
                <w:szCs w:val="21"/>
                <w:highlight w:val="none"/>
                <w:lang w:val="en-US" w:eastAsia="zh-CN"/>
              </w:rPr>
              <w:t>实施</w:t>
            </w:r>
            <w:r>
              <w:rPr>
                <w:rFonts w:hint="eastAsia" w:cs="宋体"/>
                <w:color w:val="auto"/>
                <w:szCs w:val="21"/>
                <w:highlight w:val="none"/>
              </w:rPr>
              <w:t>的</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132B07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624" w:type="dxa"/>
            <w:vMerge w:val="continue"/>
            <w:noWrap w:val="0"/>
            <w:vAlign w:val="center"/>
          </w:tcPr>
          <w:p w14:paraId="45A5E4AD">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7B441A26">
            <w:pPr>
              <w:pageBreakBefore w:val="0"/>
              <w:kinsoku/>
              <w:wordWrap/>
              <w:overflowPunct/>
              <w:topLinePunct w:val="0"/>
              <w:bidi w:val="0"/>
              <w:spacing w:line="360" w:lineRule="auto"/>
              <w:jc w:val="center"/>
              <w:rPr>
                <w:rFonts w:hint="eastAsia" w:cs="宋体"/>
                <w:color w:val="auto"/>
                <w:szCs w:val="21"/>
                <w:highlight w:val="none"/>
              </w:rPr>
            </w:pPr>
            <w:r>
              <w:rPr>
                <w:color w:val="auto"/>
                <w:szCs w:val="21"/>
                <w:highlight w:val="none"/>
              </w:rPr>
              <w:t>合理化建议（</w:t>
            </w:r>
            <w:r>
              <w:rPr>
                <w:rFonts w:hint="eastAsia"/>
                <w:color w:val="auto"/>
                <w:szCs w:val="21"/>
                <w:highlight w:val="none"/>
                <w:lang w:val="en-US" w:eastAsia="zh-CN"/>
              </w:rPr>
              <w:t>1</w:t>
            </w:r>
            <w:r>
              <w:rPr>
                <w:color w:val="auto"/>
                <w:szCs w:val="21"/>
                <w:highlight w:val="none"/>
              </w:rPr>
              <w:t>分）</w:t>
            </w:r>
          </w:p>
        </w:tc>
        <w:tc>
          <w:tcPr>
            <w:tcW w:w="8330" w:type="dxa"/>
            <w:noWrap w:val="0"/>
            <w:vAlign w:val="center"/>
          </w:tcPr>
          <w:p w14:paraId="67E7610F">
            <w:pPr>
              <w:pageBreakBefore w:val="0"/>
              <w:kinsoku/>
              <w:wordWrap/>
              <w:overflowPunct/>
              <w:topLinePunct w:val="0"/>
              <w:bidi w:val="0"/>
              <w:spacing w:line="360" w:lineRule="auto"/>
              <w:rPr>
                <w:color w:val="auto"/>
                <w:szCs w:val="21"/>
                <w:highlight w:val="none"/>
              </w:rPr>
            </w:pPr>
            <w:r>
              <w:rPr>
                <w:rFonts w:hint="eastAsia"/>
                <w:color w:val="auto"/>
                <w:szCs w:val="21"/>
                <w:highlight w:val="none"/>
                <w:lang w:val="en-US" w:eastAsia="zh-CN"/>
              </w:rPr>
              <w:t>11、</w:t>
            </w:r>
            <w:r>
              <w:rPr>
                <w:color w:val="auto"/>
                <w:szCs w:val="21"/>
                <w:highlight w:val="none"/>
              </w:rPr>
              <w:t>根据</w:t>
            </w:r>
            <w:r>
              <w:rPr>
                <w:rFonts w:hint="eastAsia"/>
                <w:color w:val="auto"/>
                <w:szCs w:val="21"/>
                <w:highlight w:val="none"/>
              </w:rPr>
              <w:t>供应商</w:t>
            </w:r>
            <w:r>
              <w:rPr>
                <w:color w:val="auto"/>
                <w:szCs w:val="21"/>
                <w:highlight w:val="none"/>
              </w:rPr>
              <w:t>提出的针对本项目的合理化建议与承诺进行评议（</w:t>
            </w:r>
            <w:r>
              <w:rPr>
                <w:rFonts w:hint="eastAsia"/>
                <w:color w:val="auto"/>
                <w:szCs w:val="21"/>
                <w:highlight w:val="none"/>
                <w:lang w:val="en-US" w:eastAsia="zh-CN"/>
              </w:rPr>
              <w:t>1</w:t>
            </w:r>
            <w:r>
              <w:rPr>
                <w:color w:val="auto"/>
                <w:szCs w:val="21"/>
                <w:highlight w:val="none"/>
              </w:rPr>
              <w:t>分）</w:t>
            </w:r>
          </w:p>
          <w:p w14:paraId="7F8954CE">
            <w:pPr>
              <w:pageBreakBefore w:val="0"/>
              <w:kinsoku/>
              <w:wordWrap/>
              <w:overflowPunct/>
              <w:topLinePunct w:val="0"/>
              <w:bidi w:val="0"/>
              <w:spacing w:line="360" w:lineRule="auto"/>
              <w:rPr>
                <w:rFonts w:hint="eastAsia" w:cs="宋体"/>
                <w:color w:val="auto"/>
                <w:szCs w:val="21"/>
                <w:highlight w:val="none"/>
              </w:rPr>
            </w:pPr>
            <w:r>
              <w:rPr>
                <w:color w:val="auto"/>
                <w:szCs w:val="21"/>
                <w:highlight w:val="none"/>
              </w:rPr>
              <w:t>提出的建议与承诺具有实际意义</w:t>
            </w:r>
            <w:r>
              <w:rPr>
                <w:rFonts w:hint="eastAsia"/>
                <w:color w:val="auto"/>
                <w:szCs w:val="21"/>
                <w:highlight w:val="none"/>
              </w:rPr>
              <w:t>并得到采纳</w:t>
            </w:r>
            <w:r>
              <w:rPr>
                <w:color w:val="auto"/>
                <w:szCs w:val="21"/>
                <w:highlight w:val="none"/>
              </w:rPr>
              <w:t>，每项得</w:t>
            </w:r>
            <w:r>
              <w:rPr>
                <w:rFonts w:hint="eastAsia"/>
                <w:color w:val="auto"/>
                <w:szCs w:val="21"/>
                <w:highlight w:val="none"/>
                <w:lang w:val="en-US" w:eastAsia="zh-CN"/>
              </w:rPr>
              <w:t>0.5分</w:t>
            </w:r>
            <w:r>
              <w:rPr>
                <w:color w:val="auto"/>
                <w:szCs w:val="21"/>
                <w:highlight w:val="none"/>
              </w:rPr>
              <w:t>，最高得</w:t>
            </w:r>
            <w:r>
              <w:rPr>
                <w:rFonts w:hint="eastAsia"/>
                <w:color w:val="auto"/>
                <w:szCs w:val="21"/>
                <w:highlight w:val="none"/>
                <w:lang w:val="en-US" w:eastAsia="zh-CN"/>
              </w:rPr>
              <w:t>1</w:t>
            </w:r>
            <w:r>
              <w:rPr>
                <w:color w:val="auto"/>
                <w:szCs w:val="21"/>
                <w:highlight w:val="none"/>
              </w:rPr>
              <w:t>分。与本项目</w:t>
            </w:r>
            <w:r>
              <w:rPr>
                <w:rFonts w:hint="eastAsia"/>
                <w:color w:val="auto"/>
                <w:szCs w:val="21"/>
                <w:highlight w:val="none"/>
                <w:lang w:val="en-US" w:eastAsia="zh-CN"/>
              </w:rPr>
              <w:t>履约</w:t>
            </w:r>
            <w:r>
              <w:rPr>
                <w:color w:val="auto"/>
                <w:szCs w:val="21"/>
                <w:highlight w:val="none"/>
              </w:rPr>
              <w:t>无关的建议</w:t>
            </w:r>
            <w:r>
              <w:rPr>
                <w:rFonts w:hint="eastAsia"/>
                <w:color w:val="auto"/>
                <w:szCs w:val="21"/>
                <w:highlight w:val="none"/>
                <w:lang w:val="en-US" w:eastAsia="zh-CN"/>
              </w:rPr>
              <w:t>与承诺</w:t>
            </w:r>
            <w:r>
              <w:rPr>
                <w:color w:val="auto"/>
                <w:szCs w:val="21"/>
                <w:highlight w:val="none"/>
              </w:rPr>
              <w:t>不予认可。</w:t>
            </w:r>
          </w:p>
        </w:tc>
      </w:tr>
      <w:tr w14:paraId="2D95DB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24" w:type="dxa"/>
            <w:vMerge w:val="continue"/>
            <w:noWrap w:val="0"/>
            <w:vAlign w:val="center"/>
          </w:tcPr>
          <w:p w14:paraId="2AD8D47A">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79CBB372">
            <w:pPr>
              <w:pageBreakBefore w:val="0"/>
              <w:kinsoku/>
              <w:wordWrap/>
              <w:overflowPunct/>
              <w:topLinePunct w:val="0"/>
              <w:bidi w:val="0"/>
              <w:spacing w:line="360" w:lineRule="auto"/>
              <w:jc w:val="center"/>
              <w:rPr>
                <w:rFonts w:hint="eastAsia" w:eastAsia="宋体"/>
                <w:color w:val="auto"/>
                <w:szCs w:val="21"/>
                <w:highlight w:val="none"/>
                <w:lang w:val="en-US" w:eastAsia="zh-CN"/>
              </w:rPr>
            </w:pPr>
            <w:r>
              <w:rPr>
                <w:rFonts w:hint="eastAsia"/>
                <w:color w:val="auto"/>
                <w:szCs w:val="21"/>
                <w:highlight w:val="none"/>
                <w:lang w:val="en-US" w:eastAsia="zh-CN"/>
              </w:rPr>
              <w:t>业绩（2分）</w:t>
            </w:r>
          </w:p>
        </w:tc>
        <w:tc>
          <w:tcPr>
            <w:tcW w:w="8330" w:type="dxa"/>
            <w:noWrap w:val="0"/>
            <w:vAlign w:val="center"/>
          </w:tcPr>
          <w:p w14:paraId="5DE14E65">
            <w:pPr>
              <w:pageBreakBefore w:val="0"/>
              <w:kinsoku/>
              <w:wordWrap/>
              <w:overflowPunct/>
              <w:topLinePunct w:val="0"/>
              <w:bidi w:val="0"/>
              <w:spacing w:line="360" w:lineRule="auto"/>
              <w:rPr>
                <w:rFonts w:hint="default" w:eastAsia="宋体"/>
                <w:color w:val="auto"/>
                <w:szCs w:val="21"/>
                <w:highlight w:val="none"/>
                <w:lang w:val="en-US" w:eastAsia="zh-CN"/>
              </w:rPr>
            </w:pPr>
            <w:r>
              <w:rPr>
                <w:rFonts w:hint="eastAsia"/>
                <w:color w:val="auto"/>
                <w:szCs w:val="21"/>
                <w:highlight w:val="none"/>
                <w:lang w:val="en-US" w:eastAsia="zh-CN"/>
              </w:rPr>
              <w:t>12、供应商</w:t>
            </w:r>
            <w:r>
              <w:rPr>
                <w:rFonts w:hint="eastAsia" w:ascii="宋体" w:hAnsi="宋体" w:eastAsia="宋体"/>
                <w:bCs/>
                <w:color w:val="auto"/>
                <w:sz w:val="21"/>
                <w:szCs w:val="21"/>
                <w:highlight w:val="none"/>
              </w:rPr>
              <w:t>自202</w:t>
            </w:r>
            <w:r>
              <w:rPr>
                <w:rFonts w:hint="eastAsia" w:ascii="宋体" w:hAnsi="宋体"/>
                <w:bCs/>
                <w:color w:val="auto"/>
                <w:sz w:val="21"/>
                <w:szCs w:val="21"/>
                <w:highlight w:val="none"/>
                <w:lang w:val="en-US" w:eastAsia="zh-CN"/>
              </w:rPr>
              <w:t>2</w:t>
            </w:r>
            <w:r>
              <w:rPr>
                <w:rFonts w:hint="eastAsia" w:ascii="宋体" w:hAnsi="宋体" w:eastAsia="宋体"/>
                <w:bCs/>
                <w:color w:val="auto"/>
                <w:sz w:val="21"/>
                <w:szCs w:val="21"/>
                <w:highlight w:val="none"/>
              </w:rPr>
              <w:t>年1月1日以后</w:t>
            </w:r>
            <w:r>
              <w:rPr>
                <w:rFonts w:hint="eastAsia" w:ascii="宋体" w:hAnsi="宋体" w:eastAsia="宋体" w:cs="宋体"/>
                <w:color w:val="auto"/>
                <w:szCs w:val="21"/>
                <w:highlight w:val="none"/>
              </w:rPr>
              <w:t>（以合同签订日期为准）</w:t>
            </w:r>
            <w:r>
              <w:rPr>
                <w:rFonts w:hint="eastAsia" w:ascii="宋体" w:hAnsi="宋体" w:eastAsia="宋体"/>
                <w:bCs/>
                <w:color w:val="auto"/>
                <w:sz w:val="21"/>
                <w:szCs w:val="21"/>
                <w:highlight w:val="none"/>
              </w:rPr>
              <w:t>承担过</w:t>
            </w:r>
            <w:r>
              <w:rPr>
                <w:rFonts w:hint="eastAsia" w:ascii="宋体" w:hAnsi="宋体"/>
                <w:bCs/>
                <w:color w:val="auto"/>
                <w:sz w:val="21"/>
                <w:szCs w:val="21"/>
                <w:highlight w:val="none"/>
                <w:lang w:val="en-US" w:eastAsia="zh-CN"/>
              </w:rPr>
              <w:t>市政</w:t>
            </w:r>
            <w:r>
              <w:rPr>
                <w:rFonts w:hint="eastAsia" w:ascii="宋体" w:hAnsi="宋体" w:eastAsia="宋体"/>
                <w:bCs/>
                <w:color w:val="auto"/>
                <w:sz w:val="21"/>
                <w:szCs w:val="21"/>
                <w:highlight w:val="none"/>
                <w:lang w:val="en-US" w:eastAsia="zh-CN"/>
              </w:rPr>
              <w:t>工程类</w:t>
            </w:r>
            <w:r>
              <w:rPr>
                <w:rFonts w:hint="eastAsia" w:ascii="宋体" w:hAnsi="宋体" w:eastAsia="宋体"/>
                <w:bCs/>
                <w:color w:val="auto"/>
                <w:sz w:val="21"/>
                <w:szCs w:val="21"/>
                <w:highlight w:val="none"/>
              </w:rPr>
              <w:t>项目的，每提供一个项目业绩合同得</w:t>
            </w:r>
            <w:r>
              <w:rPr>
                <w:rFonts w:hint="eastAsia" w:ascii="宋体" w:hAnsi="宋体" w:eastAsia="宋体"/>
                <w:bCs/>
                <w:color w:val="auto"/>
                <w:sz w:val="21"/>
                <w:szCs w:val="21"/>
                <w:highlight w:val="none"/>
                <w:lang w:val="en-US" w:eastAsia="zh-CN"/>
              </w:rPr>
              <w:t>1</w:t>
            </w:r>
            <w:r>
              <w:rPr>
                <w:rFonts w:hint="eastAsia" w:ascii="宋体" w:hAnsi="宋体" w:eastAsia="宋体"/>
                <w:bCs/>
                <w:color w:val="auto"/>
                <w:sz w:val="21"/>
                <w:szCs w:val="21"/>
                <w:highlight w:val="none"/>
              </w:rPr>
              <w:t>分，最高得</w:t>
            </w:r>
            <w:r>
              <w:rPr>
                <w:rFonts w:hint="eastAsia" w:ascii="宋体" w:hAnsi="宋体" w:eastAsia="宋体"/>
                <w:bCs/>
                <w:color w:val="auto"/>
                <w:sz w:val="21"/>
                <w:szCs w:val="21"/>
                <w:highlight w:val="none"/>
                <w:lang w:val="en-US" w:eastAsia="zh-CN"/>
              </w:rPr>
              <w:t>2</w:t>
            </w:r>
            <w:r>
              <w:rPr>
                <w:rFonts w:hint="eastAsia" w:ascii="宋体" w:hAnsi="宋体" w:eastAsia="宋体"/>
                <w:bCs/>
                <w:color w:val="auto"/>
                <w:sz w:val="21"/>
                <w:szCs w:val="21"/>
                <w:highlight w:val="none"/>
              </w:rPr>
              <w:t>分。（注：</w:t>
            </w:r>
            <w:r>
              <w:rPr>
                <w:rFonts w:hint="eastAsia" w:ascii="宋体" w:hAnsi="宋体"/>
                <w:bCs/>
                <w:color w:val="auto"/>
                <w:sz w:val="21"/>
                <w:szCs w:val="21"/>
                <w:highlight w:val="none"/>
                <w:lang w:val="en-US" w:eastAsia="zh-CN"/>
              </w:rPr>
              <w:t>需同时提供中标通知书和施工合同复印件，</w:t>
            </w:r>
            <w:r>
              <w:rPr>
                <w:rFonts w:hint="eastAsia" w:ascii="宋体" w:hAnsi="宋体" w:eastAsia="宋体"/>
                <w:bCs/>
                <w:color w:val="auto"/>
                <w:sz w:val="21"/>
                <w:szCs w:val="21"/>
                <w:highlight w:val="none"/>
              </w:rPr>
              <w:t>未提供</w:t>
            </w:r>
            <w:r>
              <w:rPr>
                <w:rFonts w:hint="eastAsia" w:ascii="宋体" w:hAnsi="宋体" w:eastAsia="宋体"/>
                <w:bCs/>
                <w:color w:val="auto"/>
                <w:sz w:val="21"/>
                <w:szCs w:val="21"/>
                <w:highlight w:val="none"/>
                <w:lang w:val="en-US" w:eastAsia="zh-CN"/>
              </w:rPr>
              <w:t>或提供不全均</w:t>
            </w:r>
            <w:r>
              <w:rPr>
                <w:rFonts w:hint="eastAsia" w:ascii="宋体" w:hAnsi="宋体" w:eastAsia="宋体"/>
                <w:bCs/>
                <w:color w:val="auto"/>
                <w:sz w:val="21"/>
                <w:szCs w:val="21"/>
                <w:highlight w:val="none"/>
              </w:rPr>
              <w:t>不得分。）</w:t>
            </w:r>
          </w:p>
        </w:tc>
      </w:tr>
      <w:tr w14:paraId="3F281E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624" w:type="dxa"/>
            <w:vMerge w:val="continue"/>
            <w:noWrap w:val="0"/>
            <w:vAlign w:val="center"/>
          </w:tcPr>
          <w:p w14:paraId="6523BB4C">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3260FBA6">
            <w:pPr>
              <w:pageBreakBefore w:val="0"/>
              <w:kinsoku/>
              <w:wordWrap/>
              <w:overflowPunct/>
              <w:topLinePunct w:val="0"/>
              <w:bidi w:val="0"/>
              <w:spacing w:line="360" w:lineRule="auto"/>
              <w:jc w:val="center"/>
              <w:rPr>
                <w:color w:val="auto"/>
                <w:szCs w:val="21"/>
                <w:highlight w:val="none"/>
              </w:rPr>
            </w:pPr>
            <w:r>
              <w:rPr>
                <w:rFonts w:hint="eastAsia" w:hAnsi="宋体" w:cs="Calibri"/>
                <w:color w:val="auto"/>
                <w:szCs w:val="21"/>
                <w:highlight w:val="none"/>
              </w:rPr>
              <w:t>政策性加分（</w:t>
            </w:r>
            <w:r>
              <w:rPr>
                <w:rFonts w:hint="eastAsia" w:hAnsi="宋体" w:cs="Calibri"/>
                <w:color w:val="auto"/>
                <w:szCs w:val="21"/>
                <w:highlight w:val="none"/>
                <w:lang w:val="en-US" w:eastAsia="zh-CN"/>
              </w:rPr>
              <w:t>2</w:t>
            </w:r>
            <w:r>
              <w:rPr>
                <w:rFonts w:hint="eastAsia" w:hAnsi="宋体" w:cs="Calibri"/>
                <w:color w:val="auto"/>
                <w:szCs w:val="21"/>
                <w:highlight w:val="none"/>
              </w:rPr>
              <w:t>分）</w:t>
            </w:r>
          </w:p>
        </w:tc>
        <w:tc>
          <w:tcPr>
            <w:tcW w:w="8330" w:type="dxa"/>
            <w:noWrap w:val="0"/>
            <w:vAlign w:val="center"/>
          </w:tcPr>
          <w:p w14:paraId="2AA6A49E">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rPr>
            </w:pPr>
            <w:r>
              <w:rPr>
                <w:rFonts w:hint="eastAsia"/>
                <w:color w:val="auto"/>
                <w:szCs w:val="21"/>
                <w:highlight w:val="none"/>
                <w:lang w:val="en-US" w:eastAsia="zh-CN"/>
              </w:rPr>
              <w:t>13、</w:t>
            </w:r>
            <w:r>
              <w:rPr>
                <w:rFonts w:hint="eastAsia" w:ascii="Times New Roman" w:hAnsi="Times New Roman" w:eastAsia="宋体" w:cs="Times New Roman"/>
                <w:color w:val="auto"/>
                <w:szCs w:val="21"/>
                <w:highlight w:val="none"/>
              </w:rPr>
              <w:t>供应商是国家认定的少数民族地区企业的加</w:t>
            </w:r>
            <w:r>
              <w:rPr>
                <w:rFonts w:hint="eastAsia" w:ascii="Times New Roman" w:hAnsi="Times New Roman" w:eastAsia="宋体" w:cs="Times New Roman"/>
                <w:color w:val="auto"/>
                <w:szCs w:val="21"/>
                <w:highlight w:val="none"/>
                <w:lang w:val="en-US" w:eastAsia="zh-CN"/>
              </w:rPr>
              <w:t>1</w:t>
            </w:r>
            <w:r>
              <w:rPr>
                <w:rFonts w:hint="eastAsia" w:ascii="Times New Roman" w:hAnsi="Times New Roman" w:eastAsia="宋体" w:cs="Times New Roman"/>
                <w:color w:val="auto"/>
                <w:szCs w:val="21"/>
                <w:highlight w:val="none"/>
              </w:rPr>
              <w:t>分。</w:t>
            </w:r>
          </w:p>
          <w:p w14:paraId="69C92878">
            <w:pPr>
              <w:pageBreakBefore w:val="0"/>
              <w:kinsoku/>
              <w:wordWrap/>
              <w:overflowPunct/>
              <w:topLinePunct w:val="0"/>
              <w:bidi w:val="0"/>
              <w:spacing w:line="360" w:lineRule="auto"/>
              <w:rPr>
                <w:rFonts w:hint="eastAsia" w:eastAsia="宋体"/>
                <w:color w:val="auto"/>
                <w:szCs w:val="21"/>
                <w:highlight w:val="none"/>
                <w:lang w:eastAsia="zh-CN"/>
              </w:rPr>
            </w:pPr>
            <w:r>
              <w:rPr>
                <w:rFonts w:hint="eastAsia" w:ascii="Times New Roman" w:hAnsi="Times New Roman" w:eastAsia="宋体" w:cs="Times New Roman"/>
                <w:color w:val="auto"/>
                <w:szCs w:val="21"/>
                <w:highlight w:val="none"/>
              </w:rPr>
              <w:t>提供证明文件复印件并加盖公章。</w:t>
            </w:r>
          </w:p>
        </w:tc>
      </w:tr>
      <w:tr w14:paraId="01D81E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27" w:hRule="atLeast"/>
        </w:trPr>
        <w:tc>
          <w:tcPr>
            <w:tcW w:w="624" w:type="dxa"/>
            <w:noWrap w:val="0"/>
            <w:vAlign w:val="center"/>
          </w:tcPr>
          <w:p w14:paraId="599AD169">
            <w:pPr>
              <w:pageBreakBefore w:val="0"/>
              <w:widowControl/>
              <w:kinsoku/>
              <w:wordWrap/>
              <w:overflowPunct/>
              <w:topLinePunct w:val="0"/>
              <w:bidi w:val="0"/>
              <w:spacing w:line="360" w:lineRule="auto"/>
              <w:jc w:val="left"/>
              <w:rPr>
                <w:color w:val="auto"/>
                <w:szCs w:val="21"/>
                <w:highlight w:val="none"/>
              </w:rPr>
            </w:pPr>
            <w:r>
              <w:rPr>
                <w:color w:val="auto"/>
                <w:szCs w:val="21"/>
                <w:highlight w:val="none"/>
              </w:rPr>
              <w:t>价格</w:t>
            </w:r>
            <w:r>
              <w:rPr>
                <w:rFonts w:hint="eastAsia"/>
                <w:color w:val="auto"/>
                <w:szCs w:val="21"/>
                <w:highlight w:val="none"/>
              </w:rPr>
              <w:t>部分</w:t>
            </w:r>
            <w:r>
              <w:rPr>
                <w:rFonts w:hint="eastAsia"/>
                <w:color w:val="auto"/>
                <w:szCs w:val="21"/>
                <w:highlight w:val="none"/>
                <w:lang w:val="en-US" w:eastAsia="zh-CN"/>
              </w:rPr>
              <w:t>35</w:t>
            </w:r>
            <w:r>
              <w:rPr>
                <w:color w:val="auto"/>
                <w:szCs w:val="21"/>
                <w:highlight w:val="none"/>
              </w:rPr>
              <w:t>分</w:t>
            </w:r>
          </w:p>
        </w:tc>
        <w:tc>
          <w:tcPr>
            <w:tcW w:w="1150" w:type="dxa"/>
            <w:noWrap w:val="0"/>
            <w:vAlign w:val="center"/>
          </w:tcPr>
          <w:p w14:paraId="69052C22">
            <w:pPr>
              <w:pageBreakBefore w:val="0"/>
              <w:kinsoku/>
              <w:wordWrap/>
              <w:overflowPunct/>
              <w:topLinePunct w:val="0"/>
              <w:bidi w:val="0"/>
              <w:spacing w:line="360" w:lineRule="auto"/>
              <w:jc w:val="center"/>
              <w:rPr>
                <w:color w:val="auto"/>
                <w:szCs w:val="21"/>
                <w:highlight w:val="none"/>
              </w:rPr>
            </w:pPr>
            <w:r>
              <w:rPr>
                <w:color w:val="auto"/>
                <w:szCs w:val="21"/>
                <w:highlight w:val="none"/>
              </w:rPr>
              <w:t>投标报价（</w:t>
            </w:r>
            <w:r>
              <w:rPr>
                <w:rFonts w:hint="eastAsia"/>
                <w:color w:val="auto"/>
                <w:szCs w:val="21"/>
                <w:highlight w:val="none"/>
                <w:lang w:val="en-US" w:eastAsia="zh-CN"/>
              </w:rPr>
              <w:t>35</w:t>
            </w:r>
            <w:r>
              <w:rPr>
                <w:color w:val="auto"/>
                <w:szCs w:val="21"/>
                <w:highlight w:val="none"/>
              </w:rPr>
              <w:t>分）</w:t>
            </w:r>
          </w:p>
        </w:tc>
        <w:tc>
          <w:tcPr>
            <w:tcW w:w="8330" w:type="dxa"/>
            <w:noWrap w:val="0"/>
            <w:vAlign w:val="center"/>
          </w:tcPr>
          <w:p w14:paraId="052FF3D4">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rPr>
              <w:t>满足磋商文件要求且最</w:t>
            </w:r>
            <w:r>
              <w:rPr>
                <w:rFonts w:hint="eastAsia" w:ascii="Times New Roman" w:hAnsi="Times New Roman" w:eastAsia="宋体" w:cs="Times New Roman"/>
                <w:color w:val="auto"/>
                <w:szCs w:val="21"/>
                <w:highlight w:val="none"/>
                <w:lang w:val="en-US" w:eastAsia="zh-CN"/>
              </w:rPr>
              <w:t>终综合折扣</w:t>
            </w:r>
            <w:r>
              <w:rPr>
                <w:rFonts w:hint="eastAsia" w:ascii="Times New Roman" w:hAnsi="Times New Roman" w:eastAsia="宋体" w:cs="Times New Roman"/>
                <w:color w:val="auto"/>
                <w:szCs w:val="21"/>
                <w:highlight w:val="none"/>
              </w:rPr>
              <w:t>最低的价格为磋商基准价，其价格分为满分。其他供应商的价格分统一按照下列公式计算：</w:t>
            </w:r>
          </w:p>
          <w:p w14:paraId="03F51DA0">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磋商报价得分=（磋商基准价/</w:t>
            </w:r>
            <w:r>
              <w:rPr>
                <w:rFonts w:hint="eastAsia" w:ascii="Times New Roman" w:hAnsi="Times New Roman" w:cs="Times New Roman"/>
                <w:color w:val="auto"/>
                <w:szCs w:val="21"/>
                <w:highlight w:val="none"/>
                <w:lang w:val="en-US" w:eastAsia="zh-CN"/>
              </w:rPr>
              <w:t>参与评审的</w:t>
            </w:r>
            <w:r>
              <w:rPr>
                <w:rFonts w:hint="eastAsia" w:ascii="Times New Roman" w:hAnsi="Times New Roman" w:eastAsia="宋体" w:cs="Times New Roman"/>
                <w:color w:val="auto"/>
                <w:szCs w:val="21"/>
                <w:highlight w:val="none"/>
              </w:rPr>
              <w:t>最</w:t>
            </w:r>
            <w:r>
              <w:rPr>
                <w:rFonts w:hint="eastAsia" w:ascii="Times New Roman" w:hAnsi="Times New Roman" w:eastAsia="宋体" w:cs="Times New Roman"/>
                <w:color w:val="auto"/>
                <w:szCs w:val="21"/>
                <w:highlight w:val="none"/>
                <w:lang w:val="en-US" w:eastAsia="zh-CN"/>
              </w:rPr>
              <w:t>终综合折扣</w:t>
            </w:r>
            <w:r>
              <w:rPr>
                <w:rFonts w:hint="eastAsia" w:ascii="Times New Roman" w:hAnsi="Times New Roman" w:eastAsia="宋体" w:cs="Times New Roman"/>
                <w:color w:val="auto"/>
                <w:szCs w:val="21"/>
                <w:highlight w:val="none"/>
              </w:rPr>
              <w:t xml:space="preserve">）×价格权值×100 </w:t>
            </w:r>
          </w:p>
          <w:p w14:paraId="52688A51">
            <w:pPr>
              <w:pStyle w:val="31"/>
              <w:ind w:left="0" w:leftChars="0" w:firstLine="0" w:firstLineChars="0"/>
              <w:rPr>
                <w:rFonts w:hint="eastAsia" w:eastAsia="宋体"/>
                <w:color w:val="auto"/>
                <w:highlight w:val="none"/>
                <w:lang w:val="en-US" w:eastAsia="zh-CN"/>
              </w:rPr>
            </w:pPr>
            <w:r>
              <w:rPr>
                <w:rFonts w:hint="eastAsia" w:ascii="Times New Roman" w:hAnsi="Times New Roman" w:eastAsia="宋体" w:cs="Times New Roman"/>
                <w:color w:val="auto"/>
                <w:kern w:val="2"/>
                <w:sz w:val="21"/>
                <w:szCs w:val="21"/>
                <w:highlight w:val="none"/>
                <w:lang w:val="en-US" w:eastAsia="zh-CN" w:bidi="ar-SA"/>
              </w:rPr>
              <w:t>参与评审的最终综合折扣=投标报价×（1-小微企业价格扣除优惠值）</w:t>
            </w:r>
          </w:p>
        </w:tc>
      </w:tr>
      <w:tr w14:paraId="402C00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624" w:type="dxa"/>
            <w:noWrap w:val="0"/>
            <w:vAlign w:val="center"/>
          </w:tcPr>
          <w:p w14:paraId="72556A0B">
            <w:pPr>
              <w:pageBreakBefore w:val="0"/>
              <w:widowControl/>
              <w:kinsoku/>
              <w:wordWrap/>
              <w:overflowPunct/>
              <w:topLinePunct w:val="0"/>
              <w:bidi w:val="0"/>
              <w:spacing w:line="360" w:lineRule="auto"/>
              <w:jc w:val="left"/>
              <w:rPr>
                <w:color w:val="auto"/>
                <w:szCs w:val="21"/>
                <w:highlight w:val="none"/>
              </w:rPr>
            </w:pPr>
          </w:p>
        </w:tc>
        <w:tc>
          <w:tcPr>
            <w:tcW w:w="1150" w:type="dxa"/>
            <w:noWrap w:val="0"/>
            <w:vAlign w:val="center"/>
          </w:tcPr>
          <w:p w14:paraId="5B092A16">
            <w:pPr>
              <w:pageBreakBefore w:val="0"/>
              <w:kinsoku/>
              <w:wordWrap/>
              <w:overflowPunct/>
              <w:topLinePunct w:val="0"/>
              <w:bidi w:val="0"/>
              <w:spacing w:line="360" w:lineRule="auto"/>
              <w:jc w:val="center"/>
              <w:rPr>
                <w:color w:val="auto"/>
                <w:szCs w:val="21"/>
                <w:highlight w:val="none"/>
              </w:rPr>
            </w:pPr>
            <w:r>
              <w:rPr>
                <w:color w:val="auto"/>
                <w:szCs w:val="21"/>
                <w:highlight w:val="none"/>
              </w:rPr>
              <w:t>总</w:t>
            </w:r>
            <w:r>
              <w:rPr>
                <w:rFonts w:hint="eastAsia"/>
                <w:color w:val="auto"/>
                <w:szCs w:val="21"/>
                <w:highlight w:val="none"/>
              </w:rPr>
              <w:t xml:space="preserve"> </w:t>
            </w:r>
            <w:r>
              <w:rPr>
                <w:color w:val="auto"/>
                <w:szCs w:val="21"/>
                <w:highlight w:val="none"/>
              </w:rPr>
              <w:t>分</w:t>
            </w:r>
          </w:p>
        </w:tc>
        <w:tc>
          <w:tcPr>
            <w:tcW w:w="8330" w:type="dxa"/>
            <w:noWrap w:val="0"/>
            <w:vAlign w:val="center"/>
          </w:tcPr>
          <w:p w14:paraId="25998B3A">
            <w:pPr>
              <w:pStyle w:val="7"/>
              <w:pageBreakBefore w:val="0"/>
              <w:kinsoku/>
              <w:wordWrap/>
              <w:overflowPunct/>
              <w:topLinePunct w:val="0"/>
              <w:bidi w:val="0"/>
              <w:spacing w:line="360" w:lineRule="auto"/>
              <w:ind w:firstLine="0" w:firstLineChars="0"/>
              <w:rPr>
                <w:color w:val="auto"/>
                <w:szCs w:val="21"/>
                <w:highlight w:val="none"/>
              </w:rPr>
            </w:pPr>
          </w:p>
        </w:tc>
      </w:tr>
    </w:tbl>
    <w:p w14:paraId="54BD9528">
      <w:pPr>
        <w:widowControl/>
        <w:jc w:val="left"/>
        <w:rPr>
          <w:rFonts w:asciiTheme="minorEastAsia" w:hAnsiTheme="minorEastAsia" w:eastAsiaTheme="minorEastAsia" w:cstheme="minorEastAsia"/>
          <w:color w:val="auto"/>
          <w:sz w:val="28"/>
          <w:highlight w:val="none"/>
        </w:rPr>
      </w:pPr>
    </w:p>
    <w:p w14:paraId="1C02BD16">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Theme="minorEastAsia" w:hAnsiTheme="minorEastAsia" w:eastAsiaTheme="minorEastAsia" w:cstheme="minorEastAsia"/>
          <w:b/>
          <w:color w:val="auto"/>
          <w:kern w:val="0"/>
          <w:sz w:val="21"/>
          <w:szCs w:val="21"/>
          <w:highlight w:val="none"/>
          <w:lang w:val="zh-CN"/>
        </w:rPr>
      </w:pPr>
      <w:r>
        <w:rPr>
          <w:rFonts w:hint="eastAsia" w:asciiTheme="minorEastAsia" w:hAnsiTheme="minorEastAsia" w:eastAsiaTheme="minorEastAsia" w:cstheme="minorEastAsia"/>
          <w:b/>
          <w:color w:val="auto"/>
          <w:sz w:val="21"/>
          <w:szCs w:val="21"/>
          <w:highlight w:val="none"/>
        </w:rPr>
        <w:t>备注：</w:t>
      </w:r>
      <w:r>
        <w:rPr>
          <w:rFonts w:hint="eastAsia" w:asciiTheme="minorEastAsia" w:hAnsiTheme="minorEastAsia" w:eastAsiaTheme="minorEastAsia" w:cstheme="minorEastAsia"/>
          <w:color w:val="auto"/>
          <w:kern w:val="0"/>
          <w:sz w:val="21"/>
          <w:szCs w:val="21"/>
          <w:highlight w:val="none"/>
          <w:lang w:val="zh-CN"/>
        </w:rPr>
        <w:t>供应商编制响应文件（商务技术文件部分）时，建议按此目录（序号和内容）提供评标标准相应的商务技术资料。</w:t>
      </w:r>
    </w:p>
    <w:p w14:paraId="52DDD772">
      <w:pP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一、评审方法</w:t>
      </w:r>
    </w:p>
    <w:bookmarkEnd w:id="13"/>
    <w:p w14:paraId="6FABD15D">
      <w:pPr>
        <w:adjustRightInd/>
        <w:spacing w:line="360" w:lineRule="auto"/>
        <w:ind w:firstLine="413" w:firstLineChars="196"/>
        <w:rPr>
          <w:rFonts w:hint="eastAsia" w:asciiTheme="minorEastAsia" w:hAnsiTheme="minorEastAsia" w:eastAsiaTheme="minorEastAsia" w:cstheme="minorEastAsia"/>
          <w:color w:val="auto"/>
          <w:kern w:val="0"/>
          <w:sz w:val="21"/>
          <w:szCs w:val="21"/>
          <w:highlight w:val="none"/>
        </w:rPr>
      </w:pPr>
      <w:bookmarkStart w:id="396" w:name="第五部分"/>
      <w:bookmarkStart w:id="397" w:name="_Toc86217003"/>
      <w:r>
        <w:rPr>
          <w:rFonts w:hint="eastAsia" w:asciiTheme="minorEastAsia" w:hAnsiTheme="minorEastAsia" w:eastAsiaTheme="minorEastAsia" w:cstheme="minorEastAsia"/>
          <w:b/>
          <w:color w:val="auto"/>
          <w:kern w:val="0"/>
          <w:sz w:val="21"/>
          <w:szCs w:val="21"/>
          <w:highlight w:val="none"/>
        </w:rPr>
        <w:t>1.本项目采用综合评分法。</w:t>
      </w:r>
      <w:r>
        <w:rPr>
          <w:rFonts w:hint="eastAsia" w:asciiTheme="minorEastAsia" w:hAnsiTheme="minorEastAsia" w:eastAsiaTheme="minorEastAsia" w:cstheme="minorEastAsia"/>
          <w:color w:val="auto"/>
          <w:kern w:val="0"/>
          <w:sz w:val="21"/>
          <w:szCs w:val="21"/>
          <w:highlight w:val="none"/>
        </w:rPr>
        <w:t>综合评分法，是指</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文件全部实质性要求，且按照评审因素的量化指标评审得分最高的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为</w:t>
      </w:r>
      <w:r>
        <w:rPr>
          <w:rFonts w:hint="eastAsia" w:asciiTheme="minorEastAsia" w:hAnsiTheme="minorEastAsia" w:eastAsiaTheme="minorEastAsia" w:cstheme="minorEastAsia"/>
          <w:color w:val="auto"/>
          <w:kern w:val="0"/>
          <w:sz w:val="21"/>
          <w:szCs w:val="21"/>
          <w:highlight w:val="none"/>
          <w:lang w:eastAsia="zh-CN"/>
        </w:rPr>
        <w:t>成交候选供应商</w:t>
      </w:r>
      <w:r>
        <w:rPr>
          <w:rFonts w:hint="eastAsia" w:asciiTheme="minorEastAsia" w:hAnsiTheme="minorEastAsia" w:eastAsiaTheme="minorEastAsia" w:cstheme="minorEastAsia"/>
          <w:color w:val="auto"/>
          <w:kern w:val="0"/>
          <w:sz w:val="21"/>
          <w:szCs w:val="21"/>
          <w:highlight w:val="none"/>
        </w:rPr>
        <w:t>的评标方法。</w:t>
      </w:r>
    </w:p>
    <w:p w14:paraId="76996BD5">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二、评标标准</w:t>
      </w:r>
    </w:p>
    <w:p w14:paraId="4DF6A92C">
      <w:pPr>
        <w:spacing w:line="360" w:lineRule="auto"/>
        <w:ind w:firstLine="413" w:firstLineChars="196"/>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2.</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b/>
          <w:color w:val="auto"/>
          <w:sz w:val="21"/>
          <w:szCs w:val="21"/>
          <w:highlight w:val="none"/>
        </w:rPr>
        <w:t>评标标准：</w:t>
      </w:r>
      <w:r>
        <w:rPr>
          <w:rFonts w:hint="eastAsia" w:asciiTheme="minorEastAsia" w:hAnsiTheme="minorEastAsia" w:eastAsiaTheme="minorEastAsia" w:cstheme="minorEastAsia"/>
          <w:color w:val="auto"/>
          <w:kern w:val="0"/>
          <w:sz w:val="21"/>
          <w:szCs w:val="21"/>
          <w:highlight w:val="none"/>
        </w:rPr>
        <w:t>见评标办法前附表。</w:t>
      </w:r>
    </w:p>
    <w:p w14:paraId="2312067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三、评标程序</w:t>
      </w:r>
    </w:p>
    <w:p w14:paraId="6A555DF2">
      <w:pPr>
        <w:snapToGrid w:val="0"/>
        <w:spacing w:line="360" w:lineRule="auto"/>
        <w:ind w:left="120" w:leftChars="57" w:firstLine="315" w:firstLineChars="15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3.1 资格审查。采购人或代理机构应当对</w:t>
      </w:r>
      <w:r>
        <w:rPr>
          <w:rFonts w:hint="eastAsia" w:asciiTheme="minorEastAsia" w:hAnsiTheme="minorEastAsia" w:eastAsiaTheme="minorEastAsia" w:cstheme="minorEastAsia"/>
          <w:color w:val="auto"/>
          <w:kern w:val="0"/>
          <w:sz w:val="21"/>
          <w:szCs w:val="21"/>
          <w:highlight w:val="none"/>
          <w:lang w:val="zh-CN" w:eastAsia="zh-CN" w:bidi="ar-SA"/>
        </w:rPr>
        <w:t>供应商</w:t>
      </w:r>
      <w:r>
        <w:rPr>
          <w:rFonts w:hint="eastAsia" w:asciiTheme="minorEastAsia" w:hAnsiTheme="minorEastAsia" w:eastAsiaTheme="minorEastAsia" w:cstheme="minorEastAsia"/>
          <w:color w:val="auto"/>
          <w:kern w:val="0"/>
          <w:sz w:val="21"/>
          <w:szCs w:val="21"/>
          <w:highlight w:val="none"/>
          <w:lang w:val="en-US" w:eastAsia="zh-CN" w:bidi="ar-SA"/>
        </w:rPr>
        <w:t>的资格响应文件进行审查，以确定其是否满足</w:t>
      </w:r>
    </w:p>
    <w:p w14:paraId="48C7D5B8">
      <w:pPr>
        <w:snapToGrid w:val="0"/>
        <w:spacing w:line="360" w:lineRule="auto"/>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竞争性磋商文件的实质性要求。不满足竞争性磋商文件的实质性要求的，响应无效。</w:t>
      </w:r>
    </w:p>
    <w:p w14:paraId="7306C4BD">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2 </w:t>
      </w:r>
      <w:r>
        <w:rPr>
          <w:rFonts w:hint="eastAsia" w:asciiTheme="minorEastAsia" w:hAnsiTheme="minorEastAsia" w:eastAsiaTheme="minorEastAsia" w:cstheme="minorEastAsia"/>
          <w:b/>
          <w:color w:val="auto"/>
          <w:kern w:val="0"/>
          <w:sz w:val="21"/>
          <w:szCs w:val="21"/>
          <w:highlight w:val="none"/>
        </w:rPr>
        <w:t>符合性审查。</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应当对符合资格的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文件进行符合性审查，以确定其是否满足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文件的实质性要求。不满足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文件的实质性要求的，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7A33DA09">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3</w:t>
      </w:r>
      <w:r>
        <w:rPr>
          <w:rFonts w:hint="eastAsia" w:asciiTheme="minorEastAsia" w:hAnsiTheme="minorEastAsia" w:eastAsiaTheme="minorEastAsia" w:cstheme="minorEastAsia"/>
          <w:b/>
          <w:color w:val="auto"/>
          <w:kern w:val="0"/>
          <w:sz w:val="21"/>
          <w:szCs w:val="21"/>
          <w:highlight w:val="none"/>
        </w:rPr>
        <w:t>磋商</w:t>
      </w:r>
    </w:p>
    <w:p w14:paraId="6228F6F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.1磋商小组所有成员应集中与单一供应商分别进行磋商，并给予所有有效供应商平等的磋商机会。在磋商过程中，如有需要，可以对采购文件的“</w:t>
      </w:r>
      <w:r>
        <w:rPr>
          <w:rFonts w:hint="eastAsia" w:asciiTheme="minorEastAsia" w:hAnsiTheme="minorEastAsia" w:eastAsiaTheme="minorEastAsia" w:cstheme="minorEastAsia"/>
          <w:b/>
          <w:bCs/>
          <w:color w:val="auto"/>
          <w:kern w:val="0"/>
          <w:sz w:val="21"/>
          <w:szCs w:val="21"/>
          <w:highlight w:val="none"/>
        </w:rPr>
        <w:t>项目需求的技术、服务条款”以及“合同条款”进行实质性变动</w:t>
      </w:r>
      <w:r>
        <w:rPr>
          <w:rFonts w:hint="eastAsia" w:asciiTheme="minorEastAsia" w:hAnsiTheme="minorEastAsia" w:eastAsiaTheme="minorEastAsia" w:cstheme="minorEastAsia"/>
          <w:color w:val="auto"/>
          <w:kern w:val="0"/>
          <w:sz w:val="21"/>
          <w:szCs w:val="21"/>
          <w:highlight w:val="none"/>
        </w:rPr>
        <w:t>，如有实质性变动需经采购人代表现场签字确认，磋商小组将采购文件变更通知在线发给各有效供应商，供应商根据变更通知的要求作响应文件的补充文件，该补充文件是响应文件的组成部分，具有相应的法律效力。</w:t>
      </w:r>
    </w:p>
    <w:p w14:paraId="4CB97C8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3.3.2</w:t>
      </w:r>
      <w:r>
        <w:rPr>
          <w:rFonts w:hint="eastAsia" w:asciiTheme="minorEastAsia" w:hAnsiTheme="minorEastAsia" w:eastAsiaTheme="minorEastAsia" w:cstheme="minorEastAsia"/>
          <w:b/>
          <w:bCs/>
          <w:color w:val="auto"/>
          <w:kern w:val="0"/>
          <w:sz w:val="21"/>
          <w:szCs w:val="21"/>
          <w:highlight w:val="none"/>
        </w:rPr>
        <w:t>各有效供应商在</w:t>
      </w:r>
      <w:r>
        <w:rPr>
          <w:rFonts w:hint="eastAsia" w:asciiTheme="minorEastAsia" w:hAnsiTheme="minorEastAsia" w:eastAsiaTheme="minorEastAsia" w:cstheme="minorEastAsia"/>
          <w:b/>
          <w:bCs/>
          <w:color w:val="auto"/>
          <w:kern w:val="0"/>
          <w:sz w:val="21"/>
          <w:szCs w:val="21"/>
          <w:highlight w:val="none"/>
          <w:lang w:val="en-US" w:eastAsia="zh-CN"/>
        </w:rPr>
        <w:t>30分钟内</w:t>
      </w:r>
      <w:r>
        <w:rPr>
          <w:rFonts w:hint="eastAsia" w:asciiTheme="minorEastAsia" w:hAnsiTheme="minorEastAsia" w:eastAsiaTheme="minorEastAsia" w:cstheme="minorEastAsia"/>
          <w:b/>
          <w:bCs/>
          <w:color w:val="auto"/>
          <w:kern w:val="0"/>
          <w:sz w:val="21"/>
          <w:szCs w:val="21"/>
          <w:highlight w:val="none"/>
        </w:rPr>
        <w:t>在线提交第二次报价（即最终报价），磋商小组以第二次报价（即最终报价）作为价格评议的标准</w:t>
      </w:r>
      <w:r>
        <w:rPr>
          <w:rFonts w:hint="eastAsia" w:asciiTheme="minorEastAsia" w:hAnsiTheme="minorEastAsia" w:eastAsiaTheme="minorEastAsia" w:cstheme="minorEastAsia"/>
          <w:color w:val="auto"/>
          <w:kern w:val="0"/>
          <w:sz w:val="21"/>
          <w:szCs w:val="21"/>
          <w:highlight w:val="none"/>
        </w:rPr>
        <w:t>。已提交响应文件的供应商，在提交最终报价之前，可以根据磋商情况退出磋商。</w:t>
      </w:r>
    </w:p>
    <w:p w14:paraId="0D3568CD">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.3经磋商确定最终采购需求和提交最后报价的供应商后，由磋商小组采用综合评分法对提交最后报价的供应商的响应文件和最后报价进行综合评分。</w:t>
      </w:r>
    </w:p>
    <w:p w14:paraId="2F1E8338">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4</w:t>
      </w:r>
      <w:r>
        <w:rPr>
          <w:rFonts w:hint="eastAsia" w:asciiTheme="minorEastAsia" w:hAnsiTheme="minorEastAsia" w:eastAsiaTheme="minorEastAsia" w:cstheme="minorEastAsia"/>
          <w:b/>
          <w:color w:val="auto"/>
          <w:kern w:val="0"/>
          <w:sz w:val="21"/>
          <w:szCs w:val="21"/>
          <w:highlight w:val="none"/>
        </w:rPr>
        <w:t xml:space="preserve"> </w:t>
      </w:r>
      <w:r>
        <w:rPr>
          <w:rFonts w:hint="eastAsia" w:asciiTheme="minorEastAsia" w:hAnsiTheme="minorEastAsia" w:eastAsiaTheme="minorEastAsia" w:cstheme="minorEastAsia"/>
          <w:b/>
          <w:color w:val="auto"/>
          <w:kern w:val="0"/>
          <w:sz w:val="21"/>
          <w:szCs w:val="21"/>
          <w:highlight w:val="none"/>
          <w:lang w:eastAsia="zh-CN"/>
        </w:rPr>
        <w:t>商务技术</w:t>
      </w:r>
      <w:r>
        <w:rPr>
          <w:rFonts w:hint="eastAsia" w:asciiTheme="minorEastAsia" w:hAnsiTheme="minorEastAsia" w:eastAsiaTheme="minorEastAsia" w:cstheme="minorEastAsia"/>
          <w:b/>
          <w:color w:val="auto"/>
          <w:kern w:val="0"/>
          <w:sz w:val="21"/>
          <w:szCs w:val="21"/>
          <w:highlight w:val="none"/>
        </w:rPr>
        <w:t>评</w:t>
      </w:r>
      <w:r>
        <w:rPr>
          <w:rFonts w:hint="eastAsia" w:asciiTheme="minorEastAsia" w:hAnsiTheme="minorEastAsia" w:eastAsiaTheme="minorEastAsia" w:cstheme="minorEastAsia"/>
          <w:b/>
          <w:color w:val="auto"/>
          <w:kern w:val="0"/>
          <w:sz w:val="21"/>
          <w:szCs w:val="21"/>
          <w:highlight w:val="none"/>
          <w:lang w:eastAsia="zh-CN"/>
        </w:rPr>
        <w:t>审</w:t>
      </w:r>
      <w:r>
        <w:rPr>
          <w:rFonts w:hint="eastAsia" w:asciiTheme="minorEastAsia" w:hAnsiTheme="minorEastAsia" w:eastAsiaTheme="minorEastAsia" w:cstheme="minorEastAsia"/>
          <w:b/>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文件中规定的评标方法和标准，对符合性审查合格的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文件进行商务和技术评估。</w:t>
      </w:r>
    </w:p>
    <w:p w14:paraId="5F914B48">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5 </w:t>
      </w:r>
      <w:r>
        <w:rPr>
          <w:rFonts w:hint="eastAsia" w:asciiTheme="minorEastAsia" w:hAnsiTheme="minorEastAsia" w:eastAsiaTheme="minorEastAsia" w:cstheme="minorEastAsia"/>
          <w:b/>
          <w:color w:val="auto"/>
          <w:kern w:val="0"/>
          <w:sz w:val="21"/>
          <w:szCs w:val="21"/>
          <w:highlight w:val="none"/>
        </w:rPr>
        <w:t>汇总商务技术得分。</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各成员应当独立对每个</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的商务和技术文件进行评价，并汇总商务技术得分情况。</w:t>
      </w:r>
    </w:p>
    <w:p w14:paraId="35BCCD94">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6 </w:t>
      </w:r>
      <w:r>
        <w:rPr>
          <w:rFonts w:hint="eastAsia" w:asciiTheme="minorEastAsia" w:hAnsiTheme="minorEastAsia" w:eastAsiaTheme="minorEastAsia" w:cstheme="minorEastAsia"/>
          <w:b/>
          <w:color w:val="auto"/>
          <w:kern w:val="0"/>
          <w:sz w:val="21"/>
          <w:szCs w:val="21"/>
          <w:highlight w:val="none"/>
        </w:rPr>
        <w:t>报价评审。</w:t>
      </w:r>
    </w:p>
    <w:p w14:paraId="4524454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磋商小组对供应商提交的报价进行评审。</w:t>
      </w:r>
    </w:p>
    <w:p w14:paraId="10A51040">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文件报价出现前后不一致的，按照下列规定修正：</w:t>
      </w:r>
    </w:p>
    <w:p w14:paraId="6471FF55">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.1.1</w:t>
      </w:r>
      <w:r>
        <w:rPr>
          <w:rFonts w:hint="eastAsia" w:asciiTheme="minorEastAsia" w:hAnsiTheme="minorEastAsia" w:eastAsiaTheme="minorEastAsia" w:cstheme="minorEastAsia"/>
          <w:color w:val="auto"/>
          <w:kern w:val="0"/>
          <w:sz w:val="21"/>
          <w:szCs w:val="21"/>
          <w:highlight w:val="none"/>
          <w:lang w:val="en-US" w:eastAsia="zh-CN"/>
        </w:rPr>
        <w:t>电子交易平台生成的开标记录表</w:t>
      </w:r>
      <w:r>
        <w:rPr>
          <w:rFonts w:hint="eastAsia" w:asciiTheme="minorEastAsia" w:hAnsiTheme="minorEastAsia" w:eastAsiaTheme="minorEastAsia" w:cstheme="minorEastAsia"/>
          <w:color w:val="auto"/>
          <w:kern w:val="0"/>
          <w:sz w:val="21"/>
          <w:szCs w:val="21"/>
          <w:highlight w:val="none"/>
        </w:rPr>
        <w:t>(报价表)内容</w:t>
      </w:r>
      <w:r>
        <w:rPr>
          <w:rFonts w:hint="eastAsia" w:asciiTheme="minorEastAsia" w:hAnsiTheme="minorEastAsia" w:eastAsiaTheme="minorEastAsia" w:cstheme="minorEastAsia"/>
          <w:color w:val="auto"/>
          <w:kern w:val="0"/>
          <w:sz w:val="21"/>
          <w:szCs w:val="21"/>
          <w:highlight w:val="none"/>
          <w:lang w:val="en-US" w:eastAsia="zh-CN"/>
        </w:rPr>
        <w:t>与响应文件中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w:t>
      </w:r>
      <w:r>
        <w:rPr>
          <w:rFonts w:hint="eastAsia" w:asciiTheme="minorEastAsia" w:hAnsiTheme="minorEastAsia" w:eastAsiaTheme="minorEastAsia" w:cstheme="minorEastAsia"/>
          <w:color w:val="auto"/>
          <w:kern w:val="0"/>
          <w:sz w:val="21"/>
          <w:szCs w:val="21"/>
          <w:highlight w:val="none"/>
          <w:lang w:val="en-US" w:eastAsia="zh-CN"/>
        </w:rPr>
        <w:t>不一致的，以响应文件中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w:t>
      </w:r>
      <w:r>
        <w:rPr>
          <w:rFonts w:hint="eastAsia" w:asciiTheme="minorEastAsia" w:hAnsiTheme="minorEastAsia" w:eastAsiaTheme="minorEastAsia" w:cstheme="minorEastAsia"/>
          <w:color w:val="auto"/>
          <w:kern w:val="0"/>
          <w:sz w:val="21"/>
          <w:szCs w:val="21"/>
          <w:highlight w:val="none"/>
          <w:lang w:val="en-US" w:eastAsia="zh-CN"/>
        </w:rPr>
        <w:t>为准</w:t>
      </w:r>
      <w:r>
        <w:rPr>
          <w:rFonts w:hint="eastAsia" w:asciiTheme="minorEastAsia" w:hAnsiTheme="minorEastAsia" w:eastAsiaTheme="minorEastAsia" w:cstheme="minorEastAsia"/>
          <w:color w:val="auto"/>
          <w:kern w:val="0"/>
          <w:sz w:val="21"/>
          <w:szCs w:val="21"/>
          <w:highlight w:val="none"/>
          <w:lang w:eastAsia="zh-CN"/>
        </w:rPr>
        <w:t>；</w:t>
      </w:r>
    </w:p>
    <w:p w14:paraId="3C91CBB8">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.1.2</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(报价表)内容与</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文件中相应内容不一致的，以</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(报价表)为准</w:t>
      </w:r>
      <w:r>
        <w:rPr>
          <w:rFonts w:hint="eastAsia" w:asciiTheme="minorEastAsia" w:hAnsiTheme="minorEastAsia" w:eastAsiaTheme="minorEastAsia" w:cstheme="minorEastAsia"/>
          <w:color w:val="auto"/>
          <w:kern w:val="0"/>
          <w:sz w:val="21"/>
          <w:szCs w:val="21"/>
          <w:highlight w:val="none"/>
          <w:lang w:eastAsia="zh-CN"/>
        </w:rPr>
        <w:t>；</w:t>
      </w:r>
    </w:p>
    <w:p w14:paraId="6586415E">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.1.3</w:t>
      </w:r>
      <w:r>
        <w:rPr>
          <w:rFonts w:hint="eastAsia" w:asciiTheme="minorEastAsia" w:hAnsiTheme="minorEastAsia" w:eastAsiaTheme="minorEastAsia" w:cstheme="minorEastAsia"/>
          <w:color w:val="auto"/>
          <w:kern w:val="0"/>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rPr>
        <w:t>大写金额和小写金额不一致的，以大写金额为准;</w:t>
      </w:r>
    </w:p>
    <w:p w14:paraId="6A1F077A">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.1.4</w:t>
      </w:r>
      <w:r>
        <w:rPr>
          <w:rFonts w:hint="eastAsia" w:asciiTheme="minorEastAsia" w:hAnsiTheme="minorEastAsia" w:eastAsiaTheme="minorEastAsia" w:cstheme="minorEastAsia"/>
          <w:color w:val="auto"/>
          <w:kern w:val="0"/>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rPr>
        <w:t>单价金额小数点或者百分比有明显错位的，以</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的总价为准，并修改单价;</w:t>
      </w:r>
    </w:p>
    <w:p w14:paraId="2A69B5D9">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3.6.1.5</w:t>
      </w:r>
      <w:r>
        <w:rPr>
          <w:rFonts w:hint="eastAsia" w:asciiTheme="minorEastAsia" w:hAnsiTheme="minorEastAsia" w:eastAsiaTheme="minorEastAsia" w:cstheme="minorEastAsia"/>
          <w:color w:val="auto"/>
          <w:kern w:val="0"/>
          <w:sz w:val="21"/>
          <w:szCs w:val="21"/>
          <w:highlight w:val="none"/>
        </w:rPr>
        <w:t>同时出现两种以上不一致的，按照3.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.1规定的顺序修正。修正后的报价经</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确认后产生约束力。</w:t>
      </w:r>
    </w:p>
    <w:p w14:paraId="01B8E86B">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文件出现不是唯一的、有选择性</w:t>
      </w:r>
      <w:r>
        <w:rPr>
          <w:rFonts w:hint="eastAsia" w:asciiTheme="minorEastAsia" w:hAnsiTheme="minorEastAsia" w:eastAsiaTheme="minorEastAsia" w:cstheme="minorEastAsia"/>
          <w:color w:val="auto"/>
          <w:kern w:val="0"/>
          <w:sz w:val="21"/>
          <w:szCs w:val="21"/>
          <w:highlight w:val="none"/>
          <w:lang w:eastAsia="zh-CN"/>
        </w:rPr>
        <w:t>磋商</w:t>
      </w:r>
      <w:r>
        <w:rPr>
          <w:rFonts w:hint="eastAsia" w:asciiTheme="minorEastAsia" w:hAnsiTheme="minorEastAsia" w:eastAsiaTheme="minorEastAsia" w:cstheme="minorEastAsia"/>
          <w:color w:val="auto"/>
          <w:kern w:val="0"/>
          <w:sz w:val="21"/>
          <w:szCs w:val="21"/>
          <w:highlight w:val="none"/>
        </w:rPr>
        <w:t>报价的，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129C3C3B">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eastAsia="zh-CN"/>
        </w:rPr>
        <w:t>磋商</w:t>
      </w:r>
      <w:r>
        <w:rPr>
          <w:rFonts w:hint="eastAsia" w:asciiTheme="minorEastAsia" w:hAnsiTheme="minorEastAsia" w:eastAsiaTheme="minorEastAsia" w:cstheme="minorEastAsia"/>
          <w:color w:val="auto"/>
          <w:kern w:val="0"/>
          <w:sz w:val="21"/>
          <w:szCs w:val="21"/>
          <w:highlight w:val="none"/>
        </w:rPr>
        <w:t>报价超过</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文件中规定的预算金额或者最高限价的，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6B386D21">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.4</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认为</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的报价明显低于其他通过符合性审查</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的报价，有可能影响产品质量或者不能诚信履约的，应当要求其在</w:t>
      </w:r>
      <w:r>
        <w:rPr>
          <w:rFonts w:hint="eastAsia" w:asciiTheme="minorEastAsia" w:hAnsiTheme="minorEastAsia" w:eastAsiaTheme="minorEastAsia" w:cstheme="minorEastAsia"/>
          <w:color w:val="auto"/>
          <w:kern w:val="0"/>
          <w:sz w:val="21"/>
          <w:szCs w:val="21"/>
          <w:highlight w:val="none"/>
          <w:lang w:val="en-US" w:eastAsia="zh-CN"/>
        </w:rPr>
        <w:t>30分钟</w:t>
      </w:r>
      <w:r>
        <w:rPr>
          <w:rFonts w:hint="eastAsia" w:asciiTheme="minorEastAsia" w:hAnsiTheme="minorEastAsia" w:eastAsiaTheme="minorEastAsia" w:cstheme="minorEastAsia"/>
          <w:color w:val="auto"/>
          <w:kern w:val="0"/>
          <w:sz w:val="21"/>
          <w:szCs w:val="21"/>
          <w:highlight w:val="none"/>
        </w:rPr>
        <w:t>内提供书面说明，必要时提交相关证明材料;</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不能证明其报价合理性的，</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应当将其作为无效</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处理。</w:t>
      </w:r>
    </w:p>
    <w:p w14:paraId="1EA3F00C">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7</w:t>
      </w:r>
      <w:r>
        <w:rPr>
          <w:rFonts w:hint="eastAsia" w:asciiTheme="minorEastAsia" w:hAnsiTheme="minorEastAsia" w:eastAsiaTheme="minorEastAsia" w:cstheme="minorEastAsia"/>
          <w:b/>
          <w:bCs/>
          <w:color w:val="auto"/>
          <w:kern w:val="0"/>
          <w:sz w:val="21"/>
          <w:szCs w:val="21"/>
          <w:highlight w:val="none"/>
          <w:lang w:val="en-US" w:eastAsia="zh-CN" w:bidi="ar-SA"/>
        </w:rPr>
        <w:t>综合评议。</w:t>
      </w:r>
      <w:r>
        <w:rPr>
          <w:rFonts w:hint="eastAsia" w:asciiTheme="minorEastAsia" w:hAnsiTheme="minorEastAsia" w:eastAsiaTheme="minorEastAsia" w:cstheme="minorEastAsia"/>
          <w:color w:val="auto"/>
          <w:kern w:val="0"/>
          <w:sz w:val="21"/>
          <w:szCs w:val="21"/>
          <w:highlight w:val="none"/>
          <w:lang w:val="en-US" w:eastAsia="zh-CN" w:bidi="ar-SA"/>
        </w:rPr>
        <w:t>评分汇总（汇总各评委的评分，计算所有评委评出的总分的算术平均值作为供应商的综合得分）；按综合得分从高到低排序。</w:t>
      </w:r>
    </w:p>
    <w:p w14:paraId="531C61AD">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8</w:t>
      </w:r>
      <w:r>
        <w:rPr>
          <w:rFonts w:hint="eastAsia" w:asciiTheme="minorEastAsia" w:hAnsiTheme="minorEastAsia" w:eastAsiaTheme="minorEastAsia" w:cstheme="minorEastAsia"/>
          <w:b/>
          <w:bCs/>
          <w:color w:val="auto"/>
          <w:kern w:val="0"/>
          <w:sz w:val="21"/>
          <w:szCs w:val="21"/>
          <w:highlight w:val="none"/>
          <w:lang w:val="en-US" w:eastAsia="zh-CN" w:bidi="ar-SA"/>
        </w:rPr>
        <w:t>磋商小组根据综合评分情况</w:t>
      </w:r>
      <w:r>
        <w:rPr>
          <w:rFonts w:hint="eastAsia" w:asciiTheme="minorEastAsia" w:hAnsiTheme="minorEastAsia" w:eastAsiaTheme="minorEastAsia" w:cstheme="minorEastAsia"/>
          <w:color w:val="auto"/>
          <w:kern w:val="0"/>
          <w:sz w:val="21"/>
          <w:szCs w:val="21"/>
          <w:highlight w:val="none"/>
          <w:lang w:val="en-US" w:eastAsia="zh-CN" w:bidi="ar-SA"/>
        </w:rPr>
        <w:t>，按照评审得分由高到低顺序推荐3名成交候选供应商。评审得分相同的，按照最后报价由低到高的顺序推荐。评审得分且最后报价相同的，按照技术指标优劣顺序推荐。</w:t>
      </w:r>
    </w:p>
    <w:p w14:paraId="606D88BA">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9</w:t>
      </w:r>
      <w:r>
        <w:rPr>
          <w:rFonts w:hint="eastAsia" w:asciiTheme="minorEastAsia" w:hAnsiTheme="minorEastAsia" w:eastAsiaTheme="minorEastAsia" w:cstheme="minorEastAsia"/>
          <w:b/>
          <w:color w:val="auto"/>
          <w:kern w:val="0"/>
          <w:sz w:val="21"/>
          <w:szCs w:val="21"/>
          <w:highlight w:val="none"/>
        </w:rPr>
        <w:t>编写评标报告。</w:t>
      </w:r>
      <w:r>
        <w:rPr>
          <w:rFonts w:hint="eastAsia" w:asciiTheme="minorEastAsia" w:hAnsiTheme="minorEastAsia" w:eastAsiaTheme="minorEastAsia" w:cstheme="minorEastAsia"/>
          <w:color w:val="auto"/>
          <w:kern w:val="0"/>
          <w:sz w:val="21"/>
          <w:szCs w:val="21"/>
          <w:highlight w:val="none"/>
          <w:lang w:val="en-US" w:eastAsia="zh-CN" w:bidi="ar-SA"/>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E44FD32">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四、评标中的其他事项</w:t>
      </w:r>
    </w:p>
    <w:p w14:paraId="4FE9C5CC">
      <w:pPr>
        <w:pStyle w:val="51"/>
        <w:keepNext w:val="0"/>
        <w:keepLines w:val="0"/>
        <w:pageBreakBefore w:val="0"/>
        <w:kinsoku/>
        <w:wordWrap/>
        <w:overflowPunct/>
        <w:topLinePunct w:val="0"/>
        <w:autoSpaceDE/>
        <w:autoSpaceDN/>
        <w:bidi w:val="0"/>
        <w:spacing w:before="0"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4.1</w:t>
      </w:r>
      <w:r>
        <w:rPr>
          <w:rFonts w:hint="eastAsia" w:asciiTheme="minorEastAsia" w:hAnsiTheme="minorEastAsia" w:eastAsiaTheme="minorEastAsia" w:cstheme="minorEastAsia"/>
          <w:b/>
          <w:color w:val="auto"/>
          <w:kern w:val="0"/>
          <w:sz w:val="21"/>
          <w:szCs w:val="21"/>
          <w:highlight w:val="none"/>
          <w:lang w:eastAsia="zh-CN"/>
        </w:rPr>
        <w:t>响应</w:t>
      </w:r>
      <w:r>
        <w:rPr>
          <w:rFonts w:hint="eastAsia" w:asciiTheme="minorEastAsia" w:hAnsiTheme="minorEastAsia" w:eastAsiaTheme="minorEastAsia" w:cstheme="minorEastAsia"/>
          <w:b/>
          <w:color w:val="auto"/>
          <w:kern w:val="0"/>
          <w:sz w:val="21"/>
          <w:szCs w:val="21"/>
          <w:highlight w:val="none"/>
        </w:rPr>
        <w:t>澄清、说明或者补正。</w:t>
      </w:r>
      <w:r>
        <w:rPr>
          <w:rFonts w:hint="eastAsia" w:asciiTheme="minorEastAsia" w:hAnsiTheme="minorEastAsia" w:eastAsiaTheme="minorEastAsia" w:cstheme="minorEastAsia"/>
          <w:color w:val="auto"/>
          <w:kern w:val="0"/>
          <w:sz w:val="21"/>
          <w:szCs w:val="21"/>
          <w:highlight w:val="none"/>
        </w:rPr>
        <w:t>对于</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文件中含义不明确、同类问题表述不一致或者有明显文字和计算错误的内容需要</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作出必要的澄清、说明或者补正的，</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和</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通过电子交易平台交换数据电文，</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提交使用电子签名的相关数据电文或通过平台上传加盖公章的扫描件。给予</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提交澄清、说明或补正的时间不得少于半小时，</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已经明确表示澄清说明或补正完毕的除外。</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的澄清、说明或者补正不得超出</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文件的范围或者改变</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文件的实质性内容。</w:t>
      </w:r>
    </w:p>
    <w:p w14:paraId="5F9F54B4">
      <w:pPr>
        <w:pStyle w:val="10"/>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4.2</w:t>
      </w:r>
      <w:r>
        <w:rPr>
          <w:rFonts w:hint="eastAsia" w:asciiTheme="minorEastAsia" w:hAnsiTheme="minorEastAsia" w:eastAsiaTheme="minorEastAsia" w:cstheme="minorEastAsia"/>
          <w:b/>
          <w:color w:val="auto"/>
          <w:kern w:val="0"/>
          <w:sz w:val="21"/>
          <w:szCs w:val="21"/>
          <w:highlight w:val="none"/>
          <w:lang w:eastAsia="zh-CN"/>
        </w:rPr>
        <w:t>响应</w:t>
      </w:r>
      <w:r>
        <w:rPr>
          <w:rFonts w:hint="eastAsia" w:asciiTheme="minorEastAsia" w:hAnsiTheme="minorEastAsia" w:eastAsiaTheme="minorEastAsia" w:cstheme="minorEastAsia"/>
          <w:b/>
          <w:color w:val="auto"/>
          <w:kern w:val="0"/>
          <w:sz w:val="21"/>
          <w:szCs w:val="21"/>
          <w:highlight w:val="none"/>
        </w:rPr>
        <w:t>无效</w:t>
      </w:r>
      <w:r>
        <w:rPr>
          <w:rFonts w:hint="eastAsia" w:asciiTheme="minorEastAsia" w:hAnsiTheme="minorEastAsia" w:eastAsiaTheme="minorEastAsia" w:cstheme="minorEastAsia"/>
          <w:b/>
          <w:color w:val="auto"/>
          <w:kern w:val="0"/>
          <w:sz w:val="21"/>
          <w:szCs w:val="21"/>
          <w:highlight w:val="none"/>
          <w:lang w:val="en-US" w:eastAsia="zh-CN"/>
        </w:rPr>
        <w:t>的情形</w:t>
      </w:r>
      <w:r>
        <w:rPr>
          <w:rFonts w:hint="eastAsia" w:asciiTheme="minorEastAsia" w:hAnsiTheme="minorEastAsia" w:eastAsiaTheme="minorEastAsia" w:cstheme="minorEastAsia"/>
          <w:b/>
          <w:color w:val="auto"/>
          <w:kern w:val="0"/>
          <w:sz w:val="21"/>
          <w:szCs w:val="21"/>
          <w:highlight w:val="none"/>
        </w:rPr>
        <w:t>。</w:t>
      </w:r>
    </w:p>
    <w:p w14:paraId="090FA3D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4.2.1 没有响应</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文件实质性要求的响应将被视为无效响应。</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不得通过修正或撤销不合要求的偏离或保留从而使其磋商响应成为实质上响应的磋商，但经磋商小组认定属于</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疏忽、笔误所造成的差错，可允许其在评标结束之前进行修改或者补正（可以是复印件、传真件等，原件必须加盖单位公章）。修改或者补正响应文件必须以书面形式进行，并应在成交结果公告之前查核原件。限期内不补正或经补正后仍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文件要求的，应认定其响应无效。</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修改、补正响应文件后，不影响磋商小组对其响应文件所作的评价和评分结果。</w:t>
      </w:r>
    </w:p>
    <w:p w14:paraId="1FD7E99C">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 在电子开评标时，如发现下列情形之一的，将被视为无效响应文件：</w:t>
      </w:r>
    </w:p>
    <w:p w14:paraId="280A4C0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4.2.2.1电子投标文件解密失败的；</w:t>
      </w:r>
    </w:p>
    <w:p w14:paraId="2C39544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4.2.2.2响应文件未按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文件要求加密、签字、盖章的；</w:t>
      </w:r>
    </w:p>
    <w:p w14:paraId="4A2940D2">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 在资格审查、符合性审查和商务评审时，如发现下列情形之一的，将被视为无效响应文件：</w:t>
      </w:r>
    </w:p>
    <w:p w14:paraId="7D0292A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4.2.3.1 资格证明文件不全的或者不符合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文件标明的资格要求的；</w:t>
      </w:r>
    </w:p>
    <w:p w14:paraId="5908F47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4.2.3.2 响应文件未按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文件要求签署、盖章的；</w:t>
      </w:r>
    </w:p>
    <w:p w14:paraId="2D284885">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4.2.3.3 响应代表人未能出具身份证明或身份证明与法定代表授权委托书不符的。</w:t>
      </w:r>
    </w:p>
    <w:p w14:paraId="5E850A5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4.2.3.4 响应文件格式不规范、项目不齐全或者内容虚假的；</w:t>
      </w:r>
    </w:p>
    <w:p w14:paraId="56959581">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4.2.3.5 响应文件的实质性内容未使用中文表述、意思表述不明确、前后矛盾或者使用计量单位不符合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文件要求的（经磋商小组认定并允许其当场更正的笔误除外）；</w:t>
      </w:r>
    </w:p>
    <w:p w14:paraId="3092430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4.2.3.6 响应有效期、交货时间、质保期等商务条款不能满足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w:t>
      </w:r>
    </w:p>
    <w:p w14:paraId="0CB6EA9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4.2.3.7 带“▲”的条款不能满足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文件要求、未实质性响应</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文件要求或者响应文件有采购人不能接受的附加条件的；</w:t>
      </w:r>
    </w:p>
    <w:p w14:paraId="4593A2CB">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4.2.3.8 单位负责人为同一人或者存在直接控股、管理关系的不同供应商参加同一合同项下的政府采购活动的；</w:t>
      </w:r>
    </w:p>
    <w:p w14:paraId="27FE5A73">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4.2.3.9 为采购项目提供整体设计、规范编制或者项目管理、监理、检测等服务的供应商参加该采购项目的其他采购活动的；</w:t>
      </w:r>
    </w:p>
    <w:p w14:paraId="37B8DD4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4.2.3.10 商务技术文件中出现本项目磋商报价或单价的。</w:t>
      </w:r>
    </w:p>
    <w:p w14:paraId="2729175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4.3.在技术评审时，如发现下列情形之一的，将被视为无效响应文件：</w:t>
      </w:r>
    </w:p>
    <w:p w14:paraId="4998EA7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4.3.1未提供或未如实提供磋商货物的技术参数，或者响应文件标明的响应或偏离与事实不符或虚假响应的；</w:t>
      </w:r>
    </w:p>
    <w:p w14:paraId="28C8FCF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4.3.2 明显不符合竞争性磋商文件要求的规格型号、质量标准，或者与竞争性磋商文件中标“▲”的技术指标、主要功能项目发生实质性偏离的；</w:t>
      </w:r>
    </w:p>
    <w:p w14:paraId="369B8B3D">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4.3.3 允许偏离的技术、性能指标或辅助功能项目发生负偏离达/项（含）以上的；</w:t>
      </w:r>
    </w:p>
    <w:p w14:paraId="6CD7C7C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4.3.4 技术方案不明确，存在一个或一个以上备选（替代）技术方案的；</w:t>
      </w:r>
    </w:p>
    <w:p w14:paraId="06B0EB7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4.3.5 与其他参加本次磋商</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的响应文件（技术文件）的文字表述内容差错相同2处以上的；</w:t>
      </w:r>
    </w:p>
    <w:p w14:paraId="417BF3C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4.3.6 采购人拟采购的产品属于政府强制采购的节能产品品目清单范围的，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未按竞争性磋商文件要求提供国家确定的认证机构出具的、处于有效期之内的节能产品认证证书的。</w:t>
      </w:r>
    </w:p>
    <w:p w14:paraId="0F1E041F">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 在报价评审时，如发现下列情形之一的，响应文件将被视为无效：</w:t>
      </w:r>
    </w:p>
    <w:p w14:paraId="678DDAF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4.4.1 未采用人民币报价或者未按照竞争性磋商文件标明的币种报价的；</w:t>
      </w:r>
    </w:p>
    <w:p w14:paraId="217D6B2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4.4.2 报价超出最高综合折扣的；</w:t>
      </w:r>
    </w:p>
    <w:p w14:paraId="626E57C8">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4.4.3 磋商报价具有选择性的；</w:t>
      </w:r>
    </w:p>
    <w:p w14:paraId="4443C5F6">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4.4.4 磋商报价中出现缺项、漏项或被磋商小组认定为有可能影响产品质量或者不能诚信履约的且不能在合理的时间内证明其报价合理性的；</w:t>
      </w:r>
    </w:p>
    <w:p w14:paraId="02549B7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4.4.5供应商对根据修正原则修正后的报价不确认的。</w:t>
      </w:r>
    </w:p>
    <w:p w14:paraId="15D9C62C">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4.5其他无效情形：</w:t>
      </w:r>
    </w:p>
    <w:p w14:paraId="6D3E97C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4.5.1 不同</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的响应文件出自同一终端设备或在相同Internet主机分配地址（相同IP地址）进行网上报名、磋商的；</w:t>
      </w:r>
    </w:p>
    <w:p w14:paraId="3027EFD6">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 xml:space="preserve">4.5.2 </w:t>
      </w:r>
      <w:r>
        <w:rPr>
          <w:rFonts w:hint="eastAsia" w:asciiTheme="minorEastAsia" w:hAnsiTheme="minorEastAsia" w:eastAsiaTheme="minorEastAsia" w:cstheme="minorEastAsia"/>
          <w:color w:val="auto"/>
          <w:kern w:val="0"/>
          <w:sz w:val="21"/>
          <w:szCs w:val="21"/>
          <w:highlight w:val="none"/>
        </w:rPr>
        <w:t>法律、法规、规章（适用本市的）及省级以上规范性文件（适用本市的）规定的其他无效情形。</w:t>
      </w:r>
    </w:p>
    <w:p w14:paraId="10FAFE09">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2"/>
          <w:sz w:val="21"/>
          <w:szCs w:val="21"/>
          <w:highlight w:val="none"/>
          <w:lang w:val="en-US" w:eastAsia="zh-CN" w:bidi="ar-SA"/>
        </w:rPr>
        <w:t>5.采购终止的情形。</w:t>
      </w:r>
      <w:r>
        <w:rPr>
          <w:rFonts w:hint="eastAsia" w:asciiTheme="minorEastAsia" w:hAnsiTheme="minorEastAsia" w:eastAsiaTheme="minorEastAsia" w:cstheme="minorEastAsia"/>
          <w:color w:val="auto"/>
          <w:kern w:val="0"/>
          <w:sz w:val="21"/>
          <w:szCs w:val="21"/>
          <w:highlight w:val="none"/>
        </w:rPr>
        <w:t>在本项目磋商采购中，出现下列情形之一的，应当终止竞争性磋商采购活动，发布项目终止公告并说明原因，重新开展采购活动：</w:t>
      </w:r>
    </w:p>
    <w:p w14:paraId="291A7FCB">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5.1因情况变化，不再符合规定的竞争性磋商采购方式适用情形的；</w:t>
      </w:r>
    </w:p>
    <w:p w14:paraId="31F4C26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5.2出现影响采购公正的违法、违规行为的；</w:t>
      </w:r>
    </w:p>
    <w:p w14:paraId="5EE2C215">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50F1BA63">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5.4电子交易平台无法正常运行，无法保证电子交易的公平、公正和安全的情况。</w:t>
      </w:r>
    </w:p>
    <w:p w14:paraId="66CC6479">
      <w:pPr>
        <w:pStyle w:val="10"/>
        <w:keepNext w:val="0"/>
        <w:keepLines w:val="0"/>
        <w:pageBreakBefore w:val="0"/>
        <w:kinsoku/>
        <w:wordWrap/>
        <w:overflowPunct/>
        <w:topLinePunct w:val="0"/>
        <w:autoSpaceDE/>
        <w:autoSpaceDN/>
        <w:bidi w:val="0"/>
        <w:snapToGrid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sz w:val="21"/>
          <w:szCs w:val="21"/>
          <w:highlight w:val="none"/>
        </w:rPr>
        <w:t>6.修改</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文件，重新组织采购活动。</w:t>
      </w:r>
      <w:r>
        <w:rPr>
          <w:rFonts w:hint="eastAsia" w:asciiTheme="minorEastAsia" w:hAnsiTheme="minorEastAsia" w:eastAsiaTheme="minorEastAsia" w:cstheme="minorEastAsia"/>
          <w:color w:val="auto"/>
          <w:sz w:val="21"/>
          <w:szCs w:val="21"/>
          <w:highlight w:val="none"/>
          <w:lang w:eastAsia="zh-CN"/>
        </w:rPr>
        <w:t>磋商小组</w:t>
      </w:r>
      <w:r>
        <w:rPr>
          <w:rFonts w:hint="eastAsia" w:asciiTheme="minorEastAsia" w:hAnsiTheme="minorEastAsia" w:eastAsiaTheme="minorEastAsia" w:cstheme="minorEastAsia"/>
          <w:color w:val="auto"/>
          <w:sz w:val="21"/>
          <w:szCs w:val="21"/>
          <w:highlight w:val="none"/>
        </w:rPr>
        <w:t>发现</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文件存在歧义、重大缺陷导致评标工作无法进行，或者</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文件内容违反国家有关强制性规定的，将停止评标工作，并与采购人、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沟通并作书面记录。采购人、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确认后，将修改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文件，重新组织采购活动。</w:t>
      </w:r>
    </w:p>
    <w:p w14:paraId="4A54472A">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7.重新开展采购。</w:t>
      </w:r>
      <w:r>
        <w:rPr>
          <w:rFonts w:hint="eastAsia" w:asciiTheme="minorEastAsia" w:hAnsiTheme="minorEastAsia" w:eastAsiaTheme="minorEastAsia" w:cstheme="minorEastAsia"/>
          <w:color w:val="auto"/>
          <w:sz w:val="21"/>
          <w:szCs w:val="21"/>
          <w:highlight w:val="none"/>
        </w:rPr>
        <w:t>有政府采购法第七十一条、第七十二条规定的违法行为之一，影响或者可能影响中标、成交结果的，依照下列规定处理：</w:t>
      </w:r>
    </w:p>
    <w:p w14:paraId="5DB89F21">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7.1未确定</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人的，终止本次政府采购活动，重新开展政府采购活动。</w:t>
      </w:r>
    </w:p>
    <w:p w14:paraId="69599C24">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7.2已确定</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人但尚未签订政府采购合同的，</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或者成交结果无效，重新开展政府采购活动。</w:t>
      </w:r>
    </w:p>
    <w:p w14:paraId="580CCABB">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7.3政府采购合同已签订但尚未履行的，撤销合同，重新开展政府采购活动。</w:t>
      </w:r>
    </w:p>
    <w:p w14:paraId="7E94A78B">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7.4政府采购合同已经履行，给采购人、供应商造成损失的，由责任人承担赔偿责任。</w:t>
      </w:r>
    </w:p>
    <w:p w14:paraId="74A4AA9A">
      <w:pPr>
        <w:pStyle w:val="10"/>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21"/>
          <w:szCs w:val="21"/>
          <w:highlight w:val="none"/>
        </w:rPr>
        <w:t>7.5政府采购当事人有其他违反政府采购法</w:t>
      </w:r>
      <w:r>
        <w:rPr>
          <w:rFonts w:hint="eastAsia" w:asciiTheme="minorEastAsia" w:hAnsiTheme="minorEastAsia" w:eastAsiaTheme="minorEastAsia" w:cstheme="minorEastAsia"/>
          <w:color w:val="auto"/>
          <w:kern w:val="0"/>
          <w:sz w:val="21"/>
          <w:szCs w:val="21"/>
          <w:highlight w:val="none"/>
        </w:rPr>
        <w:t>或者政府采购法实施条例等法律法规规定</w:t>
      </w:r>
      <w:r>
        <w:rPr>
          <w:rFonts w:hint="eastAsia" w:asciiTheme="minorEastAsia" w:hAnsiTheme="minorEastAsia" w:eastAsiaTheme="minorEastAsia" w:cstheme="minorEastAsia"/>
          <w:color w:val="auto"/>
          <w:sz w:val="21"/>
          <w:szCs w:val="21"/>
          <w:highlight w:val="none"/>
        </w:rPr>
        <w:t>的行为，经改正后仍然影响或者可能影响中标、成交结果或者依法被认定为中标、成交无效的，依照7.1-7.4规定处理。</w:t>
      </w:r>
    </w:p>
    <w:p w14:paraId="65BCECD0">
      <w:pPr>
        <w:pStyle w:val="10"/>
        <w:numPr>
          <w:ilvl w:val="0"/>
          <w:numId w:val="4"/>
        </w:numPr>
        <w:adjustRightInd w:val="0"/>
        <w:snapToGrid w:val="0"/>
        <w:spacing w:line="360" w:lineRule="auto"/>
        <w:ind w:firstLine="0" w:firstLineChars="0"/>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r>
        <w:rPr>
          <w:rFonts w:asciiTheme="minorEastAsia" w:hAnsiTheme="minorEastAsia" w:eastAsiaTheme="minorEastAsia" w:cstheme="minorEastAsia"/>
          <w:b/>
          <w:color w:val="auto"/>
          <w:sz w:val="36"/>
          <w:szCs w:val="36"/>
          <w:highlight w:val="none"/>
        </w:rPr>
        <w:t xml:space="preserve"> </w:t>
      </w:r>
      <w:r>
        <w:rPr>
          <w:rFonts w:hint="eastAsia" w:asciiTheme="minorEastAsia" w:hAnsiTheme="minorEastAsia" w:eastAsiaTheme="minorEastAsia" w:cstheme="minorEastAsia"/>
          <w:b/>
          <w:color w:val="auto"/>
          <w:sz w:val="36"/>
          <w:szCs w:val="36"/>
          <w:highlight w:val="none"/>
        </w:rPr>
        <w:t>合同文本（</w:t>
      </w:r>
      <w:r>
        <w:rPr>
          <w:rFonts w:hint="eastAsia" w:asciiTheme="minorEastAsia" w:hAnsiTheme="minorEastAsia" w:eastAsiaTheme="minorEastAsia" w:cstheme="minorEastAsia"/>
          <w:b/>
          <w:color w:val="auto"/>
          <w:sz w:val="36"/>
          <w:szCs w:val="36"/>
          <w:highlight w:val="none"/>
          <w:lang w:val="en-US" w:eastAsia="zh-CN"/>
        </w:rPr>
        <w:t>工程类</w:t>
      </w:r>
      <w:r>
        <w:rPr>
          <w:rFonts w:hint="eastAsia" w:asciiTheme="minorEastAsia" w:hAnsiTheme="minorEastAsia" w:eastAsiaTheme="minorEastAsia" w:cstheme="minorEastAsia"/>
          <w:b/>
          <w:color w:val="auto"/>
          <w:sz w:val="36"/>
          <w:szCs w:val="36"/>
          <w:highlight w:val="none"/>
        </w:rPr>
        <w:t>）</w:t>
      </w:r>
    </w:p>
    <w:p w14:paraId="33EE0370">
      <w:pPr>
        <w:pStyle w:val="52"/>
        <w:ind w:left="0" w:leftChars="0" w:firstLine="0" w:firstLineChars="0"/>
        <w:rPr>
          <w:rFonts w:asciiTheme="minorEastAsia" w:hAnsiTheme="minorEastAsia" w:eastAsiaTheme="minorEastAsia" w:cstheme="minorEastAsia"/>
          <w:color w:val="auto"/>
          <w:szCs w:val="24"/>
          <w:highlight w:val="none"/>
        </w:rPr>
      </w:pPr>
    </w:p>
    <w:p w14:paraId="4BD9C090">
      <w:pPr>
        <w:pStyle w:val="52"/>
        <w:rPr>
          <w:rFonts w:asciiTheme="minorEastAsia" w:hAnsiTheme="minorEastAsia" w:eastAsiaTheme="minorEastAsia" w:cstheme="minorEastAsia"/>
          <w:color w:val="auto"/>
          <w:szCs w:val="24"/>
          <w:highlight w:val="none"/>
        </w:rPr>
      </w:pPr>
    </w:p>
    <w:p w14:paraId="1AD99B53">
      <w:pPr>
        <w:pStyle w:val="52"/>
        <w:ind w:left="0" w:leftChars="0" w:firstLine="0" w:firstLineChars="0"/>
        <w:rPr>
          <w:rFonts w:asciiTheme="minorEastAsia" w:hAnsiTheme="minorEastAsia" w:eastAsiaTheme="minorEastAsia" w:cstheme="minorEastAsia"/>
          <w:color w:val="auto"/>
          <w:szCs w:val="24"/>
          <w:highlight w:val="none"/>
        </w:rPr>
      </w:pPr>
    </w:p>
    <w:p w14:paraId="1E25A04F">
      <w:pPr>
        <w:spacing w:before="120" w:line="360" w:lineRule="auto"/>
        <w:rPr>
          <w:rFonts w:asciiTheme="minorEastAsia" w:hAnsiTheme="minorEastAsia" w:eastAsiaTheme="minorEastAsia" w:cstheme="minorEastAsia"/>
          <w:color w:val="auto"/>
          <w:sz w:val="24"/>
          <w:highlight w:val="none"/>
        </w:rPr>
      </w:pPr>
    </w:p>
    <w:p w14:paraId="65BD7989">
      <w:pPr>
        <w:spacing w:before="120" w:line="360" w:lineRule="auto"/>
        <w:ind w:left="960" w:firstLine="720" w:firstLineChars="300"/>
        <w:rPr>
          <w:rFonts w:hint="eastAsia" w:asciiTheme="minorEastAsia" w:hAnsiTheme="minorEastAsia" w:eastAsiaTheme="minorEastAsia" w:cstheme="minorEastAsia"/>
          <w:color w:val="auto"/>
          <w:sz w:val="24"/>
          <w:highlight w:val="none"/>
          <w:u w:val="single"/>
          <w:lang w:eastAsia="zh-CN"/>
        </w:rPr>
      </w:pPr>
      <w:r>
        <w:rPr>
          <w:rFonts w:hint="eastAsia" w:asciiTheme="minorEastAsia" w:hAnsiTheme="minorEastAsia" w:eastAsiaTheme="minorEastAsia" w:cstheme="minorEastAsia"/>
          <w:color w:val="auto"/>
          <w:sz w:val="24"/>
          <w:highlight w:val="none"/>
        </w:rPr>
        <w:t>项目名称：</w:t>
      </w:r>
      <w:r>
        <w:rPr>
          <w:rFonts w:hint="eastAsia" w:asciiTheme="minorEastAsia" w:hAnsiTheme="minorEastAsia" w:eastAsiaTheme="minorEastAsia" w:cstheme="minorEastAsia"/>
          <w:color w:val="auto"/>
          <w:sz w:val="24"/>
          <w:highlight w:val="none"/>
          <w:u w:val="single"/>
          <w:lang w:val="en-US" w:eastAsia="zh-CN"/>
        </w:rPr>
        <w:t xml:space="preserve">                                    </w:t>
      </w:r>
    </w:p>
    <w:p w14:paraId="55AF9591">
      <w:pPr>
        <w:pStyle w:val="44"/>
        <w:spacing w:before="120"/>
        <w:rPr>
          <w:rFonts w:asciiTheme="minorEastAsia" w:hAnsiTheme="minorEastAsia" w:eastAsiaTheme="minorEastAsia" w:cstheme="minorEastAsia"/>
          <w:color w:val="auto"/>
          <w:szCs w:val="24"/>
          <w:highlight w:val="none"/>
        </w:rPr>
      </w:pPr>
    </w:p>
    <w:p w14:paraId="1B7392CD">
      <w:pPr>
        <w:pStyle w:val="44"/>
        <w:spacing w:before="120"/>
        <w:rPr>
          <w:rFonts w:asciiTheme="minorEastAsia" w:hAnsiTheme="minorEastAsia" w:eastAsiaTheme="minorEastAsia" w:cstheme="minorEastAsia"/>
          <w:color w:val="auto"/>
          <w:szCs w:val="24"/>
          <w:highlight w:val="none"/>
        </w:rPr>
      </w:pPr>
    </w:p>
    <w:p w14:paraId="7E41ECF2">
      <w:pPr>
        <w:spacing w:line="360" w:lineRule="auto"/>
        <w:rPr>
          <w:rFonts w:asciiTheme="minorEastAsia" w:hAnsiTheme="minorEastAsia" w:eastAsiaTheme="minorEastAsia" w:cstheme="minorEastAsia"/>
          <w:color w:val="auto"/>
          <w:sz w:val="24"/>
          <w:highlight w:val="none"/>
        </w:rPr>
      </w:pPr>
    </w:p>
    <w:p w14:paraId="6CB5BD5E">
      <w:pPr>
        <w:spacing w:before="120" w:line="600" w:lineRule="auto"/>
        <w:ind w:left="960" w:firstLine="720" w:firstLineChars="300"/>
        <w:rPr>
          <w:rFonts w:hint="eastAsia" w:asciiTheme="minorEastAsia" w:hAnsiTheme="minorEastAsia" w:eastAsiaTheme="minorEastAsia" w:cstheme="minorEastAsia"/>
          <w:color w:val="auto"/>
          <w:sz w:val="24"/>
          <w:highlight w:val="none"/>
          <w:u w:val="single"/>
          <w:lang w:val="en-US" w:eastAsia="zh-CN"/>
        </w:rPr>
      </w:pPr>
      <w:r>
        <w:rPr>
          <w:rFonts w:hint="eastAsia" w:asciiTheme="minorEastAsia" w:hAnsiTheme="minorEastAsia" w:eastAsiaTheme="minorEastAsia" w:cstheme="minorEastAsia"/>
          <w:color w:val="auto"/>
          <w:sz w:val="24"/>
          <w:highlight w:val="none"/>
        </w:rPr>
        <w:t>甲方：</w:t>
      </w:r>
      <w:r>
        <w:rPr>
          <w:rFonts w:hint="eastAsia" w:asciiTheme="minorEastAsia" w:hAnsiTheme="minorEastAsia" w:eastAsiaTheme="minorEastAsia" w:cstheme="minorEastAsia"/>
          <w:color w:val="auto"/>
          <w:sz w:val="24"/>
          <w:highlight w:val="none"/>
          <w:u w:val="single"/>
          <w:lang w:val="en-US" w:eastAsia="zh-CN"/>
        </w:rPr>
        <w:t xml:space="preserve">                                   </w:t>
      </w:r>
    </w:p>
    <w:p w14:paraId="600075C9">
      <w:pPr>
        <w:spacing w:before="120" w:line="600" w:lineRule="auto"/>
        <w:ind w:left="960"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乙方：</w:t>
      </w:r>
      <w:r>
        <w:rPr>
          <w:rFonts w:hint="eastAsia" w:asciiTheme="minorEastAsia" w:hAnsiTheme="minorEastAsia" w:eastAsiaTheme="minorEastAsia" w:cstheme="minorEastAsia"/>
          <w:color w:val="auto"/>
          <w:sz w:val="24"/>
          <w:highlight w:val="none"/>
          <w:u w:val="single"/>
        </w:rPr>
        <w:t xml:space="preserve">                                       </w:t>
      </w:r>
    </w:p>
    <w:p w14:paraId="21508A78">
      <w:pP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签订地：</w:t>
      </w:r>
      <w:r>
        <w:rPr>
          <w:rFonts w:hint="eastAsia" w:asciiTheme="minorEastAsia" w:hAnsiTheme="minorEastAsia" w:eastAsiaTheme="minorEastAsia" w:cstheme="minorEastAsia"/>
          <w:color w:val="auto"/>
          <w:sz w:val="24"/>
          <w:highlight w:val="none"/>
          <w:u w:val="single"/>
        </w:rPr>
        <w:t xml:space="preserve">                                     </w:t>
      </w:r>
    </w:p>
    <w:p w14:paraId="088DDAEB">
      <w:pP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签订日期：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日</w:t>
      </w:r>
    </w:p>
    <w:p w14:paraId="5CAEAD56">
      <w:pPr>
        <w:spacing w:line="360" w:lineRule="auto"/>
        <w:jc w:val="center"/>
        <w:outlineLvl w:val="1"/>
        <w:rPr>
          <w:rFonts w:hint="eastAsia" w:ascii="宋体" w:hAnsi="宋体" w:cs="宋体"/>
          <w:color w:val="auto"/>
          <w:sz w:val="30"/>
          <w:szCs w:val="30"/>
          <w:highlight w:val="none"/>
        </w:rPr>
      </w:pPr>
      <w:r>
        <w:rPr>
          <w:rFonts w:hint="eastAsia" w:asciiTheme="minorEastAsia" w:hAnsiTheme="minorEastAsia" w:eastAsiaTheme="minorEastAsia" w:cstheme="minorEastAsia"/>
          <w:color w:val="auto"/>
          <w:sz w:val="24"/>
          <w:highlight w:val="none"/>
          <w:u w:val="single"/>
          <w:lang w:val="zh-CN"/>
        </w:rPr>
        <w:br w:type="page"/>
      </w:r>
      <w:r>
        <w:rPr>
          <w:rFonts w:hint="eastAsia" w:ascii="宋体" w:hAnsi="宋体" w:cs="宋体"/>
          <w:color w:val="auto"/>
          <w:sz w:val="30"/>
          <w:szCs w:val="30"/>
          <w:highlight w:val="none"/>
        </w:rPr>
        <w:t>第一部分  协 议 书</w:t>
      </w:r>
    </w:p>
    <w:p w14:paraId="67538895">
      <w:pPr>
        <w:spacing w:line="360" w:lineRule="auto"/>
        <w:ind w:firstLine="480" w:firstLineChars="200"/>
        <w:jc w:val="left"/>
        <w:rPr>
          <w:rFonts w:hint="eastAsia" w:ascii="宋体" w:hAnsi="宋体" w:cs="宋体"/>
          <w:sz w:val="24"/>
        </w:rPr>
      </w:pPr>
    </w:p>
    <w:p w14:paraId="3B2CB6A7">
      <w:pPr>
        <w:spacing w:line="360" w:lineRule="auto"/>
        <w:rPr>
          <w:rFonts w:hint="eastAsia" w:ascii="宋体" w:hAnsi="宋体" w:cs="宋体"/>
          <w:szCs w:val="21"/>
          <w:u w:val="single"/>
        </w:rPr>
      </w:pPr>
      <w:r>
        <w:rPr>
          <w:rFonts w:hint="eastAsia" w:ascii="宋体" w:hAnsi="宋体" w:cs="宋体"/>
          <w:szCs w:val="21"/>
        </w:rPr>
        <w:t>发包人（全称）：</w:t>
      </w:r>
      <w:r>
        <w:rPr>
          <w:rFonts w:hint="eastAsia" w:ascii="宋体" w:hAnsi="宋体" w:cs="宋体"/>
          <w:szCs w:val="21"/>
          <w:u w:val="single"/>
        </w:rPr>
        <w:t xml:space="preserve">                  </w:t>
      </w:r>
    </w:p>
    <w:p w14:paraId="668C60B6">
      <w:pPr>
        <w:spacing w:line="360" w:lineRule="auto"/>
        <w:rPr>
          <w:rFonts w:hint="eastAsia" w:ascii="宋体" w:hAnsi="宋体" w:cs="宋体"/>
          <w:szCs w:val="21"/>
          <w:u w:val="single"/>
        </w:rPr>
      </w:pPr>
      <w:r>
        <w:rPr>
          <w:rFonts w:hint="eastAsia" w:ascii="宋体" w:hAnsi="宋体" w:cs="宋体"/>
          <w:szCs w:val="21"/>
        </w:rPr>
        <w:t>承包人（全称）：</w:t>
      </w:r>
      <w:r>
        <w:rPr>
          <w:rFonts w:hint="eastAsia" w:ascii="宋体" w:hAnsi="宋体" w:cs="宋体"/>
          <w:szCs w:val="21"/>
          <w:u w:val="single"/>
        </w:rPr>
        <w:t xml:space="preserve">                                </w:t>
      </w:r>
    </w:p>
    <w:p w14:paraId="1EFA151E">
      <w:pPr>
        <w:spacing w:line="360" w:lineRule="auto"/>
        <w:ind w:firstLine="403" w:firstLineChars="192"/>
        <w:rPr>
          <w:rFonts w:hint="eastAsia" w:ascii="宋体" w:hAnsi="宋体" w:cs="宋体"/>
          <w:szCs w:val="21"/>
        </w:rPr>
      </w:pPr>
      <w:r>
        <w:rPr>
          <w:rFonts w:hint="eastAsia" w:ascii="宋体" w:hAnsi="宋体" w:cs="宋体"/>
          <w:szCs w:val="21"/>
        </w:rPr>
        <w:t>根据</w:t>
      </w:r>
      <w:r>
        <w:rPr>
          <w:rFonts w:hint="eastAsia" w:ascii="宋体" w:hAnsi="宋体" w:cs="宋体"/>
          <w:sz w:val="22"/>
          <w:szCs w:val="22"/>
        </w:rPr>
        <w:t>《中华人民共和国民法典》</w:t>
      </w:r>
      <w:r>
        <w:rPr>
          <w:rFonts w:hint="eastAsia" w:ascii="宋体" w:hAnsi="宋体" w:cs="宋体"/>
          <w:szCs w:val="21"/>
        </w:rPr>
        <w:t>、《中华人民共和国建筑法》及有关法律规定，遵循平等、自愿、公平和诚实信用的原则，双方就</w:t>
      </w:r>
      <w:r>
        <w:rPr>
          <w:rFonts w:hint="eastAsia" w:ascii="宋体" w:hAnsi="宋体" w:cs="宋体"/>
          <w:szCs w:val="21"/>
          <w:u w:val="single"/>
        </w:rPr>
        <w:t xml:space="preserve">               </w:t>
      </w:r>
      <w:r>
        <w:rPr>
          <w:rFonts w:hint="eastAsia" w:ascii="宋体" w:hAnsi="宋体" w:cs="宋体"/>
          <w:szCs w:val="21"/>
        </w:rPr>
        <w:t>施工及有关事项协商一致，共同达成如下协议：</w:t>
      </w:r>
    </w:p>
    <w:p w14:paraId="19A7C23B">
      <w:pPr>
        <w:spacing w:line="360" w:lineRule="auto"/>
        <w:ind w:firstLine="420" w:firstLineChars="200"/>
        <w:rPr>
          <w:rFonts w:hint="eastAsia" w:ascii="宋体" w:hAnsi="宋体" w:cs="宋体"/>
          <w:szCs w:val="21"/>
          <w:u w:val="single"/>
        </w:rPr>
      </w:pPr>
      <w:r>
        <w:rPr>
          <w:rFonts w:hint="eastAsia" w:ascii="宋体" w:hAnsi="宋体" w:cs="宋体"/>
          <w:szCs w:val="21"/>
        </w:rPr>
        <w:t>一、工程概况</w:t>
      </w:r>
    </w:p>
    <w:p w14:paraId="4177AE72">
      <w:pPr>
        <w:pStyle w:val="66"/>
        <w:spacing w:line="360" w:lineRule="auto"/>
        <w:ind w:firstLine="420" w:firstLineChars="200"/>
        <w:rPr>
          <w:rFonts w:hint="eastAsia" w:cs="宋体"/>
          <w:sz w:val="21"/>
          <w:szCs w:val="21"/>
          <w:u w:val="single"/>
          <w:lang w:val="en-US" w:eastAsia="zh-CN"/>
        </w:rPr>
      </w:pPr>
      <w:r>
        <w:rPr>
          <w:rFonts w:hint="eastAsia" w:cs="宋体"/>
          <w:sz w:val="21"/>
          <w:szCs w:val="21"/>
        </w:rPr>
        <w:t>1.工程名称：</w:t>
      </w:r>
      <w:r>
        <w:rPr>
          <w:rFonts w:hint="eastAsia" w:cs="宋体"/>
          <w:sz w:val="21"/>
          <w:szCs w:val="21"/>
          <w:u w:val="single"/>
          <w:lang w:val="en-US" w:eastAsia="zh-CN"/>
        </w:rPr>
        <w:t xml:space="preserve">              </w:t>
      </w:r>
    </w:p>
    <w:p w14:paraId="6A2954FB">
      <w:pPr>
        <w:pStyle w:val="66"/>
        <w:spacing w:line="360" w:lineRule="auto"/>
        <w:ind w:firstLine="420" w:firstLineChars="200"/>
        <w:rPr>
          <w:rFonts w:hint="eastAsia" w:cs="宋体"/>
          <w:sz w:val="21"/>
          <w:szCs w:val="21"/>
          <w:u w:val="single"/>
          <w:lang w:val="en-US"/>
        </w:rPr>
      </w:pPr>
      <w:r>
        <w:rPr>
          <w:rFonts w:hint="eastAsia" w:cs="宋体"/>
          <w:sz w:val="21"/>
          <w:szCs w:val="21"/>
        </w:rPr>
        <w:t>2.工程地点：</w:t>
      </w:r>
      <w:r>
        <w:rPr>
          <w:rFonts w:hint="eastAsia" w:cs="宋体"/>
          <w:sz w:val="21"/>
          <w:szCs w:val="21"/>
          <w:u w:val="single"/>
          <w:lang w:val="en-US" w:eastAsia="zh-CN"/>
        </w:rPr>
        <w:t xml:space="preserve">               </w:t>
      </w:r>
      <w:r>
        <w:rPr>
          <w:rFonts w:hint="eastAsia" w:cs="宋体"/>
          <w:sz w:val="21"/>
          <w:szCs w:val="21"/>
          <w:lang w:val="en-US" w:eastAsia="zh-CN"/>
        </w:rPr>
        <w:t>。</w:t>
      </w:r>
    </w:p>
    <w:p w14:paraId="5B0BD530">
      <w:pPr>
        <w:spacing w:line="360" w:lineRule="auto"/>
        <w:ind w:firstLine="403" w:firstLineChars="192"/>
        <w:rPr>
          <w:rFonts w:hint="eastAsia" w:ascii="宋体" w:hAnsi="宋体" w:cs="宋体"/>
          <w:szCs w:val="21"/>
          <w:u w:val="single"/>
        </w:rPr>
      </w:pPr>
      <w:r>
        <w:rPr>
          <w:rFonts w:hint="eastAsia" w:ascii="宋体" w:hAnsi="宋体" w:cs="宋体"/>
          <w:szCs w:val="21"/>
        </w:rPr>
        <w:t>3.工程立项批准文号：</w:t>
      </w:r>
      <w:r>
        <w:rPr>
          <w:rFonts w:hint="eastAsia" w:ascii="宋体" w:hAnsi="宋体" w:cs="宋体"/>
          <w:szCs w:val="21"/>
          <w:u w:val="single"/>
        </w:rPr>
        <w:t xml:space="preserve">         </w:t>
      </w:r>
    </w:p>
    <w:p w14:paraId="01863521">
      <w:pPr>
        <w:spacing w:line="360" w:lineRule="auto"/>
        <w:ind w:firstLine="403" w:firstLineChars="192"/>
        <w:rPr>
          <w:rFonts w:hint="eastAsia" w:ascii="宋体" w:hAnsi="宋体" w:cs="宋体"/>
          <w:szCs w:val="21"/>
        </w:rPr>
      </w:pPr>
      <w:r>
        <w:rPr>
          <w:rFonts w:hint="eastAsia" w:ascii="宋体" w:hAnsi="宋体" w:cs="宋体"/>
          <w:szCs w:val="21"/>
        </w:rPr>
        <w:t>4.资金来源：</w:t>
      </w:r>
      <w:r>
        <w:rPr>
          <w:rFonts w:hint="eastAsia" w:ascii="宋体" w:hAnsi="宋体" w:cs="宋体"/>
          <w:szCs w:val="21"/>
          <w:u w:val="single"/>
        </w:rPr>
        <w:t xml:space="preserve">             </w:t>
      </w:r>
    </w:p>
    <w:p w14:paraId="77D82938">
      <w:pPr>
        <w:spacing w:line="360" w:lineRule="auto"/>
        <w:ind w:firstLine="403" w:firstLineChars="192"/>
        <w:rPr>
          <w:rFonts w:hint="eastAsia" w:ascii="宋体" w:hAnsi="宋体" w:cs="宋体"/>
          <w:szCs w:val="21"/>
          <w:u w:val="single"/>
        </w:rPr>
      </w:pPr>
      <w:r>
        <w:rPr>
          <w:rFonts w:hint="eastAsia" w:ascii="宋体" w:hAnsi="宋体" w:cs="宋体"/>
          <w:szCs w:val="21"/>
        </w:rPr>
        <w:t>5.工程内容：</w:t>
      </w:r>
      <w:r>
        <w:rPr>
          <w:rFonts w:hint="eastAsia" w:ascii="宋体" w:hAnsi="宋体" w:cs="宋体"/>
          <w:szCs w:val="21"/>
          <w:u w:val="single"/>
        </w:rPr>
        <w:t xml:space="preserve">           </w:t>
      </w:r>
    </w:p>
    <w:p w14:paraId="740F97F4">
      <w:pPr>
        <w:tabs>
          <w:tab w:val="left" w:pos="1080"/>
          <w:tab w:val="left" w:pos="1620"/>
        </w:tabs>
        <w:spacing w:line="360" w:lineRule="auto"/>
        <w:ind w:firstLine="420" w:firstLineChars="200"/>
        <w:rPr>
          <w:rFonts w:hint="eastAsia"/>
          <w:szCs w:val="21"/>
          <w:u w:val="single"/>
        </w:rPr>
      </w:pPr>
      <w:r>
        <w:rPr>
          <w:rFonts w:hint="eastAsia" w:ascii="宋体" w:hAnsi="宋体" w:cs="宋体"/>
          <w:szCs w:val="21"/>
        </w:rPr>
        <w:t>6.工程承包范围:</w:t>
      </w:r>
      <w:r>
        <w:rPr>
          <w:rFonts w:hint="eastAsia" w:ascii="宋体" w:hAnsi="宋体" w:cs="宋体"/>
          <w:szCs w:val="21"/>
          <w:u w:val="single"/>
        </w:rPr>
        <w:t xml:space="preserve">                </w:t>
      </w:r>
      <w:r>
        <w:rPr>
          <w:rFonts w:hint="eastAsia" w:ascii="宋体" w:hAnsi="宋体"/>
          <w:szCs w:val="21"/>
        </w:rPr>
        <w:t>。</w:t>
      </w:r>
    </w:p>
    <w:p w14:paraId="0158A561">
      <w:pPr>
        <w:spacing w:line="360" w:lineRule="auto"/>
        <w:ind w:firstLine="403" w:firstLineChars="192"/>
        <w:rPr>
          <w:rFonts w:hint="eastAsia" w:ascii="宋体" w:hAnsi="宋体" w:cs="宋体"/>
          <w:szCs w:val="21"/>
        </w:rPr>
      </w:pPr>
      <w:r>
        <w:rPr>
          <w:rFonts w:hint="eastAsia" w:ascii="宋体" w:hAnsi="宋体" w:cs="宋体"/>
          <w:szCs w:val="21"/>
        </w:rPr>
        <w:t>二、合同工期</w:t>
      </w:r>
    </w:p>
    <w:p w14:paraId="619049B0">
      <w:pPr>
        <w:spacing w:line="360" w:lineRule="auto"/>
        <w:ind w:firstLine="403" w:firstLineChars="192"/>
        <w:rPr>
          <w:rFonts w:hint="eastAsia" w:ascii="宋体" w:hAnsi="宋体" w:cs="宋体"/>
          <w:szCs w:val="21"/>
        </w:rPr>
      </w:pPr>
      <w:r>
        <w:rPr>
          <w:rFonts w:hint="eastAsia" w:ascii="宋体" w:hAnsi="宋体" w:cs="宋体"/>
          <w:szCs w:val="21"/>
        </w:rPr>
        <w:t>计划开工日期：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 xml:space="preserve">日 </w:t>
      </w:r>
    </w:p>
    <w:p w14:paraId="3EB1A602">
      <w:pPr>
        <w:spacing w:line="360" w:lineRule="auto"/>
        <w:rPr>
          <w:rFonts w:hint="eastAsia" w:ascii="宋体" w:hAnsi="宋体" w:cs="宋体"/>
          <w:szCs w:val="21"/>
        </w:rPr>
      </w:pPr>
      <w:r>
        <w:rPr>
          <w:rFonts w:hint="eastAsia" w:ascii="宋体" w:hAnsi="宋体" w:cs="宋体"/>
          <w:szCs w:val="21"/>
        </w:rPr>
        <w:t xml:space="preserve">    计划竣工日期: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47056EA3">
      <w:pPr>
        <w:spacing w:line="360" w:lineRule="auto"/>
        <w:ind w:firstLine="420" w:firstLineChars="200"/>
        <w:rPr>
          <w:rFonts w:hint="eastAsia" w:ascii="宋体" w:hAnsi="宋体" w:cs="宋体"/>
          <w:szCs w:val="21"/>
        </w:rPr>
      </w:pPr>
      <w:r>
        <w:rPr>
          <w:rFonts w:hint="eastAsia" w:ascii="宋体" w:hAnsi="宋体" w:cs="宋体"/>
          <w:szCs w:val="21"/>
        </w:rPr>
        <w:t>工期总日历天数：</w:t>
      </w:r>
      <w:r>
        <w:rPr>
          <w:rFonts w:hint="eastAsia" w:ascii="宋体" w:hAnsi="宋体" w:cs="宋体"/>
          <w:szCs w:val="21"/>
          <w:u w:val="single"/>
        </w:rPr>
        <w:t xml:space="preserve">        </w:t>
      </w:r>
      <w:r>
        <w:rPr>
          <w:rFonts w:hint="eastAsia" w:ascii="宋体" w:hAnsi="宋体" w:cs="宋体"/>
          <w:szCs w:val="21"/>
        </w:rPr>
        <w:t>天。工期总日历天数与根据前述计划开竣工日期计算的工期天数不一致的，以工期总日历天数为准。</w:t>
      </w:r>
    </w:p>
    <w:p w14:paraId="6EE5E524">
      <w:pPr>
        <w:spacing w:line="360" w:lineRule="auto"/>
        <w:ind w:firstLine="476" w:firstLineChars="227"/>
        <w:rPr>
          <w:rFonts w:hint="eastAsia" w:ascii="宋体" w:hAnsi="宋体" w:cs="宋体"/>
          <w:szCs w:val="21"/>
        </w:rPr>
      </w:pPr>
      <w:r>
        <w:rPr>
          <w:rFonts w:hint="eastAsia" w:ascii="宋体" w:hAnsi="宋体" w:cs="宋体"/>
          <w:szCs w:val="21"/>
        </w:rPr>
        <w:t>三、质量标准</w:t>
      </w:r>
    </w:p>
    <w:p w14:paraId="47F18C80">
      <w:pPr>
        <w:spacing w:line="360" w:lineRule="auto"/>
        <w:ind w:firstLine="420" w:firstLineChars="200"/>
        <w:rPr>
          <w:rFonts w:hint="eastAsia" w:ascii="宋体" w:hAnsi="宋体" w:cs="宋体"/>
          <w:szCs w:val="21"/>
        </w:rPr>
      </w:pPr>
      <w:r>
        <w:rPr>
          <w:rFonts w:hint="eastAsia" w:ascii="宋体" w:hAnsi="宋体" w:cs="宋体"/>
          <w:szCs w:val="21"/>
        </w:rPr>
        <w:t xml:space="preserve">工程质量符合 </w:t>
      </w:r>
      <w:r>
        <w:rPr>
          <w:rFonts w:hint="eastAsia" w:ascii="宋体" w:hAnsi="宋体" w:cs="宋体"/>
          <w:szCs w:val="21"/>
          <w:u w:val="single"/>
        </w:rPr>
        <w:t>达到国家和行业施工验收规范一次性验收合格</w:t>
      </w:r>
      <w:r>
        <w:rPr>
          <w:rFonts w:hint="eastAsia" w:ascii="宋体" w:hAnsi="宋体" w:cs="宋体"/>
          <w:szCs w:val="21"/>
        </w:rPr>
        <w:t>标准。</w:t>
      </w:r>
    </w:p>
    <w:p w14:paraId="32AEF4AC">
      <w:pPr>
        <w:pStyle w:val="66"/>
        <w:spacing w:line="360" w:lineRule="auto"/>
        <w:ind w:firstLine="420" w:firstLineChars="200"/>
        <w:rPr>
          <w:rFonts w:hint="eastAsia" w:cs="宋体"/>
          <w:sz w:val="21"/>
          <w:szCs w:val="21"/>
          <w:lang w:val="en-US" w:eastAsia="zh-CN"/>
        </w:rPr>
      </w:pPr>
      <w:r>
        <w:rPr>
          <w:rFonts w:hint="eastAsia" w:cs="宋体"/>
          <w:sz w:val="21"/>
          <w:szCs w:val="21"/>
          <w:lang w:val="en-US" w:eastAsia="zh-CN"/>
        </w:rPr>
        <w:t>安全要求：</w:t>
      </w:r>
      <w:r>
        <w:rPr>
          <w:rFonts w:hint="eastAsia" w:cs="宋体"/>
          <w:sz w:val="21"/>
          <w:szCs w:val="21"/>
          <w:u w:val="single"/>
          <w:lang w:val="en-US" w:eastAsia="zh-CN"/>
        </w:rPr>
        <w:t>合格</w:t>
      </w:r>
      <w:r>
        <w:rPr>
          <w:rFonts w:hint="eastAsia" w:cs="宋体"/>
          <w:sz w:val="21"/>
          <w:szCs w:val="21"/>
          <w:lang w:val="en-US" w:eastAsia="zh-CN"/>
        </w:rPr>
        <w:t>。</w:t>
      </w:r>
    </w:p>
    <w:p w14:paraId="09DB7129">
      <w:pPr>
        <w:pStyle w:val="32"/>
        <w:rPr>
          <w:rFonts w:hint="eastAsia"/>
        </w:rPr>
      </w:pPr>
    </w:p>
    <w:p w14:paraId="7CBDD672">
      <w:pPr>
        <w:spacing w:line="360" w:lineRule="auto"/>
        <w:ind w:firstLine="476" w:firstLineChars="227"/>
        <w:rPr>
          <w:rFonts w:hint="eastAsia" w:ascii="宋体" w:hAnsi="宋体" w:cs="宋体"/>
          <w:szCs w:val="21"/>
        </w:rPr>
      </w:pPr>
      <w:bookmarkStart w:id="398" w:name="_Toc351203484"/>
      <w:r>
        <w:rPr>
          <w:rFonts w:hint="eastAsia" w:ascii="宋体" w:hAnsi="宋体" w:cs="宋体"/>
          <w:szCs w:val="21"/>
        </w:rPr>
        <w:t>四、签约合同价与合同价格形式</w:t>
      </w:r>
      <w:bookmarkEnd w:id="398"/>
      <w:r>
        <w:rPr>
          <w:rFonts w:hint="eastAsia" w:ascii="宋体" w:hAnsi="宋体" w:cs="宋体"/>
          <w:szCs w:val="21"/>
        </w:rPr>
        <w:tab/>
      </w:r>
    </w:p>
    <w:p w14:paraId="3B5B786F">
      <w:pPr>
        <w:spacing w:line="360" w:lineRule="auto"/>
        <w:ind w:firstLine="420" w:firstLineChars="200"/>
        <w:rPr>
          <w:rFonts w:hint="eastAsia" w:ascii="宋体" w:hAnsi="宋体" w:cs="宋体"/>
          <w:szCs w:val="21"/>
        </w:rPr>
      </w:pPr>
      <w:r>
        <w:rPr>
          <w:rFonts w:hint="eastAsia" w:ascii="宋体" w:hAnsi="宋体" w:cs="宋体"/>
          <w:szCs w:val="21"/>
        </w:rPr>
        <w:t>1.签约合同价为：</w:t>
      </w:r>
    </w:p>
    <w:p w14:paraId="4ADA5012">
      <w:pPr>
        <w:spacing w:line="360" w:lineRule="auto"/>
        <w:ind w:firstLine="840" w:firstLineChars="400"/>
        <w:rPr>
          <w:rFonts w:hint="eastAsia" w:ascii="宋体" w:hAnsi="宋体" w:cs="宋体"/>
          <w:szCs w:val="21"/>
        </w:rPr>
      </w:pPr>
      <w:r>
        <w:rPr>
          <w:rFonts w:hint="eastAsia" w:ascii="宋体" w:hAnsi="宋体" w:cs="宋体"/>
          <w:szCs w:val="21"/>
        </w:rPr>
        <w:t>人民币（大写）</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szCs w:val="21"/>
          <w:u w:val="single"/>
        </w:rPr>
        <w:t xml:space="preserve">            </w:t>
      </w:r>
      <w:r>
        <w:rPr>
          <w:rFonts w:hint="eastAsia" w:ascii="宋体" w:hAnsi="宋体" w:cs="宋体"/>
          <w:szCs w:val="21"/>
        </w:rPr>
        <w:t>元)；</w:t>
      </w:r>
    </w:p>
    <w:p w14:paraId="6748909C">
      <w:pPr>
        <w:spacing w:line="360" w:lineRule="auto"/>
        <w:ind w:firstLine="420" w:firstLineChars="200"/>
        <w:rPr>
          <w:rFonts w:hint="eastAsia" w:ascii="宋体" w:hAnsi="宋体" w:cs="宋体"/>
          <w:szCs w:val="21"/>
        </w:rPr>
      </w:pPr>
      <w:r>
        <w:rPr>
          <w:rFonts w:hint="eastAsia" w:ascii="宋体" w:hAnsi="宋体" w:cs="宋体"/>
          <w:szCs w:val="21"/>
        </w:rPr>
        <w:t>其中：</w:t>
      </w:r>
    </w:p>
    <w:p w14:paraId="67592EC4">
      <w:pPr>
        <w:spacing w:line="360" w:lineRule="auto"/>
        <w:ind w:firstLine="420" w:firstLineChars="200"/>
        <w:rPr>
          <w:rFonts w:hint="eastAsia" w:ascii="宋体" w:hAnsi="宋体" w:cs="宋体"/>
          <w:szCs w:val="21"/>
        </w:rPr>
      </w:pPr>
      <w:r>
        <w:rPr>
          <w:rFonts w:hint="eastAsia" w:ascii="宋体" w:hAnsi="宋体" w:cs="宋体"/>
          <w:szCs w:val="21"/>
        </w:rPr>
        <w:t>（1）安全文明施工费：</w:t>
      </w:r>
    </w:p>
    <w:p w14:paraId="14B2EBC3">
      <w:pPr>
        <w:spacing w:line="360" w:lineRule="auto"/>
        <w:ind w:firstLine="945" w:firstLineChars="450"/>
        <w:rPr>
          <w:rFonts w:hint="eastAsia" w:ascii="宋体" w:hAnsi="宋体" w:cs="宋体"/>
          <w:szCs w:val="21"/>
        </w:rPr>
      </w:pPr>
      <w:r>
        <w:rPr>
          <w:rFonts w:hint="eastAsia" w:ascii="宋体" w:hAnsi="宋体" w:cs="宋体"/>
          <w:szCs w:val="21"/>
        </w:rPr>
        <w:t>人民币（大写）</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元)；</w:t>
      </w:r>
    </w:p>
    <w:p w14:paraId="2DD0A55F">
      <w:pPr>
        <w:spacing w:line="360" w:lineRule="auto"/>
        <w:ind w:firstLine="420" w:firstLineChars="200"/>
        <w:rPr>
          <w:rFonts w:hint="eastAsia" w:ascii="宋体" w:hAnsi="宋体" w:cs="宋体"/>
          <w:szCs w:val="21"/>
        </w:rPr>
      </w:pPr>
      <w:r>
        <w:rPr>
          <w:rFonts w:hint="eastAsia" w:ascii="宋体" w:hAnsi="宋体" w:cs="宋体"/>
          <w:szCs w:val="21"/>
        </w:rPr>
        <w:t>（2）材料和工程设备暂估价金额：</w:t>
      </w:r>
    </w:p>
    <w:p w14:paraId="450D8CC9">
      <w:pPr>
        <w:spacing w:line="440" w:lineRule="exact"/>
        <w:ind w:firstLine="945" w:firstLineChars="450"/>
        <w:rPr>
          <w:rFonts w:hint="eastAsia" w:ascii="宋体" w:hAnsi="宋体" w:cs="宋体"/>
          <w:szCs w:val="21"/>
        </w:rPr>
      </w:pPr>
      <w:r>
        <w:rPr>
          <w:rFonts w:hint="eastAsia" w:ascii="宋体" w:hAnsi="宋体" w:cs="宋体"/>
          <w:szCs w:val="21"/>
        </w:rPr>
        <w:t>人民币（大写）</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元)；</w:t>
      </w:r>
    </w:p>
    <w:p w14:paraId="3EA5BF59">
      <w:pPr>
        <w:spacing w:line="440" w:lineRule="exact"/>
        <w:ind w:firstLine="420" w:firstLineChars="200"/>
        <w:rPr>
          <w:rFonts w:hint="eastAsia" w:ascii="宋体" w:hAnsi="宋体" w:cs="宋体"/>
          <w:szCs w:val="21"/>
        </w:rPr>
      </w:pPr>
      <w:r>
        <w:rPr>
          <w:rFonts w:hint="eastAsia" w:ascii="宋体" w:hAnsi="宋体" w:cs="宋体"/>
          <w:szCs w:val="21"/>
        </w:rPr>
        <w:t>（3）专业工程暂估价金额：</w:t>
      </w:r>
    </w:p>
    <w:p w14:paraId="39C23616">
      <w:pPr>
        <w:spacing w:line="440" w:lineRule="exact"/>
        <w:ind w:firstLine="945" w:firstLineChars="450"/>
        <w:rPr>
          <w:rFonts w:hint="eastAsia" w:ascii="宋体" w:hAnsi="宋体" w:cs="宋体"/>
          <w:szCs w:val="21"/>
        </w:rPr>
      </w:pPr>
      <w:r>
        <w:rPr>
          <w:rFonts w:hint="eastAsia" w:ascii="宋体" w:hAnsi="宋体" w:cs="宋体"/>
          <w:szCs w:val="21"/>
        </w:rPr>
        <w:t>人民币（大写）</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元)；</w:t>
      </w:r>
    </w:p>
    <w:p w14:paraId="0599A38B">
      <w:pPr>
        <w:spacing w:line="440" w:lineRule="exact"/>
        <w:ind w:firstLine="420" w:firstLineChars="200"/>
        <w:rPr>
          <w:rFonts w:hint="eastAsia" w:ascii="宋体" w:hAnsi="宋体" w:cs="宋体"/>
          <w:szCs w:val="21"/>
        </w:rPr>
      </w:pPr>
      <w:r>
        <w:rPr>
          <w:rFonts w:hint="eastAsia" w:ascii="宋体" w:hAnsi="宋体" w:cs="宋体"/>
          <w:szCs w:val="21"/>
        </w:rPr>
        <w:t>（4）暂列金额：</w:t>
      </w:r>
    </w:p>
    <w:p w14:paraId="19D1C4FF">
      <w:pPr>
        <w:spacing w:line="440" w:lineRule="exact"/>
        <w:ind w:firstLine="945" w:firstLineChars="450"/>
        <w:rPr>
          <w:rFonts w:hint="eastAsia" w:ascii="宋体" w:hAnsi="宋体" w:cs="宋体"/>
          <w:szCs w:val="21"/>
        </w:rPr>
      </w:pPr>
      <w:r>
        <w:rPr>
          <w:rFonts w:hint="eastAsia" w:ascii="宋体" w:hAnsi="宋体" w:cs="宋体"/>
          <w:szCs w:val="21"/>
        </w:rPr>
        <w:t>人民币（大写）</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元)。</w:t>
      </w:r>
    </w:p>
    <w:p w14:paraId="44207DC8">
      <w:pPr>
        <w:spacing w:line="440" w:lineRule="exact"/>
        <w:ind w:firstLine="420" w:firstLineChars="200"/>
        <w:rPr>
          <w:rFonts w:hint="eastAsia" w:ascii="宋体" w:hAnsi="宋体" w:cs="宋体"/>
          <w:szCs w:val="21"/>
        </w:rPr>
      </w:pPr>
      <w:r>
        <w:rPr>
          <w:rFonts w:hint="eastAsia" w:ascii="宋体" w:hAnsi="宋体" w:cs="宋体"/>
          <w:szCs w:val="21"/>
        </w:rPr>
        <w:t>2.合同价格形式：</w:t>
      </w:r>
      <w:r>
        <w:rPr>
          <w:rFonts w:hint="eastAsia" w:ascii="宋体" w:hAnsi="宋体" w:cs="宋体"/>
          <w:szCs w:val="21"/>
          <w:u w:val="single"/>
        </w:rPr>
        <w:t xml:space="preserve">单价合同  </w:t>
      </w:r>
      <w:r>
        <w:rPr>
          <w:rFonts w:hint="eastAsia" w:ascii="宋体" w:hAnsi="宋体" w:cs="宋体"/>
          <w:szCs w:val="21"/>
        </w:rPr>
        <w:t>。</w:t>
      </w:r>
    </w:p>
    <w:p w14:paraId="5A3DA10B">
      <w:pPr>
        <w:spacing w:line="440" w:lineRule="exact"/>
        <w:ind w:firstLine="316" w:firstLineChars="150"/>
        <w:rPr>
          <w:rFonts w:hint="eastAsia" w:ascii="宋体" w:hAnsi="宋体" w:cs="宋体"/>
          <w:b/>
          <w:szCs w:val="21"/>
        </w:rPr>
      </w:pPr>
      <w:r>
        <w:rPr>
          <w:rFonts w:hint="eastAsia" w:ascii="宋体" w:hAnsi="宋体" w:cs="宋体"/>
          <w:b/>
          <w:szCs w:val="21"/>
        </w:rPr>
        <w:t xml:space="preserve"> </w:t>
      </w:r>
      <w:bookmarkStart w:id="399" w:name="_Toc351203485"/>
      <w:r>
        <w:rPr>
          <w:rFonts w:hint="eastAsia" w:ascii="宋体" w:hAnsi="宋体" w:cs="宋体"/>
          <w:szCs w:val="21"/>
        </w:rPr>
        <w:t>五、</w:t>
      </w:r>
      <w:bookmarkEnd w:id="399"/>
      <w:r>
        <w:rPr>
          <w:rFonts w:hint="eastAsia" w:ascii="宋体" w:hAnsi="宋体" w:cs="宋体"/>
          <w:szCs w:val="21"/>
        </w:rPr>
        <w:t>项目经理</w:t>
      </w:r>
    </w:p>
    <w:p w14:paraId="1632C5AE">
      <w:pPr>
        <w:spacing w:line="440" w:lineRule="exact"/>
        <w:ind w:firstLine="420" w:firstLineChars="200"/>
        <w:rPr>
          <w:rFonts w:hint="eastAsia" w:ascii="宋体" w:hAnsi="宋体" w:cs="宋体"/>
          <w:szCs w:val="21"/>
        </w:rPr>
      </w:pPr>
      <w:r>
        <w:rPr>
          <w:rFonts w:hint="eastAsia" w:ascii="宋体" w:hAnsi="宋体" w:cs="宋体"/>
          <w:szCs w:val="21"/>
        </w:rPr>
        <w:t>承包人项目经理：</w:t>
      </w:r>
      <w:r>
        <w:rPr>
          <w:rFonts w:hint="eastAsia" w:ascii="宋体" w:hAnsi="宋体" w:cs="宋体"/>
          <w:szCs w:val="21"/>
          <w:u w:val="single"/>
        </w:rPr>
        <w:t>                     </w:t>
      </w:r>
      <w:r>
        <w:rPr>
          <w:rFonts w:hint="eastAsia" w:ascii="宋体" w:hAnsi="宋体" w:cs="宋体"/>
          <w:szCs w:val="21"/>
        </w:rPr>
        <w:t>。</w:t>
      </w:r>
    </w:p>
    <w:p w14:paraId="5D895BD3">
      <w:pPr>
        <w:spacing w:line="440" w:lineRule="exact"/>
        <w:ind w:firstLine="315" w:firstLineChars="150"/>
        <w:rPr>
          <w:rFonts w:hint="eastAsia" w:ascii="宋体" w:hAnsi="宋体" w:cs="宋体"/>
          <w:szCs w:val="21"/>
        </w:rPr>
      </w:pPr>
      <w:bookmarkStart w:id="400" w:name="_Toc351203486"/>
      <w:r>
        <w:rPr>
          <w:rFonts w:hint="eastAsia" w:ascii="宋体" w:hAnsi="宋体" w:cs="宋体"/>
          <w:szCs w:val="21"/>
        </w:rPr>
        <w:t>六、合同文件构成</w:t>
      </w:r>
      <w:bookmarkEnd w:id="400"/>
    </w:p>
    <w:p w14:paraId="7641467F">
      <w:pPr>
        <w:spacing w:line="440" w:lineRule="exact"/>
        <w:ind w:firstLine="420" w:firstLineChars="200"/>
        <w:rPr>
          <w:rFonts w:hint="eastAsia" w:ascii="宋体" w:hAnsi="宋体" w:cs="宋体"/>
          <w:bCs/>
          <w:szCs w:val="21"/>
        </w:rPr>
      </w:pPr>
      <w:r>
        <w:rPr>
          <w:rFonts w:hint="eastAsia" w:ascii="宋体" w:hAnsi="宋体" w:cs="宋体"/>
          <w:bCs/>
          <w:szCs w:val="21"/>
        </w:rPr>
        <w:t>本协议书与下列文件一起构成合同文件：</w:t>
      </w:r>
    </w:p>
    <w:p w14:paraId="60FB7DF9">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（1）中标通知书；</w:t>
      </w:r>
    </w:p>
    <w:p w14:paraId="39358C83">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 xml:space="preserve">（2）投标函及其附录； </w:t>
      </w:r>
    </w:p>
    <w:p w14:paraId="29A935A1">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（3）专用合同条款及其附件；</w:t>
      </w:r>
    </w:p>
    <w:p w14:paraId="1D406CBE">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（4）通用合同条款；</w:t>
      </w:r>
    </w:p>
    <w:p w14:paraId="0691A8DD">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（5）技术标准和要求；</w:t>
      </w:r>
    </w:p>
    <w:p w14:paraId="6C7AF072">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（6）图纸；</w:t>
      </w:r>
    </w:p>
    <w:p w14:paraId="76B4E7AA">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（7）已标价工程量清单或预算书；</w:t>
      </w:r>
    </w:p>
    <w:p w14:paraId="4581D0DE">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（8）其他合同文件。</w:t>
      </w:r>
    </w:p>
    <w:p w14:paraId="181956D9">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在合同订立及履行过程中形成的与合同有关的文件均构成合同文件组成部分。</w:t>
      </w:r>
    </w:p>
    <w:p w14:paraId="3C4E4AE1">
      <w:pPr>
        <w:autoSpaceDE w:val="0"/>
        <w:autoSpaceDN w:val="0"/>
        <w:adjustRightInd w:val="0"/>
        <w:spacing w:line="440" w:lineRule="exact"/>
        <w:ind w:firstLine="420" w:firstLineChars="200"/>
        <w:jc w:val="left"/>
        <w:rPr>
          <w:rFonts w:hint="eastAsia" w:ascii="宋体" w:hAnsi="宋体" w:cs="宋体"/>
          <w:szCs w:val="21"/>
        </w:rPr>
      </w:pPr>
      <w:r>
        <w:rPr>
          <w:rFonts w:hint="eastAsia" w:ascii="宋体" w:hAnsi="宋体" w:cs="宋体"/>
          <w:szCs w:val="21"/>
        </w:rPr>
        <w:t>上述各项合同文件包括合同当事人就该项合同文件所作出的补充和修改，属于同一类内容的文件，应以最新签署的为准。专用合同条款及其附件须经合同当事人签字或盖章。</w:t>
      </w:r>
    </w:p>
    <w:p w14:paraId="14B79917">
      <w:pPr>
        <w:spacing w:line="440" w:lineRule="exact"/>
        <w:ind w:firstLine="316" w:firstLineChars="150"/>
        <w:rPr>
          <w:rFonts w:hint="eastAsia" w:ascii="宋体" w:hAnsi="宋体" w:cs="宋体"/>
          <w:b/>
          <w:bCs/>
          <w:szCs w:val="21"/>
        </w:rPr>
      </w:pPr>
      <w:r>
        <w:rPr>
          <w:rFonts w:hint="eastAsia" w:ascii="宋体" w:hAnsi="宋体" w:cs="宋体"/>
          <w:b/>
          <w:bCs/>
          <w:szCs w:val="21"/>
        </w:rPr>
        <w:t xml:space="preserve"> </w:t>
      </w:r>
      <w:bookmarkStart w:id="401" w:name="_Toc351203487"/>
      <w:r>
        <w:rPr>
          <w:rFonts w:hint="eastAsia" w:ascii="宋体" w:hAnsi="宋体" w:cs="宋体"/>
          <w:szCs w:val="21"/>
        </w:rPr>
        <w:t>七、承诺</w:t>
      </w:r>
      <w:bookmarkEnd w:id="401"/>
    </w:p>
    <w:p w14:paraId="3C915873">
      <w:pPr>
        <w:spacing w:line="440" w:lineRule="exact"/>
        <w:ind w:firstLine="420" w:firstLineChars="200"/>
        <w:rPr>
          <w:rFonts w:hint="eastAsia" w:ascii="宋体" w:hAnsi="宋体" w:cs="宋体"/>
          <w:bCs/>
          <w:szCs w:val="21"/>
        </w:rPr>
      </w:pPr>
      <w:r>
        <w:rPr>
          <w:rFonts w:hint="eastAsia" w:ascii="宋体" w:hAnsi="宋体" w:cs="宋体"/>
          <w:bCs/>
          <w:szCs w:val="21"/>
        </w:rPr>
        <w:t>1.发包人承诺按照法律规定履行项目审批手续、筹集工程建设资金并按照合同约定的期限和方式支付合同价款。</w:t>
      </w:r>
    </w:p>
    <w:p w14:paraId="1EA83E2E">
      <w:pPr>
        <w:spacing w:line="440" w:lineRule="exact"/>
        <w:ind w:firstLine="420" w:firstLineChars="200"/>
        <w:rPr>
          <w:rFonts w:hint="eastAsia" w:ascii="宋体" w:hAnsi="宋体" w:cs="宋体"/>
          <w:bCs/>
          <w:szCs w:val="21"/>
        </w:rPr>
      </w:pPr>
      <w:r>
        <w:rPr>
          <w:rFonts w:hint="eastAsia" w:ascii="宋体" w:hAnsi="宋体" w:cs="宋体"/>
          <w:bCs/>
          <w:szCs w:val="21"/>
        </w:rPr>
        <w:t>2.承包人承诺按照法律规定及合同约定组织完成工程施工，确保工程质量和安全，不进行转包及违法分包，并在缺陷责任期及保修期内承担相应的工程维修责任。</w:t>
      </w:r>
    </w:p>
    <w:p w14:paraId="1C73E987">
      <w:pPr>
        <w:spacing w:line="440" w:lineRule="exact"/>
        <w:ind w:firstLine="420" w:firstLineChars="200"/>
        <w:rPr>
          <w:rFonts w:hint="eastAsia" w:ascii="宋体" w:hAnsi="宋体" w:cs="宋体"/>
          <w:bCs/>
          <w:szCs w:val="21"/>
        </w:rPr>
      </w:pPr>
      <w:r>
        <w:rPr>
          <w:rFonts w:hint="eastAsia" w:ascii="宋体" w:hAnsi="宋体" w:cs="宋体"/>
          <w:bCs/>
          <w:szCs w:val="21"/>
        </w:rPr>
        <w:t>3.发包人和承包人通过招投标形式签订合同的，双方理解并承诺不再就同一工程另行签订与合同实质性内容相背离的协议。</w:t>
      </w:r>
    </w:p>
    <w:p w14:paraId="436603A0">
      <w:pPr>
        <w:spacing w:line="440" w:lineRule="exact"/>
        <w:ind w:firstLine="315" w:firstLineChars="150"/>
        <w:rPr>
          <w:rFonts w:hint="eastAsia" w:ascii="宋体" w:hAnsi="宋体" w:cs="宋体"/>
          <w:bCs/>
          <w:szCs w:val="21"/>
        </w:rPr>
      </w:pPr>
      <w:bookmarkStart w:id="402" w:name="_Toc351203488"/>
      <w:r>
        <w:rPr>
          <w:rFonts w:hint="eastAsia" w:ascii="宋体" w:hAnsi="宋体" w:cs="宋体"/>
          <w:szCs w:val="21"/>
        </w:rPr>
        <w:t>八、词语含义</w:t>
      </w:r>
      <w:bookmarkEnd w:id="402"/>
    </w:p>
    <w:p w14:paraId="2C109349">
      <w:pPr>
        <w:spacing w:line="440" w:lineRule="exact"/>
        <w:ind w:firstLine="420" w:firstLineChars="200"/>
        <w:rPr>
          <w:rFonts w:hint="eastAsia" w:ascii="宋体" w:hAnsi="宋体" w:cs="宋体"/>
          <w:bCs/>
          <w:szCs w:val="21"/>
        </w:rPr>
      </w:pPr>
      <w:r>
        <w:rPr>
          <w:rFonts w:hint="eastAsia" w:ascii="宋体" w:hAnsi="宋体" w:cs="宋体"/>
          <w:bCs/>
          <w:szCs w:val="21"/>
        </w:rPr>
        <w:t>本协议书中词语含义与第二部分通用合同条款中赋予的含义相同。</w:t>
      </w:r>
    </w:p>
    <w:p w14:paraId="01B2F157">
      <w:pPr>
        <w:spacing w:line="440" w:lineRule="exact"/>
        <w:ind w:firstLine="315" w:firstLineChars="150"/>
        <w:rPr>
          <w:rFonts w:hint="eastAsia" w:ascii="宋体" w:hAnsi="宋体" w:cs="宋体"/>
          <w:bCs/>
          <w:szCs w:val="21"/>
        </w:rPr>
      </w:pPr>
      <w:r>
        <w:rPr>
          <w:rFonts w:hint="eastAsia" w:ascii="宋体" w:hAnsi="宋体" w:cs="宋体"/>
          <w:bCs/>
          <w:szCs w:val="21"/>
        </w:rPr>
        <w:t xml:space="preserve"> </w:t>
      </w:r>
      <w:bookmarkStart w:id="403" w:name="_Toc351203489"/>
      <w:r>
        <w:rPr>
          <w:rFonts w:hint="eastAsia" w:ascii="宋体" w:hAnsi="宋体" w:cs="宋体"/>
          <w:szCs w:val="21"/>
        </w:rPr>
        <w:t>九、签订时间</w:t>
      </w:r>
      <w:bookmarkEnd w:id="403"/>
    </w:p>
    <w:p w14:paraId="4A3A1DE3">
      <w:pPr>
        <w:spacing w:line="440" w:lineRule="exact"/>
        <w:ind w:firstLine="420" w:firstLineChars="200"/>
        <w:rPr>
          <w:rFonts w:hint="eastAsia" w:ascii="宋体" w:hAnsi="宋体" w:cs="宋体"/>
          <w:bCs/>
          <w:szCs w:val="21"/>
        </w:rPr>
      </w:pPr>
      <w:r>
        <w:rPr>
          <w:rFonts w:hint="eastAsia" w:ascii="宋体" w:hAnsi="宋体" w:cs="宋体"/>
          <w:bCs/>
          <w:szCs w:val="21"/>
        </w:rPr>
        <w:t>本合同于</w:t>
      </w:r>
      <w:r>
        <w:rPr>
          <w:rFonts w:hint="eastAsia" w:ascii="宋体" w:hAnsi="宋体" w:cs="宋体"/>
          <w:bCs/>
          <w:szCs w:val="21"/>
          <w:u w:val="single"/>
        </w:rPr>
        <w:t xml:space="preserve">         </w:t>
      </w:r>
      <w:r>
        <w:rPr>
          <w:rFonts w:hint="eastAsia" w:ascii="宋体" w:hAnsi="宋体" w:cs="宋体"/>
          <w:bCs/>
          <w:szCs w:val="21"/>
        </w:rPr>
        <w:t>年</w:t>
      </w:r>
      <w:r>
        <w:rPr>
          <w:rFonts w:hint="eastAsia" w:ascii="宋体" w:hAnsi="宋体" w:cs="宋体"/>
          <w:bCs/>
          <w:szCs w:val="21"/>
          <w:u w:val="single"/>
        </w:rPr>
        <w:t xml:space="preserve">    </w:t>
      </w:r>
      <w:r>
        <w:rPr>
          <w:rFonts w:hint="eastAsia" w:ascii="宋体" w:hAnsi="宋体" w:cs="宋体"/>
          <w:bCs/>
          <w:szCs w:val="21"/>
        </w:rPr>
        <w:t>月</w:t>
      </w:r>
      <w:r>
        <w:rPr>
          <w:rFonts w:hint="eastAsia" w:ascii="宋体" w:hAnsi="宋体" w:cs="宋体"/>
          <w:bCs/>
          <w:szCs w:val="21"/>
          <w:u w:val="single"/>
        </w:rPr>
        <w:t xml:space="preserve">    </w:t>
      </w:r>
      <w:r>
        <w:rPr>
          <w:rFonts w:hint="eastAsia" w:ascii="宋体" w:hAnsi="宋体" w:cs="宋体"/>
          <w:bCs/>
          <w:szCs w:val="21"/>
        </w:rPr>
        <w:t>日签订。</w:t>
      </w:r>
    </w:p>
    <w:p w14:paraId="4DC50155">
      <w:pPr>
        <w:spacing w:line="440" w:lineRule="exact"/>
        <w:ind w:firstLine="315" w:firstLineChars="150"/>
        <w:rPr>
          <w:rFonts w:hint="eastAsia" w:ascii="宋体" w:hAnsi="宋体" w:cs="宋体"/>
          <w:bCs/>
          <w:szCs w:val="21"/>
        </w:rPr>
      </w:pPr>
      <w:r>
        <w:rPr>
          <w:rFonts w:hint="eastAsia" w:ascii="宋体" w:hAnsi="宋体" w:cs="宋体"/>
          <w:bCs/>
          <w:szCs w:val="21"/>
        </w:rPr>
        <w:t xml:space="preserve"> </w:t>
      </w:r>
      <w:bookmarkStart w:id="404" w:name="_Toc351203490"/>
      <w:r>
        <w:rPr>
          <w:rFonts w:hint="eastAsia" w:ascii="宋体" w:hAnsi="宋体" w:cs="宋体"/>
          <w:szCs w:val="21"/>
        </w:rPr>
        <w:t>十、签订地点</w:t>
      </w:r>
      <w:bookmarkEnd w:id="404"/>
    </w:p>
    <w:p w14:paraId="102BBE72">
      <w:pPr>
        <w:spacing w:line="440" w:lineRule="exact"/>
        <w:ind w:firstLine="420" w:firstLineChars="200"/>
        <w:rPr>
          <w:rFonts w:hint="eastAsia" w:ascii="宋体" w:hAnsi="宋体" w:cs="宋体"/>
          <w:bCs/>
          <w:szCs w:val="21"/>
        </w:rPr>
      </w:pPr>
      <w:r>
        <w:rPr>
          <w:rFonts w:hint="eastAsia" w:ascii="宋体" w:hAnsi="宋体" w:cs="宋体"/>
          <w:bCs/>
          <w:szCs w:val="21"/>
        </w:rPr>
        <w:t>本合同在</w:t>
      </w:r>
      <w:r>
        <w:rPr>
          <w:rFonts w:hint="eastAsia" w:ascii="宋体" w:hAnsi="宋体" w:cs="宋体"/>
          <w:bCs/>
          <w:szCs w:val="21"/>
          <w:u w:val="single"/>
        </w:rPr>
        <w:t xml:space="preserve">                  </w:t>
      </w:r>
      <w:r>
        <w:rPr>
          <w:rFonts w:hint="eastAsia" w:ascii="宋体" w:hAnsi="宋体" w:cs="宋体"/>
          <w:bCs/>
          <w:szCs w:val="21"/>
        </w:rPr>
        <w:t>签订。</w:t>
      </w:r>
    </w:p>
    <w:p w14:paraId="3581BCC0">
      <w:pPr>
        <w:spacing w:line="440" w:lineRule="exact"/>
        <w:ind w:firstLine="315" w:firstLineChars="150"/>
        <w:rPr>
          <w:rFonts w:hint="eastAsia" w:ascii="宋体" w:hAnsi="宋体" w:cs="宋体"/>
          <w:szCs w:val="21"/>
        </w:rPr>
      </w:pPr>
      <w:r>
        <w:rPr>
          <w:rFonts w:hint="eastAsia" w:ascii="宋体" w:hAnsi="宋体" w:cs="宋体"/>
          <w:szCs w:val="21"/>
        </w:rPr>
        <w:t xml:space="preserve"> </w:t>
      </w:r>
      <w:bookmarkStart w:id="405" w:name="_Toc351203491"/>
      <w:r>
        <w:rPr>
          <w:rFonts w:hint="eastAsia" w:ascii="宋体" w:hAnsi="宋体" w:cs="宋体"/>
          <w:szCs w:val="21"/>
        </w:rPr>
        <w:t>十一、补充协议</w:t>
      </w:r>
      <w:bookmarkEnd w:id="405"/>
    </w:p>
    <w:p w14:paraId="143E39AA">
      <w:pPr>
        <w:spacing w:line="440" w:lineRule="exact"/>
        <w:ind w:firstLine="420" w:firstLineChars="200"/>
        <w:rPr>
          <w:rFonts w:hint="eastAsia" w:ascii="宋体" w:hAnsi="宋体" w:cs="宋体"/>
          <w:b/>
          <w:bCs/>
          <w:szCs w:val="21"/>
        </w:rPr>
      </w:pPr>
      <w:r>
        <w:rPr>
          <w:rFonts w:hint="eastAsia" w:ascii="宋体" w:hAnsi="宋体" w:cs="宋体"/>
          <w:bCs/>
          <w:szCs w:val="21"/>
        </w:rPr>
        <w:t>合同未尽事宜，合同当事人另行签订补充协议，补充协议是合同的组成部分。</w:t>
      </w:r>
    </w:p>
    <w:p w14:paraId="31352A33">
      <w:pPr>
        <w:spacing w:line="440" w:lineRule="exact"/>
        <w:ind w:firstLine="315" w:firstLineChars="150"/>
        <w:rPr>
          <w:rFonts w:hint="eastAsia" w:ascii="宋体" w:hAnsi="宋体" w:cs="宋体"/>
          <w:bCs/>
          <w:szCs w:val="21"/>
        </w:rPr>
      </w:pPr>
      <w:r>
        <w:rPr>
          <w:rFonts w:hint="eastAsia" w:ascii="宋体" w:hAnsi="宋体" w:cs="宋体"/>
          <w:bCs/>
          <w:szCs w:val="21"/>
        </w:rPr>
        <w:t xml:space="preserve"> </w:t>
      </w:r>
      <w:bookmarkStart w:id="406" w:name="_Toc351203492"/>
      <w:r>
        <w:rPr>
          <w:rFonts w:hint="eastAsia" w:ascii="宋体" w:hAnsi="宋体" w:cs="宋体"/>
          <w:szCs w:val="21"/>
        </w:rPr>
        <w:t>十二、合同生效</w:t>
      </w:r>
      <w:bookmarkEnd w:id="406"/>
    </w:p>
    <w:p w14:paraId="36A442B7">
      <w:pPr>
        <w:spacing w:line="440" w:lineRule="exact"/>
        <w:ind w:firstLine="420" w:firstLineChars="200"/>
        <w:rPr>
          <w:rFonts w:hint="eastAsia" w:ascii="宋体" w:hAnsi="宋体" w:cs="宋体"/>
          <w:bCs/>
          <w:szCs w:val="21"/>
        </w:rPr>
      </w:pPr>
      <w:r>
        <w:rPr>
          <w:rFonts w:hint="eastAsia" w:ascii="宋体" w:hAnsi="宋体" w:cs="宋体"/>
          <w:bCs/>
          <w:szCs w:val="21"/>
        </w:rPr>
        <w:t>本合同</w:t>
      </w:r>
      <w:r>
        <w:rPr>
          <w:rFonts w:hint="eastAsia" w:ascii="宋体" w:hAnsi="宋体" w:cs="宋体"/>
          <w:szCs w:val="21"/>
          <w:u w:val="single"/>
        </w:rPr>
        <w:t>加盖双方单位公章并经法定代表人或其委托代理人签字，并按约定提供履约担保</w:t>
      </w:r>
      <w:r>
        <w:rPr>
          <w:rFonts w:hint="eastAsia" w:ascii="宋体" w:hAnsi="宋体" w:cs="宋体"/>
          <w:szCs w:val="21"/>
        </w:rPr>
        <w:t>后</w:t>
      </w:r>
      <w:r>
        <w:rPr>
          <w:rFonts w:hint="eastAsia" w:ascii="宋体" w:hAnsi="宋体" w:cs="宋体"/>
          <w:bCs/>
          <w:szCs w:val="21"/>
        </w:rPr>
        <w:t>生效。</w:t>
      </w:r>
    </w:p>
    <w:p w14:paraId="464EE672">
      <w:pPr>
        <w:pStyle w:val="5"/>
        <w:spacing w:before="120" w:after="120" w:line="440" w:lineRule="exact"/>
        <w:rPr>
          <w:rFonts w:hint="eastAsia" w:ascii="宋体" w:hAnsi="宋体" w:cs="宋体"/>
          <w:bCs/>
          <w:szCs w:val="21"/>
        </w:rPr>
      </w:pPr>
      <w:r>
        <w:rPr>
          <w:rFonts w:hint="eastAsia" w:ascii="宋体" w:hAnsi="宋体" w:cs="宋体"/>
          <w:bCs/>
          <w:szCs w:val="21"/>
        </w:rPr>
        <w:t xml:space="preserve">    </w:t>
      </w:r>
      <w:bookmarkStart w:id="407" w:name="_Toc351203493"/>
      <w:r>
        <w:rPr>
          <w:rFonts w:hint="eastAsia" w:ascii="宋体" w:hAnsi="宋体" w:cs="宋体"/>
          <w:b w:val="0"/>
          <w:szCs w:val="21"/>
        </w:rPr>
        <w:t>十三、合同份数</w:t>
      </w:r>
      <w:bookmarkEnd w:id="407"/>
    </w:p>
    <w:p w14:paraId="65FE0960">
      <w:pPr>
        <w:spacing w:line="440" w:lineRule="exact"/>
        <w:ind w:firstLine="420" w:firstLineChars="200"/>
        <w:rPr>
          <w:rFonts w:hint="eastAsia" w:ascii="宋体" w:hAnsi="宋体" w:cs="宋体"/>
          <w:bCs/>
          <w:szCs w:val="21"/>
        </w:rPr>
      </w:pPr>
      <w:r>
        <w:rPr>
          <w:rFonts w:hint="eastAsia" w:ascii="宋体" w:hAnsi="宋体" w:cs="宋体"/>
          <w:bCs/>
          <w:szCs w:val="21"/>
        </w:rPr>
        <w:t>本合同一式</w:t>
      </w:r>
      <w:r>
        <w:rPr>
          <w:rFonts w:hint="eastAsia" w:ascii="宋体" w:hAnsi="宋体" w:cs="宋体"/>
          <w:bCs/>
          <w:szCs w:val="21"/>
          <w:u w:val="single"/>
        </w:rPr>
        <w:t xml:space="preserve">    </w:t>
      </w:r>
      <w:r>
        <w:rPr>
          <w:rFonts w:hint="eastAsia" w:ascii="宋体" w:hAnsi="宋体" w:cs="宋体"/>
          <w:bCs/>
          <w:szCs w:val="21"/>
        </w:rPr>
        <w:t>份，均具有同等法律效力，发包人执</w:t>
      </w:r>
      <w:r>
        <w:rPr>
          <w:rFonts w:hint="eastAsia" w:ascii="宋体" w:hAnsi="宋体" w:cs="宋体"/>
          <w:bCs/>
          <w:szCs w:val="21"/>
          <w:u w:val="single"/>
        </w:rPr>
        <w:t xml:space="preserve">    </w:t>
      </w:r>
      <w:r>
        <w:rPr>
          <w:rFonts w:hint="eastAsia" w:ascii="宋体" w:hAnsi="宋体" w:cs="宋体"/>
          <w:bCs/>
          <w:szCs w:val="21"/>
        </w:rPr>
        <w:t>份，承包人执</w:t>
      </w:r>
      <w:r>
        <w:rPr>
          <w:rFonts w:hint="eastAsia" w:ascii="宋体" w:hAnsi="宋体" w:cs="宋体"/>
          <w:bCs/>
          <w:szCs w:val="21"/>
          <w:u w:val="single"/>
        </w:rPr>
        <w:t xml:space="preserve">    </w:t>
      </w:r>
      <w:r>
        <w:rPr>
          <w:rFonts w:hint="eastAsia" w:ascii="宋体" w:hAnsi="宋体" w:cs="宋体"/>
          <w:bCs/>
          <w:szCs w:val="21"/>
        </w:rPr>
        <w:t>份。</w:t>
      </w:r>
    </w:p>
    <w:p w14:paraId="673D2D15">
      <w:pPr>
        <w:spacing w:line="440" w:lineRule="exact"/>
        <w:ind w:firstLine="420" w:firstLineChars="200"/>
        <w:rPr>
          <w:rFonts w:hint="eastAsia" w:ascii="宋体" w:hAnsi="宋体" w:cs="宋体"/>
          <w:bCs/>
          <w:szCs w:val="21"/>
        </w:rPr>
      </w:pPr>
    </w:p>
    <w:p w14:paraId="4356BA47">
      <w:pPr>
        <w:spacing w:line="440" w:lineRule="exact"/>
        <w:rPr>
          <w:rFonts w:hint="eastAsia" w:ascii="宋体" w:hAnsi="宋体" w:cs="宋体"/>
          <w:bCs/>
          <w:szCs w:val="21"/>
        </w:rPr>
      </w:pPr>
    </w:p>
    <w:p w14:paraId="299E20C8">
      <w:pPr>
        <w:spacing w:line="480" w:lineRule="auto"/>
        <w:ind w:firstLine="420" w:firstLineChars="200"/>
        <w:rPr>
          <w:rFonts w:hint="eastAsia" w:ascii="宋体" w:hAnsi="宋体" w:cs="宋体"/>
          <w:szCs w:val="21"/>
        </w:rPr>
      </w:pPr>
      <w:r>
        <w:rPr>
          <w:rFonts w:hint="eastAsia" w:ascii="宋体" w:hAnsi="宋体" w:cs="宋体"/>
          <w:szCs w:val="21"/>
        </w:rPr>
        <w:t>发包人：</w:t>
      </w:r>
      <w:r>
        <w:rPr>
          <w:rFonts w:hint="eastAsia" w:ascii="宋体" w:hAnsi="宋体" w:cs="宋体"/>
          <w:szCs w:val="21"/>
          <w:u w:val="single"/>
        </w:rPr>
        <w:t xml:space="preserve">              </w:t>
      </w:r>
      <w:r>
        <w:rPr>
          <w:rFonts w:hint="eastAsia" w:ascii="宋体" w:hAnsi="宋体" w:cs="宋体"/>
          <w:szCs w:val="21"/>
        </w:rPr>
        <w:t>(公章)              承包人：</w:t>
      </w:r>
      <w:r>
        <w:rPr>
          <w:rFonts w:hint="eastAsia" w:ascii="宋体" w:hAnsi="宋体" w:cs="宋体"/>
          <w:szCs w:val="21"/>
          <w:u w:val="single"/>
        </w:rPr>
        <w:t xml:space="preserve">          </w:t>
      </w:r>
      <w:r>
        <w:rPr>
          <w:rFonts w:hint="eastAsia" w:ascii="宋体" w:hAnsi="宋体" w:cs="宋体"/>
          <w:szCs w:val="21"/>
        </w:rPr>
        <w:t>(公章)</w:t>
      </w:r>
    </w:p>
    <w:p w14:paraId="2E6A7CDD">
      <w:pPr>
        <w:spacing w:line="480" w:lineRule="auto"/>
        <w:ind w:firstLine="420" w:firstLineChars="200"/>
        <w:rPr>
          <w:rFonts w:hint="eastAsia" w:ascii="宋体" w:hAnsi="宋体" w:cs="宋体"/>
          <w:szCs w:val="21"/>
        </w:rPr>
      </w:pPr>
      <w:r>
        <w:rPr>
          <w:rFonts w:hint="eastAsia" w:ascii="宋体" w:hAnsi="宋体" w:cs="宋体"/>
          <w:szCs w:val="21"/>
        </w:rPr>
        <w:t>法定代表人或其委托代理人：                法定代表人或其委托代理人：</w:t>
      </w:r>
    </w:p>
    <w:p w14:paraId="38947B6B">
      <w:pPr>
        <w:autoSpaceDE w:val="0"/>
        <w:autoSpaceDN w:val="0"/>
        <w:adjustRightInd w:val="0"/>
        <w:spacing w:line="440" w:lineRule="exact"/>
        <w:ind w:left="479" w:leftChars="228" w:firstLine="35" w:firstLineChars="17"/>
        <w:jc w:val="left"/>
        <w:rPr>
          <w:rFonts w:hint="default" w:eastAsia="宋体"/>
          <w:color w:val="auto"/>
          <w:sz w:val="21"/>
          <w:szCs w:val="21"/>
          <w:highlight w:val="none"/>
          <w:lang w:val="en-US" w:eastAsia="zh-CN"/>
        </w:rPr>
      </w:pPr>
      <w:r>
        <w:rPr>
          <w:rFonts w:hint="eastAsia" w:ascii="宋体" w:hAnsi="宋体" w:cs="宋体"/>
          <w:szCs w:val="21"/>
        </w:rPr>
        <w:t>（签字）                                     （签字）</w:t>
      </w:r>
      <w:r>
        <w:rPr>
          <w:rFonts w:hint="eastAsia" w:ascii="宋体" w:hAnsi="宋体" w:eastAsia="宋体" w:cs="宋体"/>
          <w:color w:val="auto"/>
          <w:kern w:val="0"/>
          <w:sz w:val="21"/>
          <w:szCs w:val="21"/>
          <w:highlight w:val="none"/>
          <w:lang w:val="en-US" w:eastAsia="zh-CN"/>
        </w:rPr>
        <w:t xml:space="preserve">           </w:t>
      </w:r>
    </w:p>
    <w:p w14:paraId="65ED3511">
      <w:pPr>
        <w:spacing w:line="360" w:lineRule="auto"/>
        <w:jc w:val="center"/>
        <w:rPr>
          <w:rFonts w:hint="eastAsia" w:ascii="宋体" w:hAnsi="宋体" w:cs="宋体"/>
          <w:b/>
          <w:bCs/>
          <w:color w:val="auto"/>
          <w:sz w:val="21"/>
          <w:szCs w:val="21"/>
          <w:highlight w:val="none"/>
        </w:rPr>
      </w:pPr>
    </w:p>
    <w:p w14:paraId="78DA7E84">
      <w:pPr>
        <w:spacing w:line="360" w:lineRule="auto"/>
        <w:jc w:val="center"/>
        <w:rPr>
          <w:rFonts w:hint="eastAsia" w:ascii="宋体" w:hAnsi="宋体" w:cs="宋体"/>
          <w:b/>
          <w:bCs/>
          <w:color w:val="auto"/>
          <w:sz w:val="21"/>
          <w:szCs w:val="21"/>
          <w:highlight w:val="none"/>
        </w:rPr>
      </w:pPr>
    </w:p>
    <w:p w14:paraId="42FD2635">
      <w:pPr>
        <w:spacing w:line="360" w:lineRule="auto"/>
        <w:jc w:val="center"/>
        <w:rPr>
          <w:rFonts w:hint="eastAsia" w:ascii="宋体" w:hAnsi="宋体" w:cs="宋体"/>
          <w:b/>
          <w:bCs/>
          <w:color w:val="auto"/>
          <w:sz w:val="21"/>
          <w:szCs w:val="21"/>
          <w:highlight w:val="none"/>
        </w:rPr>
      </w:pPr>
    </w:p>
    <w:p w14:paraId="7B669134">
      <w:pPr>
        <w:spacing w:line="360" w:lineRule="auto"/>
        <w:jc w:val="center"/>
        <w:rPr>
          <w:rFonts w:hint="eastAsia" w:ascii="宋体" w:hAnsi="宋体" w:cs="宋体"/>
          <w:b/>
          <w:bCs/>
          <w:color w:val="auto"/>
          <w:sz w:val="21"/>
          <w:szCs w:val="21"/>
          <w:highlight w:val="none"/>
        </w:rPr>
      </w:pPr>
    </w:p>
    <w:p w14:paraId="4AE6D4B8">
      <w:pPr>
        <w:spacing w:line="360" w:lineRule="auto"/>
        <w:jc w:val="center"/>
        <w:rPr>
          <w:rFonts w:hint="eastAsia" w:ascii="宋体" w:hAnsi="宋体" w:cs="宋体"/>
          <w:b/>
          <w:bCs/>
          <w:color w:val="auto"/>
          <w:sz w:val="21"/>
          <w:szCs w:val="21"/>
          <w:highlight w:val="none"/>
        </w:rPr>
      </w:pPr>
    </w:p>
    <w:p w14:paraId="28C8822E">
      <w:pPr>
        <w:spacing w:line="360" w:lineRule="auto"/>
        <w:jc w:val="center"/>
        <w:rPr>
          <w:rFonts w:hint="eastAsia" w:ascii="宋体" w:hAnsi="宋体" w:cs="宋体"/>
          <w:b/>
          <w:bCs/>
          <w:color w:val="auto"/>
          <w:sz w:val="21"/>
          <w:szCs w:val="21"/>
          <w:highlight w:val="none"/>
        </w:rPr>
      </w:pPr>
    </w:p>
    <w:p w14:paraId="64948D70">
      <w:pPr>
        <w:spacing w:line="360" w:lineRule="auto"/>
        <w:jc w:val="center"/>
        <w:rPr>
          <w:rFonts w:hint="eastAsia" w:ascii="宋体" w:hAnsi="宋体" w:cs="宋体"/>
          <w:b/>
          <w:bCs/>
          <w:color w:val="auto"/>
          <w:sz w:val="21"/>
          <w:szCs w:val="21"/>
          <w:highlight w:val="none"/>
        </w:rPr>
      </w:pPr>
    </w:p>
    <w:p w14:paraId="27A9614B">
      <w:pPr>
        <w:spacing w:line="360" w:lineRule="auto"/>
        <w:jc w:val="center"/>
        <w:rPr>
          <w:rFonts w:hint="eastAsia" w:ascii="宋体" w:hAnsi="宋体" w:cs="宋体"/>
          <w:b/>
          <w:color w:val="auto"/>
          <w:sz w:val="21"/>
          <w:szCs w:val="21"/>
          <w:highlight w:val="none"/>
        </w:rPr>
      </w:pPr>
      <w:r>
        <w:rPr>
          <w:rFonts w:hint="eastAsia" w:ascii="宋体" w:hAnsi="宋体" w:cs="宋体"/>
          <w:b/>
          <w:bCs/>
          <w:color w:val="auto"/>
          <w:sz w:val="21"/>
          <w:szCs w:val="21"/>
          <w:highlight w:val="none"/>
        </w:rPr>
        <w:t>第二部分</w:t>
      </w:r>
      <w:r>
        <w:rPr>
          <w:rFonts w:hint="eastAsia" w:ascii="宋体" w:hAnsi="宋体" w:cs="宋体"/>
          <w:b/>
          <w:color w:val="auto"/>
          <w:sz w:val="21"/>
          <w:szCs w:val="21"/>
          <w:highlight w:val="none"/>
        </w:rPr>
        <w:t xml:space="preserve"> 通用合同条款</w:t>
      </w:r>
    </w:p>
    <w:p w14:paraId="684A4C53">
      <w:pPr>
        <w:spacing w:line="420" w:lineRule="exact"/>
        <w:ind w:firstLine="420" w:firstLineChars="200"/>
        <w:rPr>
          <w:rFonts w:ascii="宋体" w:hAnsi="宋体"/>
          <w:color w:val="auto"/>
          <w:kern w:val="0"/>
          <w:sz w:val="21"/>
          <w:szCs w:val="21"/>
          <w:highlight w:val="none"/>
        </w:rPr>
      </w:pPr>
      <w:r>
        <w:rPr>
          <w:rFonts w:hint="eastAsia" w:ascii="宋体" w:hAnsi="宋体"/>
          <w:color w:val="auto"/>
          <w:kern w:val="0"/>
          <w:sz w:val="21"/>
          <w:szCs w:val="21"/>
          <w:highlight w:val="none"/>
        </w:rPr>
        <w:t>通用合同条款直接引用建市[2017]214号“住房城乡建设部、工商总局关于印发建设工程施工合同（示范文本）的通知”附件《建设工程施工合同（示范文本）（GF-2017-0201）第二部分“通用合同条款”内容。</w:t>
      </w:r>
    </w:p>
    <w:p w14:paraId="169C95DD">
      <w:pPr>
        <w:spacing w:line="360" w:lineRule="auto"/>
        <w:rPr>
          <w:rFonts w:hint="eastAsia" w:ascii="宋体" w:hAnsi="宋体" w:cs="宋体"/>
          <w:color w:val="auto"/>
          <w:sz w:val="21"/>
          <w:szCs w:val="21"/>
          <w:highlight w:val="none"/>
        </w:rPr>
      </w:pPr>
    </w:p>
    <w:p w14:paraId="1114F834">
      <w:pPr>
        <w:pStyle w:val="4"/>
        <w:spacing w:before="120" w:line="360" w:lineRule="auto"/>
        <w:jc w:val="center"/>
        <w:rPr>
          <w:rFonts w:hint="eastAsia" w:ascii="宋体" w:hAnsi="宋体" w:cs="宋体"/>
          <w:color w:val="auto"/>
          <w:sz w:val="21"/>
          <w:szCs w:val="21"/>
          <w:highlight w:val="none"/>
        </w:rPr>
      </w:pPr>
      <w:bookmarkStart w:id="408" w:name="_Toc364853223"/>
      <w:r>
        <w:rPr>
          <w:rFonts w:hint="eastAsia" w:ascii="宋体" w:hAnsi="宋体" w:cs="宋体"/>
          <w:color w:val="auto"/>
          <w:sz w:val="21"/>
          <w:szCs w:val="21"/>
          <w:highlight w:val="none"/>
        </w:rPr>
        <w:t>第三部分 专用合同条款</w:t>
      </w:r>
      <w:bookmarkEnd w:id="408"/>
    </w:p>
    <w:p w14:paraId="17BF5CAE">
      <w:pPr>
        <w:spacing w:line="420" w:lineRule="exact"/>
        <w:ind w:firstLine="420" w:firstLineChars="200"/>
        <w:rPr>
          <w:rFonts w:hint="eastAsia" w:ascii="宋体" w:hAnsi="宋体"/>
          <w:color w:val="auto"/>
          <w:kern w:val="0"/>
          <w:sz w:val="21"/>
          <w:szCs w:val="21"/>
          <w:highlight w:val="none"/>
        </w:rPr>
      </w:pPr>
      <w:bookmarkStart w:id="409" w:name="_Toc364853224"/>
      <w:r>
        <w:rPr>
          <w:rFonts w:hint="eastAsia" w:ascii="宋体" w:hAnsi="宋体"/>
          <w:color w:val="auto"/>
          <w:kern w:val="0"/>
          <w:sz w:val="21"/>
          <w:szCs w:val="21"/>
          <w:highlight w:val="none"/>
        </w:rPr>
        <w:t>以下主要专用合同条款根据建市[2017]214号“住房城乡建设部、工商总局关于印发建设工程施工合同（示范文本）的通知”附件《建设工程施工合同（示范文本）（GF-2017-0201）第三部分“专用合同条款”的格式与内容确定，除招标人和中标人在合同谈判期间有补充约定外，本合同的专用合同条款按以下条款执行。</w:t>
      </w:r>
    </w:p>
    <w:p w14:paraId="0FD395CA">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 一般约定</w:t>
      </w:r>
      <w:bookmarkEnd w:id="409"/>
    </w:p>
    <w:p w14:paraId="2BE14FF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 xml:space="preserve">1.3 法律 </w:t>
      </w:r>
    </w:p>
    <w:p w14:paraId="54909EF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适用于合同的其他规范性文件：浙江省、宁波市有关工程建设的法规、规章及规范性文件。</w:t>
      </w:r>
    </w:p>
    <w:p w14:paraId="4FBFC25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1.4 标准和规范</w:t>
      </w:r>
    </w:p>
    <w:p w14:paraId="2F259AF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1.4.1适用于工程的标准规范包括：浙江省、宁波市工程建设相关的施工及验收规范和标准。</w:t>
      </w:r>
    </w:p>
    <w:p w14:paraId="3496D00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1.5 合同文件的优先顺序</w:t>
      </w:r>
    </w:p>
    <w:p w14:paraId="5B5FE53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合同文件的优先解释顺序执行通用条款。</w:t>
      </w:r>
    </w:p>
    <w:p w14:paraId="6C9E499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1.6 图纸和承包人文件</w:t>
      </w:r>
      <w:r>
        <w:rPr>
          <w:rFonts w:hint="eastAsia" w:hAnsi="宋体" w:cs="宋体"/>
          <w:color w:val="auto"/>
          <w:sz w:val="21"/>
          <w:szCs w:val="21"/>
          <w:highlight w:val="none"/>
        </w:rPr>
        <w:tab/>
      </w:r>
    </w:p>
    <w:p w14:paraId="6CE3F8D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1.6.1图纸的提供</w:t>
      </w:r>
    </w:p>
    <w:p w14:paraId="259A664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发包人向承包人提供图纸的期限：向承包人发出成交确认书后3天内；</w:t>
      </w:r>
    </w:p>
    <w:p w14:paraId="6F42C40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发包人向承包人提供图纸的数量：一式五套；</w:t>
      </w:r>
    </w:p>
    <w:p w14:paraId="23ACB9A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发包人向承包人提供图纸的内容：工程承包范围内的各专业工程。</w:t>
      </w:r>
    </w:p>
    <w:p w14:paraId="530C2C4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1.6.4 承包人文件</w:t>
      </w:r>
    </w:p>
    <w:p w14:paraId="52CCB105">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需要由承包人提供的文件，包括：施工组织设计、工程进度计划、专项施工方案、加工图、大样图、协调配合图等；</w:t>
      </w:r>
    </w:p>
    <w:p w14:paraId="39A92F4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承包人提供的文件的期限为：施工组织设计、工程进度计划在工程开工前7天，其他文件在相应专项工程或部位施工前7天；</w:t>
      </w:r>
    </w:p>
    <w:p w14:paraId="37F56F40">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承包人提供的文件的数量为：一式五套；</w:t>
      </w:r>
    </w:p>
    <w:p w14:paraId="5D0269D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1.6.5 现场图纸准备</w:t>
      </w:r>
    </w:p>
    <w:p w14:paraId="086A02F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关于现场图纸准备的约定：承包人在施工现场保存至少一套完整的图纸和承包人文件。</w:t>
      </w:r>
    </w:p>
    <w:p w14:paraId="34C179DE">
      <w:pPr>
        <w:spacing w:line="45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1.7联络</w:t>
      </w:r>
    </w:p>
    <w:p w14:paraId="61A01FFD">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1.7.1发包人和承包人应当在通用条款规定的时间内将与合同有关的通知、批准、证明、证书、指示、指令、要求、请求、同意、意见、确定和决定等书面函件送达对方当事人。</w:t>
      </w:r>
    </w:p>
    <w:p w14:paraId="304579BB">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1.7.2发包人接收文件的地点：</w:t>
      </w:r>
      <w:r>
        <w:rPr>
          <w:rFonts w:hint="eastAsia" w:ascii="宋体" w:hAnsi="宋体" w:cs="宋体"/>
          <w:color w:val="auto"/>
          <w:sz w:val="21"/>
          <w:szCs w:val="21"/>
          <w:highlight w:val="none"/>
          <w:u w:val="single"/>
        </w:rPr>
        <w:t>发包人驻项目办公所在地</w:t>
      </w:r>
      <w:r>
        <w:rPr>
          <w:rFonts w:hint="eastAsia" w:ascii="宋体" w:hAnsi="宋体" w:cs="宋体"/>
          <w:color w:val="auto"/>
          <w:sz w:val="21"/>
          <w:szCs w:val="21"/>
          <w:highlight w:val="none"/>
        </w:rPr>
        <w:t>；</w:t>
      </w:r>
    </w:p>
    <w:p w14:paraId="1D2B2C07">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发包人指定的接收人为：</w:t>
      </w:r>
      <w:r>
        <w:rPr>
          <w:rFonts w:hint="eastAsia" w:ascii="宋体" w:hAnsi="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63CA1EDD">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承包人接收文件的地点：</w:t>
      </w:r>
      <w:r>
        <w:rPr>
          <w:rFonts w:hint="eastAsia" w:ascii="宋体" w:hAnsi="宋体" w:cs="宋体"/>
          <w:color w:val="auto"/>
          <w:sz w:val="21"/>
          <w:szCs w:val="21"/>
          <w:highlight w:val="none"/>
          <w:u w:val="single"/>
        </w:rPr>
        <w:t>承包人驻项目办公所在地</w:t>
      </w:r>
      <w:r>
        <w:rPr>
          <w:rFonts w:hint="eastAsia" w:ascii="宋体" w:hAnsi="宋体" w:cs="宋体"/>
          <w:color w:val="auto"/>
          <w:sz w:val="21"/>
          <w:szCs w:val="21"/>
          <w:highlight w:val="none"/>
        </w:rPr>
        <w:t>；</w:t>
      </w:r>
    </w:p>
    <w:p w14:paraId="747F84A5">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承包人指定的接收人为：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1C27DE60">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监理人接收文件的地点：</w:t>
      </w:r>
      <w:r>
        <w:rPr>
          <w:rFonts w:hint="eastAsia" w:ascii="宋体" w:hAnsi="宋体" w:cs="宋体"/>
          <w:color w:val="auto"/>
          <w:sz w:val="21"/>
          <w:szCs w:val="21"/>
          <w:highlight w:val="none"/>
          <w:u w:val="single"/>
        </w:rPr>
        <w:t>承包人驻项目办公所在地</w:t>
      </w:r>
      <w:r>
        <w:rPr>
          <w:rFonts w:hint="eastAsia" w:ascii="宋体" w:hAnsi="宋体" w:cs="宋体"/>
          <w:color w:val="auto"/>
          <w:sz w:val="21"/>
          <w:szCs w:val="21"/>
          <w:highlight w:val="none"/>
        </w:rPr>
        <w:t>；</w:t>
      </w:r>
    </w:p>
    <w:p w14:paraId="126EFD2C">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监理人指定的接收人为：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38BF866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1.10 交通运输</w:t>
      </w:r>
    </w:p>
    <w:p w14:paraId="124F8D4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1.10.1 出入现场的权利：执行通用条款。</w:t>
      </w:r>
    </w:p>
    <w:p w14:paraId="4B739BA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1.10.3 关于场外交通和场内交通边界的约定：</w:t>
      </w:r>
      <w:r>
        <w:rPr>
          <w:rFonts w:hint="eastAsia" w:ascii="宋体" w:hAnsi="宋体" w:cs="宋体"/>
          <w:color w:val="auto"/>
          <w:sz w:val="21"/>
          <w:szCs w:val="21"/>
          <w:highlight w:val="none"/>
          <w:u w:val="single"/>
        </w:rPr>
        <w:t xml:space="preserve">   无   </w:t>
      </w:r>
      <w:r>
        <w:rPr>
          <w:rFonts w:hint="eastAsia" w:ascii="宋体" w:hAnsi="宋体" w:cs="宋体"/>
          <w:color w:val="auto"/>
          <w:sz w:val="21"/>
          <w:szCs w:val="21"/>
          <w:highlight w:val="none"/>
        </w:rPr>
        <w:t>。</w:t>
      </w:r>
    </w:p>
    <w:p w14:paraId="76B063BD">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1.10.4 超大件和超重件的运输</w:t>
      </w:r>
    </w:p>
    <w:p w14:paraId="18ADBEB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运输超大件或超重件所需的道路和桥梁临时加固改造费用和其他有关费用由</w:t>
      </w:r>
      <w:r>
        <w:rPr>
          <w:rFonts w:hint="eastAsia" w:ascii="宋体" w:hAnsi="宋体" w:cs="宋体"/>
          <w:color w:val="auto"/>
          <w:sz w:val="21"/>
          <w:szCs w:val="21"/>
          <w:highlight w:val="none"/>
          <w:u w:val="single"/>
        </w:rPr>
        <w:t>承包人</w:t>
      </w:r>
      <w:r>
        <w:rPr>
          <w:rFonts w:hint="eastAsia" w:ascii="宋体" w:hAnsi="宋体" w:cs="宋体"/>
          <w:color w:val="auto"/>
          <w:sz w:val="21"/>
          <w:szCs w:val="21"/>
          <w:highlight w:val="none"/>
        </w:rPr>
        <w:t xml:space="preserve">承担。 </w:t>
      </w:r>
    </w:p>
    <w:p w14:paraId="25212FF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1.11 知识产权</w:t>
      </w:r>
    </w:p>
    <w:p w14:paraId="55BD75B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关于本合同的知识产权、使用及使用费用约定：执行通用条款。</w:t>
      </w:r>
    </w:p>
    <w:p w14:paraId="7BA4B46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1.13工程量清单错误的修正</w:t>
      </w:r>
    </w:p>
    <w:p w14:paraId="79B8209E">
      <w:pPr>
        <w:spacing w:line="450" w:lineRule="exact"/>
        <w:ind w:firstLine="420" w:firstLineChars="200"/>
        <w:rPr>
          <w:rFonts w:hint="eastAsia" w:ascii="宋体" w:hAnsi="宋体" w:cs="宋体"/>
          <w:color w:val="auto"/>
          <w:sz w:val="21"/>
          <w:szCs w:val="21"/>
          <w:highlight w:val="none"/>
        </w:rPr>
      </w:pPr>
      <w:bookmarkStart w:id="410" w:name="_Toc364853225"/>
      <w:r>
        <w:rPr>
          <w:rFonts w:hint="eastAsia" w:ascii="宋体" w:hAnsi="宋体" w:cs="宋体"/>
          <w:color w:val="auto"/>
          <w:sz w:val="21"/>
          <w:szCs w:val="21"/>
          <w:highlight w:val="none"/>
        </w:rPr>
        <w:t>允许对下列工程量清单的错误进行调整：（1）工程量清单存在缺项、漏项；（2）任一招标工程量清单项目的工程量有偏差；（3）未按照国家现行计量规范强制性规定计量。</w:t>
      </w:r>
    </w:p>
    <w:p w14:paraId="5B8874F1">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2. 发包人</w:t>
      </w:r>
      <w:bookmarkEnd w:id="410"/>
    </w:p>
    <w:p w14:paraId="6FE1B31C">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2.2 发包人代表</w:t>
      </w:r>
    </w:p>
    <w:p w14:paraId="09BCC1DB">
      <w:pPr>
        <w:pStyle w:val="67"/>
        <w:spacing w:before="120" w:line="360" w:lineRule="auto"/>
        <w:ind w:firstLine="401" w:firstLineChars="190"/>
        <w:rPr>
          <w:rFonts w:hint="eastAsia" w:ascii="仿宋_GB2312" w:hAnsi="宋体" w:eastAsia="仿宋_GB2312"/>
          <w:color w:val="auto"/>
          <w:sz w:val="21"/>
          <w:szCs w:val="21"/>
          <w:highlight w:val="none"/>
          <w:u w:val="single"/>
        </w:rPr>
      </w:pPr>
      <w:r>
        <w:rPr>
          <w:rFonts w:hint="eastAsia" w:ascii="仿宋_GB2312" w:hAnsi="宋体" w:eastAsia="仿宋_GB2312"/>
          <w:color w:val="auto"/>
          <w:sz w:val="21"/>
          <w:szCs w:val="21"/>
          <w:highlight w:val="none"/>
        </w:rPr>
        <w:t>发包人代表姓名：</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51D190CD">
      <w:pPr>
        <w:pStyle w:val="67"/>
        <w:spacing w:before="120" w:line="360" w:lineRule="auto"/>
        <w:ind w:firstLine="401" w:firstLineChars="190"/>
        <w:rPr>
          <w:rFonts w:hint="eastAsia" w:ascii="仿宋_GB2312" w:hAnsi="宋体" w:eastAsia="仿宋_GB2312"/>
          <w:color w:val="auto"/>
          <w:sz w:val="21"/>
          <w:szCs w:val="21"/>
          <w:highlight w:val="none"/>
          <w:u w:val="single"/>
        </w:rPr>
      </w:pPr>
      <w:r>
        <w:rPr>
          <w:rFonts w:hint="eastAsia" w:ascii="仿宋_GB2312" w:hAnsi="宋体" w:eastAsia="仿宋_GB2312"/>
          <w:color w:val="auto"/>
          <w:sz w:val="21"/>
          <w:szCs w:val="21"/>
          <w:highlight w:val="none"/>
        </w:rPr>
        <w:t>身份证号码：</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16282121">
      <w:pPr>
        <w:pStyle w:val="67"/>
        <w:spacing w:before="120" w:line="360" w:lineRule="auto"/>
        <w:ind w:firstLine="401" w:firstLineChars="190"/>
        <w:rPr>
          <w:rFonts w:hint="eastAsia"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联系电话</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1C78FB6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对发包人代表的授权范围如下：代表发包人履行发包人对工程建设管理的权利和义务，签发（或会签）各项工程联系单，对承包人、监理人有监督、协调的权利。工程价款洽商、索赔事项的处理、合同的变更等事项，由发包人代表在监理人的配合下完成，但最终需经发包人同意。</w:t>
      </w:r>
    </w:p>
    <w:p w14:paraId="7BB2CB9C">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2.5 资金来源证明及支付担保</w:t>
      </w:r>
    </w:p>
    <w:p w14:paraId="0041AE9F">
      <w:pPr>
        <w:spacing w:line="450" w:lineRule="exact"/>
        <w:ind w:firstLine="420" w:firstLineChars="200"/>
        <w:rPr>
          <w:rFonts w:hint="eastAsia" w:ascii="宋体" w:hAnsi="宋体" w:cs="宋体"/>
          <w:color w:val="auto"/>
          <w:sz w:val="21"/>
          <w:szCs w:val="21"/>
          <w:highlight w:val="none"/>
        </w:rPr>
      </w:pPr>
      <w:bookmarkStart w:id="411" w:name="_Toc364853226"/>
      <w:r>
        <w:rPr>
          <w:rFonts w:hint="eastAsia" w:ascii="宋体" w:hAnsi="宋体" w:cs="宋体"/>
          <w:color w:val="auto"/>
          <w:sz w:val="21"/>
          <w:szCs w:val="21"/>
          <w:highlight w:val="none"/>
        </w:rPr>
        <w:t>按《宁波市房屋建筑和市政基础设施工程担保管理办法（试行）》规定，发包人</w:t>
      </w:r>
      <w:r>
        <w:rPr>
          <w:rFonts w:hint="eastAsia" w:ascii="宋体" w:hAnsi="宋体" w:cs="宋体"/>
          <w:color w:val="auto"/>
          <w:kern w:val="0"/>
          <w:sz w:val="21"/>
          <w:szCs w:val="21"/>
          <w:highlight w:val="none"/>
          <w:u w:val="single"/>
        </w:rPr>
        <w:t xml:space="preserve">不需 </w:t>
      </w:r>
      <w:r>
        <w:rPr>
          <w:rFonts w:hint="eastAsia" w:ascii="宋体" w:hAnsi="宋体" w:cs="宋体"/>
          <w:color w:val="auto"/>
          <w:sz w:val="21"/>
          <w:szCs w:val="21"/>
          <w:highlight w:val="none"/>
        </w:rPr>
        <w:t>向承包人提供合同款的支付担保。</w:t>
      </w:r>
    </w:p>
    <w:p w14:paraId="28C94CC3">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3. 承包人</w:t>
      </w:r>
      <w:bookmarkEnd w:id="411"/>
    </w:p>
    <w:p w14:paraId="1CCF490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3.1 承包人的一般义务</w:t>
      </w:r>
    </w:p>
    <w:p w14:paraId="4C8585F6">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kern w:val="0"/>
          <w:sz w:val="21"/>
          <w:szCs w:val="21"/>
          <w:highlight w:val="none"/>
        </w:rPr>
        <w:t>（9）</w:t>
      </w:r>
      <w:r>
        <w:rPr>
          <w:rFonts w:hint="eastAsia" w:ascii="宋体" w:hAnsi="宋体" w:cs="宋体"/>
          <w:color w:val="auto"/>
          <w:sz w:val="21"/>
          <w:szCs w:val="21"/>
          <w:highlight w:val="none"/>
        </w:rPr>
        <w:t>承包人应在具备竣工验收合格条件后2个月内按宁波市奉化区城建档案归档要求向发包人提交竣工资料，至少包括纸质及电子资料各3套，为此产生的费用由承包人承担。</w:t>
      </w:r>
    </w:p>
    <w:p w14:paraId="59D9D4B6">
      <w:pPr>
        <w:pStyle w:val="67"/>
        <w:spacing w:before="120" w:line="450" w:lineRule="exact"/>
        <w:ind w:firstLine="398" w:firstLineChars="189"/>
        <w:rPr>
          <w:rFonts w:hint="eastAsia" w:hAnsi="宋体" w:cs="宋体"/>
          <w:color w:val="auto"/>
          <w:sz w:val="21"/>
          <w:szCs w:val="21"/>
          <w:highlight w:val="none"/>
        </w:rPr>
      </w:pPr>
      <w:r>
        <w:rPr>
          <w:rFonts w:hint="eastAsia" w:hAnsi="宋体" w:cs="宋体"/>
          <w:color w:val="auto"/>
          <w:sz w:val="21"/>
          <w:szCs w:val="21"/>
          <w:highlight w:val="none"/>
        </w:rPr>
        <w:t>3.2 项目经理</w:t>
      </w:r>
    </w:p>
    <w:p w14:paraId="7D3EDF77">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项目经理姓名：</w:t>
      </w:r>
      <w:r>
        <w:rPr>
          <w:rFonts w:hint="eastAsia" w:hAnsi="宋体" w:cs="宋体"/>
          <w:color w:val="auto"/>
          <w:sz w:val="21"/>
          <w:szCs w:val="21"/>
          <w:highlight w:val="none"/>
          <w:u w:val="single"/>
          <w:lang w:val="en-US" w:eastAsia="zh-CN"/>
        </w:rPr>
        <w:t xml:space="preserve">                      </w:t>
      </w:r>
    </w:p>
    <w:p w14:paraId="242F0436">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身份证号码：</w:t>
      </w:r>
      <w:r>
        <w:rPr>
          <w:rFonts w:hint="eastAsia" w:hAnsi="宋体" w:cs="宋体"/>
          <w:color w:val="auto"/>
          <w:sz w:val="21"/>
          <w:szCs w:val="21"/>
          <w:highlight w:val="none"/>
          <w:u w:val="single"/>
          <w:lang w:val="en-US" w:eastAsia="zh-CN"/>
        </w:rPr>
        <w:t xml:space="preserve">                      </w:t>
      </w:r>
    </w:p>
    <w:p w14:paraId="3DEDCBD8">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联系电话：</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29ACC1B9">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安全员姓名：</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r>
        <w:rPr>
          <w:rFonts w:hint="eastAsia" w:hAnsi="宋体" w:cs="宋体"/>
          <w:color w:val="auto"/>
          <w:sz w:val="21"/>
          <w:szCs w:val="21"/>
          <w:highlight w:val="none"/>
          <w:u w:val="single"/>
        </w:rPr>
        <w:t xml:space="preserve">      </w:t>
      </w:r>
    </w:p>
    <w:p w14:paraId="04FA0F45">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身份证号码：</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49ADC2DB">
      <w:pPr>
        <w:pStyle w:val="67"/>
        <w:spacing w:before="120" w:line="450" w:lineRule="exact"/>
        <w:ind w:firstLine="398" w:firstLineChars="189"/>
        <w:rPr>
          <w:rFonts w:hint="eastAsia" w:hAnsi="宋体" w:cs="宋体"/>
          <w:color w:val="auto"/>
          <w:sz w:val="21"/>
          <w:szCs w:val="21"/>
          <w:highlight w:val="none"/>
        </w:rPr>
      </w:pPr>
      <w:r>
        <w:rPr>
          <w:rFonts w:hint="eastAsia" w:hAnsi="宋体" w:cs="宋体"/>
          <w:color w:val="auto"/>
          <w:sz w:val="21"/>
          <w:szCs w:val="21"/>
          <w:highlight w:val="none"/>
        </w:rPr>
        <w:t>联系电话：</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45B7FC29">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3.2.1承包人委派的项目</w:t>
      </w:r>
      <w:r>
        <w:rPr>
          <w:rFonts w:hint="eastAsia" w:ascii="宋体" w:hAnsi="宋体" w:cs="宋体"/>
          <w:color w:val="auto"/>
          <w:sz w:val="21"/>
          <w:szCs w:val="21"/>
          <w:highlight w:val="none"/>
        </w:rPr>
        <w:t>经理</w:t>
      </w:r>
      <w:r>
        <w:rPr>
          <w:rFonts w:hint="eastAsia" w:ascii="宋体" w:hAnsi="宋体" w:cs="宋体"/>
          <w:color w:val="auto"/>
          <w:kern w:val="0"/>
          <w:sz w:val="21"/>
          <w:szCs w:val="21"/>
          <w:highlight w:val="none"/>
        </w:rPr>
        <w:t>及其执业行为应遵守通用条款约定，违反约定的，按本专用条款约定，承担违约责任。</w:t>
      </w:r>
    </w:p>
    <w:p w14:paraId="4E0F12D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承包人项目经理必须与承包人所承诺的人员一致，并在根据本合同约定的开工日期前到任。项目经理不得违反本市建设行政主管部门对项目经理的管理规定。未经发包人书面许可，承包人不得更换项目经理。承包人项目经理以及项目管理机构关键岗位人员的姓名、职称、身份证号、执业资格证书号、注册证书号、执业印章号、安全生产考核合格证书号等资料应当在合同协议书中载明。</w:t>
      </w:r>
    </w:p>
    <w:p w14:paraId="759F2407">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sz w:val="21"/>
          <w:szCs w:val="21"/>
          <w:highlight w:val="none"/>
        </w:rPr>
        <w:t>（2）承包人对项目经理的授权范围如下：在承</w:t>
      </w:r>
      <w:r>
        <w:rPr>
          <w:rFonts w:hint="eastAsia" w:ascii="宋体" w:hAnsi="宋体" w:cs="宋体"/>
          <w:color w:val="auto"/>
          <w:kern w:val="0"/>
          <w:sz w:val="21"/>
          <w:szCs w:val="21"/>
          <w:highlight w:val="none"/>
        </w:rPr>
        <w:t>包人授权范围内履行承包人的职权，对工程建设的质量、安全、工期以及工程造价控制负责，所有上报给发包人的文件均需项目经理签字。</w:t>
      </w:r>
    </w:p>
    <w:p w14:paraId="1F9F4414">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（3）承包人未提交劳动合同，以及没有为项目经理缴纳社会保险证明的违约责任：发包人有权解除合同，由此造成的费用增加和工期延误损失均由承包人承担。</w:t>
      </w:r>
    </w:p>
    <w:p w14:paraId="26A97672">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（4）关于项目经理每月在施工现场的时间要求：每月在施工现场时间不得少于</w:t>
      </w:r>
      <w:r>
        <w:rPr>
          <w:rFonts w:hint="eastAsia" w:ascii="宋体" w:hAnsi="宋体" w:cs="宋体"/>
          <w:color w:val="auto"/>
          <w:kern w:val="0"/>
          <w:sz w:val="21"/>
          <w:szCs w:val="21"/>
          <w:highlight w:val="none"/>
          <w:u w:val="single"/>
        </w:rPr>
        <w:t xml:space="preserve"> 25</w:t>
      </w:r>
      <w:r>
        <w:rPr>
          <w:rFonts w:hint="eastAsia" w:ascii="宋体" w:hAnsi="宋体" w:cs="宋体"/>
          <w:color w:val="auto"/>
          <w:kern w:val="0"/>
          <w:sz w:val="21"/>
          <w:szCs w:val="21"/>
          <w:highlight w:val="none"/>
        </w:rPr>
        <w:t>天，每天工作时间不得少于</w:t>
      </w:r>
      <w:r>
        <w:rPr>
          <w:rFonts w:hint="eastAsia" w:ascii="宋体" w:hAnsi="宋体" w:cs="宋体"/>
          <w:color w:val="auto"/>
          <w:kern w:val="0"/>
          <w:sz w:val="21"/>
          <w:szCs w:val="21"/>
          <w:highlight w:val="none"/>
          <w:u w:val="single"/>
        </w:rPr>
        <w:t xml:space="preserve"> 8 </w:t>
      </w:r>
      <w:r>
        <w:rPr>
          <w:rFonts w:hint="eastAsia" w:ascii="宋体" w:hAnsi="宋体" w:cs="宋体"/>
          <w:color w:val="auto"/>
          <w:kern w:val="0"/>
          <w:sz w:val="21"/>
          <w:szCs w:val="21"/>
          <w:highlight w:val="none"/>
        </w:rPr>
        <w:t>小时，且重要工程例会及验收环节等必须由项目经理参加。</w:t>
      </w:r>
    </w:p>
    <w:p w14:paraId="78577A2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（5）项目经理未经批准，擅自离开施工现场的违约责任：处违约金</w:t>
      </w:r>
      <w:r>
        <w:rPr>
          <w:rFonts w:hint="eastAsia" w:ascii="宋体" w:hAnsi="宋体" w:cs="宋体"/>
          <w:color w:val="auto"/>
          <w:kern w:val="0"/>
          <w:sz w:val="21"/>
          <w:szCs w:val="21"/>
          <w:highlight w:val="none"/>
          <w:u w:val="single"/>
        </w:rPr>
        <w:t>1000</w:t>
      </w:r>
      <w:r>
        <w:rPr>
          <w:rFonts w:hint="eastAsia" w:ascii="宋体" w:hAnsi="宋体" w:cs="宋体"/>
          <w:color w:val="auto"/>
          <w:kern w:val="0"/>
          <w:sz w:val="21"/>
          <w:szCs w:val="21"/>
          <w:highlight w:val="none"/>
        </w:rPr>
        <w:t>元/次，违约金从投标函附录中承诺的“未履行项目经理及主要施工管理人员到场承诺违约金限额”中扣除，该项限额不足时，发包人有权向承包人追偿。</w:t>
      </w:r>
    </w:p>
    <w:p w14:paraId="0536173B">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发包人对项目经理擅自离开施工现场的违约处理，应根据监理人对项目经理的考勤结果进行。</w:t>
      </w:r>
    </w:p>
    <w:p w14:paraId="29E1E78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3.2.3 承包人擅自更换项目经理的违约责任：处违约金</w:t>
      </w:r>
      <w:r>
        <w:rPr>
          <w:rFonts w:hint="eastAsia" w:ascii="宋体" w:hAnsi="宋体" w:cs="宋体"/>
          <w:color w:val="auto"/>
          <w:kern w:val="0"/>
          <w:sz w:val="21"/>
          <w:szCs w:val="21"/>
          <w:highlight w:val="none"/>
          <w:u w:val="single"/>
        </w:rPr>
        <w:t xml:space="preserve"> 10000 </w:t>
      </w:r>
      <w:r>
        <w:rPr>
          <w:rFonts w:hint="eastAsia" w:ascii="宋体" w:hAnsi="宋体" w:cs="宋体"/>
          <w:color w:val="auto"/>
          <w:kern w:val="0"/>
          <w:sz w:val="21"/>
          <w:szCs w:val="21"/>
          <w:highlight w:val="none"/>
        </w:rPr>
        <w:t>元/次，违约金从投标函附录中承诺的“未履行项目经理及主要施工管理人员到场承诺违约金限额”中扣除，该项限额不足时，发包人有权向承包人追偿，且有权拒绝接受其擅自更换的项目经理。</w:t>
      </w:r>
    </w:p>
    <w:p w14:paraId="61F808CC">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3.2.4 承包人无正当理由拒绝更换项目经理的违约责任：发包人认为项目经理无法履行职责的，应提供相关证明材料，并签发《整改通知书》，承包人在收到《整改通知书》后仍无改善的，发包人有权要求承包人更换项目经理。承包人无正当理由拒绝更换的，发包人可以一次性扣除承包人投标函附录中承诺的“未履行项目经理及主要施工管理人员到场承诺违约金限额”。情节严重的，发包人有权解除合同，由此造成的一切损失由承包人承担。</w:t>
      </w:r>
    </w:p>
    <w:p w14:paraId="20AE531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3.3 承包人人员</w:t>
      </w:r>
    </w:p>
    <w:p w14:paraId="14A145C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3.3.1 承包人应接到开工通知后7天内提交与</w:t>
      </w:r>
      <w:r>
        <w:rPr>
          <w:rFonts w:hint="eastAsia" w:ascii="宋体" w:hAnsi="宋体" w:cs="宋体"/>
          <w:color w:val="auto"/>
          <w:sz w:val="21"/>
          <w:szCs w:val="21"/>
          <w:highlight w:val="none"/>
        </w:rPr>
        <w:t>投标时所承诺的人员一致的</w:t>
      </w:r>
      <w:r>
        <w:rPr>
          <w:rFonts w:hint="eastAsia" w:ascii="宋体" w:hAnsi="宋体" w:cs="宋体"/>
          <w:color w:val="auto"/>
          <w:kern w:val="0"/>
          <w:sz w:val="21"/>
          <w:szCs w:val="21"/>
          <w:highlight w:val="none"/>
        </w:rPr>
        <w:t>项目管理机构及施工现场管理人员安排报告。</w:t>
      </w:r>
    </w:p>
    <w:p w14:paraId="5009354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3.3.3 承包人无正当理由拒绝撤换主要施工管理人员的违约责任：发包人认为主要施工管理人员（指技术负责人、安全员、施工员、质量员）无法履行职责的，应提供相关证明材料，并签发《整改通知书》。承包人在收到《整改通知书》后仍无改善的，发包人有权要求承包人更换管理人员。承包人无正当理由拒绝更换的，发包人可以一次性扣除承包人投标函附录中承诺中的“未履行项目经理及主要施工管理人员到场承诺违约金限额”。</w:t>
      </w:r>
    </w:p>
    <w:p w14:paraId="01F2120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3.3.4 承包人主要施工管理人员离开施工现场的批准要求：安全员、施工员每月在施工管理现场不得少于25天，其他主要施工管理人员每月在施工管理现场不得少于15天，有特殊情况少于上述时间的，批准要求按通用条款执行。</w:t>
      </w:r>
    </w:p>
    <w:p w14:paraId="0CFB93B2">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3.3.5 承包人擅自更换主要施工管理人员的违约责任：处违约金5000元/人/次，违约金从投标函附录中承诺中的“未履行项目经理及主要施工管理人员到场承诺违约金限额”中扣除，该项限额不足时，发包人有权向承包人追偿，且有权拒绝接受其擅自更换的主要施工管理人员。</w:t>
      </w:r>
    </w:p>
    <w:p w14:paraId="20B58DD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承包人主要施工管理人员擅自离开施工现场的违约责任：处违约金2000元/人/次，违约金从投标函附录中承诺的“未履行项目经理及主要施工管理人员到场承诺违约金限额”中扣除，该项限额不足时，发包人有权向承包人追偿。</w:t>
      </w:r>
    </w:p>
    <w:p w14:paraId="5C509A8A">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3.5 分包</w:t>
      </w:r>
    </w:p>
    <w:p w14:paraId="1E974A65">
      <w:pPr>
        <w:pStyle w:val="67"/>
        <w:spacing w:before="120" w:line="450" w:lineRule="exact"/>
        <w:ind w:firstLine="399" w:firstLineChars="190"/>
        <w:rPr>
          <w:rFonts w:hint="eastAsia" w:hAnsi="宋体" w:cs="宋体"/>
          <w:b w:val="0"/>
          <w:bCs/>
          <w:color w:val="auto"/>
          <w:kern w:val="0"/>
          <w:sz w:val="21"/>
          <w:szCs w:val="21"/>
          <w:highlight w:val="none"/>
        </w:rPr>
      </w:pPr>
      <w:r>
        <w:rPr>
          <w:rFonts w:hint="eastAsia" w:hAnsi="宋体" w:cs="宋体"/>
          <w:b w:val="0"/>
          <w:bCs/>
          <w:color w:val="auto"/>
          <w:kern w:val="0"/>
          <w:sz w:val="21"/>
          <w:szCs w:val="21"/>
          <w:highlight w:val="none"/>
        </w:rPr>
        <w:t>不允许。</w:t>
      </w:r>
    </w:p>
    <w:p w14:paraId="118E3FCA">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3.6 工程照管与成品、半成品保护</w:t>
      </w:r>
    </w:p>
    <w:p w14:paraId="0365F91A">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工程照管与成品、半成品保护有关约定：执行通用条款。</w:t>
      </w:r>
    </w:p>
    <w:p w14:paraId="2BDE4B5F">
      <w:pPr>
        <w:pStyle w:val="67"/>
        <w:spacing w:before="120" w:line="450" w:lineRule="exact"/>
        <w:ind w:firstLine="401" w:firstLineChars="190"/>
        <w:rPr>
          <w:rFonts w:hint="eastAsia" w:hAnsi="宋体" w:cs="宋体"/>
          <w:color w:val="auto"/>
          <w:sz w:val="21"/>
          <w:szCs w:val="21"/>
          <w:highlight w:val="none"/>
        </w:rPr>
      </w:pPr>
      <w:bookmarkStart w:id="412" w:name="_Toc364853227"/>
      <w:r>
        <w:rPr>
          <w:rFonts w:hint="eastAsia" w:hAnsi="宋体" w:cs="宋体"/>
          <w:color w:val="auto"/>
          <w:sz w:val="21"/>
          <w:szCs w:val="21"/>
          <w:highlight w:val="none"/>
        </w:rPr>
        <w:t>3.7 履约担保</w:t>
      </w:r>
    </w:p>
    <w:p w14:paraId="7AD60462">
      <w:pPr>
        <w:pStyle w:val="67"/>
        <w:spacing w:before="120" w:line="450" w:lineRule="exact"/>
        <w:ind w:left="120" w:hanging="105" w:hanging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（1）承包人提供的履约担保形式为</w:t>
      </w:r>
      <w:r>
        <w:rPr>
          <w:rFonts w:hint="eastAsia" w:hAnsi="宋体" w:cs="宋体"/>
          <w:b w:val="0"/>
          <w:color w:val="auto"/>
          <w:kern w:val="0"/>
          <w:sz w:val="21"/>
          <w:szCs w:val="21"/>
          <w:highlight w:val="none"/>
          <w:u w:val="single"/>
        </w:rPr>
        <w:t xml:space="preserve">  </w:t>
      </w:r>
      <w:r>
        <w:rPr>
          <w:rFonts w:hint="eastAsia" w:hAnsi="宋体" w:cs="宋体"/>
          <w:b w:val="0"/>
          <w:color w:val="auto"/>
          <w:kern w:val="0"/>
          <w:sz w:val="21"/>
          <w:szCs w:val="21"/>
          <w:highlight w:val="none"/>
          <w:u w:val="single"/>
          <w:lang w:val="en-US" w:eastAsia="zh-CN"/>
        </w:rPr>
        <w:t xml:space="preserve">    </w:t>
      </w:r>
      <w:r>
        <w:rPr>
          <w:rFonts w:hint="eastAsia" w:hAnsi="宋体" w:cs="宋体"/>
          <w:b w:val="0"/>
          <w:color w:val="auto"/>
          <w:kern w:val="0"/>
          <w:sz w:val="21"/>
          <w:szCs w:val="21"/>
          <w:highlight w:val="none"/>
        </w:rPr>
        <w:t xml:space="preserve">（ A、履约保函；/  B、履约保证金电汇、/  </w:t>
      </w:r>
      <w:r>
        <w:rPr>
          <w:rFonts w:hint="eastAsia" w:hAnsi="宋体" w:cs="宋体"/>
          <w:b w:val="0"/>
          <w:color w:val="auto"/>
          <w:kern w:val="0"/>
          <w:sz w:val="21"/>
          <w:szCs w:val="21"/>
          <w:highlight w:val="none"/>
          <w:lang w:val="en-US" w:eastAsia="zh-CN"/>
        </w:rPr>
        <w:t>C</w:t>
      </w:r>
      <w:r>
        <w:rPr>
          <w:rFonts w:hint="eastAsia" w:hAnsi="宋体" w:cs="宋体"/>
          <w:b w:val="0"/>
          <w:color w:val="auto"/>
          <w:kern w:val="0"/>
          <w:sz w:val="21"/>
          <w:szCs w:val="21"/>
          <w:highlight w:val="none"/>
        </w:rPr>
        <w:t xml:space="preserve">、银行支票、/ </w:t>
      </w:r>
      <w:r>
        <w:rPr>
          <w:rFonts w:hint="eastAsia" w:hAnsi="宋体" w:cs="宋体"/>
          <w:b w:val="0"/>
          <w:color w:val="auto"/>
          <w:kern w:val="0"/>
          <w:sz w:val="21"/>
          <w:szCs w:val="21"/>
          <w:highlight w:val="none"/>
          <w:lang w:val="en-US" w:eastAsia="zh-CN"/>
        </w:rPr>
        <w:t>D</w:t>
      </w:r>
      <w:r>
        <w:rPr>
          <w:rFonts w:hint="eastAsia" w:hAnsi="宋体" w:cs="宋体"/>
          <w:b w:val="0"/>
          <w:color w:val="auto"/>
          <w:kern w:val="0"/>
          <w:sz w:val="21"/>
          <w:szCs w:val="21"/>
          <w:highlight w:val="none"/>
        </w:rPr>
        <w:t xml:space="preserve">、银行保函、/  </w:t>
      </w:r>
      <w:r>
        <w:rPr>
          <w:rFonts w:hint="eastAsia" w:hAnsi="宋体" w:cs="宋体"/>
          <w:b w:val="0"/>
          <w:color w:val="auto"/>
          <w:kern w:val="0"/>
          <w:sz w:val="21"/>
          <w:szCs w:val="21"/>
          <w:highlight w:val="none"/>
          <w:lang w:val="en-US" w:eastAsia="zh-CN"/>
        </w:rPr>
        <w:t>E</w:t>
      </w:r>
      <w:r>
        <w:rPr>
          <w:rFonts w:hint="eastAsia" w:hAnsi="宋体" w:cs="宋体"/>
          <w:b w:val="0"/>
          <w:color w:val="auto"/>
          <w:kern w:val="0"/>
          <w:sz w:val="21"/>
          <w:szCs w:val="21"/>
          <w:highlight w:val="none"/>
        </w:rPr>
        <w:t xml:space="preserve">、保险公司担保）。                </w:t>
      </w:r>
    </w:p>
    <w:p w14:paraId="6C5B238F">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① 如提供履约保函的，将向发包人提供符合本合同附件6格式的履约保函一份。</w:t>
      </w:r>
    </w:p>
    <w:p w14:paraId="53579FB4">
      <w:pPr>
        <w:pStyle w:val="67"/>
        <w:spacing w:before="120" w:line="450" w:lineRule="exact"/>
        <w:ind w:left="554" w:leftChars="114" w:hanging="315" w:hangingChars="1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②提供履约保证金的，承包人在签订合同</w:t>
      </w:r>
      <w:r>
        <w:rPr>
          <w:rFonts w:hint="eastAsia" w:hAnsi="宋体" w:cs="宋体"/>
          <w:b w:val="0"/>
          <w:color w:val="auto"/>
          <w:kern w:val="0"/>
          <w:sz w:val="21"/>
          <w:szCs w:val="21"/>
          <w:highlight w:val="none"/>
          <w:lang w:eastAsia="zh-CN"/>
        </w:rPr>
        <w:t>的</w:t>
      </w:r>
      <w:r>
        <w:rPr>
          <w:rFonts w:hint="eastAsia" w:hAnsi="宋体" w:cs="宋体"/>
          <w:b w:val="0"/>
          <w:color w:val="auto"/>
          <w:kern w:val="0"/>
          <w:sz w:val="21"/>
          <w:szCs w:val="21"/>
          <w:highlight w:val="none"/>
          <w:lang w:val="en-US" w:eastAsia="zh-CN"/>
        </w:rPr>
        <w:t>同时</w:t>
      </w:r>
      <w:r>
        <w:rPr>
          <w:rFonts w:hint="eastAsia" w:hAnsi="宋体" w:cs="宋体"/>
          <w:b w:val="0"/>
          <w:color w:val="auto"/>
          <w:kern w:val="0"/>
          <w:sz w:val="21"/>
          <w:szCs w:val="21"/>
          <w:highlight w:val="none"/>
        </w:rPr>
        <w:t>向发包人提交合同价款的</w:t>
      </w:r>
      <w:r>
        <w:rPr>
          <w:rFonts w:hint="eastAsia" w:hAnsi="宋体" w:cs="宋体"/>
          <w:b w:val="0"/>
          <w:color w:val="auto"/>
          <w:kern w:val="0"/>
          <w:sz w:val="21"/>
          <w:szCs w:val="21"/>
          <w:highlight w:val="none"/>
          <w:lang w:val="en-US" w:eastAsia="zh-CN"/>
        </w:rPr>
        <w:t>2</w:t>
      </w:r>
      <w:r>
        <w:rPr>
          <w:rFonts w:hint="eastAsia" w:hAnsi="宋体" w:cs="宋体"/>
          <w:b w:val="0"/>
          <w:color w:val="auto"/>
          <w:kern w:val="0"/>
          <w:sz w:val="21"/>
          <w:szCs w:val="21"/>
          <w:highlight w:val="none"/>
        </w:rPr>
        <w:t>%</w:t>
      </w:r>
      <w:r>
        <w:rPr>
          <w:rFonts w:hint="eastAsia" w:hAnsi="宋体" w:cs="宋体"/>
          <w:b w:val="0"/>
          <w:color w:val="auto"/>
          <w:kern w:val="0"/>
          <w:sz w:val="21"/>
          <w:szCs w:val="21"/>
          <w:highlight w:val="none"/>
          <w:lang w:eastAsia="zh-CN"/>
        </w:rPr>
        <w:t>（即</w:t>
      </w:r>
      <w:r>
        <w:rPr>
          <w:rFonts w:hint="eastAsia" w:hAnsi="宋体" w:cs="宋体"/>
          <w:b w:val="0"/>
          <w:color w:val="auto"/>
          <w:kern w:val="0"/>
          <w:sz w:val="21"/>
          <w:szCs w:val="21"/>
          <w:highlight w:val="none"/>
          <w:u w:val="single"/>
          <w:lang w:val="en-US" w:eastAsia="zh-CN"/>
        </w:rPr>
        <w:t xml:space="preserve">  </w:t>
      </w:r>
      <w:r>
        <w:rPr>
          <w:rFonts w:hint="eastAsia" w:hAnsi="宋体" w:cs="宋体"/>
          <w:b w:val="0"/>
          <w:color w:val="auto"/>
          <w:kern w:val="0"/>
          <w:sz w:val="21"/>
          <w:szCs w:val="21"/>
          <w:highlight w:val="none"/>
          <w:lang w:val="en-US" w:eastAsia="zh-CN"/>
        </w:rPr>
        <w:t>元</w:t>
      </w:r>
      <w:r>
        <w:rPr>
          <w:rFonts w:hint="eastAsia" w:hAnsi="宋体" w:cs="宋体"/>
          <w:b w:val="0"/>
          <w:color w:val="auto"/>
          <w:kern w:val="0"/>
          <w:sz w:val="21"/>
          <w:szCs w:val="21"/>
          <w:highlight w:val="none"/>
          <w:lang w:eastAsia="zh-CN"/>
        </w:rPr>
        <w:t>）</w:t>
      </w:r>
      <w:r>
        <w:rPr>
          <w:rFonts w:hint="eastAsia" w:hAnsi="宋体" w:cs="宋体"/>
          <w:b w:val="0"/>
          <w:color w:val="auto"/>
          <w:kern w:val="0"/>
          <w:sz w:val="21"/>
          <w:szCs w:val="21"/>
          <w:highlight w:val="none"/>
        </w:rPr>
        <w:t>的履约保证金；</w:t>
      </w:r>
    </w:p>
    <w:p w14:paraId="34641EEA">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（2）履约担保期限自合同生效之日起至发包人签认并由监理人向承包人出具工程接收证书之日止。</w:t>
      </w:r>
    </w:p>
    <w:p w14:paraId="198D073D">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3）承包人与履约担保有关的任何利息或其它类似的费用或者收益由承包人承担；因承包人原因或其他承包人应承担责任的事由导致工期延长的，继续提供履约担保所增加的费用由承包人承担；非承包人原因导致工期延长的，继续提供履约担保所增加的费用由发包人承担。</w:t>
      </w:r>
    </w:p>
    <w:p w14:paraId="4FA0B742">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（4）履约担保在工程竣工验收合格后28天内予以退还。</w:t>
      </w:r>
    </w:p>
    <w:p w14:paraId="3F25683F">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color w:val="auto"/>
          <w:sz w:val="21"/>
          <w:szCs w:val="21"/>
          <w:highlight w:val="none"/>
        </w:rPr>
        <w:t>4. 监理人</w:t>
      </w:r>
      <w:bookmarkEnd w:id="412"/>
    </w:p>
    <w:p w14:paraId="51AE8D2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4.1监理人的一般规定</w:t>
      </w:r>
    </w:p>
    <w:p w14:paraId="6A1FB37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关于监理人的监理内容：工程建设监理合同授予监理人的权利。</w:t>
      </w:r>
    </w:p>
    <w:p w14:paraId="4B6B029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关于监理人的监理权限：涉及费用、工期、图纸更改等工程变更指令和付款、暂停工程施工指令的下达权需取得发包人书面批准方可执行。 </w:t>
      </w:r>
    </w:p>
    <w:p w14:paraId="0812E967">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关于监理人在施工现场的办公场所、生活场所的提供和费用承担的约定：执行通用条款。</w:t>
      </w:r>
    </w:p>
    <w:p w14:paraId="134CB8A1">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4.4 商定或确定</w:t>
      </w:r>
    </w:p>
    <w:p w14:paraId="0785BF0D">
      <w:pPr>
        <w:spacing w:line="450" w:lineRule="exact"/>
        <w:ind w:firstLine="441" w:firstLineChars="210"/>
        <w:rPr>
          <w:rFonts w:hint="eastAsia" w:ascii="宋体" w:hAnsi="宋体" w:cs="宋体"/>
          <w:color w:val="auto"/>
          <w:kern w:val="0"/>
          <w:sz w:val="21"/>
          <w:szCs w:val="21"/>
          <w:highlight w:val="none"/>
        </w:rPr>
      </w:pPr>
      <w:bookmarkStart w:id="413" w:name="_Toc364853228"/>
      <w:r>
        <w:rPr>
          <w:rFonts w:hint="eastAsia" w:ascii="宋体" w:hAnsi="宋体" w:cs="宋体"/>
          <w:color w:val="auto"/>
          <w:kern w:val="0"/>
          <w:sz w:val="21"/>
          <w:szCs w:val="21"/>
          <w:highlight w:val="none"/>
        </w:rPr>
        <w:t>当合同当事人对需要商定或确定的事项不能达成一致时，总监理工程师应按照合同约定作出公正确定，应在合同当事人会商之日起 7 天内提供书面确定意见。</w:t>
      </w:r>
    </w:p>
    <w:p w14:paraId="7EF7E145">
      <w:pPr>
        <w:spacing w:line="450" w:lineRule="exact"/>
        <w:ind w:firstLine="103" w:firstLineChars="49"/>
        <w:rPr>
          <w:rFonts w:hint="eastAsia" w:ascii="宋体" w:hAnsi="宋体" w:cs="宋体"/>
          <w:b/>
          <w:color w:val="auto"/>
          <w:kern w:val="0"/>
          <w:sz w:val="21"/>
          <w:szCs w:val="21"/>
          <w:highlight w:val="none"/>
        </w:rPr>
      </w:pPr>
      <w:r>
        <w:rPr>
          <w:rFonts w:hint="eastAsia" w:ascii="宋体" w:hAnsi="宋体" w:cs="宋体"/>
          <w:b/>
          <w:color w:val="auto"/>
          <w:sz w:val="21"/>
          <w:szCs w:val="21"/>
          <w:highlight w:val="none"/>
        </w:rPr>
        <w:t>5. 工程质量</w:t>
      </w:r>
      <w:bookmarkEnd w:id="413"/>
    </w:p>
    <w:p w14:paraId="019C3AD9">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5.1 质量要求:</w:t>
      </w:r>
      <w:r>
        <w:rPr>
          <w:rFonts w:hint="eastAsia" w:ascii="宋体" w:hAnsi="宋体" w:cs="宋体"/>
          <w:color w:val="auto"/>
          <w:kern w:val="0"/>
          <w:sz w:val="21"/>
          <w:szCs w:val="21"/>
          <w:highlight w:val="none"/>
          <w:u w:val="single"/>
        </w:rPr>
        <w:t>达到国家和行业施工验收规范一次性验收合格</w:t>
      </w:r>
    </w:p>
    <w:p w14:paraId="2B36D6CB">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5.1.1 特殊质量标准和要求：</w:t>
      </w:r>
      <w:r>
        <w:rPr>
          <w:rFonts w:hint="eastAsia" w:ascii="宋体" w:hAnsi="宋体" w:cs="宋体"/>
          <w:color w:val="auto"/>
          <w:kern w:val="0"/>
          <w:sz w:val="21"/>
          <w:szCs w:val="21"/>
          <w:highlight w:val="none"/>
          <w:u w:val="single"/>
        </w:rPr>
        <w:t xml:space="preserve">     无   </w:t>
      </w:r>
      <w:r>
        <w:rPr>
          <w:rFonts w:hint="eastAsia" w:ascii="宋体" w:hAnsi="宋体" w:cs="宋体"/>
          <w:color w:val="auto"/>
          <w:kern w:val="0"/>
          <w:sz w:val="21"/>
          <w:szCs w:val="21"/>
          <w:highlight w:val="none"/>
        </w:rPr>
        <w:t>。</w:t>
      </w:r>
    </w:p>
    <w:p w14:paraId="5A14C6AC">
      <w:pPr>
        <w:pStyle w:val="67"/>
        <w:spacing w:before="120" w:line="450" w:lineRule="exact"/>
        <w:ind w:firstLine="399" w:firstLineChars="190"/>
        <w:rPr>
          <w:rFonts w:hint="eastAsia" w:hAnsi="宋体" w:cs="宋体"/>
          <w:b w:val="0"/>
          <w:color w:val="auto"/>
          <w:sz w:val="21"/>
          <w:szCs w:val="21"/>
          <w:highlight w:val="none"/>
        </w:rPr>
      </w:pPr>
      <w:r>
        <w:rPr>
          <w:rFonts w:hint="eastAsia" w:hAnsi="宋体" w:cs="宋体"/>
          <w:b w:val="0"/>
          <w:color w:val="auto"/>
          <w:sz w:val="21"/>
          <w:szCs w:val="21"/>
          <w:highlight w:val="none"/>
        </w:rPr>
        <w:t>5.3 隐蔽工程检查</w:t>
      </w:r>
    </w:p>
    <w:p w14:paraId="6B923541">
      <w:pPr>
        <w:spacing w:line="450" w:lineRule="exact"/>
        <w:ind w:firstLine="441" w:firstLineChars="210"/>
        <w:rPr>
          <w:rFonts w:hint="eastAsia" w:ascii="宋体" w:hAnsi="宋体" w:cs="宋体"/>
          <w:color w:val="auto"/>
          <w:kern w:val="0"/>
          <w:sz w:val="21"/>
          <w:szCs w:val="21"/>
          <w:highlight w:val="none"/>
        </w:rPr>
      </w:pPr>
      <w:bookmarkStart w:id="414" w:name="_Toc364853229"/>
      <w:r>
        <w:rPr>
          <w:rFonts w:hint="eastAsia" w:ascii="宋体" w:hAnsi="宋体" w:cs="宋体"/>
          <w:color w:val="auto"/>
          <w:kern w:val="0"/>
          <w:sz w:val="21"/>
          <w:szCs w:val="21"/>
          <w:highlight w:val="none"/>
        </w:rPr>
        <w:t>5.3.2承包人提前通知监理人隐蔽工程检查的期限的约定：承包人应在共同检查前</w:t>
      </w:r>
      <w:r>
        <w:rPr>
          <w:rFonts w:hint="eastAsia" w:ascii="宋体" w:hAnsi="宋体" w:cs="宋体"/>
          <w:color w:val="auto"/>
          <w:kern w:val="0"/>
          <w:sz w:val="21"/>
          <w:szCs w:val="21"/>
          <w:highlight w:val="none"/>
          <w:u w:val="single"/>
        </w:rPr>
        <w:t xml:space="preserve">24 </w:t>
      </w:r>
      <w:r>
        <w:rPr>
          <w:rFonts w:hint="eastAsia" w:ascii="宋体" w:hAnsi="宋体" w:cs="宋体"/>
          <w:color w:val="auto"/>
          <w:kern w:val="0"/>
          <w:sz w:val="21"/>
          <w:szCs w:val="21"/>
          <w:highlight w:val="none"/>
        </w:rPr>
        <w:t>小时书面通知监理人检查。</w:t>
      </w:r>
    </w:p>
    <w:p w14:paraId="546E1FB7">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监理人不能按时进行检查时，应提前</w:t>
      </w:r>
      <w:r>
        <w:rPr>
          <w:rFonts w:hint="eastAsia" w:ascii="宋体" w:hAnsi="宋体" w:cs="宋体"/>
          <w:color w:val="auto"/>
          <w:kern w:val="0"/>
          <w:sz w:val="21"/>
          <w:szCs w:val="21"/>
          <w:highlight w:val="none"/>
          <w:u w:val="single"/>
        </w:rPr>
        <w:t xml:space="preserve">  24 </w:t>
      </w:r>
      <w:r>
        <w:rPr>
          <w:rFonts w:hint="eastAsia" w:ascii="宋体" w:hAnsi="宋体" w:cs="宋体"/>
          <w:color w:val="auto"/>
          <w:kern w:val="0"/>
          <w:sz w:val="21"/>
          <w:szCs w:val="21"/>
          <w:highlight w:val="none"/>
        </w:rPr>
        <w:t>小时提交书面延期要求。延期最长不得超过：</w:t>
      </w:r>
      <w:r>
        <w:rPr>
          <w:rFonts w:hint="eastAsia" w:ascii="宋体" w:hAnsi="宋体" w:cs="宋体"/>
          <w:color w:val="auto"/>
          <w:kern w:val="0"/>
          <w:sz w:val="21"/>
          <w:szCs w:val="21"/>
          <w:highlight w:val="none"/>
          <w:u w:val="single"/>
        </w:rPr>
        <w:t xml:space="preserve"> 48</w:t>
      </w:r>
      <w:r>
        <w:rPr>
          <w:rFonts w:hint="eastAsia" w:ascii="宋体" w:hAnsi="宋体" w:cs="宋体"/>
          <w:color w:val="auto"/>
          <w:kern w:val="0"/>
          <w:sz w:val="21"/>
          <w:szCs w:val="21"/>
          <w:highlight w:val="none"/>
        </w:rPr>
        <w:t>小时。</w:t>
      </w:r>
    </w:p>
    <w:p w14:paraId="47B12B51">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6. 安全文明施工与环境保护</w:t>
      </w:r>
      <w:bookmarkEnd w:id="414"/>
    </w:p>
    <w:p w14:paraId="4BE564D7">
      <w:pPr>
        <w:pStyle w:val="67"/>
        <w:spacing w:before="120" w:line="450" w:lineRule="exact"/>
        <w:ind w:firstLine="399" w:firstLineChars="190"/>
        <w:rPr>
          <w:rFonts w:hint="eastAsia" w:hAnsi="宋体" w:cs="宋体"/>
          <w:b w:val="0"/>
          <w:color w:val="auto"/>
          <w:sz w:val="21"/>
          <w:szCs w:val="21"/>
          <w:highlight w:val="none"/>
        </w:rPr>
      </w:pPr>
      <w:r>
        <w:rPr>
          <w:rFonts w:hint="eastAsia" w:hAnsi="宋体" w:cs="宋体"/>
          <w:b w:val="0"/>
          <w:color w:val="auto"/>
          <w:sz w:val="21"/>
          <w:szCs w:val="21"/>
          <w:highlight w:val="none"/>
        </w:rPr>
        <w:t>6.1安全文明施工</w:t>
      </w:r>
    </w:p>
    <w:p w14:paraId="09E06675">
      <w:pPr>
        <w:spacing w:line="450" w:lineRule="exact"/>
        <w:ind w:firstLine="420" w:firstLineChars="200"/>
        <w:rPr>
          <w:rFonts w:hint="eastAsia" w:ascii="宋体" w:hAnsi="宋体" w:cs="宋体"/>
          <w:color w:val="auto"/>
          <w:kern w:val="0"/>
          <w:sz w:val="21"/>
          <w:szCs w:val="21"/>
          <w:highlight w:val="none"/>
        </w:rPr>
      </w:pPr>
      <w:bookmarkStart w:id="415" w:name="_Toc364853230"/>
      <w:r>
        <w:rPr>
          <w:rFonts w:hint="eastAsia" w:ascii="宋体" w:hAnsi="宋体" w:cs="宋体"/>
          <w:color w:val="auto"/>
          <w:kern w:val="0"/>
          <w:sz w:val="21"/>
          <w:szCs w:val="21"/>
          <w:highlight w:val="none"/>
        </w:rPr>
        <w:t>6.1.1 项目安全生产的达标目标及相应事项的约定：</w:t>
      </w:r>
      <w:r>
        <w:rPr>
          <w:rFonts w:hint="eastAsia" w:ascii="宋体" w:hAnsi="宋体" w:cs="宋体"/>
          <w:color w:val="auto"/>
          <w:sz w:val="21"/>
          <w:szCs w:val="21"/>
          <w:highlight w:val="none"/>
          <w:u w:val="single"/>
        </w:rPr>
        <w:t>合格</w:t>
      </w:r>
      <w:r>
        <w:rPr>
          <w:rFonts w:hint="eastAsia" w:ascii="宋体" w:hAnsi="宋体" w:cs="宋体"/>
          <w:color w:val="auto"/>
          <w:kern w:val="0"/>
          <w:sz w:val="21"/>
          <w:szCs w:val="21"/>
          <w:highlight w:val="none"/>
        </w:rPr>
        <w:t>。</w:t>
      </w:r>
    </w:p>
    <w:p w14:paraId="4895AD78">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施工期间由于承包人违反安全操作规范，发生重大死亡及其它事故，发包人将根据事故的严重程度对承包人予以处罚；被政府部门处罚的，承包人承担一切责任。</w:t>
      </w:r>
    </w:p>
    <w:p w14:paraId="03A2C217">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6.1.1.1 承包方未履行安全文明施工发生以下情况之一的，视为承包方未履行安全生产文明施工违约，承包方须支付合同价款的1% ：</w:t>
      </w:r>
    </w:p>
    <w:p w14:paraId="50A47D16">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 xml:space="preserve"> (1)未达到合同要求的安全等级要求（安全等级以宁波市奉化区住房和城乡建设局文件和上级文件为准）；</w:t>
      </w:r>
    </w:p>
    <w:p w14:paraId="13A46AD4">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 xml:space="preserve"> （2）在施工期间，施工单位发生事故等级为一般事故及以上生产安全责任事故（事故等级和责任按按国务院第493号令和行政部门的事故调查报告认定）；</w:t>
      </w:r>
    </w:p>
    <w:p w14:paraId="7089587E">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6.1.1.2</w:t>
      </w:r>
      <w:r>
        <w:rPr>
          <w:rFonts w:hint="eastAsia" w:ascii="宋体" w:hAnsi="宋体" w:cs="宋体"/>
          <w:b/>
          <w:bCs/>
          <w:color w:val="auto"/>
          <w:kern w:val="0"/>
          <w:szCs w:val="21"/>
          <w:highlight w:val="none"/>
        </w:rPr>
        <w:t>在施工期间，发现承包方现场管理混乱</w:t>
      </w:r>
      <w:r>
        <w:rPr>
          <w:rFonts w:hint="eastAsia" w:ascii="宋体" w:hAnsi="宋体" w:cs="宋体"/>
          <w:b/>
          <w:bCs/>
          <w:color w:val="auto"/>
          <w:kern w:val="0"/>
          <w:szCs w:val="21"/>
          <w:highlight w:val="none"/>
          <w:lang w:eastAsia="zh-CN"/>
        </w:rPr>
        <w:t>的，</w:t>
      </w:r>
      <w:r>
        <w:rPr>
          <w:rFonts w:hint="eastAsia" w:ascii="宋体" w:hAnsi="宋体" w:cs="宋体"/>
          <w:b/>
          <w:bCs/>
          <w:color w:val="auto"/>
          <w:kern w:val="0"/>
          <w:szCs w:val="21"/>
          <w:highlight w:val="none"/>
          <w:lang w:val="en-US" w:eastAsia="zh-CN"/>
        </w:rPr>
        <w:t>每发现一次扣除合同价款的0.3% （上述条款每次扣款金额如低于3000元/次的，则按3000元/次扣除）。</w:t>
      </w:r>
    </w:p>
    <w:p w14:paraId="1FEB4C8A">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6.1.1.3</w:t>
      </w:r>
      <w:r>
        <w:rPr>
          <w:rFonts w:hint="eastAsia" w:ascii="宋体" w:hAnsi="宋体" w:cs="宋体"/>
          <w:b/>
          <w:bCs/>
          <w:color w:val="auto"/>
          <w:kern w:val="0"/>
          <w:szCs w:val="21"/>
          <w:highlight w:val="none"/>
        </w:rPr>
        <w:t>承包方</w:t>
      </w:r>
      <w:r>
        <w:rPr>
          <w:rFonts w:hint="eastAsia" w:ascii="宋体" w:hAnsi="宋体" w:cs="宋体"/>
          <w:b/>
          <w:bCs/>
          <w:color w:val="auto"/>
          <w:kern w:val="0"/>
          <w:szCs w:val="21"/>
          <w:highlight w:val="none"/>
          <w:lang w:val="en-US" w:eastAsia="zh-CN"/>
        </w:rPr>
        <w:t>对</w:t>
      </w:r>
      <w:r>
        <w:rPr>
          <w:rFonts w:hint="eastAsia" w:ascii="宋体" w:hAnsi="宋体" w:cs="宋体"/>
          <w:b/>
          <w:bCs/>
          <w:color w:val="auto"/>
          <w:kern w:val="0"/>
          <w:szCs w:val="21"/>
          <w:highlight w:val="none"/>
        </w:rPr>
        <w:t>安全隐患整改不力，对发包方、监理单位及上级部门提出的安全隐患整改不到位</w:t>
      </w:r>
      <w:r>
        <w:rPr>
          <w:rFonts w:hint="eastAsia" w:ascii="宋体" w:hAnsi="宋体" w:cs="宋体"/>
          <w:b/>
          <w:bCs/>
          <w:color w:val="auto"/>
          <w:kern w:val="0"/>
          <w:szCs w:val="21"/>
          <w:highlight w:val="none"/>
          <w:lang w:eastAsia="zh-CN"/>
        </w:rPr>
        <w:t>的，</w:t>
      </w:r>
      <w:r>
        <w:rPr>
          <w:rFonts w:hint="eastAsia" w:ascii="宋体" w:hAnsi="宋体" w:cs="宋体"/>
          <w:b/>
          <w:bCs/>
          <w:color w:val="auto"/>
          <w:kern w:val="0"/>
          <w:szCs w:val="21"/>
          <w:highlight w:val="none"/>
          <w:lang w:val="en-US" w:eastAsia="zh-CN"/>
        </w:rPr>
        <w:t>每发现一次扣合同价款的0.3%（上述条款每次扣款金额如低于3000元/次的，则按3000元/次扣除）。</w:t>
      </w:r>
    </w:p>
    <w:p w14:paraId="2AD1A8B2">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注：以上（6.1.1.2和6.1.1.3）条款出现累计</w:t>
      </w:r>
      <w:r>
        <w:rPr>
          <w:rFonts w:hint="eastAsia" w:ascii="宋体" w:hAnsi="宋体" w:cs="宋体"/>
          <w:b/>
          <w:bCs/>
          <w:color w:val="auto"/>
          <w:kern w:val="0"/>
          <w:szCs w:val="21"/>
          <w:highlight w:val="none"/>
        </w:rPr>
        <w:t>三次及以上</w:t>
      </w:r>
      <w:r>
        <w:rPr>
          <w:rFonts w:hint="eastAsia" w:ascii="宋体" w:hAnsi="宋体" w:cs="宋体"/>
          <w:b/>
          <w:bCs/>
          <w:color w:val="auto"/>
          <w:kern w:val="0"/>
          <w:szCs w:val="21"/>
          <w:highlight w:val="none"/>
          <w:lang w:val="en-US" w:eastAsia="zh-CN"/>
        </w:rPr>
        <w:t>相同问题或情况的，除执行上述条款约定的扣款外，还须另行扣除合同价款的1% （扣款金额如低于2000元的，则按2000元扣除）。</w:t>
      </w:r>
    </w:p>
    <w:p w14:paraId="55A75AE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6.1.4 关于治安保卫的特别约定：执行通用条款。</w:t>
      </w:r>
    </w:p>
    <w:p w14:paraId="4B1A0A0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6.1.5文明施工应按《宁波市建设工程文明施工管理规定》文件要求执行。</w:t>
      </w:r>
    </w:p>
    <w:p w14:paraId="32925387">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6.1.6 关于安全文明施工费相关约定：</w:t>
      </w:r>
      <w:r>
        <w:rPr>
          <w:rFonts w:hint="eastAsia" w:ascii="宋体" w:hAnsi="宋体" w:cs="宋体"/>
          <w:color w:val="auto"/>
          <w:kern w:val="0"/>
          <w:sz w:val="21"/>
          <w:szCs w:val="21"/>
          <w:highlight w:val="none"/>
          <w:lang w:val="en-US" w:eastAsia="zh-CN"/>
        </w:rPr>
        <w:t>/</w:t>
      </w:r>
      <w:r>
        <w:rPr>
          <w:rFonts w:hint="eastAsia" w:ascii="宋体" w:eastAsia="宋体" w:cs="Times New Roman"/>
          <w:b w:val="0"/>
          <w:bCs w:val="0"/>
          <w:color w:val="auto"/>
          <w:sz w:val="21"/>
          <w:szCs w:val="21"/>
          <w:highlight w:val="none"/>
          <w:lang w:eastAsia="zh-CN"/>
        </w:rPr>
        <w:t>。</w:t>
      </w:r>
    </w:p>
    <w:p w14:paraId="247368AD">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7. 工期和进度</w:t>
      </w:r>
      <w:bookmarkEnd w:id="415"/>
    </w:p>
    <w:p w14:paraId="5098D6C2">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7.1 施工组织设计</w:t>
      </w:r>
    </w:p>
    <w:p w14:paraId="65B59C45">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7.1.1 合同当事人约定的施工组织设计应包括的其他内容：</w:t>
      </w:r>
      <w:r>
        <w:rPr>
          <w:rFonts w:hint="eastAsia" w:ascii="宋体" w:hAnsi="宋体" w:cs="宋体"/>
          <w:color w:val="auto"/>
          <w:kern w:val="0"/>
          <w:sz w:val="21"/>
          <w:szCs w:val="21"/>
          <w:highlight w:val="none"/>
          <w:u w:val="single"/>
        </w:rPr>
        <w:t>各分部分项施工方案与技术措施、工程进度管理体系与措施、工程质量管理体系与措施、安全生产文明施工管理体系与措施、环境保护管理体系与措施等</w:t>
      </w:r>
      <w:r>
        <w:rPr>
          <w:rFonts w:hint="eastAsia" w:ascii="宋体" w:hAnsi="宋体" w:cs="宋体"/>
          <w:color w:val="auto"/>
          <w:kern w:val="0"/>
          <w:sz w:val="21"/>
          <w:szCs w:val="21"/>
          <w:highlight w:val="none"/>
        </w:rPr>
        <w:t>。</w:t>
      </w:r>
    </w:p>
    <w:p w14:paraId="4F9339C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7.1.2 施工组织设计的提交和修改：按通用条款约定执行。</w:t>
      </w:r>
    </w:p>
    <w:p w14:paraId="200DC82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7.2 施工进度计划</w:t>
      </w:r>
    </w:p>
    <w:p w14:paraId="5EF33EB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施工进度计划的编制和修订：按通用条款约定执行。</w:t>
      </w:r>
    </w:p>
    <w:p w14:paraId="0A9DDDC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7.3 开工</w:t>
      </w:r>
    </w:p>
    <w:p w14:paraId="6010D1CD">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7.3.1 开工准备</w:t>
      </w:r>
    </w:p>
    <w:p w14:paraId="49A6D49B">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关于承包人提交工程开工报审表的期限：按第7.1款[施工组织设计]约定的时间。</w:t>
      </w:r>
    </w:p>
    <w:p w14:paraId="1D9AA4F0">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关于发包人应完成的其他开工准备工作及期限：在第7.3.2项[开工通知]载明的开工日期前7天获得开工所需的各项行政审批和许可手续。</w:t>
      </w:r>
    </w:p>
    <w:p w14:paraId="25B590A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关于承包人应完成的其他开工准备工作及期限： 在第7.3.2项[开工通知]载明的开工日期前7天签订材料、工程设备、周转材料等的采购合同，确定劳动力、材料、机械的进场安排。</w:t>
      </w:r>
    </w:p>
    <w:p w14:paraId="00BEC55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7.3.2 开工通知</w:t>
      </w:r>
    </w:p>
    <w:p w14:paraId="5E10FCC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因发包人原因造成监理人未能在通用条款规定的期限内发出开工通知的，承包人有权提出价格调整要求，或者解除合同。</w:t>
      </w:r>
    </w:p>
    <w:p w14:paraId="051547C4">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7.4 测量放线</w:t>
      </w:r>
    </w:p>
    <w:p w14:paraId="2FBB8372">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7.4.1 发包人通过监理人向承包人提供测量基准点、基准线和水准点及其书面资料的期限：不得晚于在第7.3.2项[开工通知]载明的开工日期前7天。</w:t>
      </w:r>
    </w:p>
    <w:p w14:paraId="0D995A3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7.5 工期延误</w:t>
      </w:r>
    </w:p>
    <w:p w14:paraId="6D58515C">
      <w:pPr>
        <w:pStyle w:val="67"/>
        <w:spacing w:before="120" w:line="450" w:lineRule="exact"/>
        <w:ind w:firstLine="401" w:firstLineChars="190"/>
        <w:rPr>
          <w:rFonts w:hint="eastAsia" w:hAnsi="宋体" w:cs="宋体"/>
          <w:b w:val="0"/>
          <w:color w:val="auto"/>
          <w:sz w:val="21"/>
          <w:szCs w:val="21"/>
          <w:highlight w:val="none"/>
        </w:rPr>
      </w:pPr>
      <w:r>
        <w:rPr>
          <w:rFonts w:hint="eastAsia" w:hAnsi="宋体" w:cs="宋体"/>
          <w:color w:val="auto"/>
          <w:sz w:val="21"/>
          <w:szCs w:val="21"/>
          <w:highlight w:val="none"/>
        </w:rPr>
        <w:t xml:space="preserve">7.5.1 </w:t>
      </w:r>
      <w:r>
        <w:rPr>
          <w:rFonts w:hint="eastAsia" w:hAnsi="宋体" w:cs="宋体"/>
          <w:b w:val="0"/>
          <w:color w:val="auto"/>
          <w:sz w:val="21"/>
          <w:szCs w:val="21"/>
          <w:highlight w:val="none"/>
        </w:rPr>
        <w:t>因发包人原因导致工期延误</w:t>
      </w:r>
    </w:p>
    <w:p w14:paraId="217FF7EC">
      <w:pPr>
        <w:pStyle w:val="67"/>
        <w:spacing w:before="120" w:line="450" w:lineRule="exact"/>
        <w:ind w:firstLine="399" w:firstLineChars="190"/>
        <w:rPr>
          <w:rFonts w:hint="eastAsia" w:hAnsi="宋体" w:cs="宋体"/>
          <w:color w:val="auto"/>
          <w:sz w:val="21"/>
          <w:szCs w:val="21"/>
          <w:highlight w:val="none"/>
        </w:rPr>
      </w:pPr>
      <w:r>
        <w:rPr>
          <w:rFonts w:hint="eastAsia" w:hAnsi="宋体" w:cs="宋体"/>
          <w:b w:val="0"/>
          <w:color w:val="auto"/>
          <w:sz w:val="21"/>
          <w:szCs w:val="21"/>
          <w:highlight w:val="none"/>
        </w:rPr>
        <w:t>（7）因发包人原因导致工期延误的其他情形：</w:t>
      </w:r>
      <w:r>
        <w:rPr>
          <w:rFonts w:hint="eastAsia" w:hAnsi="宋体" w:cs="宋体"/>
          <w:b w:val="0"/>
          <w:color w:val="auto"/>
          <w:sz w:val="21"/>
          <w:szCs w:val="21"/>
          <w:highlight w:val="none"/>
          <w:u w:val="single"/>
        </w:rPr>
        <w:t xml:space="preserve">  无  </w:t>
      </w:r>
      <w:r>
        <w:rPr>
          <w:rFonts w:hint="eastAsia" w:hAnsi="宋体" w:cs="宋体"/>
          <w:b w:val="0"/>
          <w:color w:val="auto"/>
          <w:sz w:val="21"/>
          <w:szCs w:val="21"/>
          <w:highlight w:val="none"/>
        </w:rPr>
        <w:t>。</w:t>
      </w:r>
    </w:p>
    <w:p w14:paraId="6E975447">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7.5.2 因承包人原因导致工期延误</w:t>
      </w:r>
    </w:p>
    <w:p w14:paraId="1716CF6A">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因承包人原因造成工期延误，逾期竣工违约金的计算方法根据“投标函附录”承诺确定，为</w:t>
      </w:r>
      <w:r>
        <w:rPr>
          <w:rFonts w:hint="eastAsia" w:ascii="宋体" w:hAnsi="宋体" w:cs="宋体"/>
          <w:color w:val="auto"/>
          <w:kern w:val="0"/>
          <w:sz w:val="21"/>
          <w:szCs w:val="21"/>
          <w:highlight w:val="none"/>
          <w:u w:val="single"/>
          <w:lang w:val="en-US" w:eastAsia="zh-CN"/>
        </w:rPr>
        <w:t>1</w:t>
      </w:r>
      <w:r>
        <w:rPr>
          <w:rFonts w:hint="eastAsia" w:ascii="宋体" w:hAnsi="宋体" w:cs="宋体"/>
          <w:color w:val="auto"/>
          <w:kern w:val="0"/>
          <w:sz w:val="21"/>
          <w:szCs w:val="21"/>
          <w:highlight w:val="none"/>
          <w:u w:val="single"/>
        </w:rPr>
        <w:t>000</w:t>
      </w:r>
      <w:r>
        <w:rPr>
          <w:rFonts w:hint="eastAsia" w:ascii="宋体" w:hAnsi="宋体" w:cs="宋体"/>
          <w:color w:val="auto"/>
          <w:kern w:val="0"/>
          <w:sz w:val="21"/>
          <w:szCs w:val="21"/>
          <w:highlight w:val="none"/>
        </w:rPr>
        <w:t>元/天。</w:t>
      </w:r>
    </w:p>
    <w:p w14:paraId="6BC7D6DC">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因承包人原因造成工期延误，逾期竣工违约金的上限根据“投标函附录”承诺确定，为合同价款的</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2</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w:t>
      </w:r>
    </w:p>
    <w:p w14:paraId="2D7ED288">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7.6 不利物质条件</w:t>
      </w:r>
    </w:p>
    <w:p w14:paraId="0168991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不利物质条件的其他情形和有关约定：地勘资料未设计的地下管道、地雷、岩层等，但不包括气候条件。</w:t>
      </w:r>
    </w:p>
    <w:p w14:paraId="0BC2502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7.7异常恶劣的气候条件</w:t>
      </w:r>
    </w:p>
    <w:p w14:paraId="3DB5213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发包人和承包人同意以下情形视为异常恶劣的气候条件：</w:t>
      </w:r>
    </w:p>
    <w:p w14:paraId="6C722EB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（1）12小时内降雨量达到50mm以上；</w:t>
      </w:r>
    </w:p>
    <w:p w14:paraId="3227665D">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（2）风速达到8级及以上的热带风暴（或台风）；</w:t>
      </w:r>
    </w:p>
    <w:p w14:paraId="319DE6C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（3）日最高气温超过38度或低于零下10度；</w:t>
      </w:r>
    </w:p>
    <w:p w14:paraId="62B2A8D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（4）造成工程损坏的冰雹和12小时内降雪量达到4mm及以上的大雪灾害。</w:t>
      </w:r>
    </w:p>
    <w:p w14:paraId="0C37B62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（5）政府有关部门通知停工的其它恶劣气候条件。</w:t>
      </w:r>
    </w:p>
    <w:p w14:paraId="73192C1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7.9 提前竣工的奖励</w:t>
      </w:r>
    </w:p>
    <w:p w14:paraId="6023B346">
      <w:pPr>
        <w:autoSpaceDE w:val="0"/>
        <w:autoSpaceDN w:val="0"/>
        <w:adjustRightInd w:val="0"/>
        <w:spacing w:line="450" w:lineRule="exact"/>
        <w:ind w:left="630" w:leftChars="200" w:hanging="210" w:hangingChars="1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7.9.2 提前竣工的奖励：根据“投标函附录”承诺，提前竣工奖励为</w:t>
      </w:r>
      <w:r>
        <w:rPr>
          <w:rFonts w:hint="eastAsia" w:ascii="宋体" w:hAnsi="宋体" w:cs="宋体"/>
          <w:color w:val="auto"/>
          <w:kern w:val="0"/>
          <w:sz w:val="21"/>
          <w:szCs w:val="21"/>
          <w:highlight w:val="none"/>
          <w:u w:val="single"/>
        </w:rPr>
        <w:t xml:space="preserve">  0 </w:t>
      </w:r>
      <w:r>
        <w:rPr>
          <w:rFonts w:hint="eastAsia" w:ascii="宋体" w:hAnsi="宋体" w:cs="宋体"/>
          <w:color w:val="auto"/>
          <w:kern w:val="0"/>
          <w:sz w:val="21"/>
          <w:szCs w:val="21"/>
          <w:highlight w:val="none"/>
        </w:rPr>
        <w:t>元/天。</w:t>
      </w:r>
      <w:bookmarkStart w:id="416" w:name="_Toc364853231"/>
    </w:p>
    <w:p w14:paraId="05443D58">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8. 材料与设备</w:t>
      </w:r>
      <w:bookmarkEnd w:id="416"/>
    </w:p>
    <w:p w14:paraId="7D7C091F">
      <w:pPr>
        <w:pStyle w:val="67"/>
        <w:spacing w:before="120" w:line="450" w:lineRule="exact"/>
        <w:ind w:firstLine="310" w:firstLineChars="147"/>
        <w:rPr>
          <w:rFonts w:hint="eastAsia" w:hAnsi="宋体" w:cs="宋体"/>
          <w:color w:val="auto"/>
          <w:sz w:val="21"/>
          <w:szCs w:val="21"/>
          <w:highlight w:val="none"/>
        </w:rPr>
      </w:pPr>
      <w:r>
        <w:rPr>
          <w:rFonts w:hint="eastAsia" w:hAnsi="宋体" w:cs="宋体"/>
          <w:color w:val="auto"/>
          <w:sz w:val="21"/>
          <w:szCs w:val="21"/>
          <w:highlight w:val="none"/>
        </w:rPr>
        <w:t xml:space="preserve"> 8.2承包人采购材料与工程设备</w:t>
      </w:r>
    </w:p>
    <w:p w14:paraId="555C48DE">
      <w:pPr>
        <w:pStyle w:val="67"/>
        <w:spacing w:before="120" w:line="450" w:lineRule="exact"/>
        <w:ind w:firstLine="480"/>
        <w:rPr>
          <w:rFonts w:hint="eastAsia" w:hAnsi="宋体" w:cs="宋体"/>
          <w:b w:val="0"/>
          <w:color w:val="auto"/>
          <w:sz w:val="21"/>
          <w:szCs w:val="21"/>
          <w:highlight w:val="none"/>
        </w:rPr>
      </w:pPr>
      <w:r>
        <w:rPr>
          <w:rFonts w:hint="eastAsia" w:hAnsi="宋体" w:cs="宋体"/>
          <w:b w:val="0"/>
          <w:color w:val="auto"/>
          <w:sz w:val="21"/>
          <w:szCs w:val="21"/>
          <w:highlight w:val="none"/>
        </w:rPr>
        <w:t>承包人负责采购材料、工程设备的，应按照设计和有关标准要求采购，并提供产品合格证明及出厂证明，对材料、工程设备质量负责。</w:t>
      </w:r>
    </w:p>
    <w:p w14:paraId="082C9B70">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8.4材料与工程设备的保管与使用</w:t>
      </w:r>
    </w:p>
    <w:p w14:paraId="60142E13">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8</w:t>
      </w:r>
      <w:bookmarkStart w:id="417" w:name="_Toc292559373"/>
      <w:bookmarkStart w:id="418" w:name="_Toc292559878"/>
      <w:r>
        <w:rPr>
          <w:rFonts w:hint="eastAsia" w:ascii="宋体" w:hAnsi="宋体" w:cs="宋体"/>
          <w:color w:val="auto"/>
          <w:kern w:val="0"/>
          <w:sz w:val="21"/>
          <w:szCs w:val="21"/>
          <w:highlight w:val="none"/>
        </w:rPr>
        <w:t>.4.1保管费用承担：执行通用条款。</w:t>
      </w:r>
      <w:bookmarkEnd w:id="417"/>
      <w:bookmarkEnd w:id="418"/>
    </w:p>
    <w:p w14:paraId="36ADCEA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8.8 施工设备和临时设施</w:t>
      </w:r>
    </w:p>
    <w:p w14:paraId="27219518">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8.8.1 承包人提供的施工设备和临时设施</w:t>
      </w:r>
    </w:p>
    <w:p w14:paraId="73CAF4C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关于修建临时设施费用承担的约定：执行通用条款。</w:t>
      </w:r>
      <w:bookmarkStart w:id="419" w:name="_Toc364853232"/>
    </w:p>
    <w:bookmarkEnd w:id="419"/>
    <w:p w14:paraId="4BC6D68F">
      <w:pPr>
        <w:pStyle w:val="5"/>
        <w:spacing w:line="450" w:lineRule="exact"/>
        <w:rPr>
          <w:rFonts w:hint="eastAsia" w:ascii="宋体" w:hAnsi="宋体" w:cs="宋体"/>
          <w:sz w:val="24"/>
          <w:szCs w:val="24"/>
        </w:rPr>
      </w:pPr>
      <w:bookmarkStart w:id="420" w:name="_Toc364853233"/>
      <w:r>
        <w:rPr>
          <w:rFonts w:hint="eastAsia" w:ascii="宋体" w:hAnsi="宋体" w:cs="宋体"/>
          <w:sz w:val="24"/>
          <w:szCs w:val="24"/>
        </w:rPr>
        <w:t>10. 变更</w:t>
      </w:r>
    </w:p>
    <w:p w14:paraId="5C12BCC3">
      <w:pPr>
        <w:pStyle w:val="67"/>
        <w:spacing w:before="120" w:line="450" w:lineRule="exact"/>
        <w:ind w:firstLine="458" w:firstLineChars="190"/>
        <w:rPr>
          <w:rFonts w:hint="eastAsia" w:hAnsi="宋体" w:cs="宋体"/>
          <w:szCs w:val="24"/>
          <w:highlight w:val="none"/>
        </w:rPr>
      </w:pPr>
      <w:r>
        <w:rPr>
          <w:rFonts w:hint="eastAsia" w:hAnsi="宋体" w:cs="宋体"/>
          <w:szCs w:val="24"/>
          <w:highlight w:val="none"/>
        </w:rPr>
        <w:t>10.1变更的范围</w:t>
      </w:r>
    </w:p>
    <w:p w14:paraId="1E4711CE">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合同双方当事人约定：合同履行过程中发生以下情形时，应按照本条约定进行合同变更。</w:t>
      </w:r>
    </w:p>
    <w:p w14:paraId="59CF0DBC">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1）、法律法规以及政府主管部门的政策性调整；</w:t>
      </w:r>
    </w:p>
    <w:p w14:paraId="1B7B6ADE">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2）、增加或减少合同中任何工作，或追加额外的工作；</w:t>
      </w:r>
    </w:p>
    <w:p w14:paraId="36DA73D1">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3）、取消合同中任何工作，但转由他人实施的工作除外；</w:t>
      </w:r>
    </w:p>
    <w:p w14:paraId="5D8E0526">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4)、改变合同中任何工作的质量标准或其他特性；</w:t>
      </w:r>
    </w:p>
    <w:p w14:paraId="48CAD0C5">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5)、改变工程的基线、标高、位置和尺寸；</w:t>
      </w:r>
    </w:p>
    <w:p w14:paraId="3F89939A">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6)、改变工程的时间安排或实施顺序。</w:t>
      </w:r>
    </w:p>
    <w:p w14:paraId="7B91F0C7">
      <w:pPr>
        <w:pStyle w:val="67"/>
        <w:spacing w:before="120" w:line="450" w:lineRule="exact"/>
        <w:ind w:firstLine="482" w:firstLineChars="200"/>
        <w:rPr>
          <w:rFonts w:hint="eastAsia" w:hAnsi="宋体" w:cs="宋体"/>
          <w:szCs w:val="24"/>
          <w:highlight w:val="none"/>
        </w:rPr>
      </w:pPr>
      <w:r>
        <w:rPr>
          <w:rFonts w:hint="eastAsia" w:hAnsi="宋体" w:cs="宋体"/>
          <w:szCs w:val="24"/>
          <w:highlight w:val="none"/>
        </w:rPr>
        <w:t>10.4 变更估价</w:t>
      </w:r>
    </w:p>
    <w:p w14:paraId="4DAFF30E">
      <w:pPr>
        <w:spacing w:line="450" w:lineRule="exact"/>
        <w:ind w:firstLine="420" w:firstLineChars="200"/>
        <w:rPr>
          <w:rFonts w:hint="eastAsia" w:ascii="宋体" w:hAnsi="宋体" w:cs="宋体"/>
          <w:color w:val="auto"/>
          <w:kern w:val="0"/>
          <w:sz w:val="24"/>
          <w:szCs w:val="24"/>
        </w:rPr>
      </w:pPr>
      <w:r>
        <w:rPr>
          <w:rFonts w:hint="eastAsia" w:ascii="宋体" w:hAnsi="宋体" w:cs="宋体"/>
          <w:color w:val="0000FF"/>
          <w:kern w:val="0"/>
          <w:szCs w:val="21"/>
          <w:highlight w:val="none"/>
        </w:rPr>
        <w:t xml:space="preserve"> </w:t>
      </w:r>
      <w:r>
        <w:rPr>
          <w:rFonts w:hint="eastAsia" w:ascii="宋体" w:hAnsi="宋体" w:cs="宋体"/>
          <w:color w:val="auto"/>
          <w:kern w:val="0"/>
          <w:sz w:val="24"/>
          <w:szCs w:val="24"/>
        </w:rPr>
        <w:t>10.4.1 变更估价原则</w:t>
      </w:r>
    </w:p>
    <w:p w14:paraId="2931CC1E">
      <w:pPr>
        <w:shd w:val="clear"/>
        <w:spacing w:line="450" w:lineRule="exact"/>
        <w:ind w:firstLine="480" w:firstLineChars="200"/>
        <w:rPr>
          <w:rFonts w:ascii="宋体" w:hAnsi="宋体" w:cs="宋体"/>
          <w:color w:val="auto"/>
          <w:szCs w:val="21"/>
          <w:highlight w:val="none"/>
        </w:rPr>
      </w:pPr>
      <w:r>
        <w:rPr>
          <w:rFonts w:hint="eastAsia" w:ascii="宋体" w:hAnsi="宋体"/>
          <w:color w:val="auto"/>
          <w:sz w:val="24"/>
          <w:szCs w:val="22"/>
          <w:highlight w:val="none"/>
        </w:rPr>
        <w:t>10.4.1.</w:t>
      </w:r>
      <w:r>
        <w:rPr>
          <w:rFonts w:hint="eastAsia" w:ascii="宋体" w:hAnsi="宋体"/>
          <w:color w:val="auto"/>
          <w:sz w:val="24"/>
          <w:szCs w:val="22"/>
          <w:highlight w:val="none"/>
          <w:lang w:val="en-US" w:eastAsia="zh-CN"/>
        </w:rPr>
        <w:t>4</w:t>
      </w:r>
      <w:r>
        <w:rPr>
          <w:rFonts w:hint="eastAsia" w:ascii="宋体" w:hAnsi="宋体" w:cs="宋体"/>
          <w:color w:val="auto"/>
          <w:sz w:val="24"/>
          <w:szCs w:val="24"/>
          <w:highlight w:val="none"/>
        </w:rPr>
        <w:t>计价依据：</w:t>
      </w:r>
      <w:r>
        <w:rPr>
          <w:rFonts w:hint="eastAsia" w:ascii="宋体" w:hAnsi="宋体" w:cs="宋体"/>
          <w:color w:val="auto"/>
          <w:kern w:val="0"/>
          <w:sz w:val="24"/>
          <w:szCs w:val="24"/>
          <w:highlight w:val="none"/>
        </w:rPr>
        <w:t xml:space="preserve"> </w:t>
      </w:r>
      <w:r>
        <w:rPr>
          <w:rFonts w:hint="eastAsia" w:ascii="宋体" w:hAnsi="宋体" w:cs="宋体"/>
          <w:color w:val="auto"/>
          <w:kern w:val="0"/>
          <w:szCs w:val="21"/>
          <w:highlight w:val="none"/>
        </w:rPr>
        <w:t xml:space="preserve">                                                                                                                                                                                              </w:t>
      </w:r>
    </w:p>
    <w:p w14:paraId="60D3F428">
      <w:pPr>
        <w:shd w:val="clear"/>
        <w:spacing w:line="450" w:lineRule="exact"/>
        <w:ind w:firstLine="420"/>
        <w:rPr>
          <w:rFonts w:hint="eastAsia" w:ascii="宋体" w:hAnsi="宋体" w:cs="宋体"/>
          <w:color w:val="auto"/>
          <w:kern w:val="0"/>
          <w:szCs w:val="21"/>
          <w:highlight w:val="none"/>
        </w:rPr>
      </w:pPr>
      <w:r>
        <w:rPr>
          <w:rFonts w:hint="eastAsia" w:ascii="宋体" w:hAnsi="宋体" w:cs="宋体"/>
          <w:color w:val="auto"/>
          <w:kern w:val="0"/>
          <w:szCs w:val="21"/>
          <w:highlight w:val="none"/>
        </w:rPr>
        <w:t>一、</w:t>
      </w:r>
      <w:r>
        <w:rPr>
          <w:rFonts w:hint="eastAsia" w:ascii="宋体" w:hAnsi="宋体"/>
          <w:color w:val="auto"/>
          <w:szCs w:val="21"/>
        </w:rPr>
        <w:t>施工图纸等技术资料；工程量：根据施工图纸计算</w:t>
      </w:r>
    </w:p>
    <w:p w14:paraId="46026B96">
      <w:pPr>
        <w:shd w:val="clear"/>
        <w:spacing w:line="45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二、定额采用：</w:t>
      </w:r>
    </w:p>
    <w:p w14:paraId="48D8D371">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1．设计单位提供的《大慈路与公园路交叉口提升工程设计答疑》； </w:t>
      </w:r>
    </w:p>
    <w:p w14:paraId="48E64E4E">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2．《浙江省市政工程预算定额》（2018版）； </w:t>
      </w:r>
    </w:p>
    <w:p w14:paraId="0F289B13">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3．《浙江省房屋建筑与装饰工程预算定额》（2018版）； </w:t>
      </w:r>
    </w:p>
    <w:p w14:paraId="0739AD17">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4．《浙江省通用安装工程预算定额》（2018版）； </w:t>
      </w:r>
    </w:p>
    <w:p w14:paraId="3C1EAAEA">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5．《浙江省建设工程计价规则》（2018版）； </w:t>
      </w:r>
    </w:p>
    <w:p w14:paraId="4AD91D5B">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6．《浙江省施工机械台班费用定额》（2018版）； </w:t>
      </w:r>
    </w:p>
    <w:p w14:paraId="79593BC4">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7．《建筑工程建筑面积计算规范》(GB/T50353-2013版)； </w:t>
      </w:r>
    </w:p>
    <w:p w14:paraId="63CA8D68">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8．《建设工程工程量清单计价规范》（GB50500-2013版）； </w:t>
      </w:r>
    </w:p>
    <w:p w14:paraId="43370FE5">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9．《建筑工程工程量计算规范》（GB50854-2013版）； </w:t>
      </w:r>
    </w:p>
    <w:p w14:paraId="0772D7D6">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10．《通用安装工程工程量计算规范》（GB50856-2013版）； </w:t>
      </w:r>
    </w:p>
    <w:p w14:paraId="73F244DE">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 xml:space="preserve">11．《市政工程工程量计算规范》（GB50857-2013版）； </w:t>
      </w:r>
    </w:p>
    <w:p w14:paraId="0DC0A993">
      <w:pPr>
        <w:shd w:val="clear"/>
        <w:spacing w:line="450" w:lineRule="exact"/>
        <w:ind w:firstLine="420"/>
        <w:rPr>
          <w:rFonts w:hint="eastAsia" w:ascii="宋体" w:hAnsi="宋体" w:cs="Times New Roman"/>
          <w:color w:val="auto"/>
          <w:szCs w:val="21"/>
        </w:rPr>
      </w:pPr>
      <w:r>
        <w:rPr>
          <w:rFonts w:hint="eastAsia" w:ascii="宋体" w:hAnsi="宋体" w:cs="Times New Roman"/>
          <w:color w:val="auto"/>
          <w:szCs w:val="21"/>
          <w:lang w:val="en-US" w:eastAsia="zh-CN"/>
        </w:rPr>
        <w:t>12．省、市造价文件及其他相关造价依据；</w:t>
      </w:r>
    </w:p>
    <w:p w14:paraId="53AB247A">
      <w:pPr>
        <w:shd w:val="clear"/>
        <w:spacing w:line="450" w:lineRule="exact"/>
        <w:ind w:firstLine="420" w:firstLineChars="20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三、人工及材料信息价：</w:t>
      </w:r>
    </w:p>
    <w:p w14:paraId="141F4D75">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1、根据《宁波造价》2025年2月刊计取。。</w:t>
      </w:r>
    </w:p>
    <w:p w14:paraId="78A9311B">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2、根据《宁波造价》2025年2月刊（奉化区），奉化区信息价没有 的按宁波市区信息价计取；《宁波造价》没有的信息价按《浙江造价信息》2025年2 月刊及市场询价，以上价格均为除税价格；税金：采用浙建建发(2019) 92号规定9%计入。</w:t>
      </w:r>
    </w:p>
    <w:p w14:paraId="58BCF3F0">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四、取费标准：</w:t>
      </w:r>
    </w:p>
    <w:p w14:paraId="521C0AA8">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 xml:space="preserve">（1）本工程道路、交安工程按道路、排水、河道护岸、水处理构筑物及城市综合管廊、生活垃圾处理工程取费；交通科技工程按市政安装工程取费。 </w:t>
      </w:r>
    </w:p>
    <w:p w14:paraId="1BEC2CC2">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 xml:space="preserve">（2）施工组织措施费：按相应专业工程中值费率计取，其中安全文明施工费按“市区工程”中值费率计取，根据市建管〔2024〕12 号计取安全生产责任保险费，计取冬雨季施工增加费，不计取提前竣工增加费、二次搬运费、行车、行人干扰增加费及标化工地增加费。 </w:t>
      </w:r>
    </w:p>
    <w:p w14:paraId="20832E9A">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 xml:space="preserve">（3）规费按相应专业工程标准费率的 30%计取，当遇政策性文件时允许调整； </w:t>
      </w:r>
    </w:p>
    <w:p w14:paraId="5E362D04">
      <w:pPr>
        <w:shd w:val="clear"/>
        <w:spacing w:line="450" w:lineRule="exact"/>
        <w:ind w:firstLine="420"/>
        <w:rPr>
          <w:rFonts w:hint="eastAsia" w:ascii="宋体" w:hAnsi="宋体" w:cs="Times New Roman"/>
          <w:color w:val="auto"/>
          <w:szCs w:val="21"/>
          <w:lang w:val="en-US" w:eastAsia="zh-CN"/>
        </w:rPr>
      </w:pPr>
      <w:r>
        <w:rPr>
          <w:rFonts w:hint="eastAsia" w:ascii="宋体" w:hAnsi="宋体" w:cs="Times New Roman"/>
          <w:color w:val="auto"/>
          <w:szCs w:val="21"/>
          <w:lang w:val="en-US" w:eastAsia="zh-CN"/>
        </w:rPr>
        <w:t>（4）税金采用一般计税法计取，执行浙建建发〔2019〕92 号文，税率为 9%。</w:t>
      </w:r>
    </w:p>
    <w:bookmarkEnd w:id="420"/>
    <w:p w14:paraId="5AB2CF71">
      <w:pPr>
        <w:pStyle w:val="5"/>
        <w:spacing w:line="450" w:lineRule="exact"/>
        <w:rPr>
          <w:rFonts w:hint="eastAsia" w:ascii="宋体" w:hAnsi="宋体" w:cs="宋体"/>
          <w:sz w:val="21"/>
          <w:szCs w:val="21"/>
        </w:rPr>
      </w:pPr>
      <w:bookmarkStart w:id="421" w:name="_Toc364853235"/>
      <w:r>
        <w:rPr>
          <w:rFonts w:hint="eastAsia" w:ascii="宋体" w:hAnsi="宋体" w:cs="宋体"/>
          <w:sz w:val="21"/>
          <w:szCs w:val="21"/>
        </w:rPr>
        <w:t>11. 价格调整</w:t>
      </w:r>
    </w:p>
    <w:p w14:paraId="4911AA1A">
      <w:pPr>
        <w:spacing w:line="360" w:lineRule="auto"/>
        <w:ind w:firstLine="422" w:firstLineChars="200"/>
        <w:rPr>
          <w:rFonts w:hint="eastAsia" w:ascii="宋体" w:hAnsi="宋体" w:cs="宋体"/>
          <w:b/>
          <w:sz w:val="21"/>
          <w:szCs w:val="21"/>
        </w:rPr>
      </w:pPr>
      <w:r>
        <w:rPr>
          <w:rFonts w:hint="eastAsia" w:ascii="宋体" w:hAnsi="宋体" w:cs="宋体"/>
          <w:b/>
          <w:sz w:val="21"/>
          <w:szCs w:val="21"/>
        </w:rPr>
        <w:t>11.1 市场价格波动引起的调整</w:t>
      </w:r>
    </w:p>
    <w:p w14:paraId="53DA830F">
      <w:pPr>
        <w:pStyle w:val="67"/>
        <w:spacing w:line="360" w:lineRule="auto"/>
        <w:ind w:firstLine="401" w:firstLineChars="190"/>
        <w:rPr>
          <w:rFonts w:hint="eastAsia" w:hAnsi="宋体" w:cs="宋体"/>
          <w:sz w:val="21"/>
          <w:szCs w:val="21"/>
        </w:rPr>
      </w:pPr>
      <w:r>
        <w:rPr>
          <w:rFonts w:hint="eastAsia" w:hAnsi="宋体" w:cs="宋体"/>
          <w:sz w:val="21"/>
          <w:szCs w:val="21"/>
        </w:rPr>
        <w:t>11.1.1 合同当事人约定：实际施工期内不作调整。</w:t>
      </w:r>
    </w:p>
    <w:p w14:paraId="41EB2284">
      <w:pPr>
        <w:pStyle w:val="67"/>
        <w:spacing w:before="120" w:line="450" w:lineRule="exact"/>
        <w:ind w:firstLine="401" w:firstLineChars="190"/>
        <w:rPr>
          <w:rFonts w:hint="eastAsia" w:hAnsi="宋体" w:cs="宋体"/>
          <w:sz w:val="21"/>
          <w:szCs w:val="21"/>
        </w:rPr>
      </w:pPr>
      <w:r>
        <w:rPr>
          <w:rFonts w:hint="eastAsia" w:hAnsi="宋体" w:cs="宋体"/>
          <w:sz w:val="21"/>
          <w:szCs w:val="21"/>
        </w:rPr>
        <w:t>11.2 法律变化引起的调整</w:t>
      </w:r>
    </w:p>
    <w:p w14:paraId="1989F1B0">
      <w:pPr>
        <w:spacing w:line="450" w:lineRule="exact"/>
        <w:ind w:firstLine="420" w:firstLineChars="200"/>
        <w:rPr>
          <w:rFonts w:hint="eastAsia" w:ascii="宋体" w:hAnsi="宋体" w:cs="宋体"/>
          <w:sz w:val="21"/>
          <w:szCs w:val="21"/>
        </w:rPr>
      </w:pPr>
      <w:bookmarkStart w:id="422" w:name="_Toc364853234"/>
      <w:r>
        <w:rPr>
          <w:rFonts w:hint="eastAsia" w:ascii="宋体" w:hAnsi="宋体" w:cs="宋体"/>
          <w:sz w:val="21"/>
          <w:szCs w:val="21"/>
        </w:rPr>
        <w:t>合同当事人关于本条的补充约定：</w:t>
      </w:r>
    </w:p>
    <w:p w14:paraId="48277765">
      <w:pPr>
        <w:spacing w:line="450" w:lineRule="exact"/>
        <w:ind w:firstLine="420" w:firstLineChars="200"/>
        <w:rPr>
          <w:rFonts w:hint="eastAsia" w:ascii="宋体" w:hAnsi="宋体" w:cs="宋体"/>
          <w:sz w:val="21"/>
          <w:szCs w:val="21"/>
        </w:rPr>
      </w:pPr>
      <w:r>
        <w:rPr>
          <w:rFonts w:hint="eastAsia" w:ascii="宋体" w:hAnsi="宋体" w:cs="宋体"/>
          <w:sz w:val="21"/>
          <w:szCs w:val="21"/>
        </w:rPr>
        <w:t>（1）本条所称的法律包括法律、法规、规章及规范性文件。</w:t>
      </w:r>
    </w:p>
    <w:p w14:paraId="1333F75A">
      <w:pPr>
        <w:spacing w:line="450" w:lineRule="exact"/>
        <w:ind w:firstLine="420" w:firstLineChars="200"/>
        <w:rPr>
          <w:rFonts w:hint="eastAsia" w:ascii="宋体" w:hAnsi="宋体" w:cs="宋体"/>
          <w:sz w:val="21"/>
          <w:szCs w:val="21"/>
        </w:rPr>
      </w:pPr>
      <w:r>
        <w:rPr>
          <w:rFonts w:hint="eastAsia" w:ascii="宋体" w:hAnsi="宋体" w:cs="宋体"/>
          <w:sz w:val="21"/>
          <w:szCs w:val="21"/>
        </w:rPr>
        <w:t>（2）国有投资项目应按本省建设行政主管部门或其授权工程造价管理机构发布的规定调整合同价款。</w:t>
      </w:r>
    </w:p>
    <w:p w14:paraId="69620677">
      <w:pPr>
        <w:pStyle w:val="5"/>
        <w:spacing w:line="450" w:lineRule="exact"/>
        <w:rPr>
          <w:rFonts w:hint="eastAsia" w:ascii="宋体" w:hAnsi="宋体" w:cs="宋体"/>
          <w:sz w:val="21"/>
          <w:szCs w:val="21"/>
        </w:rPr>
      </w:pPr>
      <w:r>
        <w:rPr>
          <w:rFonts w:hint="eastAsia" w:ascii="宋体" w:hAnsi="宋体" w:cs="宋体"/>
          <w:sz w:val="21"/>
          <w:szCs w:val="21"/>
        </w:rPr>
        <w:t>12. 合同价格、计量与支付</w:t>
      </w:r>
      <w:bookmarkEnd w:id="422"/>
    </w:p>
    <w:p w14:paraId="388E3E3A">
      <w:pPr>
        <w:pStyle w:val="67"/>
        <w:spacing w:before="120" w:line="450" w:lineRule="exact"/>
        <w:ind w:firstLine="401" w:firstLineChars="190"/>
        <w:rPr>
          <w:rFonts w:hint="eastAsia" w:hAnsi="宋体" w:cs="宋体"/>
          <w:sz w:val="21"/>
          <w:szCs w:val="21"/>
        </w:rPr>
      </w:pPr>
      <w:bookmarkStart w:id="423" w:name="_Toc292559411"/>
      <w:bookmarkStart w:id="424" w:name="_Toc267251461"/>
      <w:bookmarkStart w:id="425" w:name="_Toc292559916"/>
      <w:bookmarkStart w:id="426" w:name="_Toc296891034"/>
      <w:bookmarkStart w:id="427" w:name="_Toc296503206"/>
      <w:bookmarkStart w:id="428" w:name="_Toc296891246"/>
      <w:bookmarkStart w:id="429" w:name="_Toc297120506"/>
      <w:bookmarkStart w:id="430" w:name="_Toc296347205"/>
      <w:bookmarkStart w:id="431" w:name="_Toc297048392"/>
      <w:bookmarkStart w:id="432" w:name="_Toc296346707"/>
      <w:bookmarkStart w:id="433" w:name="_Toc296944545"/>
      <w:bookmarkStart w:id="434" w:name="_Toc303539160"/>
      <w:bookmarkStart w:id="435" w:name="_Toc297216212"/>
      <w:bookmarkStart w:id="436" w:name="_Toc304295580"/>
      <w:bookmarkStart w:id="437" w:name="_Toc312678041"/>
      <w:bookmarkStart w:id="438" w:name="_Toc297123553"/>
      <w:bookmarkStart w:id="439" w:name="_Toc300935003"/>
      <w:r>
        <w:rPr>
          <w:rFonts w:hint="eastAsia" w:hAnsi="宋体" w:cs="宋体"/>
          <w:sz w:val="21"/>
          <w:szCs w:val="21"/>
        </w:rPr>
        <w:t>12.1 合</w:t>
      </w:r>
      <w:bookmarkEnd w:id="423"/>
      <w:bookmarkEnd w:id="424"/>
      <w:bookmarkEnd w:id="425"/>
      <w:r>
        <w:rPr>
          <w:rFonts w:hint="eastAsia" w:hAnsi="宋体" w:cs="宋体"/>
          <w:sz w:val="21"/>
          <w:szCs w:val="21"/>
        </w:rPr>
        <w:t>同价</w:t>
      </w:r>
      <w:bookmarkEnd w:id="426"/>
      <w:bookmarkEnd w:id="427"/>
      <w:bookmarkEnd w:id="428"/>
      <w:bookmarkEnd w:id="429"/>
      <w:bookmarkEnd w:id="430"/>
      <w:bookmarkEnd w:id="431"/>
      <w:bookmarkEnd w:id="432"/>
      <w:bookmarkEnd w:id="433"/>
      <w:r>
        <w:rPr>
          <w:rFonts w:hint="eastAsia" w:hAnsi="宋体" w:cs="宋体"/>
          <w:sz w:val="21"/>
          <w:szCs w:val="21"/>
        </w:rPr>
        <w:t>格形式</w:t>
      </w:r>
    </w:p>
    <w:bookmarkEnd w:id="434"/>
    <w:bookmarkEnd w:id="435"/>
    <w:bookmarkEnd w:id="436"/>
    <w:bookmarkEnd w:id="437"/>
    <w:bookmarkEnd w:id="438"/>
    <w:bookmarkEnd w:id="439"/>
    <w:p w14:paraId="5816538C">
      <w:pPr>
        <w:spacing w:line="360" w:lineRule="auto"/>
        <w:ind w:firstLine="422" w:firstLineChars="200"/>
        <w:rPr>
          <w:rFonts w:hint="eastAsia" w:ascii="宋体" w:hAnsi="宋体" w:cs="宋体"/>
          <w:b/>
          <w:kern w:val="0"/>
          <w:sz w:val="21"/>
          <w:szCs w:val="21"/>
        </w:rPr>
      </w:pPr>
      <w:r>
        <w:rPr>
          <w:rFonts w:hint="eastAsia" w:ascii="宋体" w:hAnsi="宋体" w:cs="宋体"/>
          <w:b/>
          <w:kern w:val="0"/>
          <w:sz w:val="21"/>
          <w:szCs w:val="21"/>
        </w:rPr>
        <w:t>本合同采用合同当事人签订的合同协议书中约定的价格形式，即：</w:t>
      </w:r>
      <w:r>
        <w:rPr>
          <w:rFonts w:hint="eastAsia" w:ascii="宋体" w:hAnsi="宋体" w:cs="宋体"/>
          <w:b/>
          <w:kern w:val="0"/>
          <w:sz w:val="21"/>
          <w:szCs w:val="21"/>
          <w:u w:val="single"/>
        </w:rPr>
        <w:t>单价合同</w:t>
      </w:r>
      <w:r>
        <w:rPr>
          <w:rFonts w:hint="eastAsia" w:ascii="宋体" w:hAnsi="宋体" w:cs="宋体"/>
          <w:b/>
          <w:kern w:val="0"/>
          <w:sz w:val="21"/>
          <w:szCs w:val="21"/>
        </w:rPr>
        <w:t>。</w:t>
      </w:r>
    </w:p>
    <w:p w14:paraId="0ADEB66C">
      <w:pPr>
        <w:spacing w:line="360" w:lineRule="auto"/>
        <w:ind w:firstLine="422" w:firstLineChars="200"/>
        <w:rPr>
          <w:rFonts w:hint="eastAsia" w:ascii="宋体" w:hAnsi="宋体" w:cs="宋体"/>
          <w:b/>
          <w:kern w:val="0"/>
          <w:sz w:val="21"/>
          <w:szCs w:val="21"/>
        </w:rPr>
      </w:pPr>
      <w:r>
        <w:rPr>
          <w:rFonts w:hint="eastAsia" w:ascii="宋体" w:hAnsi="宋体" w:cs="宋体"/>
          <w:b/>
          <w:kern w:val="0"/>
          <w:sz w:val="21"/>
          <w:szCs w:val="21"/>
        </w:rPr>
        <w:t>结算子项单价的确定：以发包人确定的工程预算书中相应子项综合单价结合成交下浮率确定。</w:t>
      </w:r>
    </w:p>
    <w:p w14:paraId="7D9178C6">
      <w:pPr>
        <w:spacing w:line="450" w:lineRule="exact"/>
        <w:ind w:firstLine="422" w:firstLineChars="200"/>
        <w:rPr>
          <w:rFonts w:hint="eastAsia" w:hAnsi="宋体" w:cs="宋体"/>
          <w:sz w:val="21"/>
          <w:szCs w:val="21"/>
        </w:rPr>
      </w:pPr>
      <w:r>
        <w:rPr>
          <w:rFonts w:hint="eastAsia" w:ascii="宋体" w:hAnsi="宋体" w:cs="宋体"/>
          <w:b/>
          <w:kern w:val="0"/>
          <w:sz w:val="21"/>
          <w:szCs w:val="21"/>
        </w:rPr>
        <w:t>工程量按实际工程量计算。</w:t>
      </w:r>
      <w:r>
        <w:rPr>
          <w:rFonts w:hint="eastAsia" w:ascii="宋体" w:hAnsi="宋体" w:cs="宋体"/>
          <w:kern w:val="0"/>
          <w:sz w:val="21"/>
          <w:szCs w:val="21"/>
        </w:rPr>
        <w:t xml:space="preserve">  </w:t>
      </w:r>
      <w:r>
        <w:rPr>
          <w:rFonts w:hint="eastAsia" w:hAnsi="宋体" w:cs="宋体"/>
          <w:sz w:val="21"/>
          <w:szCs w:val="21"/>
        </w:rPr>
        <w:t xml:space="preserve">  </w:t>
      </w:r>
    </w:p>
    <w:p w14:paraId="3188934F">
      <w:pPr>
        <w:pStyle w:val="67"/>
        <w:spacing w:before="120" w:line="450" w:lineRule="exact"/>
        <w:ind w:firstLine="401" w:firstLineChars="190"/>
        <w:rPr>
          <w:rFonts w:hint="eastAsia" w:hAnsi="宋体" w:cs="宋体"/>
          <w:sz w:val="21"/>
          <w:szCs w:val="21"/>
          <w:highlight w:val="none"/>
        </w:rPr>
      </w:pPr>
      <w:r>
        <w:rPr>
          <w:rFonts w:hint="eastAsia" w:hAnsi="宋体" w:cs="宋体"/>
          <w:sz w:val="21"/>
          <w:szCs w:val="21"/>
          <w:highlight w:val="none"/>
        </w:rPr>
        <w:t>12.2 预付款</w:t>
      </w:r>
    </w:p>
    <w:p w14:paraId="0D03EFC3">
      <w:pPr>
        <w:pStyle w:val="68"/>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 xml:space="preserve">12.2.1 </w:t>
      </w:r>
      <w:bookmarkStart w:id="440" w:name="OLE_LINK22"/>
      <w:r>
        <w:rPr>
          <w:rFonts w:hint="eastAsia" w:hAnsi="宋体" w:cs="仿宋"/>
          <w:sz w:val="24"/>
        </w:rPr>
        <w:t>签约合同价的</w:t>
      </w:r>
      <w:r>
        <w:rPr>
          <w:rFonts w:hint="eastAsia" w:hAnsi="宋体" w:eastAsia="宋体" w:cs="仿宋"/>
          <w:sz w:val="24"/>
          <w:lang w:val="en-US" w:eastAsia="zh-CN"/>
        </w:rPr>
        <w:t>3</w:t>
      </w:r>
      <w:r>
        <w:rPr>
          <w:rFonts w:hint="eastAsia" w:hAnsi="宋体" w:cs="仿宋"/>
          <w:sz w:val="24"/>
        </w:rPr>
        <w:t>0%</w:t>
      </w:r>
      <w:bookmarkEnd w:id="440"/>
    </w:p>
    <w:p w14:paraId="638C6709">
      <w:pPr>
        <w:pStyle w:val="67"/>
        <w:spacing w:before="120" w:line="450" w:lineRule="exact"/>
        <w:ind w:firstLine="310" w:firstLineChars="147"/>
        <w:rPr>
          <w:rFonts w:hint="eastAsia" w:hAnsi="宋体" w:cs="宋体"/>
          <w:sz w:val="21"/>
          <w:szCs w:val="21"/>
        </w:rPr>
      </w:pPr>
      <w:r>
        <w:rPr>
          <w:rFonts w:hint="eastAsia" w:hAnsi="宋体" w:cs="宋体"/>
          <w:sz w:val="21"/>
          <w:szCs w:val="21"/>
        </w:rPr>
        <w:t>12.3 计量</w:t>
      </w:r>
    </w:p>
    <w:p w14:paraId="19155B21">
      <w:pPr>
        <w:pStyle w:val="12"/>
        <w:spacing w:line="450" w:lineRule="exact"/>
        <w:ind w:firstLine="420" w:firstLineChars="200"/>
        <w:rPr>
          <w:rFonts w:hint="eastAsia" w:hAnsi="宋体" w:cs="宋体"/>
          <w:sz w:val="21"/>
          <w:szCs w:val="21"/>
        </w:rPr>
      </w:pPr>
      <w:r>
        <w:rPr>
          <w:rFonts w:hint="eastAsia" w:hAnsi="宋体" w:cs="宋体"/>
          <w:sz w:val="21"/>
          <w:szCs w:val="21"/>
        </w:rPr>
        <w:t>关于工程量计算原则约定：按现行的工程量计算规则执行。</w:t>
      </w:r>
    </w:p>
    <w:p w14:paraId="2E0CA745">
      <w:pPr>
        <w:pStyle w:val="12"/>
        <w:spacing w:line="450" w:lineRule="exact"/>
        <w:ind w:firstLine="420" w:firstLineChars="200"/>
        <w:rPr>
          <w:rFonts w:hint="eastAsia" w:hAnsi="宋体" w:cs="宋体"/>
          <w:sz w:val="21"/>
          <w:szCs w:val="21"/>
        </w:rPr>
      </w:pPr>
      <w:r>
        <w:rPr>
          <w:rFonts w:hint="eastAsia" w:hAnsi="宋体" w:cs="宋体"/>
          <w:sz w:val="21"/>
          <w:szCs w:val="21"/>
        </w:rPr>
        <w:t>关于计量周期及本合同计量方式和程序的约定：执行通用条款。</w:t>
      </w:r>
    </w:p>
    <w:p w14:paraId="6EF8453A">
      <w:pPr>
        <w:pStyle w:val="67"/>
        <w:spacing w:before="120" w:line="450" w:lineRule="exact"/>
        <w:ind w:firstLine="401" w:firstLineChars="190"/>
        <w:rPr>
          <w:rFonts w:hint="eastAsia" w:hAnsi="宋体" w:cs="宋体"/>
          <w:sz w:val="21"/>
          <w:szCs w:val="21"/>
        </w:rPr>
      </w:pPr>
      <w:r>
        <w:rPr>
          <w:rFonts w:hint="eastAsia" w:hAnsi="宋体" w:cs="宋体"/>
          <w:sz w:val="21"/>
          <w:szCs w:val="21"/>
        </w:rPr>
        <w:t>12.4 工程进度款支付</w:t>
      </w:r>
    </w:p>
    <w:p w14:paraId="55628A00">
      <w:pPr>
        <w:spacing w:line="360" w:lineRule="auto"/>
        <w:ind w:firstLine="480" w:firstLineChars="200"/>
        <w:rPr>
          <w:rFonts w:hint="eastAsia" w:ascii="宋体" w:hAnsi="宋体" w:cs="仿宋"/>
          <w:b/>
          <w:bCs/>
          <w:kern w:val="0"/>
          <w:sz w:val="24"/>
          <w:u w:val="single"/>
        </w:rPr>
      </w:pPr>
      <w:bookmarkStart w:id="441" w:name="OLE_LINK20"/>
      <w:bookmarkStart w:id="442" w:name="OLE_LINK21"/>
      <w:r>
        <w:rPr>
          <w:rFonts w:hint="eastAsia" w:ascii="宋体" w:hAnsi="宋体" w:cs="宋体"/>
          <w:sz w:val="24"/>
        </w:rPr>
        <w:t>关于付款周期、进度款支付程序和方法的约定：</w:t>
      </w:r>
      <w:r>
        <w:rPr>
          <w:rFonts w:hint="eastAsia" w:ascii="宋体" w:hAnsi="宋体" w:cs="仿宋"/>
          <w:kern w:val="0"/>
          <w:sz w:val="24"/>
        </w:rPr>
        <w:t>合同签订后15个工作日内支付签约合同价的30%,项目交工验收通过后15个工作日内支付至实际完成工程总造价的80%,工程结算经发包人委托的造价咨询机构审核完成后支付至审核价款的 95%，余款待相关部门复审完成或备案后扣除工程质量保证金外一次性付清。（若工程质量担保以非保证金形式提供的，则余款全额拨付，扣除所有违约金及罚款）</w:t>
      </w:r>
    </w:p>
    <w:bookmarkEnd w:id="441"/>
    <w:bookmarkEnd w:id="442"/>
    <w:p w14:paraId="09F3B631">
      <w:pPr>
        <w:snapToGrid w:val="0"/>
        <w:spacing w:line="450" w:lineRule="exact"/>
        <w:ind w:firstLine="420"/>
        <w:rPr>
          <w:rFonts w:hint="eastAsia" w:ascii="宋体" w:hAnsi="宋体" w:cs="宋体"/>
          <w:b/>
          <w:color w:val="auto"/>
          <w:sz w:val="21"/>
          <w:szCs w:val="21"/>
          <w:highlight w:val="none"/>
        </w:rPr>
      </w:pPr>
      <w:r>
        <w:rPr>
          <w:rFonts w:hint="eastAsia" w:ascii="宋体" w:hAnsi="宋体" w:cs="宋体"/>
          <w:b/>
          <w:color w:val="auto"/>
          <w:sz w:val="21"/>
          <w:szCs w:val="21"/>
          <w:highlight w:val="none"/>
        </w:rPr>
        <w:t>1</w:t>
      </w:r>
      <w:r>
        <w:rPr>
          <w:rFonts w:hint="eastAsia" w:ascii="宋体" w:hAnsi="宋体" w:cs="宋体"/>
          <w:b/>
          <w:color w:val="auto"/>
          <w:sz w:val="21"/>
          <w:szCs w:val="21"/>
          <w:highlight w:val="none"/>
          <w:lang w:val="en-US" w:eastAsia="zh-CN"/>
        </w:rPr>
        <w:t>3.</w:t>
      </w:r>
      <w:r>
        <w:rPr>
          <w:rFonts w:hint="eastAsia" w:ascii="宋体" w:hAnsi="宋体" w:cs="宋体"/>
          <w:b/>
          <w:color w:val="auto"/>
          <w:sz w:val="21"/>
          <w:szCs w:val="21"/>
          <w:highlight w:val="none"/>
        </w:rPr>
        <w:t xml:space="preserve"> 验收和工程试车</w:t>
      </w:r>
      <w:bookmarkEnd w:id="421"/>
    </w:p>
    <w:p w14:paraId="45650E94">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.1 分部分项工程验收</w:t>
      </w:r>
    </w:p>
    <w:p w14:paraId="29F8EDAE">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.1.2 监理人不能按时进行验收时，应提前</w:t>
      </w:r>
      <w:r>
        <w:rPr>
          <w:rFonts w:hint="eastAsia" w:ascii="宋体" w:hAnsi="宋体" w:cs="宋体"/>
          <w:color w:val="auto"/>
          <w:sz w:val="21"/>
          <w:szCs w:val="21"/>
          <w:highlight w:val="none"/>
          <w:u w:val="single"/>
        </w:rPr>
        <w:t xml:space="preserve"> 24 </w:t>
      </w:r>
      <w:r>
        <w:rPr>
          <w:rFonts w:hint="eastAsia" w:ascii="宋体" w:hAnsi="宋体" w:cs="宋体"/>
          <w:color w:val="auto"/>
          <w:sz w:val="21"/>
          <w:szCs w:val="21"/>
          <w:highlight w:val="none"/>
        </w:rPr>
        <w:t>小时提交书面延期要求，但延期不能超过48小时。</w:t>
      </w:r>
    </w:p>
    <w:p w14:paraId="6B70E0C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.2 竣工验收</w:t>
      </w:r>
    </w:p>
    <w:p w14:paraId="287C03FD">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13</w:t>
      </w:r>
      <w:r>
        <w:rPr>
          <w:rFonts w:hint="eastAsia" w:ascii="宋体" w:hAnsi="宋体" w:cs="宋体"/>
          <w:color w:val="auto"/>
          <w:sz w:val="21"/>
          <w:szCs w:val="21"/>
          <w:highlight w:val="none"/>
        </w:rPr>
        <w:t>.2.2 竣工验收程序</w:t>
      </w:r>
    </w:p>
    <w:p w14:paraId="52248A08">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关于竣工验收程序的约定：执行通用条款。</w:t>
      </w:r>
    </w:p>
    <w:p w14:paraId="46814FD5">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发包人不按照本项约定组织竣工验收、颁发工程接收证书的违约金的计算方法：执行通用条款。</w:t>
      </w:r>
    </w:p>
    <w:p w14:paraId="3DD1FAC5">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.2.5　移交、接收全部与部分工程</w:t>
      </w:r>
    </w:p>
    <w:p w14:paraId="2F79B851">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承包人向发包人移交工程的期限：在颁发工程接收证书后</w:t>
      </w:r>
      <w:r>
        <w:rPr>
          <w:rFonts w:hint="eastAsia" w:ascii="宋体" w:hAnsi="宋体" w:cs="宋体"/>
          <w:color w:val="auto"/>
          <w:sz w:val="21"/>
          <w:szCs w:val="21"/>
          <w:highlight w:val="none"/>
          <w:u w:val="single"/>
        </w:rPr>
        <w:t xml:space="preserve">7 </w:t>
      </w:r>
      <w:r>
        <w:rPr>
          <w:rFonts w:hint="eastAsia" w:ascii="宋体" w:hAnsi="宋体" w:cs="宋体"/>
          <w:color w:val="auto"/>
          <w:sz w:val="21"/>
          <w:szCs w:val="21"/>
          <w:highlight w:val="none"/>
        </w:rPr>
        <w:t>天内完成工程的移交。</w:t>
      </w:r>
    </w:p>
    <w:p w14:paraId="7C7000DF">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发包人无正当理由未按本合同约定接收全部或部分工程的，除承担自应接收工程</w:t>
      </w:r>
      <w:r>
        <w:rPr>
          <w:rFonts w:hint="eastAsia" w:ascii="宋体" w:hAnsi="宋体" w:cs="宋体"/>
          <w:color w:val="auto"/>
          <w:sz w:val="21"/>
          <w:szCs w:val="21"/>
          <w:highlight w:val="none"/>
        </w:rPr>
        <w:t>之日起的工程照管、成本保护、保管等与工程有关的各项费用外，应当按本专用条款约定的</w:t>
      </w:r>
      <w:r>
        <w:rPr>
          <w:rFonts w:hint="eastAsia" w:ascii="宋体" w:hAnsi="宋体" w:cs="宋体"/>
          <w:color w:val="auto"/>
          <w:kern w:val="0"/>
          <w:sz w:val="21"/>
          <w:szCs w:val="21"/>
          <w:highlight w:val="none"/>
        </w:rPr>
        <w:t>提前竣工奖励的5倍标准</w:t>
      </w:r>
      <w:r>
        <w:rPr>
          <w:rFonts w:hint="eastAsia" w:ascii="宋体" w:hAnsi="宋体" w:cs="宋体"/>
          <w:color w:val="auto"/>
          <w:sz w:val="21"/>
          <w:szCs w:val="21"/>
          <w:highlight w:val="none"/>
        </w:rPr>
        <w:t>向承包人支付逾期接收工程的违约金。</w:t>
      </w:r>
    </w:p>
    <w:p w14:paraId="4A0801BB">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承包人无正当理由未按时移交工程的，除承担自应接收工程之日起的工程照管、成本保护、保管等与工程有关的各项费用外，应当按本合同约定的工期延误赔偿标准的5倍向发</w:t>
      </w:r>
      <w:r>
        <w:rPr>
          <w:rFonts w:hint="eastAsia" w:ascii="宋体" w:hAnsi="宋体" w:cs="宋体"/>
          <w:color w:val="auto"/>
          <w:sz w:val="21"/>
          <w:szCs w:val="21"/>
          <w:highlight w:val="none"/>
        </w:rPr>
        <w:t>包人支付逾期移交工程的违约金。</w:t>
      </w:r>
    </w:p>
    <w:p w14:paraId="228FEE8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.3 工程试车</w:t>
      </w:r>
    </w:p>
    <w:p w14:paraId="7161BB9F">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.3.1 关于试车程序及费用的约定：执行通用条款。</w:t>
      </w:r>
    </w:p>
    <w:p w14:paraId="41679FD3">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13</w:t>
      </w:r>
      <w:r>
        <w:rPr>
          <w:rFonts w:hint="eastAsia" w:ascii="宋体" w:hAnsi="宋体" w:cs="宋体"/>
          <w:color w:val="auto"/>
          <w:sz w:val="21"/>
          <w:szCs w:val="21"/>
          <w:highlight w:val="none"/>
        </w:rPr>
        <w:t>.3.3　关于投料试车相关事项的约定：执行通用条款。</w:t>
      </w:r>
    </w:p>
    <w:p w14:paraId="5C1C922E">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w:t>
      </w:r>
      <w:r>
        <w:rPr>
          <w:rFonts w:hint="eastAsia" w:hAnsi="宋体" w:cs="宋体"/>
          <w:color w:val="auto"/>
          <w:sz w:val="21"/>
          <w:szCs w:val="21"/>
          <w:highlight w:val="none"/>
          <w:lang w:val="en-US" w:eastAsia="zh-CN"/>
        </w:rPr>
        <w:t>6</w:t>
      </w:r>
      <w:r>
        <w:rPr>
          <w:rFonts w:hint="eastAsia" w:hAnsi="宋体" w:cs="宋体"/>
          <w:color w:val="auto"/>
          <w:sz w:val="21"/>
          <w:szCs w:val="21"/>
          <w:highlight w:val="none"/>
        </w:rPr>
        <w:t xml:space="preserve"> 竣工退场</w:t>
      </w:r>
    </w:p>
    <w:p w14:paraId="1CDE2390">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 竣工退场</w:t>
      </w:r>
    </w:p>
    <w:p w14:paraId="689D9EBD">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承包人应当在发包人颁发工程接收证书后</w:t>
      </w:r>
      <w:r>
        <w:rPr>
          <w:rFonts w:hint="eastAsia" w:ascii="宋体" w:hAnsi="宋体" w:cs="宋体"/>
          <w:color w:val="auto"/>
          <w:sz w:val="21"/>
          <w:szCs w:val="21"/>
          <w:highlight w:val="none"/>
          <w:u w:val="single"/>
        </w:rPr>
        <w:t xml:space="preserve">  14</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内完成竣工退场，逾期未完成的，按通用条款执行。</w:t>
      </w:r>
    </w:p>
    <w:p w14:paraId="03316CDE">
      <w:pPr>
        <w:pStyle w:val="5"/>
        <w:spacing w:line="450" w:lineRule="exact"/>
        <w:rPr>
          <w:rFonts w:hint="eastAsia" w:ascii="宋体" w:hAnsi="宋体" w:cs="宋体"/>
          <w:color w:val="auto"/>
          <w:sz w:val="21"/>
          <w:szCs w:val="21"/>
          <w:highlight w:val="none"/>
        </w:rPr>
      </w:pPr>
      <w:bookmarkStart w:id="443" w:name="_Toc364853236"/>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 xml:space="preserve"> 竣工结算</w:t>
      </w:r>
      <w:bookmarkEnd w:id="443"/>
    </w:p>
    <w:p w14:paraId="35024F00">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14</w:t>
      </w:r>
      <w:r>
        <w:rPr>
          <w:rFonts w:hint="eastAsia" w:hAnsi="宋体" w:cs="宋体"/>
          <w:color w:val="auto"/>
          <w:sz w:val="21"/>
          <w:szCs w:val="21"/>
          <w:highlight w:val="none"/>
        </w:rPr>
        <w:t>.1 竣工结算申请</w:t>
      </w:r>
    </w:p>
    <w:p w14:paraId="5EA2FBFE">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承包人应当在工程竣工验收合格后</w:t>
      </w:r>
      <w:r>
        <w:rPr>
          <w:rFonts w:hint="eastAsia" w:ascii="宋体" w:hAnsi="宋体" w:cs="宋体"/>
          <w:color w:val="auto"/>
          <w:sz w:val="21"/>
          <w:szCs w:val="21"/>
          <w:highlight w:val="none"/>
          <w:u w:val="single"/>
        </w:rPr>
        <w:t>　28　</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内向发包人或其委托的工程造价咨询人提交竣工结算申请单及其完整的结算资料3份。</w:t>
      </w:r>
    </w:p>
    <w:p w14:paraId="77461A8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或其委托的工程造价咨询人对竣工结算申请单有异议或者结算资料不符合要求的，有权要求承包进行修正和提供补充资料，但应当出具书面的意见。承包人应当按照发包人或其委托的工程造价咨询人出具的书面意见提交修正后的竣工结算申请单或结算资料，竣工结算申请的时间从提交修正后的竣工结算申请单或结算资料起计算。</w:t>
      </w:r>
    </w:p>
    <w:p w14:paraId="376953CB">
      <w:pPr>
        <w:autoSpaceDE w:val="0"/>
        <w:autoSpaceDN w:val="0"/>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竣工结算申请单应包括的内容：按通用条款执行。</w:t>
      </w:r>
    </w:p>
    <w:p w14:paraId="2B3E976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.2 竣工结算审核</w:t>
      </w:r>
    </w:p>
    <w:p w14:paraId="40A43042">
      <w:pPr>
        <w:pStyle w:val="68"/>
        <w:adjustRightInd w:val="0"/>
        <w:spacing w:line="45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14.</w:t>
      </w:r>
      <w:r>
        <w:rPr>
          <w:rFonts w:hint="eastAsia" w:hAnsi="宋体" w:eastAsia="宋体" w:cs="宋体"/>
          <w:color w:val="auto"/>
          <w:sz w:val="21"/>
          <w:szCs w:val="21"/>
          <w:highlight w:val="none"/>
        </w:rPr>
        <w:t>2.1 竣工结算审核</w:t>
      </w:r>
    </w:p>
    <w:p w14:paraId="1BC10C2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（1）发包人在收到承包人完整的竣工结算审核申请资料后，应在28天内及时提交财政或审计部门审核，财政或审计部门出具结算审核报告后，发包人应在14天内签发竣工付款证书。</w:t>
      </w:r>
    </w:p>
    <w:p w14:paraId="5FAF907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发包人在收到承包人提交的竣工结算申请单后</w:t>
      </w:r>
      <w:r>
        <w:rPr>
          <w:rFonts w:hint="eastAsia" w:ascii="宋体" w:hAnsi="宋体" w:cs="宋体"/>
          <w:color w:val="auto"/>
          <w:sz w:val="21"/>
          <w:szCs w:val="21"/>
          <w:highlight w:val="none"/>
          <w:u w:val="single"/>
        </w:rPr>
        <w:t>　28　</w:t>
      </w:r>
      <w:r>
        <w:rPr>
          <w:rFonts w:hint="eastAsia" w:ascii="宋体" w:hAnsi="宋体" w:cs="宋体"/>
          <w:color w:val="auto"/>
          <w:sz w:val="21"/>
          <w:szCs w:val="21"/>
          <w:highlight w:val="none"/>
        </w:rPr>
        <w:t>天未提出异议或者未出具结算报告的，视为发包人认可承包人提交的竣工结算申请单，逾期，视为已</w:t>
      </w:r>
    </w:p>
    <w:p w14:paraId="27AFB3C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签发竣工付款证书。</w:t>
      </w:r>
    </w:p>
    <w:p w14:paraId="2F3238B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（2）发包人应在签发竣工付款证书后</w:t>
      </w:r>
      <w:r>
        <w:rPr>
          <w:rFonts w:hint="eastAsia" w:ascii="宋体" w:hAnsi="宋体" w:cs="宋体"/>
          <w:color w:val="auto"/>
          <w:sz w:val="21"/>
          <w:szCs w:val="21"/>
          <w:highlight w:val="none"/>
          <w:u w:val="single"/>
        </w:rPr>
        <w:t>　7　</w:t>
      </w:r>
      <w:r>
        <w:rPr>
          <w:rFonts w:hint="eastAsia" w:ascii="宋体" w:hAnsi="宋体" w:cs="宋体"/>
          <w:color w:val="auto"/>
          <w:sz w:val="21"/>
          <w:szCs w:val="21"/>
          <w:highlight w:val="none"/>
        </w:rPr>
        <w:t>天内，完成对承包人的竣工付款。发包人逾期支付的违约责任按通用条款执行。</w:t>
      </w:r>
    </w:p>
    <w:p w14:paraId="5C9F5370">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承包人对发包人签发的竣工付款证书有异议的内容，应在收到竣工付款证书后7天内提出，按照第20条[争议解决]约定处理。无异议部分，发包人应签发临时竣工付款证书，并按第（2）项约定完成付款；承包人逾期未提出异议的，视为认可发包人的审核结果。</w:t>
      </w:r>
    </w:p>
    <w:p w14:paraId="1E113D9C">
      <w:pPr>
        <w:spacing w:line="450" w:lineRule="exact"/>
        <w:ind w:firstLine="525" w:firstLineChars="250"/>
        <w:rPr>
          <w:rFonts w:hint="eastAsia" w:ascii="宋体" w:hAnsi="宋体" w:cs="宋体"/>
          <w:color w:val="auto"/>
          <w:sz w:val="21"/>
          <w:szCs w:val="21"/>
          <w:highlight w:val="none"/>
        </w:rPr>
      </w:pPr>
      <w:r>
        <w:rPr>
          <w:rFonts w:hint="eastAsia" w:ascii="宋体" w:hAnsi="宋体" w:cs="宋体"/>
          <w:color w:val="auto"/>
          <w:sz w:val="21"/>
          <w:szCs w:val="21"/>
          <w:highlight w:val="none"/>
        </w:rPr>
        <w:t>（4）委托中介机构进行竣工结算审核时发生追加费，其费用由承包方承担。结算追加费执行浙价服【2009】84号标准，结合奉化财政局规定执行。</w:t>
      </w:r>
    </w:p>
    <w:p w14:paraId="61943C38">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（5）关于承包人收款账户的约定：执行通用条款。</w:t>
      </w:r>
    </w:p>
    <w:p w14:paraId="37A09F7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14.4</w:t>
      </w:r>
      <w:r>
        <w:rPr>
          <w:rFonts w:hint="eastAsia" w:hAnsi="宋体" w:cs="宋体"/>
          <w:color w:val="auto"/>
          <w:sz w:val="21"/>
          <w:szCs w:val="21"/>
          <w:highlight w:val="none"/>
        </w:rPr>
        <w:t>最终结清</w:t>
      </w:r>
    </w:p>
    <w:p w14:paraId="2DB021D6">
      <w:pPr>
        <w:spacing w:line="450" w:lineRule="exact"/>
        <w:ind w:firstLine="420" w:firstLineChars="200"/>
        <w:rPr>
          <w:rFonts w:hint="eastAsia" w:ascii="宋体" w:hAnsi="宋体" w:cs="宋体"/>
          <w:color w:val="auto"/>
          <w:sz w:val="21"/>
          <w:szCs w:val="21"/>
          <w:highlight w:val="none"/>
        </w:rPr>
      </w:pPr>
      <w:bookmarkStart w:id="444" w:name="_Toc364853237"/>
      <w:r>
        <w:rPr>
          <w:rFonts w:hint="eastAsia" w:ascii="宋体" w:hAnsi="宋体" w:cs="宋体"/>
          <w:color w:val="auto"/>
          <w:sz w:val="21"/>
          <w:szCs w:val="21"/>
          <w:highlight w:val="none"/>
          <w:lang w:val="en-US" w:eastAsia="zh-CN"/>
        </w:rPr>
        <w:t>14.4.1</w:t>
      </w:r>
      <w:r>
        <w:rPr>
          <w:rFonts w:hint="eastAsia" w:ascii="宋体" w:hAnsi="宋体" w:cs="宋体"/>
          <w:color w:val="auto"/>
          <w:sz w:val="21"/>
          <w:szCs w:val="21"/>
          <w:highlight w:val="none"/>
        </w:rPr>
        <w:t xml:space="preserve"> 最终结清申请单</w:t>
      </w:r>
    </w:p>
    <w:p w14:paraId="7DAC476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（1）承包人应在缺陷责任期终止证书颁发后7天内提交3份最终结清申请单，并提供相关证明材料。最终结清申请单应列明质量保证金、应扣除的质量保证金、缺陷责任期内发生的增减费用。</w:t>
      </w:r>
    </w:p>
    <w:p w14:paraId="16907F7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（2）发包人对最终结清申请单内容有异议的，有权要求承包人进行修正和提供补充资料，但应当出具书面意见。承包人应当按照发包人的书面意见提交修正后的最终结清申请单。</w:t>
      </w:r>
    </w:p>
    <w:p w14:paraId="2E93C9A5">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14.4.2</w:t>
      </w:r>
      <w:r>
        <w:rPr>
          <w:rFonts w:hint="eastAsia" w:ascii="宋体" w:hAnsi="宋体" w:cs="宋体"/>
          <w:color w:val="auto"/>
          <w:sz w:val="21"/>
          <w:szCs w:val="21"/>
          <w:highlight w:val="none"/>
        </w:rPr>
        <w:t xml:space="preserve"> 最终结清证书和支付</w:t>
      </w:r>
    </w:p>
    <w:p w14:paraId="69286B4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（1）发包人应在收到承包人提交的最终结清申请单后</w:t>
      </w:r>
      <w:r>
        <w:rPr>
          <w:rFonts w:hint="eastAsia" w:ascii="宋体" w:hAnsi="宋体" w:cs="宋体"/>
          <w:color w:val="auto"/>
          <w:sz w:val="21"/>
          <w:szCs w:val="21"/>
          <w:highlight w:val="none"/>
          <w:u w:val="single"/>
        </w:rPr>
        <w:t>14</w:t>
      </w:r>
      <w:r>
        <w:rPr>
          <w:rFonts w:hint="eastAsia" w:ascii="宋体" w:hAnsi="宋体" w:cs="宋体"/>
          <w:color w:val="auto"/>
          <w:sz w:val="21"/>
          <w:szCs w:val="21"/>
          <w:highlight w:val="none"/>
        </w:rPr>
        <w:t>天内完成审批并向承包人颁发最终结清证书。发包人逾期未完成审批，又未提出修改意见的，视为发包人同意承包人提交的最终结清申请单并已颁发最终结清证书 。</w:t>
      </w:r>
    </w:p>
    <w:p w14:paraId="108012A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（2）发包人应在颁发最终结清证书后</w:t>
      </w:r>
      <w:r>
        <w:rPr>
          <w:rFonts w:hint="eastAsia" w:ascii="宋体" w:hAnsi="宋体" w:cs="宋体"/>
          <w:color w:val="auto"/>
          <w:sz w:val="21"/>
          <w:szCs w:val="21"/>
          <w:highlight w:val="none"/>
          <w:u w:val="single"/>
        </w:rPr>
        <w:t>　7　</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内完成支付。发包人逾期支付的违约责任按通用条款执行。</w:t>
      </w:r>
    </w:p>
    <w:p w14:paraId="7F4C7867">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w:t>
      </w:r>
      <w:r>
        <w:rPr>
          <w:rFonts w:hint="eastAsia" w:ascii="宋体" w:hAnsi="宋体" w:cs="宋体"/>
          <w:color w:val="auto"/>
          <w:sz w:val="21"/>
          <w:szCs w:val="21"/>
          <w:highlight w:val="none"/>
        </w:rPr>
        <w:t>. 缺陷责任期与保修</w:t>
      </w:r>
      <w:bookmarkEnd w:id="444"/>
    </w:p>
    <w:p w14:paraId="1A09569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15.2</w:t>
      </w:r>
      <w:r>
        <w:rPr>
          <w:rFonts w:hint="eastAsia" w:hAnsi="宋体" w:cs="宋体"/>
          <w:color w:val="auto"/>
          <w:sz w:val="21"/>
          <w:szCs w:val="21"/>
          <w:highlight w:val="none"/>
        </w:rPr>
        <w:t>缺陷责任期</w:t>
      </w:r>
    </w:p>
    <w:p w14:paraId="2C0A574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15.2.1</w:t>
      </w:r>
      <w:r>
        <w:rPr>
          <w:rFonts w:hint="eastAsia" w:ascii="宋体" w:hAnsi="宋体" w:cs="宋体"/>
          <w:color w:val="auto"/>
          <w:sz w:val="21"/>
          <w:szCs w:val="21"/>
          <w:highlight w:val="none"/>
        </w:rPr>
        <w:t>本合同缺陷责任期为</w:t>
      </w:r>
      <w:r>
        <w:rPr>
          <w:rFonts w:hint="eastAsia" w:ascii="宋体" w:hAnsi="宋体" w:cs="宋体"/>
          <w:color w:val="auto"/>
          <w:sz w:val="21"/>
          <w:szCs w:val="21"/>
          <w:highlight w:val="none"/>
          <w:u w:val="single"/>
        </w:rPr>
        <w:t>　</w:t>
      </w:r>
      <w:r>
        <w:rPr>
          <w:rFonts w:hint="eastAsia" w:ascii="宋体" w:hAnsi="宋体" w:cs="宋体"/>
          <w:color w:val="auto"/>
          <w:sz w:val="21"/>
          <w:szCs w:val="21"/>
          <w:highlight w:val="none"/>
          <w:u w:val="single"/>
          <w:lang w:val="en-US" w:eastAsia="zh-CN"/>
        </w:rPr>
        <w:t>12</w:t>
      </w:r>
      <w:r>
        <w:rPr>
          <w:rFonts w:hint="eastAsia" w:ascii="宋体" w:hAnsi="宋体" w:cs="宋体"/>
          <w:color w:val="auto"/>
          <w:sz w:val="21"/>
          <w:szCs w:val="21"/>
          <w:highlight w:val="none"/>
        </w:rPr>
        <w:t>个月。</w:t>
      </w:r>
    </w:p>
    <w:p w14:paraId="42AE1788">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工程竣工验收合格后，因承包人原因导致的缺陷使工程或或某项主要设备不能按原定目的使用的，发包人有权在原缺陷责任期届满前要求施工承包人延长缺陷责任期，延长的缺陷责任期为</w:t>
      </w:r>
      <w:r>
        <w:rPr>
          <w:rFonts w:hint="eastAsia" w:ascii="宋体" w:hAnsi="宋体" w:cs="宋体"/>
          <w:color w:val="auto"/>
          <w:sz w:val="21"/>
          <w:szCs w:val="21"/>
          <w:highlight w:val="none"/>
          <w:u w:val="single"/>
        </w:rPr>
        <w:t xml:space="preserve">　12  </w:t>
      </w:r>
      <w:r>
        <w:rPr>
          <w:rFonts w:hint="eastAsia" w:ascii="宋体" w:hAnsi="宋体" w:cs="宋体"/>
          <w:color w:val="auto"/>
          <w:sz w:val="21"/>
          <w:szCs w:val="21"/>
          <w:highlight w:val="none"/>
        </w:rPr>
        <w:t>个月。</w:t>
      </w:r>
    </w:p>
    <w:p w14:paraId="1AD38D4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15.3</w:t>
      </w:r>
      <w:r>
        <w:rPr>
          <w:rFonts w:hint="eastAsia" w:hAnsi="宋体" w:cs="宋体"/>
          <w:color w:val="auto"/>
          <w:sz w:val="21"/>
          <w:szCs w:val="21"/>
          <w:highlight w:val="none"/>
        </w:rPr>
        <w:t>质量保证担保</w:t>
      </w:r>
    </w:p>
    <w:p w14:paraId="3F0B5C09">
      <w:pPr>
        <w:pStyle w:val="67"/>
        <w:spacing w:before="120" w:line="450" w:lineRule="exact"/>
        <w:ind w:firstLine="399" w:firstLineChars="190"/>
        <w:rPr>
          <w:rFonts w:hint="eastAsia" w:hAnsi="宋体" w:cs="宋体"/>
          <w:color w:val="auto"/>
          <w:sz w:val="21"/>
          <w:szCs w:val="21"/>
          <w:highlight w:val="none"/>
        </w:rPr>
      </w:pPr>
      <w:r>
        <w:rPr>
          <w:rFonts w:hint="eastAsia" w:hAnsi="宋体" w:cs="宋体"/>
          <w:b w:val="0"/>
          <w:color w:val="auto"/>
          <w:kern w:val="2"/>
          <w:sz w:val="21"/>
          <w:szCs w:val="21"/>
          <w:highlight w:val="none"/>
          <w:lang w:val="en-US" w:eastAsia="zh-CN" w:bidi="ar-SA"/>
        </w:rPr>
        <w:t>15.3.1</w:t>
      </w:r>
      <w:r>
        <w:rPr>
          <w:rFonts w:hint="eastAsia" w:ascii="宋体" w:hAnsi="宋体" w:eastAsia="宋体" w:cs="宋体"/>
          <w:b w:val="0"/>
          <w:color w:val="auto"/>
          <w:kern w:val="2"/>
          <w:sz w:val="21"/>
          <w:szCs w:val="21"/>
          <w:highlight w:val="none"/>
          <w:lang w:val="en-US" w:eastAsia="zh-CN" w:bidi="ar-SA"/>
        </w:rPr>
        <w:t>质量保证期：质量保证期：自实际竣工日期起计算</w:t>
      </w:r>
      <w:r>
        <w:rPr>
          <w:rFonts w:hint="eastAsia" w:hAnsi="宋体" w:cs="宋体"/>
          <w:b w:val="0"/>
          <w:color w:val="auto"/>
          <w:kern w:val="2"/>
          <w:sz w:val="21"/>
          <w:szCs w:val="21"/>
          <w:highlight w:val="none"/>
          <w:lang w:val="en-US" w:eastAsia="zh-CN" w:bidi="ar-SA"/>
        </w:rPr>
        <w:t>12</w:t>
      </w:r>
      <w:r>
        <w:rPr>
          <w:rFonts w:hint="eastAsia" w:ascii="宋体" w:hAnsi="宋体" w:eastAsia="宋体" w:cs="宋体"/>
          <w:b w:val="0"/>
          <w:color w:val="auto"/>
          <w:kern w:val="2"/>
          <w:sz w:val="21"/>
          <w:szCs w:val="21"/>
          <w:highlight w:val="none"/>
          <w:lang w:val="en-US" w:eastAsia="zh-CN" w:bidi="ar-SA"/>
        </w:rPr>
        <w:t>个月。</w:t>
      </w:r>
      <w:r>
        <w:rPr>
          <w:rFonts w:hint="eastAsia" w:hAnsi="宋体" w:cs="宋体"/>
          <w:color w:val="auto"/>
          <w:sz w:val="21"/>
          <w:szCs w:val="21"/>
          <w:highlight w:val="none"/>
        </w:rPr>
        <w:t xml:space="preserve"> </w:t>
      </w:r>
    </w:p>
    <w:p w14:paraId="3EED8BD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15.3.2</w:t>
      </w:r>
      <w:r>
        <w:rPr>
          <w:rFonts w:hint="eastAsia" w:ascii="宋体" w:hAnsi="宋体" w:cs="宋体"/>
          <w:color w:val="auto"/>
          <w:sz w:val="21"/>
          <w:szCs w:val="21"/>
          <w:highlight w:val="none"/>
        </w:rPr>
        <w:t>承包人与质量保证担保有关的任何利息或其它类似的费用或者收益由承包人承担；因承包人原因导致缺陷责任期延长的，继续提供质量保证担保所增加的费用由承包人承担。</w:t>
      </w:r>
    </w:p>
    <w:p w14:paraId="387865F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15.4</w:t>
      </w:r>
      <w:r>
        <w:rPr>
          <w:rFonts w:hint="eastAsia" w:hAnsi="宋体" w:cs="宋体"/>
          <w:color w:val="auto"/>
          <w:sz w:val="21"/>
          <w:szCs w:val="21"/>
          <w:highlight w:val="none"/>
        </w:rPr>
        <w:t>保修</w:t>
      </w:r>
    </w:p>
    <w:p w14:paraId="2214048C">
      <w:pPr>
        <w:spacing w:line="450" w:lineRule="exact"/>
        <w:ind w:firstLine="420" w:firstLineChars="200"/>
        <w:rPr>
          <w:rFonts w:hint="eastAsia" w:ascii="宋体" w:hAnsi="宋体" w:cs="宋体"/>
          <w:color w:val="auto"/>
          <w:kern w:val="0"/>
          <w:sz w:val="21"/>
          <w:szCs w:val="21"/>
          <w:highlight w:val="none"/>
        </w:rPr>
      </w:pPr>
      <w:bookmarkStart w:id="445" w:name="_Toc364853238"/>
      <w:r>
        <w:rPr>
          <w:rFonts w:hint="eastAsia" w:ascii="宋体" w:hAnsi="宋体" w:cs="宋体"/>
          <w:color w:val="auto"/>
          <w:kern w:val="0"/>
          <w:sz w:val="21"/>
          <w:szCs w:val="21"/>
          <w:highlight w:val="none"/>
          <w:lang w:val="en-US" w:eastAsia="zh-CN"/>
        </w:rPr>
        <w:t>15.4.1</w:t>
      </w:r>
      <w:r>
        <w:rPr>
          <w:rFonts w:hint="eastAsia" w:ascii="宋体" w:hAnsi="宋体" w:cs="宋体"/>
          <w:color w:val="auto"/>
          <w:kern w:val="0"/>
          <w:sz w:val="21"/>
          <w:szCs w:val="21"/>
          <w:highlight w:val="none"/>
        </w:rPr>
        <w:t xml:space="preserve"> 保修责任</w:t>
      </w:r>
    </w:p>
    <w:p w14:paraId="5927D0C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工程保修期为：</w:t>
      </w:r>
      <w:r>
        <w:rPr>
          <w:rFonts w:hint="eastAsia" w:ascii="宋体" w:hAnsi="宋体" w:cs="宋体"/>
          <w:color w:val="auto"/>
          <w:sz w:val="21"/>
          <w:szCs w:val="21"/>
          <w:highlight w:val="none"/>
          <w:lang w:val="en-US" w:eastAsia="zh-CN"/>
        </w:rPr>
        <w:t>1年</w:t>
      </w:r>
      <w:r>
        <w:rPr>
          <w:rFonts w:hint="eastAsia" w:ascii="宋体" w:hAnsi="宋体" w:cs="宋体"/>
          <w:color w:val="auto"/>
          <w:sz w:val="21"/>
          <w:szCs w:val="21"/>
          <w:highlight w:val="none"/>
        </w:rPr>
        <w:t>。</w:t>
      </w:r>
    </w:p>
    <w:p w14:paraId="10A79D6C">
      <w:pPr>
        <w:spacing w:line="450" w:lineRule="exact"/>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15.4.2质量保修金比例为结算价款的1.5%。</w:t>
      </w:r>
    </w:p>
    <w:p w14:paraId="72C46B5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15.4.3</w:t>
      </w:r>
      <w:r>
        <w:rPr>
          <w:rFonts w:hint="eastAsia" w:ascii="宋体" w:hAnsi="宋体" w:cs="宋体"/>
          <w:color w:val="auto"/>
          <w:sz w:val="21"/>
          <w:szCs w:val="21"/>
          <w:highlight w:val="none"/>
        </w:rPr>
        <w:t xml:space="preserve"> 修复通知</w:t>
      </w:r>
    </w:p>
    <w:p w14:paraId="05742DF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合同当事人约定：承包人收到保修通知并到达工程现场的合理时间为48小时内（含48小时）。</w:t>
      </w:r>
    </w:p>
    <w:p w14:paraId="3C121C83">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w:t>
      </w:r>
      <w:r>
        <w:rPr>
          <w:rFonts w:hint="eastAsia" w:ascii="宋体" w:hAnsi="宋体" w:cs="宋体"/>
          <w:color w:val="auto"/>
          <w:sz w:val="21"/>
          <w:szCs w:val="21"/>
          <w:highlight w:val="none"/>
        </w:rPr>
        <w:t>. 违约</w:t>
      </w:r>
      <w:bookmarkEnd w:id="445"/>
    </w:p>
    <w:p w14:paraId="6F50673A">
      <w:pPr>
        <w:pStyle w:val="67"/>
        <w:spacing w:before="120" w:line="450" w:lineRule="exact"/>
        <w:ind w:firstLine="401" w:firstLineChars="190"/>
        <w:rPr>
          <w:rFonts w:hint="eastAsia" w:hAnsi="宋体" w:cs="宋体"/>
          <w:color w:val="auto"/>
          <w:sz w:val="21"/>
          <w:szCs w:val="21"/>
          <w:highlight w:val="none"/>
        </w:rPr>
      </w:pPr>
      <w:bookmarkStart w:id="446" w:name="_Toc364853239"/>
      <w:r>
        <w:rPr>
          <w:rFonts w:hint="eastAsia" w:hAnsi="宋体" w:cs="宋体"/>
          <w:color w:val="auto"/>
          <w:sz w:val="21"/>
          <w:szCs w:val="21"/>
          <w:highlight w:val="none"/>
          <w:lang w:val="en-US" w:eastAsia="zh-CN"/>
        </w:rPr>
        <w:t>16.1</w:t>
      </w:r>
      <w:r>
        <w:rPr>
          <w:rFonts w:hint="eastAsia" w:hAnsi="宋体" w:cs="宋体"/>
          <w:color w:val="auto"/>
          <w:sz w:val="21"/>
          <w:szCs w:val="21"/>
          <w:highlight w:val="none"/>
        </w:rPr>
        <w:t xml:space="preserve"> 发包人违约</w:t>
      </w:r>
    </w:p>
    <w:p w14:paraId="3E03326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.1.1发包人违约的情形按通用条款确定。</w:t>
      </w:r>
    </w:p>
    <w:p w14:paraId="356BB27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.1.2 发包人违约的责任</w:t>
      </w:r>
    </w:p>
    <w:p w14:paraId="70684114">
      <w:pPr>
        <w:spacing w:line="450" w:lineRule="exact"/>
        <w:ind w:firstLine="420" w:firstLineChars="200"/>
        <w:rPr>
          <w:rFonts w:hint="eastAsia" w:ascii="宋体" w:hAnsi="宋体" w:cs="宋体"/>
          <w:color w:val="auto"/>
          <w:sz w:val="21"/>
          <w:szCs w:val="21"/>
          <w:highlight w:val="yellow"/>
        </w:rPr>
      </w:pPr>
      <w:r>
        <w:rPr>
          <w:rFonts w:hint="eastAsia" w:ascii="宋体" w:hAnsi="宋体" w:cs="宋体"/>
          <w:color w:val="auto"/>
          <w:sz w:val="21"/>
          <w:szCs w:val="21"/>
          <w:highlight w:val="none"/>
        </w:rPr>
        <w:t>发包人应承担其违约承包人增加的费用和（或）延误工期，并支付承包人合理的利润。</w:t>
      </w:r>
    </w:p>
    <w:p w14:paraId="1D67A83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.1.3  关于发包人违约解除合同的约定：执行通用条款。</w:t>
      </w:r>
    </w:p>
    <w:p w14:paraId="504A531E">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16.2</w:t>
      </w:r>
      <w:r>
        <w:rPr>
          <w:rFonts w:hint="eastAsia" w:hAnsi="宋体" w:cs="宋体"/>
          <w:color w:val="auto"/>
          <w:sz w:val="21"/>
          <w:szCs w:val="21"/>
          <w:highlight w:val="none"/>
        </w:rPr>
        <w:t>承包人违约</w:t>
      </w:r>
    </w:p>
    <w:p w14:paraId="6A17FFC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16.2.1</w:t>
      </w:r>
      <w:r>
        <w:rPr>
          <w:rFonts w:hint="eastAsia" w:ascii="宋体" w:hAnsi="宋体" w:cs="宋体"/>
          <w:color w:val="auto"/>
          <w:sz w:val="21"/>
          <w:szCs w:val="21"/>
          <w:highlight w:val="none"/>
        </w:rPr>
        <w:t>承包人违约的情形按通用条款确定。</w:t>
      </w:r>
    </w:p>
    <w:p w14:paraId="6307212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16.2.2</w:t>
      </w:r>
      <w:r>
        <w:rPr>
          <w:rFonts w:hint="eastAsia" w:ascii="宋体" w:hAnsi="宋体" w:cs="宋体"/>
          <w:color w:val="auto"/>
          <w:sz w:val="21"/>
          <w:szCs w:val="21"/>
          <w:highlight w:val="none"/>
        </w:rPr>
        <w:t>承包人违约的责任</w:t>
      </w:r>
    </w:p>
    <w:p w14:paraId="06323990">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sz w:val="21"/>
          <w:szCs w:val="21"/>
          <w:highlight w:val="none"/>
        </w:rPr>
        <w:t>承包人应承担其违约行为及纠正其违约行为而增加的费用和（或）延误的工期。延误工期的，</w:t>
      </w:r>
      <w:r>
        <w:rPr>
          <w:rFonts w:hint="eastAsia" w:ascii="宋体" w:hAnsi="宋体" w:cs="宋体"/>
          <w:color w:val="auto"/>
          <w:kern w:val="0"/>
          <w:sz w:val="21"/>
          <w:szCs w:val="21"/>
          <w:highlight w:val="none"/>
        </w:rPr>
        <w:t>根据实际延误的时间，按本合同约定的工期延误赔偿标准向发包人支付违约金；延误超过56天的，按本合同约定的工期延误赔偿标准两倍支付违约金；逾期竣工违约金的限额不足时，发包人有权向承包人追偿。</w:t>
      </w:r>
    </w:p>
    <w:p w14:paraId="1F6024B0">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16.2.3</w:t>
      </w:r>
      <w:r>
        <w:rPr>
          <w:rFonts w:hint="eastAsia" w:ascii="宋体" w:hAnsi="宋体" w:cs="宋体"/>
          <w:color w:val="auto"/>
          <w:kern w:val="0"/>
          <w:sz w:val="21"/>
          <w:szCs w:val="21"/>
          <w:highlight w:val="none"/>
        </w:rPr>
        <w:t xml:space="preserve"> 关于因承包人违约解除合同的约定：执行通用条款。</w:t>
      </w:r>
    </w:p>
    <w:p w14:paraId="6CDBCBF8">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继续使用承包人在施工现场的材料、设备、临时工程、承包人文件和由承包人或以其名义编制的其他文件的费用承担方式约定：产生的费用未超过承包人应承担的违约赔偿限额的，由承包人承担；产生的费用超出承包人应承担的违约赔偿限额部分，由发包人承担。</w:t>
      </w:r>
    </w:p>
    <w:p w14:paraId="311D36C2">
      <w:pPr>
        <w:adjustRightInd w:val="0"/>
        <w:spacing w:line="450" w:lineRule="exact"/>
        <w:ind w:firstLine="422" w:firstLineChars="20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16.2.4</w:t>
      </w:r>
      <w:r>
        <w:rPr>
          <w:rFonts w:hint="eastAsia" w:ascii="宋体" w:hAnsi="宋体" w:eastAsia="宋体" w:cs="宋体"/>
          <w:color w:val="auto"/>
          <w:sz w:val="21"/>
          <w:szCs w:val="21"/>
          <w:highlight w:val="none"/>
        </w:rPr>
        <w:t>承包人未履行主要机械设备到场承诺，经监理人和发包人认定影响施工工期或施工质量的，监理人和发包人将签发《整改通知书》，承包人收到《整改通知书》后3天内仍未整改到位的，发包人有权扣除其主要机械设备到场违约金。</w:t>
      </w:r>
    </w:p>
    <w:p w14:paraId="0E1DFFF8">
      <w:pPr>
        <w:adjustRightInd w:val="0"/>
        <w:spacing w:line="45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承包人对合同履约不到位（包含延误合同工期、未达到工程质量要求、未履行项目经理及主要施工管理人员到场承诺、未履行安全文明施工承诺、未履行主要机械设备到场承诺等）导致承包人违约的。若违约金不足以弥补发包人损失的，承包人继续承担赔偿责任</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赔偿款在工程进度款中扣除。</w:t>
      </w:r>
    </w:p>
    <w:p w14:paraId="0E34E9EE">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17. 不可抗力</w:t>
      </w:r>
      <w:bookmarkEnd w:id="446"/>
      <w:r>
        <w:rPr>
          <w:rFonts w:hint="eastAsia" w:ascii="宋体" w:hAnsi="宋体" w:cs="宋体"/>
          <w:color w:val="auto"/>
          <w:sz w:val="21"/>
          <w:szCs w:val="21"/>
          <w:highlight w:val="none"/>
        </w:rPr>
        <w:t xml:space="preserve"> </w:t>
      </w:r>
    </w:p>
    <w:p w14:paraId="685E0B0E">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17.1 不可抗力的确认</w:t>
      </w:r>
    </w:p>
    <w:p w14:paraId="44401CE4">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除通用合同条款约定的不可抗力事件之外，视为不可抗力的其他情形：火灾、洪水、罢工、政府征用、政府禁止令等。</w:t>
      </w:r>
    </w:p>
    <w:p w14:paraId="1EC2EEE5">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17</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因不可抗力解除合同</w:t>
      </w:r>
    </w:p>
    <w:p w14:paraId="0C8FDEC5">
      <w:pPr>
        <w:adjustRightInd w:val="0"/>
        <w:spacing w:line="450" w:lineRule="exact"/>
        <w:ind w:firstLine="420" w:firstLineChars="200"/>
        <w:rPr>
          <w:rFonts w:hint="eastAsia" w:ascii="宋体" w:hAnsi="宋体" w:cs="宋体"/>
          <w:color w:val="auto"/>
          <w:kern w:val="0"/>
          <w:sz w:val="21"/>
          <w:szCs w:val="21"/>
          <w:highlight w:val="none"/>
        </w:rPr>
      </w:pPr>
      <w:bookmarkStart w:id="447" w:name="_Toc364853240"/>
      <w:r>
        <w:rPr>
          <w:rFonts w:hint="eastAsia" w:ascii="宋体" w:hAnsi="宋体" w:cs="宋体"/>
          <w:color w:val="auto"/>
          <w:kern w:val="0"/>
          <w:sz w:val="21"/>
          <w:szCs w:val="21"/>
          <w:highlight w:val="none"/>
        </w:rPr>
        <w:t>合同解除后，发包人应在商定或确定发包人应支付款项后28天内完成款项的支付。</w:t>
      </w:r>
    </w:p>
    <w:p w14:paraId="2DDDC828">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18. 保险</w:t>
      </w:r>
      <w:bookmarkEnd w:id="447"/>
    </w:p>
    <w:p w14:paraId="58DD6630">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18.1 工程保险</w:t>
      </w:r>
    </w:p>
    <w:p w14:paraId="6A5B6A6F">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关于工程保险的特别约定：</w:t>
      </w:r>
      <w:r>
        <w:rPr>
          <w:rFonts w:hint="eastAsia" w:ascii="宋体" w:hAnsi="宋体" w:cs="宋体"/>
          <w:color w:val="auto"/>
          <w:sz w:val="21"/>
          <w:szCs w:val="21"/>
          <w:highlight w:val="none"/>
        </w:rPr>
        <w:t>执行通用条款</w:t>
      </w:r>
      <w:r>
        <w:rPr>
          <w:rFonts w:hint="eastAsia" w:ascii="宋体" w:hAnsi="宋体" w:cs="宋体"/>
          <w:color w:val="auto"/>
          <w:kern w:val="0"/>
          <w:sz w:val="21"/>
          <w:szCs w:val="21"/>
          <w:highlight w:val="none"/>
        </w:rPr>
        <w:t>。</w:t>
      </w:r>
    </w:p>
    <w:p w14:paraId="12475D9D">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w:t>
      </w:r>
      <w:r>
        <w:rPr>
          <w:rFonts w:hint="eastAsia" w:hAnsi="宋体" w:cs="宋体"/>
          <w:color w:val="auto"/>
          <w:sz w:val="21"/>
          <w:szCs w:val="21"/>
          <w:highlight w:val="none"/>
          <w:lang w:val="en-US" w:eastAsia="zh-CN"/>
        </w:rPr>
        <w:t>2</w:t>
      </w:r>
      <w:r>
        <w:rPr>
          <w:rFonts w:hint="eastAsia" w:hAnsi="宋体" w:cs="宋体"/>
          <w:color w:val="auto"/>
          <w:sz w:val="21"/>
          <w:szCs w:val="21"/>
          <w:highlight w:val="none"/>
        </w:rPr>
        <w:t xml:space="preserve"> 其他保险</w:t>
      </w:r>
    </w:p>
    <w:p w14:paraId="1601A3FD">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关于其他保险的约定：除第三者责任险外，保险费用由被保险人承担。</w:t>
      </w:r>
    </w:p>
    <w:p w14:paraId="68209D8D">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承包人</w:t>
      </w:r>
      <w:r>
        <w:rPr>
          <w:rFonts w:hint="eastAsia" w:ascii="宋体" w:hAnsi="宋体" w:cs="宋体"/>
          <w:color w:val="auto"/>
          <w:kern w:val="0"/>
          <w:sz w:val="21"/>
          <w:szCs w:val="21"/>
          <w:highlight w:val="none"/>
          <w:u w:val="single"/>
        </w:rPr>
        <w:t xml:space="preserve">  应当 </w:t>
      </w:r>
      <w:r>
        <w:rPr>
          <w:rFonts w:hint="eastAsia" w:ascii="宋体" w:hAnsi="宋体" w:cs="宋体"/>
          <w:color w:val="auto"/>
          <w:kern w:val="0"/>
          <w:sz w:val="21"/>
          <w:szCs w:val="21"/>
          <w:highlight w:val="none"/>
        </w:rPr>
        <w:t>为其施工设备等办理财产保险。</w:t>
      </w:r>
    </w:p>
    <w:p w14:paraId="076BB756">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w:t>
      </w:r>
      <w:r>
        <w:rPr>
          <w:rFonts w:hint="eastAsia" w:hAnsi="宋体" w:cs="宋体"/>
          <w:color w:val="auto"/>
          <w:sz w:val="21"/>
          <w:szCs w:val="21"/>
          <w:highlight w:val="none"/>
          <w:lang w:val="en-US" w:eastAsia="zh-CN"/>
        </w:rPr>
        <w:t>7</w:t>
      </w:r>
      <w:r>
        <w:rPr>
          <w:rFonts w:hint="eastAsia" w:hAnsi="宋体" w:cs="宋体"/>
          <w:color w:val="auto"/>
          <w:sz w:val="21"/>
          <w:szCs w:val="21"/>
          <w:highlight w:val="none"/>
        </w:rPr>
        <w:t xml:space="preserve"> 通知义务</w:t>
      </w:r>
    </w:p>
    <w:p w14:paraId="4AB7CD09">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关于变更保险合同时的通知义务的约定：执行通用条款。</w:t>
      </w:r>
      <w:bookmarkStart w:id="448" w:name="_Toc364853241"/>
    </w:p>
    <w:p w14:paraId="27F488A9">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20</w:t>
      </w:r>
      <w:r>
        <w:rPr>
          <w:rFonts w:hint="eastAsia" w:ascii="宋体" w:hAnsi="宋体" w:cs="宋体"/>
          <w:color w:val="auto"/>
          <w:sz w:val="21"/>
          <w:szCs w:val="21"/>
          <w:highlight w:val="none"/>
        </w:rPr>
        <w:t>. 争议解决</w:t>
      </w:r>
      <w:bookmarkEnd w:id="448"/>
    </w:p>
    <w:p w14:paraId="17E957A8">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20.3</w:t>
      </w:r>
      <w:r>
        <w:rPr>
          <w:rFonts w:hint="eastAsia" w:hAnsi="宋体" w:cs="宋体"/>
          <w:color w:val="auto"/>
          <w:sz w:val="21"/>
          <w:szCs w:val="21"/>
          <w:highlight w:val="none"/>
        </w:rPr>
        <w:t xml:space="preserve"> 争议评审</w:t>
      </w:r>
    </w:p>
    <w:p w14:paraId="15D8AB07">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合同当事人</w:t>
      </w:r>
      <w:r>
        <w:rPr>
          <w:rFonts w:hint="eastAsia" w:ascii="宋体" w:hAnsi="宋体" w:cs="宋体"/>
          <w:color w:val="auto"/>
          <w:kern w:val="0"/>
          <w:sz w:val="21"/>
          <w:szCs w:val="21"/>
          <w:highlight w:val="none"/>
          <w:u w:val="single"/>
        </w:rPr>
        <w:t xml:space="preserve">   不同意  </w:t>
      </w:r>
      <w:r>
        <w:rPr>
          <w:rFonts w:hint="eastAsia" w:ascii="宋体" w:hAnsi="宋体" w:cs="宋体"/>
          <w:color w:val="auto"/>
          <w:kern w:val="0"/>
          <w:sz w:val="21"/>
          <w:szCs w:val="21"/>
          <w:highlight w:val="none"/>
        </w:rPr>
        <w:t xml:space="preserve">将工程争议提交争议评审小组决定。  </w:t>
      </w:r>
    </w:p>
    <w:p w14:paraId="118D8BDF">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20.4</w:t>
      </w:r>
      <w:r>
        <w:rPr>
          <w:rFonts w:hint="eastAsia" w:hAnsi="宋体" w:cs="宋体"/>
          <w:color w:val="auto"/>
          <w:sz w:val="21"/>
          <w:szCs w:val="21"/>
          <w:highlight w:val="none"/>
        </w:rPr>
        <w:t>仲裁或诉讼</w:t>
      </w:r>
    </w:p>
    <w:p w14:paraId="1BCB0469">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因合同及合同有关事项发生的争议，向</w:t>
      </w:r>
      <w:r>
        <w:rPr>
          <w:rFonts w:hint="eastAsia" w:ascii="宋体" w:hAnsi="宋体" w:cs="宋体"/>
          <w:color w:val="auto"/>
          <w:kern w:val="0"/>
          <w:sz w:val="21"/>
          <w:szCs w:val="21"/>
          <w:highlight w:val="none"/>
          <w:u w:val="single"/>
        </w:rPr>
        <w:t>宁波市奉化区</w:t>
      </w:r>
      <w:r>
        <w:rPr>
          <w:rFonts w:hint="eastAsia" w:ascii="宋体" w:hAnsi="宋体" w:cs="宋体"/>
          <w:color w:val="auto"/>
          <w:kern w:val="0"/>
          <w:sz w:val="21"/>
          <w:szCs w:val="21"/>
          <w:highlight w:val="none"/>
        </w:rPr>
        <w:t>人民法院起诉。</w:t>
      </w:r>
    </w:p>
    <w:p w14:paraId="366E34A5">
      <w:pPr>
        <w:pStyle w:val="31"/>
        <w:numPr>
          <w:ilvl w:val="0"/>
          <w:numId w:val="0"/>
        </w:numPr>
        <w:shd w:val="clear"/>
        <w:spacing w:line="440" w:lineRule="exact"/>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21.其他条款</w:t>
      </w:r>
    </w:p>
    <w:p w14:paraId="62D7C4B0">
      <w:pPr>
        <w:shd w:val="clear"/>
        <w:spacing w:line="360" w:lineRule="auto"/>
        <w:ind w:firstLine="422" w:firstLineChars="200"/>
        <w:jc w:val="left"/>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发包人受项目业主委托，实施该项目的施工管理工作，若项目业主单位发现合同履约不到位（包含延误合同工期、未达到工程质量要求、未履行项目经理及主要施工管理人员到场承诺、未履行安全文明施工承诺、未履行主要机械设备到场承诺等）对发包人予以处罚，则发包人向承包人作出相应的处罚。</w:t>
      </w:r>
    </w:p>
    <w:p w14:paraId="50E1BC2F">
      <w:pPr>
        <w:rPr>
          <w:rFonts w:hint="default" w:eastAsia="宋体"/>
          <w:lang w:val="en-US" w:eastAsia="zh-CN"/>
        </w:rPr>
      </w:pPr>
    </w:p>
    <w:p w14:paraId="3B90BF3E">
      <w:pPr>
        <w:adjustRightInd w:val="0"/>
        <w:spacing w:line="450" w:lineRule="exact"/>
        <w:ind w:firstLine="420" w:firstLineChars="200"/>
        <w:rPr>
          <w:rFonts w:hint="eastAsia" w:ascii="宋体" w:hAnsi="宋体" w:cs="宋体"/>
          <w:color w:val="auto"/>
          <w:kern w:val="0"/>
          <w:sz w:val="21"/>
          <w:szCs w:val="21"/>
          <w:highlight w:val="none"/>
        </w:rPr>
      </w:pPr>
    </w:p>
    <w:p w14:paraId="68EBA238">
      <w:pPr>
        <w:pStyle w:val="31"/>
        <w:keepNext w:val="0"/>
        <w:keepLines w:val="0"/>
        <w:pageBreakBefore w:val="0"/>
        <w:kinsoku/>
        <w:wordWrap/>
        <w:overflowPunct/>
        <w:topLinePunct w:val="0"/>
        <w:bidi w:val="0"/>
        <w:snapToGrid/>
        <w:spacing w:line="440" w:lineRule="exact"/>
        <w:ind w:firstLine="0" w:firstLineChars="0"/>
        <w:textAlignment w:val="auto"/>
        <w:rPr>
          <w:rFonts w:asciiTheme="minorEastAsia" w:hAnsiTheme="minorEastAsia" w:eastAsiaTheme="minorEastAsia" w:cstheme="minorEastAsia"/>
          <w:color w:val="auto"/>
          <w:highlight w:val="none"/>
        </w:rPr>
      </w:pPr>
    </w:p>
    <w:p w14:paraId="24BA02E3">
      <w:pPr>
        <w:spacing w:line="360" w:lineRule="auto"/>
        <w:ind w:firstLine="482" w:firstLineChars="200"/>
        <w:jc w:val="center"/>
        <w:rPr>
          <w:rFonts w:hint="eastAsia" w:ascii="宋体" w:hAnsi="宋体" w:eastAsia="宋体" w:cs="宋体"/>
          <w:b/>
          <w:bCs/>
          <w:color w:val="auto"/>
          <w:sz w:val="21"/>
          <w:szCs w:val="21"/>
          <w:highlight w:val="none"/>
        </w:rPr>
      </w:pPr>
      <w:r>
        <w:rPr>
          <w:rFonts w:hint="eastAsia" w:asciiTheme="minorEastAsia" w:hAnsiTheme="minorEastAsia" w:eastAsiaTheme="minorEastAsia" w:cstheme="minorEastAsia"/>
          <w:b/>
          <w:color w:val="auto"/>
          <w:sz w:val="24"/>
          <w:highlight w:val="none"/>
        </w:rPr>
        <w:br w:type="page"/>
      </w:r>
      <w:r>
        <w:rPr>
          <w:rFonts w:hint="eastAsia" w:ascii="宋体" w:hAnsi="宋体" w:eastAsia="宋体" w:cs="宋体"/>
          <w:b/>
          <w:bCs/>
          <w:color w:val="auto"/>
          <w:sz w:val="21"/>
          <w:szCs w:val="21"/>
          <w:highlight w:val="none"/>
        </w:rPr>
        <w:t>第四部分  附件</w:t>
      </w:r>
    </w:p>
    <w:p w14:paraId="139E61BE">
      <w:pPr>
        <w:spacing w:line="360" w:lineRule="auto"/>
        <w:ind w:firstLine="420" w:firstLineChars="200"/>
        <w:rPr>
          <w:rFonts w:hint="eastAsia" w:ascii="宋体" w:hAnsi="宋体" w:eastAsia="宋体" w:cs="宋体"/>
          <w:color w:val="auto"/>
          <w:sz w:val="21"/>
          <w:szCs w:val="21"/>
          <w:highlight w:val="none"/>
        </w:rPr>
      </w:pPr>
    </w:p>
    <w:p w14:paraId="05C24CC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专用合同条款附件：</w:t>
      </w:r>
    </w:p>
    <w:p w14:paraId="7646677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附件1：工程质量保修书</w:t>
      </w:r>
    </w:p>
    <w:p w14:paraId="0E009FE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附件2：安全生产合同</w:t>
      </w:r>
    </w:p>
    <w:p w14:paraId="689A042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附件3：工程项目廉政合同</w:t>
      </w:r>
    </w:p>
    <w:p w14:paraId="3D6F854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附件4：承包人用于本工程施工的机械设备表</w:t>
      </w:r>
    </w:p>
    <w:p w14:paraId="5D78DEF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附件5：承包人主要施工管理人员表</w:t>
      </w:r>
    </w:p>
    <w:p w14:paraId="1A085B44">
      <w:pPr>
        <w:spacing w:line="360" w:lineRule="auto"/>
        <w:rPr>
          <w:rFonts w:hint="eastAsia" w:ascii="宋体" w:hAnsi="宋体" w:cs="宋体"/>
          <w:color w:val="auto"/>
          <w:sz w:val="21"/>
          <w:szCs w:val="21"/>
          <w:highlight w:val="none"/>
        </w:rPr>
      </w:pPr>
    </w:p>
    <w:p w14:paraId="62AB1826">
      <w:pPr>
        <w:spacing w:line="360" w:lineRule="auto"/>
        <w:rPr>
          <w:rFonts w:hint="eastAsia" w:ascii="宋体" w:hAnsi="宋体" w:cs="宋体"/>
          <w:color w:val="auto"/>
          <w:sz w:val="21"/>
          <w:szCs w:val="21"/>
          <w:highlight w:val="none"/>
        </w:rPr>
      </w:pPr>
    </w:p>
    <w:p w14:paraId="5FD7F2E9">
      <w:pPr>
        <w:spacing w:line="360" w:lineRule="auto"/>
        <w:rPr>
          <w:rFonts w:hint="eastAsia" w:ascii="宋体" w:hAnsi="宋体" w:cs="宋体"/>
          <w:color w:val="auto"/>
          <w:sz w:val="21"/>
          <w:szCs w:val="21"/>
          <w:highlight w:val="none"/>
        </w:rPr>
      </w:pPr>
    </w:p>
    <w:p w14:paraId="0DF7261A">
      <w:pPr>
        <w:spacing w:line="360" w:lineRule="auto"/>
        <w:rPr>
          <w:rFonts w:hint="eastAsia" w:ascii="宋体" w:hAnsi="宋体" w:cs="宋体"/>
          <w:color w:val="auto"/>
          <w:sz w:val="21"/>
          <w:szCs w:val="21"/>
          <w:highlight w:val="none"/>
        </w:rPr>
      </w:pPr>
    </w:p>
    <w:p w14:paraId="3051838C">
      <w:pPr>
        <w:spacing w:line="360" w:lineRule="auto"/>
        <w:rPr>
          <w:rFonts w:hint="eastAsia" w:ascii="宋体" w:hAnsi="宋体" w:cs="宋体"/>
          <w:color w:val="auto"/>
          <w:sz w:val="21"/>
          <w:szCs w:val="21"/>
          <w:highlight w:val="none"/>
        </w:rPr>
      </w:pPr>
    </w:p>
    <w:p w14:paraId="0A2DB32C">
      <w:pPr>
        <w:spacing w:line="360" w:lineRule="auto"/>
        <w:rPr>
          <w:rFonts w:hint="eastAsia" w:ascii="宋体" w:hAnsi="宋体" w:cs="宋体"/>
          <w:color w:val="auto"/>
          <w:sz w:val="21"/>
          <w:szCs w:val="21"/>
          <w:highlight w:val="none"/>
        </w:rPr>
      </w:pPr>
    </w:p>
    <w:p w14:paraId="2A55A171">
      <w:pPr>
        <w:spacing w:line="360" w:lineRule="auto"/>
        <w:rPr>
          <w:rFonts w:hint="eastAsia" w:ascii="宋体" w:hAnsi="宋体" w:cs="宋体"/>
          <w:color w:val="auto"/>
          <w:sz w:val="21"/>
          <w:szCs w:val="21"/>
          <w:highlight w:val="none"/>
        </w:rPr>
      </w:pPr>
    </w:p>
    <w:p w14:paraId="7ECA0D19">
      <w:pPr>
        <w:spacing w:line="360" w:lineRule="auto"/>
        <w:rPr>
          <w:rFonts w:hint="eastAsia" w:ascii="宋体" w:hAnsi="宋体" w:cs="宋体"/>
          <w:color w:val="auto"/>
          <w:sz w:val="21"/>
          <w:szCs w:val="21"/>
          <w:highlight w:val="none"/>
        </w:rPr>
      </w:pPr>
    </w:p>
    <w:p w14:paraId="55D7B0DF">
      <w:pPr>
        <w:spacing w:line="360" w:lineRule="auto"/>
        <w:rPr>
          <w:rFonts w:hint="eastAsia" w:ascii="宋体" w:hAnsi="宋体" w:cs="宋体"/>
          <w:color w:val="auto"/>
          <w:sz w:val="21"/>
          <w:szCs w:val="21"/>
          <w:highlight w:val="none"/>
        </w:rPr>
      </w:pPr>
    </w:p>
    <w:p w14:paraId="6BEF9289">
      <w:pPr>
        <w:spacing w:line="360" w:lineRule="auto"/>
        <w:rPr>
          <w:rFonts w:hint="eastAsia" w:ascii="宋体" w:hAnsi="宋体" w:cs="宋体"/>
          <w:color w:val="auto"/>
          <w:sz w:val="21"/>
          <w:szCs w:val="21"/>
          <w:highlight w:val="none"/>
        </w:rPr>
      </w:pPr>
    </w:p>
    <w:p w14:paraId="4634675E">
      <w:pPr>
        <w:spacing w:line="360" w:lineRule="auto"/>
        <w:rPr>
          <w:rFonts w:hint="eastAsia" w:ascii="宋体" w:hAnsi="宋体" w:cs="宋体"/>
          <w:color w:val="auto"/>
          <w:sz w:val="21"/>
          <w:szCs w:val="21"/>
          <w:highlight w:val="none"/>
        </w:rPr>
      </w:pPr>
    </w:p>
    <w:p w14:paraId="64E243BF">
      <w:pPr>
        <w:spacing w:line="360" w:lineRule="auto"/>
        <w:rPr>
          <w:rFonts w:hint="eastAsia" w:ascii="宋体" w:hAnsi="宋体" w:cs="宋体"/>
          <w:color w:val="auto"/>
          <w:sz w:val="21"/>
          <w:szCs w:val="21"/>
          <w:highlight w:val="none"/>
        </w:rPr>
      </w:pPr>
    </w:p>
    <w:p w14:paraId="55A9B723">
      <w:pPr>
        <w:spacing w:line="360" w:lineRule="auto"/>
        <w:rPr>
          <w:rFonts w:hint="eastAsia" w:ascii="宋体" w:hAnsi="宋体" w:cs="宋体"/>
          <w:color w:val="auto"/>
          <w:sz w:val="21"/>
          <w:szCs w:val="21"/>
          <w:highlight w:val="none"/>
        </w:rPr>
      </w:pPr>
    </w:p>
    <w:p w14:paraId="401663F3">
      <w:pPr>
        <w:spacing w:line="360" w:lineRule="auto"/>
        <w:rPr>
          <w:rFonts w:hint="eastAsia" w:ascii="宋体" w:hAnsi="宋体" w:cs="宋体"/>
          <w:color w:val="auto"/>
          <w:sz w:val="21"/>
          <w:szCs w:val="21"/>
          <w:highlight w:val="none"/>
        </w:rPr>
      </w:pPr>
    </w:p>
    <w:p w14:paraId="0D93C37C">
      <w:pPr>
        <w:spacing w:line="360" w:lineRule="auto"/>
        <w:rPr>
          <w:rFonts w:hint="eastAsia" w:ascii="宋体" w:hAnsi="宋体" w:cs="宋体"/>
          <w:b/>
          <w:color w:val="auto"/>
          <w:sz w:val="21"/>
          <w:szCs w:val="21"/>
          <w:highlight w:val="none"/>
        </w:rPr>
      </w:pPr>
    </w:p>
    <w:p w14:paraId="159BB73C">
      <w:pPr>
        <w:spacing w:line="360" w:lineRule="auto"/>
        <w:rPr>
          <w:rFonts w:hint="eastAsia" w:ascii="宋体" w:hAnsi="宋体" w:cs="宋体"/>
          <w:b/>
          <w:color w:val="auto"/>
          <w:sz w:val="21"/>
          <w:szCs w:val="21"/>
          <w:highlight w:val="none"/>
        </w:rPr>
      </w:pPr>
    </w:p>
    <w:p w14:paraId="7D5F4528">
      <w:pPr>
        <w:spacing w:line="360" w:lineRule="auto"/>
        <w:rPr>
          <w:rFonts w:hint="eastAsia" w:ascii="宋体" w:hAnsi="宋体" w:cs="宋体"/>
          <w:b/>
          <w:color w:val="auto"/>
          <w:sz w:val="21"/>
          <w:szCs w:val="21"/>
          <w:highlight w:val="none"/>
        </w:rPr>
      </w:pPr>
    </w:p>
    <w:p w14:paraId="04A99BB2">
      <w:pPr>
        <w:spacing w:line="360" w:lineRule="auto"/>
        <w:rPr>
          <w:rFonts w:hint="eastAsia" w:ascii="宋体" w:hAnsi="宋体" w:cs="宋体"/>
          <w:b/>
          <w:color w:val="auto"/>
          <w:sz w:val="21"/>
          <w:szCs w:val="21"/>
          <w:highlight w:val="none"/>
        </w:rPr>
      </w:pPr>
    </w:p>
    <w:p w14:paraId="075765BF">
      <w:pPr>
        <w:spacing w:line="360" w:lineRule="auto"/>
        <w:rPr>
          <w:rFonts w:hint="eastAsia" w:ascii="宋体" w:hAnsi="宋体" w:cs="宋体"/>
          <w:b/>
          <w:color w:val="auto"/>
          <w:sz w:val="21"/>
          <w:szCs w:val="21"/>
          <w:highlight w:val="none"/>
        </w:rPr>
      </w:pPr>
    </w:p>
    <w:p w14:paraId="5680B448">
      <w:pPr>
        <w:spacing w:line="360" w:lineRule="auto"/>
        <w:rPr>
          <w:rFonts w:hint="eastAsia" w:ascii="宋体" w:hAnsi="宋体" w:cs="宋体"/>
          <w:b/>
          <w:color w:val="auto"/>
          <w:sz w:val="21"/>
          <w:szCs w:val="21"/>
          <w:highlight w:val="none"/>
        </w:rPr>
      </w:pPr>
    </w:p>
    <w:p w14:paraId="598D0BAF">
      <w:pPr>
        <w:spacing w:line="360" w:lineRule="auto"/>
        <w:rPr>
          <w:rFonts w:hint="eastAsia" w:ascii="宋体" w:hAnsi="宋体" w:cs="宋体"/>
          <w:b/>
          <w:color w:val="auto"/>
          <w:sz w:val="21"/>
          <w:szCs w:val="21"/>
          <w:highlight w:val="none"/>
        </w:rPr>
      </w:pPr>
    </w:p>
    <w:p w14:paraId="4E339B22">
      <w:pPr>
        <w:spacing w:line="360" w:lineRule="auto"/>
        <w:rPr>
          <w:rFonts w:hint="eastAsia" w:ascii="宋体" w:hAnsi="宋体" w:cs="宋体"/>
          <w:b/>
          <w:color w:val="auto"/>
          <w:sz w:val="21"/>
          <w:szCs w:val="21"/>
          <w:highlight w:val="none"/>
        </w:rPr>
      </w:pPr>
    </w:p>
    <w:p w14:paraId="0F93E107">
      <w:pPr>
        <w:spacing w:line="360" w:lineRule="auto"/>
        <w:rPr>
          <w:rFonts w:hint="eastAsia" w:ascii="宋体" w:hAnsi="宋体" w:cs="宋体"/>
          <w:b/>
          <w:color w:val="auto"/>
          <w:sz w:val="21"/>
          <w:szCs w:val="21"/>
          <w:highlight w:val="none"/>
        </w:rPr>
      </w:pPr>
    </w:p>
    <w:p w14:paraId="71C380AF">
      <w:pPr>
        <w:spacing w:line="360" w:lineRule="auto"/>
        <w:rPr>
          <w:rFonts w:hint="eastAsia" w:ascii="宋体" w:hAnsi="宋体" w:cs="宋体"/>
          <w:b/>
          <w:color w:val="auto"/>
          <w:sz w:val="21"/>
          <w:szCs w:val="21"/>
          <w:highlight w:val="none"/>
        </w:rPr>
      </w:pPr>
    </w:p>
    <w:p w14:paraId="7106AC3D">
      <w:pPr>
        <w:spacing w:line="360" w:lineRule="auto"/>
        <w:rPr>
          <w:rFonts w:hint="eastAsia" w:ascii="宋体" w:hAnsi="宋体" w:cs="宋体"/>
          <w:b/>
          <w:color w:val="auto"/>
          <w:sz w:val="21"/>
          <w:szCs w:val="21"/>
          <w:highlight w:val="none"/>
        </w:rPr>
      </w:pPr>
    </w:p>
    <w:p w14:paraId="620822BB">
      <w:pPr>
        <w:spacing w:line="360" w:lineRule="auto"/>
        <w:rPr>
          <w:rFonts w:hint="eastAsia" w:ascii="宋体" w:hAnsi="宋体" w:cs="宋体"/>
          <w:b/>
          <w:color w:val="auto"/>
          <w:sz w:val="21"/>
          <w:szCs w:val="21"/>
          <w:highlight w:val="none"/>
        </w:rPr>
      </w:pPr>
    </w:p>
    <w:p w14:paraId="67CD2590">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49" w:name="_Toc296891266"/>
      <w:bookmarkStart w:id="450" w:name="_Toc296347225"/>
      <w:bookmarkStart w:id="451" w:name="_Toc296891054"/>
      <w:bookmarkStart w:id="452" w:name="_Toc296944565"/>
      <w:bookmarkStart w:id="453" w:name="_Toc296503226"/>
      <w:bookmarkStart w:id="454" w:name="_Toc296346727"/>
      <w:bookmarkStart w:id="455" w:name="_Toc267261693"/>
      <w:r>
        <w:rPr>
          <w:rFonts w:hint="eastAsia" w:ascii="宋体" w:hAnsi="宋体" w:cs="宋体"/>
          <w:b/>
          <w:color w:val="auto"/>
          <w:sz w:val="21"/>
          <w:szCs w:val="21"/>
          <w:highlight w:val="none"/>
        </w:rPr>
        <w:t>件1：</w:t>
      </w:r>
      <w:bookmarkEnd w:id="449"/>
      <w:bookmarkEnd w:id="450"/>
      <w:bookmarkEnd w:id="451"/>
      <w:bookmarkEnd w:id="452"/>
      <w:bookmarkEnd w:id="453"/>
      <w:bookmarkEnd w:id="454"/>
      <w:bookmarkEnd w:id="455"/>
      <w:r>
        <w:rPr>
          <w:rFonts w:hint="eastAsia" w:ascii="宋体" w:hAnsi="宋体" w:cs="宋体"/>
          <w:b/>
          <w:color w:val="auto"/>
          <w:sz w:val="21"/>
          <w:szCs w:val="21"/>
          <w:highlight w:val="none"/>
        </w:rPr>
        <w:t xml:space="preserve">    </w:t>
      </w:r>
    </w:p>
    <w:p w14:paraId="4F7DFE0A">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工程质量保修书</w:t>
      </w:r>
    </w:p>
    <w:p w14:paraId="002B958C">
      <w:pPr>
        <w:spacing w:line="360" w:lineRule="auto"/>
        <w:rPr>
          <w:rFonts w:hint="eastAsia" w:ascii="宋体" w:hAnsi="宋体" w:eastAsia="宋体" w:cs="宋体"/>
          <w:color w:val="auto"/>
          <w:sz w:val="21"/>
          <w:szCs w:val="21"/>
          <w:highlight w:val="none"/>
          <w:u w:val="single"/>
          <w:lang w:eastAsia="zh-CN"/>
        </w:rPr>
      </w:pPr>
      <w:r>
        <w:rPr>
          <w:rFonts w:hint="eastAsia" w:ascii="宋体" w:hAnsi="宋体" w:cs="宋体"/>
          <w:color w:val="auto"/>
          <w:sz w:val="21"/>
          <w:szCs w:val="21"/>
          <w:highlight w:val="none"/>
        </w:rPr>
        <w:t xml:space="preserve">    发包人（全称）：</w:t>
      </w:r>
      <w:r>
        <w:rPr>
          <w:rFonts w:hint="eastAsia" w:ascii="宋体" w:hAnsi="宋体" w:cs="宋体"/>
          <w:color w:val="auto"/>
          <w:sz w:val="21"/>
          <w:szCs w:val="21"/>
          <w:highlight w:val="none"/>
          <w:u w:val="single"/>
          <w:lang w:eastAsia="zh-CN"/>
        </w:rPr>
        <w:t>宁波市名山建设发展集团有限公司</w:t>
      </w:r>
    </w:p>
    <w:p w14:paraId="342F903B">
      <w:pPr>
        <w:spacing w:line="360" w:lineRule="auto"/>
        <w:ind w:firstLine="420" w:firstLineChars="200"/>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rPr>
        <w:t>承包人（全称）：</w:t>
      </w:r>
      <w:r>
        <w:rPr>
          <w:rFonts w:hint="eastAsia" w:ascii="宋体" w:hAnsi="宋体" w:eastAsia="宋体" w:cs="宋体"/>
          <w:color w:val="auto"/>
          <w:sz w:val="21"/>
          <w:szCs w:val="21"/>
          <w:highlight w:val="none"/>
          <w:u w:val="single"/>
          <w:lang w:val="en-US" w:eastAsia="zh-CN"/>
        </w:rPr>
        <w:t xml:space="preserve">                                  </w:t>
      </w:r>
    </w:p>
    <w:p w14:paraId="3BBAA082">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发包人和承包人根据《中华人民共和国建筑法》和《建设工程质量管理条例》，经协商一致就</w:t>
      </w:r>
      <w:r>
        <w:rPr>
          <w:rFonts w:hint="eastAsia" w:ascii="宋体" w:hAnsi="宋体" w:cs="宋体"/>
          <w:color w:val="auto"/>
          <w:sz w:val="21"/>
          <w:szCs w:val="21"/>
          <w:highlight w:val="none"/>
          <w:u w:val="single"/>
          <w:lang w:eastAsia="zh-CN"/>
        </w:rPr>
        <w:t>大慈路与公园路交叉口提升工程项目工程</w:t>
      </w:r>
      <w:r>
        <w:rPr>
          <w:rFonts w:hint="eastAsia" w:ascii="宋体" w:hAnsi="宋体" w:cs="宋体"/>
          <w:color w:val="auto"/>
          <w:sz w:val="21"/>
          <w:szCs w:val="21"/>
          <w:highlight w:val="none"/>
        </w:rPr>
        <w:t>质量保修书。</w:t>
      </w:r>
    </w:p>
    <w:p w14:paraId="136CA98D">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一、工程质量保修范围和内容</w:t>
      </w:r>
    </w:p>
    <w:p w14:paraId="777DC462">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承包人在质量保修期内，按照有关法律规定和合同约定，承担工程质量保修责任。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w:t>
      </w:r>
    </w:p>
    <w:p w14:paraId="5E6D2ACA">
      <w:pPr>
        <w:pStyle w:val="66"/>
        <w:spacing w:line="360" w:lineRule="auto"/>
        <w:ind w:firstLine="422" w:firstLineChars="200"/>
        <w:rPr>
          <w:rFonts w:hint="eastAsia" w:cs="宋体"/>
          <w:b/>
          <w:color w:val="auto"/>
          <w:sz w:val="21"/>
          <w:szCs w:val="21"/>
          <w:highlight w:val="none"/>
        </w:rPr>
      </w:pPr>
      <w:r>
        <w:rPr>
          <w:rFonts w:hint="eastAsia" w:cs="宋体"/>
          <w:b/>
          <w:color w:val="auto"/>
          <w:sz w:val="21"/>
          <w:szCs w:val="21"/>
          <w:highlight w:val="none"/>
        </w:rPr>
        <w:t>二、质量保修期</w:t>
      </w:r>
    </w:p>
    <w:p w14:paraId="7457679E">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根据《建设工程质量管理条例》及有关规定，工程的质量保修期如下：</w:t>
      </w:r>
    </w:p>
    <w:p w14:paraId="4F0AFDD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eastAsia="宋体" w:cs="宋体"/>
          <w:color w:val="auto"/>
          <w:sz w:val="21"/>
          <w:szCs w:val="21"/>
          <w:highlight w:val="none"/>
          <w:lang w:val="en-US" w:eastAsia="zh-CN"/>
        </w:rPr>
        <w:t>本工程保修期为</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年。</w:t>
      </w:r>
    </w:p>
    <w:p w14:paraId="50D6EB46">
      <w:pPr>
        <w:spacing w:line="360" w:lineRule="auto"/>
        <w:rPr>
          <w:rFonts w:hint="eastAsia" w:ascii="宋体" w:hAnsi="宋体" w:cs="宋体"/>
          <w:b/>
          <w:color w:val="auto"/>
          <w:sz w:val="21"/>
          <w:szCs w:val="21"/>
          <w:highlight w:val="none"/>
        </w:rPr>
      </w:pPr>
      <w:r>
        <w:rPr>
          <w:rFonts w:hint="eastAsia" w:ascii="宋体" w:hAnsi="宋体" w:cs="宋体"/>
          <w:color w:val="auto"/>
          <w:sz w:val="21"/>
          <w:szCs w:val="21"/>
          <w:highlight w:val="none"/>
        </w:rPr>
        <w:t>　　质量保修期自工程竣工验收合格之日起计算。</w:t>
      </w:r>
    </w:p>
    <w:p w14:paraId="15AE97B8">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三、缺陷责任期</w:t>
      </w:r>
    </w:p>
    <w:p w14:paraId="414AF915">
      <w:pPr>
        <w:spacing w:line="360" w:lineRule="auto"/>
        <w:ind w:firstLine="411" w:firstLineChars="196"/>
        <w:rPr>
          <w:rFonts w:hint="eastAsia" w:ascii="宋体" w:hAnsi="宋体" w:cs="宋体"/>
          <w:color w:val="auto"/>
          <w:sz w:val="21"/>
          <w:szCs w:val="21"/>
          <w:highlight w:val="none"/>
        </w:rPr>
      </w:pPr>
      <w:r>
        <w:rPr>
          <w:rFonts w:hint="eastAsia" w:ascii="宋体" w:hAnsi="宋体" w:cs="宋体"/>
          <w:color w:val="auto"/>
          <w:sz w:val="21"/>
          <w:szCs w:val="21"/>
          <w:highlight w:val="none"/>
        </w:rPr>
        <w:t>工程缺陷责任期为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12</w:t>
      </w:r>
      <w:r>
        <w:rPr>
          <w:rFonts w:hint="eastAsia" w:ascii="宋体" w:hAnsi="宋体" w:cs="宋体"/>
          <w:color w:val="auto"/>
          <w:sz w:val="21"/>
          <w:szCs w:val="21"/>
          <w:highlight w:val="none"/>
        </w:rPr>
        <w:t>个月，缺陷责任期自工程竣工验收合格之日起计算。单位工程先于全部工程进行验收，单位工程缺陷责任期自单位工程验收合格之日起算。</w:t>
      </w:r>
    </w:p>
    <w:p w14:paraId="20EB12D6">
      <w:pPr>
        <w:spacing w:line="360" w:lineRule="auto"/>
        <w:ind w:firstLine="411" w:firstLineChars="196"/>
        <w:rPr>
          <w:rFonts w:hint="eastAsia" w:ascii="宋体" w:hAnsi="宋体" w:cs="宋体"/>
          <w:color w:val="auto"/>
          <w:sz w:val="21"/>
          <w:szCs w:val="21"/>
          <w:highlight w:val="none"/>
        </w:rPr>
      </w:pPr>
      <w:r>
        <w:rPr>
          <w:rFonts w:hint="eastAsia" w:ascii="宋体" w:hAnsi="宋体" w:cs="宋体"/>
          <w:color w:val="auto"/>
          <w:sz w:val="21"/>
          <w:szCs w:val="21"/>
          <w:highlight w:val="none"/>
        </w:rPr>
        <w:t>缺陷责任期终止后，发包人在完成最终结清后应退还承包人的质量保证金保函或剩余的质量保证金。</w:t>
      </w:r>
    </w:p>
    <w:p w14:paraId="08EF70DA">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四、质量保修责任</w:t>
      </w:r>
    </w:p>
    <w:p w14:paraId="2EC24861">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1．属于保修范围、内容的项目，承包人应当在接到保修通知之日起7天内派人保修。承包人不在约定期限内派人保修的，发包人可以委托他人修理。</w:t>
      </w:r>
    </w:p>
    <w:p w14:paraId="1D6FCC5D">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2．发生紧急事故需抢修的，承包人在接到事故通知后，应当立即到达事故现场抢修。</w:t>
      </w:r>
    </w:p>
    <w:p w14:paraId="6273C354">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B11C55C">
      <w:pPr>
        <w:spacing w:line="360" w:lineRule="auto"/>
        <w:ind w:left="105" w:leftChars="50" w:firstLine="420" w:firstLineChars="200"/>
        <w:rPr>
          <w:rFonts w:hint="eastAsia" w:ascii="宋体" w:hAnsi="宋体" w:cs="宋体"/>
          <w:b/>
          <w:color w:val="auto"/>
          <w:sz w:val="21"/>
          <w:szCs w:val="21"/>
          <w:highlight w:val="none"/>
        </w:rPr>
      </w:pPr>
      <w:r>
        <w:rPr>
          <w:rFonts w:hint="eastAsia" w:ascii="宋体" w:hAnsi="宋体" w:cs="宋体"/>
          <w:color w:val="auto"/>
          <w:sz w:val="21"/>
          <w:szCs w:val="21"/>
          <w:highlight w:val="none"/>
        </w:rPr>
        <w:t>4．质量保修完成后，由发包人组织验收。</w:t>
      </w:r>
    </w:p>
    <w:p w14:paraId="31CF9CEF">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五、保修费用</w:t>
      </w:r>
    </w:p>
    <w:p w14:paraId="14C8B394">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保修费用由造成质量缺陷的责任方承担。</w:t>
      </w:r>
    </w:p>
    <w:p w14:paraId="3010F5EB">
      <w:pPr>
        <w:spacing w:line="360" w:lineRule="auto"/>
        <w:ind w:firstLine="413" w:firstLineChars="196"/>
        <w:rPr>
          <w:rFonts w:hint="eastAsia" w:ascii="宋体" w:hAnsi="宋体" w:cs="宋体"/>
          <w:b/>
          <w:color w:val="auto"/>
          <w:sz w:val="21"/>
          <w:szCs w:val="21"/>
          <w:highlight w:val="none"/>
          <w:u w:val="single"/>
        </w:rPr>
      </w:pPr>
      <w:r>
        <w:rPr>
          <w:rFonts w:hint="eastAsia" w:ascii="宋体" w:hAnsi="宋体" w:cs="宋体"/>
          <w:b/>
          <w:color w:val="auto"/>
          <w:sz w:val="21"/>
          <w:szCs w:val="21"/>
          <w:highlight w:val="none"/>
        </w:rPr>
        <w:t>六、双方约定的其他工程质量保修事项：</w:t>
      </w:r>
      <w:r>
        <w:rPr>
          <w:rFonts w:hint="eastAsia" w:ascii="宋体" w:hAnsi="宋体" w:cs="宋体"/>
          <w:b/>
          <w:color w:val="auto"/>
          <w:sz w:val="21"/>
          <w:szCs w:val="21"/>
          <w:highlight w:val="none"/>
          <w:u w:val="single"/>
        </w:rPr>
        <w:t xml:space="preserve">    /    </w:t>
      </w:r>
      <w:r>
        <w:rPr>
          <w:rFonts w:hint="eastAsia" w:ascii="宋体" w:hAnsi="宋体" w:cs="宋体"/>
          <w:color w:val="auto"/>
          <w:sz w:val="21"/>
          <w:szCs w:val="21"/>
          <w:highlight w:val="none"/>
        </w:rPr>
        <w:t>。</w:t>
      </w:r>
    </w:p>
    <w:p w14:paraId="057331C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工程质量保修书由发包人、承包人在工程竣工验收前共同签署，作为施工合同附件，其有效期限至保修期满。</w:t>
      </w:r>
    </w:p>
    <w:p w14:paraId="7DBEAF66">
      <w:pPr>
        <w:spacing w:line="360" w:lineRule="auto"/>
        <w:ind w:firstLine="420"/>
        <w:rPr>
          <w:rFonts w:hint="eastAsia" w:ascii="宋体" w:hAnsi="宋体" w:cs="宋体"/>
          <w:color w:val="auto"/>
          <w:sz w:val="21"/>
          <w:szCs w:val="21"/>
          <w:highlight w:val="none"/>
        </w:rPr>
      </w:pPr>
    </w:p>
    <w:p w14:paraId="27ECCEBB">
      <w:pPr>
        <w:autoSpaceDE w:val="0"/>
        <w:autoSpaceDN w:val="0"/>
        <w:adjustRightInd w:val="0"/>
        <w:spacing w:line="380" w:lineRule="exact"/>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pacing w:val="14"/>
          <w:sz w:val="21"/>
          <w:szCs w:val="21"/>
          <w:highlight w:val="none"/>
          <w:u w:val="single"/>
        </w:rPr>
        <w:t xml:space="preserve">     </w:t>
      </w:r>
      <w:r>
        <w:rPr>
          <w:rFonts w:hint="eastAsia" w:ascii="宋体" w:hAnsi="宋体" w:cs="宋体"/>
          <w:color w:val="auto"/>
          <w:spacing w:val="14"/>
          <w:sz w:val="21"/>
          <w:szCs w:val="21"/>
          <w:highlight w:val="none"/>
          <w:u w:val="single"/>
          <w:lang w:val="en-US" w:eastAsia="zh-CN"/>
        </w:rPr>
        <w:t xml:space="preserve">           </w:t>
      </w:r>
      <w:r>
        <w:rPr>
          <w:rFonts w:hint="eastAsia" w:ascii="宋体" w:hAnsi="宋体" w:eastAsia="宋体" w:cs="宋体"/>
          <w:color w:val="auto"/>
          <w:sz w:val="21"/>
          <w:szCs w:val="21"/>
          <w:highlight w:val="none"/>
        </w:rPr>
        <w:t>承包人(公章):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55D524B0">
      <w:pPr>
        <w:spacing w:line="560" w:lineRule="exac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rPr>
        <w:t>地  址：</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lang w:val="en-US" w:eastAsia="zh-CN"/>
        </w:rPr>
        <w:t xml:space="preserve">                      </w:t>
      </w:r>
    </w:p>
    <w:p w14:paraId="507D621D">
      <w:pPr>
        <w:spacing w:line="56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法定代表人(签字)：</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法定代表人(签字):</w:t>
      </w:r>
      <w:r>
        <w:rPr>
          <w:rFonts w:hint="eastAsia" w:ascii="宋体" w:hAnsi="宋体" w:eastAsia="宋体" w:cs="宋体"/>
          <w:color w:val="auto"/>
          <w:sz w:val="21"/>
          <w:szCs w:val="21"/>
          <w:highlight w:val="none"/>
          <w:u w:val="single"/>
        </w:rPr>
        <w:t xml:space="preserve">                  </w:t>
      </w:r>
    </w:p>
    <w:p w14:paraId="627D8118">
      <w:pPr>
        <w:spacing w:line="56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委托代理人(签字)：</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委托代理人(签字):</w:t>
      </w:r>
      <w:r>
        <w:rPr>
          <w:rFonts w:hint="eastAsia" w:ascii="宋体" w:hAnsi="宋体" w:eastAsia="宋体" w:cs="宋体"/>
          <w:color w:val="auto"/>
          <w:sz w:val="21"/>
          <w:szCs w:val="21"/>
          <w:highlight w:val="none"/>
          <w:u w:val="single"/>
        </w:rPr>
        <w:t xml:space="preserve">                  </w:t>
      </w:r>
    </w:p>
    <w:p w14:paraId="6009FEB6">
      <w:pPr>
        <w:spacing w:line="5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0CAB1D65">
      <w:pPr>
        <w:spacing w:line="5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1446BC28">
      <w:pPr>
        <w:autoSpaceDE w:val="0"/>
        <w:autoSpaceDN w:val="0"/>
        <w:adjustRightInd w:val="0"/>
        <w:spacing w:line="440" w:lineRule="exact"/>
        <w:jc w:val="lef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rPr>
        <w:t>开户银行：</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 xml:space="preserve">   开户银行：</w:t>
      </w:r>
      <w:r>
        <w:rPr>
          <w:rFonts w:hint="eastAsia" w:ascii="宋体" w:hAnsi="宋体" w:eastAsia="宋体" w:cs="宋体"/>
          <w:color w:val="auto"/>
          <w:kern w:val="0"/>
          <w:sz w:val="21"/>
          <w:szCs w:val="21"/>
          <w:highlight w:val="none"/>
          <w:u w:val="single"/>
          <w:lang w:val="en-US" w:eastAsia="zh-CN"/>
        </w:rPr>
        <w:t xml:space="preserve">                       </w:t>
      </w:r>
    </w:p>
    <w:p w14:paraId="38464873">
      <w:pPr>
        <w:spacing w:line="360" w:lineRule="auto"/>
        <w:rPr>
          <w:rFonts w:hint="eastAsia" w:ascii="宋体" w:hAnsi="宋体" w:cs="宋体"/>
          <w:color w:val="auto"/>
          <w:sz w:val="21"/>
          <w:szCs w:val="21"/>
          <w:highlight w:val="none"/>
          <w:u w:val="single"/>
        </w:rPr>
      </w:pPr>
      <w:r>
        <w:rPr>
          <w:rFonts w:hint="eastAsia" w:ascii="宋体" w:hAnsi="宋体" w:eastAsia="宋体" w:cs="宋体"/>
          <w:color w:val="auto"/>
          <w:kern w:val="0"/>
          <w:sz w:val="21"/>
          <w:szCs w:val="21"/>
          <w:highlight w:val="none"/>
          <w:lang w:val="zh-CN"/>
        </w:rPr>
        <w:t>账号：</w:t>
      </w:r>
      <w:r>
        <w:rPr>
          <w:rFonts w:hint="eastAsia" w:ascii="宋体" w:hAnsi="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single"/>
          <w:lang w:val="zh-CN"/>
        </w:rPr>
        <w:t xml:space="preserve"> </w:t>
      </w:r>
      <w:r>
        <w:rPr>
          <w:rFonts w:hint="eastAsia" w:ascii="宋体" w:hAnsi="宋体" w:eastAsia="宋体" w:cs="宋体"/>
          <w:color w:val="auto"/>
          <w:kern w:val="0"/>
          <w:sz w:val="21"/>
          <w:szCs w:val="21"/>
          <w:highlight w:val="none"/>
          <w:lang w:val="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 xml:space="preserve">账号：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p>
    <w:p w14:paraId="260EA342">
      <w:pPr>
        <w:spacing w:line="360" w:lineRule="auto"/>
        <w:rPr>
          <w:rFonts w:hint="eastAsia" w:ascii="宋体" w:hAnsi="宋体" w:cs="宋体"/>
          <w:color w:val="auto"/>
          <w:sz w:val="21"/>
          <w:szCs w:val="21"/>
          <w:highlight w:val="none"/>
          <w:u w:val="single"/>
        </w:rPr>
      </w:pPr>
    </w:p>
    <w:p w14:paraId="7B9B282E">
      <w:pPr>
        <w:spacing w:line="360" w:lineRule="auto"/>
        <w:rPr>
          <w:rFonts w:hint="eastAsia" w:ascii="宋体" w:hAnsi="宋体" w:cs="宋体"/>
          <w:color w:val="auto"/>
          <w:sz w:val="21"/>
          <w:szCs w:val="21"/>
          <w:highlight w:val="none"/>
          <w:u w:val="single"/>
        </w:rPr>
      </w:pPr>
    </w:p>
    <w:p w14:paraId="34EF9A7B">
      <w:pPr>
        <w:spacing w:line="360" w:lineRule="auto"/>
        <w:rPr>
          <w:rFonts w:hint="eastAsia" w:ascii="宋体" w:hAnsi="宋体" w:cs="宋体"/>
          <w:color w:val="auto"/>
          <w:sz w:val="21"/>
          <w:szCs w:val="21"/>
          <w:highlight w:val="none"/>
          <w:u w:val="single"/>
        </w:rPr>
      </w:pPr>
    </w:p>
    <w:p w14:paraId="77D95A36">
      <w:pPr>
        <w:spacing w:line="360" w:lineRule="auto"/>
        <w:rPr>
          <w:rFonts w:hint="eastAsia" w:ascii="宋体" w:hAnsi="宋体" w:cs="宋体"/>
          <w:color w:val="auto"/>
          <w:sz w:val="21"/>
          <w:szCs w:val="21"/>
          <w:highlight w:val="none"/>
          <w:u w:val="single"/>
        </w:rPr>
      </w:pPr>
    </w:p>
    <w:p w14:paraId="470459FE">
      <w:pPr>
        <w:spacing w:line="360" w:lineRule="auto"/>
        <w:rPr>
          <w:rFonts w:hint="eastAsia" w:ascii="宋体" w:hAnsi="宋体" w:cs="宋体"/>
          <w:color w:val="auto"/>
          <w:sz w:val="21"/>
          <w:szCs w:val="21"/>
          <w:highlight w:val="none"/>
          <w:u w:val="single"/>
        </w:rPr>
      </w:pPr>
    </w:p>
    <w:p w14:paraId="44378B9A">
      <w:pPr>
        <w:spacing w:line="360" w:lineRule="auto"/>
        <w:rPr>
          <w:rFonts w:hint="eastAsia" w:ascii="宋体" w:hAnsi="宋体" w:cs="宋体"/>
          <w:color w:val="auto"/>
          <w:sz w:val="21"/>
          <w:szCs w:val="21"/>
          <w:highlight w:val="none"/>
          <w:u w:val="single"/>
        </w:rPr>
      </w:pPr>
    </w:p>
    <w:p w14:paraId="1C59F768">
      <w:pPr>
        <w:spacing w:line="360" w:lineRule="auto"/>
        <w:rPr>
          <w:rFonts w:hint="eastAsia" w:ascii="宋体" w:hAnsi="宋体" w:cs="宋体"/>
          <w:color w:val="auto"/>
          <w:sz w:val="21"/>
          <w:szCs w:val="21"/>
          <w:highlight w:val="none"/>
          <w:u w:val="single"/>
        </w:rPr>
      </w:pPr>
    </w:p>
    <w:p w14:paraId="6FF7CAF7">
      <w:pPr>
        <w:spacing w:line="360" w:lineRule="auto"/>
        <w:rPr>
          <w:rFonts w:hint="eastAsia" w:ascii="宋体" w:hAnsi="宋体" w:cs="宋体"/>
          <w:color w:val="auto"/>
          <w:sz w:val="21"/>
          <w:szCs w:val="21"/>
          <w:highlight w:val="none"/>
          <w:u w:val="single"/>
        </w:rPr>
      </w:pPr>
    </w:p>
    <w:p w14:paraId="7A9C5E6B">
      <w:pPr>
        <w:spacing w:line="360" w:lineRule="auto"/>
        <w:rPr>
          <w:rFonts w:hint="eastAsia" w:ascii="宋体" w:hAnsi="宋体" w:cs="宋体"/>
          <w:b/>
          <w:bCs/>
          <w:color w:val="auto"/>
          <w:sz w:val="21"/>
          <w:szCs w:val="21"/>
          <w:highlight w:val="none"/>
        </w:rPr>
      </w:pPr>
      <w:bookmarkStart w:id="456" w:name="_Toc315695235"/>
      <w:bookmarkStart w:id="457" w:name="_Toc315695461"/>
      <w:bookmarkStart w:id="458" w:name="_Toc358876721"/>
      <w:bookmarkStart w:id="459" w:name="_Toc359567922"/>
      <w:bookmarkStart w:id="460" w:name="_Toc360114130"/>
    </w:p>
    <w:p w14:paraId="300CA9F5">
      <w:pPr>
        <w:spacing w:line="360" w:lineRule="auto"/>
        <w:rPr>
          <w:rFonts w:hint="eastAsia" w:ascii="宋体" w:hAnsi="宋体" w:cs="宋体"/>
          <w:b/>
          <w:bCs/>
          <w:color w:val="auto"/>
          <w:sz w:val="21"/>
          <w:szCs w:val="21"/>
          <w:highlight w:val="none"/>
        </w:rPr>
      </w:pPr>
    </w:p>
    <w:p w14:paraId="29A57FC1">
      <w:pPr>
        <w:spacing w:line="360" w:lineRule="auto"/>
        <w:rPr>
          <w:rFonts w:hint="eastAsia" w:ascii="宋体" w:hAnsi="宋体" w:cs="宋体"/>
          <w:b/>
          <w:bCs/>
          <w:color w:val="auto"/>
          <w:sz w:val="21"/>
          <w:szCs w:val="21"/>
          <w:highlight w:val="none"/>
        </w:rPr>
      </w:pPr>
    </w:p>
    <w:p w14:paraId="5F47EDE6">
      <w:pPr>
        <w:spacing w:line="360" w:lineRule="auto"/>
        <w:rPr>
          <w:rFonts w:hint="eastAsia" w:ascii="宋体" w:hAnsi="宋体" w:cs="宋体"/>
          <w:b/>
          <w:bCs/>
          <w:color w:val="auto"/>
          <w:sz w:val="21"/>
          <w:szCs w:val="21"/>
          <w:highlight w:val="none"/>
        </w:rPr>
      </w:pPr>
    </w:p>
    <w:p w14:paraId="0A109DB5">
      <w:pPr>
        <w:spacing w:line="360" w:lineRule="auto"/>
        <w:rPr>
          <w:rFonts w:hint="eastAsia" w:ascii="宋体" w:hAnsi="宋体" w:cs="宋体"/>
          <w:b/>
          <w:bCs/>
          <w:color w:val="auto"/>
          <w:sz w:val="21"/>
          <w:szCs w:val="21"/>
          <w:highlight w:val="none"/>
        </w:rPr>
      </w:pPr>
    </w:p>
    <w:p w14:paraId="4F6DEDCD">
      <w:pPr>
        <w:spacing w:line="360" w:lineRule="auto"/>
        <w:rPr>
          <w:rFonts w:hint="eastAsia" w:ascii="宋体" w:hAnsi="宋体" w:cs="宋体"/>
          <w:b/>
          <w:bCs/>
          <w:color w:val="auto"/>
          <w:sz w:val="21"/>
          <w:szCs w:val="21"/>
          <w:highlight w:val="none"/>
        </w:rPr>
      </w:pPr>
    </w:p>
    <w:p w14:paraId="1DF51F8D">
      <w:pPr>
        <w:spacing w:line="360" w:lineRule="auto"/>
        <w:rPr>
          <w:rFonts w:hint="eastAsia" w:ascii="宋体" w:hAnsi="宋体" w:cs="宋体"/>
          <w:b/>
          <w:bCs/>
          <w:color w:val="auto"/>
          <w:sz w:val="21"/>
          <w:szCs w:val="21"/>
          <w:highlight w:val="none"/>
        </w:rPr>
      </w:pPr>
    </w:p>
    <w:p w14:paraId="53E193D0">
      <w:pPr>
        <w:spacing w:line="360" w:lineRule="auto"/>
        <w:rPr>
          <w:rFonts w:hint="eastAsia" w:ascii="宋体" w:hAnsi="宋体" w:cs="宋体"/>
          <w:b/>
          <w:bCs/>
          <w:color w:val="auto"/>
          <w:sz w:val="21"/>
          <w:szCs w:val="21"/>
          <w:highlight w:val="none"/>
        </w:rPr>
      </w:pPr>
    </w:p>
    <w:p w14:paraId="197E3AF1">
      <w:pPr>
        <w:spacing w:line="360" w:lineRule="auto"/>
        <w:rPr>
          <w:rFonts w:hint="eastAsia" w:ascii="宋体" w:hAnsi="宋体" w:cs="宋体"/>
          <w:b/>
          <w:bCs/>
          <w:color w:val="auto"/>
          <w:sz w:val="21"/>
          <w:szCs w:val="21"/>
          <w:highlight w:val="none"/>
        </w:rPr>
      </w:pPr>
    </w:p>
    <w:p w14:paraId="1A38FBFF">
      <w:pPr>
        <w:spacing w:line="360" w:lineRule="auto"/>
        <w:rPr>
          <w:rFonts w:hint="eastAsia" w:ascii="宋体" w:hAnsi="宋体" w:cs="宋体"/>
          <w:b/>
          <w:bCs/>
          <w:color w:val="auto"/>
          <w:sz w:val="21"/>
          <w:szCs w:val="21"/>
          <w:highlight w:val="none"/>
        </w:rPr>
      </w:pPr>
    </w:p>
    <w:p w14:paraId="27302E8B">
      <w:pPr>
        <w:spacing w:line="360" w:lineRule="auto"/>
        <w:rPr>
          <w:rFonts w:hint="eastAsia" w:ascii="宋体" w:hAnsi="宋体" w:cs="宋体"/>
          <w:b/>
          <w:bCs/>
          <w:color w:val="auto"/>
          <w:sz w:val="21"/>
          <w:szCs w:val="21"/>
          <w:highlight w:val="none"/>
        </w:rPr>
      </w:pPr>
    </w:p>
    <w:p w14:paraId="4E83DCDA">
      <w:pP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33E182D9">
      <w:pPr>
        <w:spacing w:line="360" w:lineRule="auto"/>
        <w:rPr>
          <w:rFonts w:hint="eastAsia" w:ascii="宋体" w:hAnsi="宋体" w:cs="宋体"/>
          <w:b/>
          <w:color w:val="auto"/>
          <w:sz w:val="21"/>
          <w:szCs w:val="21"/>
          <w:highlight w:val="none"/>
        </w:rPr>
      </w:pPr>
      <w:r>
        <w:rPr>
          <w:rFonts w:hint="eastAsia" w:ascii="宋体" w:hAnsi="宋体" w:cs="宋体"/>
          <w:b/>
          <w:bCs/>
          <w:color w:val="auto"/>
          <w:sz w:val="21"/>
          <w:szCs w:val="21"/>
          <w:highlight w:val="none"/>
        </w:rPr>
        <w:t>附件2：</w:t>
      </w:r>
      <w:r>
        <w:rPr>
          <w:rFonts w:hint="eastAsia" w:ascii="宋体" w:hAnsi="宋体" w:cs="宋体"/>
          <w:b/>
          <w:bCs/>
          <w:color w:val="auto"/>
          <w:sz w:val="21"/>
          <w:szCs w:val="21"/>
          <w:highlight w:val="none"/>
          <w:lang w:val="en-US" w:eastAsia="zh-CN"/>
        </w:rPr>
        <w:t xml:space="preserve">                       </w:t>
      </w:r>
      <w:r>
        <w:rPr>
          <w:rFonts w:hint="eastAsia" w:ascii="宋体" w:hAnsi="宋体" w:cs="宋体"/>
          <w:b/>
          <w:color w:val="auto"/>
          <w:sz w:val="21"/>
          <w:szCs w:val="21"/>
          <w:highlight w:val="none"/>
        </w:rPr>
        <w:t>安全生产合同</w:t>
      </w:r>
    </w:p>
    <w:p w14:paraId="13DB7D12">
      <w:pPr>
        <w:spacing w:line="360" w:lineRule="auto"/>
        <w:ind w:firstLine="420" w:firstLineChars="200"/>
        <w:rPr>
          <w:rFonts w:hint="eastAsia" w:ascii="宋体" w:hAnsi="宋体" w:cs="宋体"/>
          <w:bCs/>
          <w:color w:val="auto"/>
          <w:sz w:val="21"/>
          <w:szCs w:val="21"/>
          <w:highlight w:val="none"/>
          <w:u w:val="single"/>
        </w:rPr>
      </w:pPr>
      <w:r>
        <w:rPr>
          <w:rFonts w:hint="eastAsia" w:ascii="宋体" w:hAnsi="宋体" w:cs="宋体"/>
          <w:color w:val="auto"/>
          <w:sz w:val="21"/>
          <w:szCs w:val="21"/>
          <w:highlight w:val="none"/>
        </w:rPr>
        <w:t>为在</w:t>
      </w:r>
      <w:r>
        <w:rPr>
          <w:rFonts w:hint="eastAsia" w:ascii="宋体" w:hAnsi="宋体" w:cs="宋体"/>
          <w:color w:val="auto"/>
          <w:sz w:val="21"/>
          <w:szCs w:val="21"/>
          <w:highlight w:val="none"/>
          <w:u w:val="single"/>
          <w:lang w:eastAsia="zh-CN"/>
        </w:rPr>
        <w:t>大慈路与公园路交叉口提升工程项目</w:t>
      </w:r>
      <w:r>
        <w:rPr>
          <w:rFonts w:hint="eastAsia" w:ascii="宋体" w:hAnsi="宋体" w:cs="宋体"/>
          <w:color w:val="auto"/>
          <w:sz w:val="21"/>
          <w:szCs w:val="21"/>
          <w:highlight w:val="none"/>
        </w:rPr>
        <w:t>（项目名称）施工合同的实施过程中创造安全、高效的施工环境，切实搞好本项目的安全管理工作，本项目发包人</w:t>
      </w:r>
      <w:r>
        <w:rPr>
          <w:rFonts w:hint="eastAsia" w:ascii="宋体" w:hAnsi="宋体" w:cs="宋体"/>
          <w:color w:val="auto"/>
          <w:sz w:val="21"/>
          <w:szCs w:val="21"/>
          <w:highlight w:val="none"/>
          <w:u w:val="single"/>
          <w:lang w:eastAsia="zh-CN"/>
        </w:rPr>
        <w:t>宁波市名山建设发展集团有限公司</w:t>
      </w:r>
      <w:r>
        <w:rPr>
          <w:rFonts w:hint="eastAsia" w:ascii="宋体" w:hAnsi="宋体" w:cs="宋体"/>
          <w:color w:val="auto"/>
          <w:sz w:val="21"/>
          <w:szCs w:val="21"/>
          <w:highlight w:val="none"/>
        </w:rPr>
        <w:t>（发包人名称，以下简称“发包人”）与</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cs="宋体"/>
          <w:color w:val="auto"/>
          <w:sz w:val="21"/>
          <w:szCs w:val="21"/>
          <w:highlight w:val="none"/>
        </w:rPr>
        <w:t>承包人名称，以下简称“承包人”）特此签订安全生产合同：</w:t>
      </w:r>
    </w:p>
    <w:p w14:paraId="2FFF865E">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1.发包人职责</w:t>
      </w:r>
    </w:p>
    <w:p w14:paraId="0A91B8FD">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（1）严格遵守国家有关安全生产的法律法规，认真执行工程承包合同中的有关安全要求。</w:t>
      </w:r>
    </w:p>
    <w:p w14:paraId="31F04334">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（2）按照“安全第一、预防为主”和坚持“管生产必须管安全”的原则进行安全生产管理，做到生产与安全工作同时计划、布置、检查、总结和评比。</w:t>
      </w:r>
    </w:p>
    <w:p w14:paraId="5DB6B670">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（3）重要的安全设施必须坚持与主体工程“三同时”的原则，即：同时设计、审批，同时施工，同时验收，投入使用。</w:t>
      </w:r>
    </w:p>
    <w:p w14:paraId="7016911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（4）定期召开安全生产调度会，及时传达中央及地方有关安全生产的精神。</w:t>
      </w:r>
    </w:p>
    <w:p w14:paraId="43DF10B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（5）组织对承包人施工现场安全生产检查，监督承包人及时处理发现的各种安全隐患。</w:t>
      </w:r>
    </w:p>
    <w:p w14:paraId="7AC509C9">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2.承包人职责</w:t>
      </w:r>
    </w:p>
    <w:p w14:paraId="58873D01">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（1）严格遵守《中华人民共和国安全生产法》、《建设工程安全生产管理条例》等国家有关安全生产的法律法规有关安全生产的规定。认真执行工程承包合同中的有关安全要求。</w:t>
      </w:r>
    </w:p>
    <w:p w14:paraId="15A8AF3C">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1F3EAD45">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规定的最低数量和资质条件配备专职安全生产管理人员，专职负责所有员工的安全和治安保卫工作及预防事故的发生。安全机构人员有权按有关规定发布指令，并采取保护性措施防止事故发生。</w:t>
      </w:r>
    </w:p>
    <w:p w14:paraId="50AD8701">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（4）承包人在任何时候都应采取各种合理的预防措施，防止其员工发生任何违法、违禁、暴力或妨碍治安的行为。</w:t>
      </w:r>
    </w:p>
    <w:p w14:paraId="04E8512D">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14:paraId="782F6EFB">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573FD51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（7）操作人员上岗，必须按规定穿戴防护用品。施工负责人和安全检查员应随时检查劳动防护用品的穿戴情况，不按规定穿戴防护用品的人员不得上岗。</w:t>
      </w:r>
    </w:p>
    <w:p w14:paraId="59C3B3E7">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（8）所有施工机具设备和高空作业的设备均应定期检查，并有安全员的签字记录，保证其经常处于完好状态；不合格的机具、设备和劳动保护用品严禁使用：</w:t>
      </w:r>
    </w:p>
    <w:p w14:paraId="40336ADC">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（9）施工中采用新技术、新工艺、新设备、新材料时，必须制定相应的安全技术措施，施工现场必须具有相关的安全标志牌。</w:t>
      </w:r>
    </w:p>
    <w:p w14:paraId="333067D8">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1485D017">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3.违约责任</w:t>
      </w:r>
    </w:p>
    <w:p w14:paraId="6F5A3E14">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如因发包人或承包人违约造成安全事故，将依法追究责任。</w:t>
      </w:r>
    </w:p>
    <w:p w14:paraId="22AB07E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4.本合同由双方法定代表人或其授权的代理人签署并加盖单位章后生效，全部工程竣工验收后失效。</w:t>
      </w:r>
    </w:p>
    <w:p w14:paraId="4D6E3544">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w:t>
      </w:r>
      <w:r>
        <w:rPr>
          <w:rFonts w:hint="eastAsia" w:ascii="宋体" w:hAnsi="宋体"/>
          <w:color w:val="auto"/>
          <w:sz w:val="21"/>
          <w:szCs w:val="21"/>
          <w:highlight w:val="none"/>
        </w:rPr>
        <w:t>本合同一式</w:t>
      </w:r>
      <w:r>
        <w:rPr>
          <w:rFonts w:hint="eastAsia" w:ascii="宋体" w:hAnsi="宋体"/>
          <w:color w:val="auto"/>
          <w:sz w:val="21"/>
          <w:szCs w:val="21"/>
          <w:highlight w:val="none"/>
          <w:lang w:eastAsia="zh-CN"/>
        </w:rPr>
        <w:t>陆</w:t>
      </w:r>
      <w:r>
        <w:rPr>
          <w:rFonts w:hint="eastAsia" w:ascii="宋体" w:hAnsi="宋体"/>
          <w:color w:val="auto"/>
          <w:sz w:val="21"/>
          <w:szCs w:val="21"/>
          <w:highlight w:val="none"/>
        </w:rPr>
        <w:t>份，甲、乙双方各执</w:t>
      </w:r>
      <w:r>
        <w:rPr>
          <w:rFonts w:hint="eastAsia" w:ascii="宋体" w:hAnsi="宋体"/>
          <w:color w:val="auto"/>
          <w:sz w:val="21"/>
          <w:szCs w:val="21"/>
          <w:highlight w:val="none"/>
          <w:lang w:eastAsia="zh-CN"/>
        </w:rPr>
        <w:t>贰</w:t>
      </w:r>
      <w:r>
        <w:rPr>
          <w:rFonts w:hint="eastAsia" w:ascii="宋体" w:hAnsi="宋体"/>
          <w:color w:val="auto"/>
          <w:sz w:val="21"/>
          <w:szCs w:val="21"/>
          <w:highlight w:val="none"/>
        </w:rPr>
        <w:t>份，镇（街道）公共资源交易分中心</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份，归档</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w:t>
      </w:r>
    </w:p>
    <w:p w14:paraId="31490134">
      <w:pPr>
        <w:autoSpaceDE w:val="0"/>
        <w:autoSpaceDN w:val="0"/>
        <w:adjustRightInd w:val="0"/>
        <w:spacing w:line="380" w:lineRule="exact"/>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发包人：</w:t>
      </w:r>
      <w:r>
        <w:rPr>
          <w:rFonts w:hint="eastAsia" w:ascii="宋体" w:hAnsi="宋体" w:cs="宋体"/>
          <w:color w:val="auto"/>
          <w:sz w:val="21"/>
          <w:szCs w:val="21"/>
          <w:highlight w:val="none"/>
          <w:u w:val="single"/>
          <w:lang w:eastAsia="zh-CN"/>
        </w:rPr>
        <w:t>宁波市名山建设发展集团有限公司</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盖</w:t>
      </w:r>
      <w:r>
        <w:rPr>
          <w:rFonts w:hint="eastAsia" w:ascii="宋体" w:hAnsi="宋体" w:eastAsia="宋体" w:cs="宋体"/>
          <w:color w:val="auto"/>
          <w:sz w:val="21"/>
          <w:szCs w:val="21"/>
          <w:highlight w:val="none"/>
        </w:rPr>
        <w:t>章）</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z w:val="21"/>
          <w:szCs w:val="21"/>
          <w:highlight w:val="none"/>
        </w:rPr>
        <w:t>承包人：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lang w:val="en-US" w:eastAsia="zh-CN"/>
        </w:rPr>
        <w:t>盖</w:t>
      </w:r>
      <w:r>
        <w:rPr>
          <w:rFonts w:hint="eastAsia" w:ascii="宋体" w:hAnsi="宋体" w:eastAsia="宋体" w:cs="宋体"/>
          <w:color w:val="auto"/>
          <w:sz w:val="21"/>
          <w:szCs w:val="21"/>
          <w:highlight w:val="none"/>
        </w:rPr>
        <w:t>章</w:t>
      </w:r>
      <w:r>
        <w:rPr>
          <w:rFonts w:hint="eastAsia" w:ascii="宋体" w:hAnsi="宋体" w:eastAsia="宋体" w:cs="宋体"/>
          <w:color w:val="auto"/>
          <w:sz w:val="21"/>
          <w:szCs w:val="21"/>
          <w:highlight w:val="none"/>
          <w:u w:val="none"/>
        </w:rPr>
        <w:t>）</w:t>
      </w:r>
    </w:p>
    <w:p w14:paraId="2DE0A268">
      <w:pPr>
        <w:spacing w:line="42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法定代表人或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法定代表人或</w:t>
      </w:r>
    </w:p>
    <w:p w14:paraId="793DED14">
      <w:pPr>
        <w:spacing w:line="42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其委托代理人：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（签字）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其委托代理人：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（签字）</w:t>
      </w:r>
    </w:p>
    <w:p w14:paraId="63668EA5">
      <w:pPr>
        <w:spacing w:line="420" w:lineRule="exact"/>
        <w:ind w:left="840"/>
        <w:rPr>
          <w:rFonts w:hint="eastAsia" w:ascii="宋体" w:hAnsi="宋体" w:cs="宋体"/>
          <w:color w:val="auto"/>
          <w:sz w:val="21"/>
          <w:szCs w:val="21"/>
          <w:highlight w:val="none"/>
        </w:rPr>
      </w:pPr>
    </w:p>
    <w:p w14:paraId="34B34FCB">
      <w:pPr>
        <w:spacing w:line="420" w:lineRule="exact"/>
        <w:ind w:left="840" w:leftChars="400" w:firstLine="315" w:firstLineChars="15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2025</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 xml:space="preserve">日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2025</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日</w:t>
      </w:r>
    </w:p>
    <w:p w14:paraId="5D57C889">
      <w:pPr>
        <w:spacing w:line="360" w:lineRule="auto"/>
        <w:rPr>
          <w:rFonts w:hint="eastAsia" w:ascii="宋体" w:hAnsi="宋体" w:cs="宋体"/>
          <w:b/>
          <w:bCs/>
          <w:color w:val="auto"/>
          <w:sz w:val="21"/>
          <w:szCs w:val="21"/>
          <w:highlight w:val="none"/>
        </w:rPr>
      </w:pPr>
    </w:p>
    <w:p w14:paraId="162BE858">
      <w:pPr>
        <w:spacing w:line="360" w:lineRule="auto"/>
        <w:jc w:val="both"/>
        <w:rPr>
          <w:rFonts w:hint="eastAsia" w:ascii="宋体" w:hAnsi="宋体" w:cs="宋体"/>
          <w:b/>
          <w:bCs/>
          <w:color w:val="auto"/>
          <w:sz w:val="21"/>
          <w:szCs w:val="21"/>
          <w:highlight w:val="none"/>
        </w:rPr>
      </w:pPr>
    </w:p>
    <w:p w14:paraId="5498AD80">
      <w:pPr>
        <w:spacing w:line="360" w:lineRule="auto"/>
        <w:jc w:val="both"/>
        <w:rPr>
          <w:rFonts w:hint="eastAsia" w:ascii="宋体" w:hAnsi="宋体" w:cs="宋体"/>
          <w:b/>
          <w:bCs/>
          <w:color w:val="auto"/>
          <w:sz w:val="21"/>
          <w:szCs w:val="21"/>
          <w:highlight w:val="none"/>
        </w:rPr>
      </w:pPr>
    </w:p>
    <w:p w14:paraId="533F0D6E">
      <w:pPr>
        <w:spacing w:line="360" w:lineRule="auto"/>
        <w:jc w:val="both"/>
        <w:rPr>
          <w:rFonts w:hint="eastAsia" w:ascii="宋体" w:hAnsi="宋体" w:cs="宋体"/>
          <w:b/>
          <w:bCs/>
          <w:color w:val="auto"/>
          <w:sz w:val="21"/>
          <w:szCs w:val="21"/>
          <w:highlight w:val="none"/>
        </w:rPr>
      </w:pPr>
    </w:p>
    <w:p w14:paraId="13F260B0">
      <w:pPr>
        <w:spacing w:line="360" w:lineRule="auto"/>
        <w:jc w:val="both"/>
        <w:rPr>
          <w:rFonts w:hint="eastAsia" w:ascii="宋体" w:hAnsi="宋体" w:cs="宋体"/>
          <w:b/>
          <w:bCs/>
          <w:color w:val="auto"/>
          <w:sz w:val="21"/>
          <w:szCs w:val="21"/>
          <w:highlight w:val="none"/>
        </w:rPr>
      </w:pPr>
    </w:p>
    <w:p w14:paraId="75964506">
      <w:pPr>
        <w:spacing w:line="360" w:lineRule="auto"/>
        <w:jc w:val="both"/>
        <w:rPr>
          <w:rFonts w:hint="eastAsia" w:ascii="宋体" w:hAnsi="宋体" w:cs="宋体"/>
          <w:b/>
          <w:bCs/>
          <w:color w:val="auto"/>
          <w:sz w:val="21"/>
          <w:szCs w:val="21"/>
          <w:highlight w:val="none"/>
        </w:rPr>
      </w:pPr>
    </w:p>
    <w:p w14:paraId="4AFBAB41">
      <w:pPr>
        <w:spacing w:line="360" w:lineRule="auto"/>
        <w:jc w:val="both"/>
        <w:rPr>
          <w:rFonts w:hint="eastAsia" w:ascii="宋体" w:hAnsi="宋体" w:cs="宋体"/>
          <w:b/>
          <w:bCs/>
          <w:color w:val="auto"/>
          <w:sz w:val="21"/>
          <w:szCs w:val="21"/>
          <w:highlight w:val="none"/>
        </w:rPr>
      </w:pPr>
    </w:p>
    <w:p w14:paraId="2235A049">
      <w:pPr>
        <w:spacing w:line="360" w:lineRule="auto"/>
        <w:jc w:val="both"/>
        <w:rPr>
          <w:rFonts w:hint="eastAsia" w:ascii="宋体" w:hAnsi="宋体" w:cs="宋体"/>
          <w:b/>
          <w:bCs/>
          <w:color w:val="auto"/>
          <w:sz w:val="21"/>
          <w:szCs w:val="21"/>
          <w:highlight w:val="none"/>
        </w:rPr>
      </w:pPr>
    </w:p>
    <w:p w14:paraId="6FE2B6E9">
      <w:pPr>
        <w:spacing w:line="360" w:lineRule="auto"/>
        <w:jc w:val="both"/>
        <w:rPr>
          <w:rFonts w:hint="eastAsia" w:ascii="宋体" w:hAnsi="宋体" w:cs="宋体"/>
          <w:b/>
          <w:bCs/>
          <w:color w:val="auto"/>
          <w:sz w:val="21"/>
          <w:szCs w:val="21"/>
          <w:highlight w:val="none"/>
        </w:rPr>
      </w:pPr>
    </w:p>
    <w:p w14:paraId="615BE6B5">
      <w:pPr>
        <w:spacing w:line="360" w:lineRule="auto"/>
        <w:jc w:val="both"/>
        <w:rPr>
          <w:rFonts w:hint="eastAsia" w:ascii="宋体" w:hAnsi="宋体" w:cs="宋体"/>
          <w:b/>
          <w:bCs/>
          <w:color w:val="auto"/>
          <w:sz w:val="21"/>
          <w:szCs w:val="21"/>
          <w:highlight w:val="none"/>
        </w:rPr>
      </w:pPr>
    </w:p>
    <w:p w14:paraId="5E52EBA6">
      <w:pPr>
        <w:spacing w:line="360" w:lineRule="auto"/>
        <w:jc w:val="both"/>
        <w:rPr>
          <w:rFonts w:hint="eastAsia" w:ascii="宋体" w:hAnsi="宋体" w:cs="宋体"/>
          <w:b/>
          <w:bCs/>
          <w:color w:val="auto"/>
          <w:sz w:val="21"/>
          <w:szCs w:val="21"/>
          <w:highlight w:val="none"/>
        </w:rPr>
      </w:pPr>
      <w:bookmarkStart w:id="481" w:name="_GoBack"/>
      <w:bookmarkEnd w:id="481"/>
    </w:p>
    <w:p w14:paraId="36DB8768">
      <w:pPr>
        <w:pStyle w:val="32"/>
        <w:rPr>
          <w:rFonts w:hint="eastAsia"/>
        </w:rPr>
      </w:pPr>
    </w:p>
    <w:p w14:paraId="083C874C">
      <w:pPr>
        <w:spacing w:line="360" w:lineRule="auto"/>
        <w:jc w:val="both"/>
        <w:rPr>
          <w:rFonts w:hint="eastAsia" w:ascii="宋体" w:hAnsi="宋体" w:cs="宋体"/>
          <w:b/>
          <w:color w:val="auto"/>
          <w:sz w:val="21"/>
          <w:szCs w:val="21"/>
          <w:highlight w:val="none"/>
          <w:lang w:val="zh-CN"/>
        </w:rPr>
      </w:pPr>
      <w:r>
        <w:rPr>
          <w:rFonts w:hint="eastAsia" w:ascii="宋体" w:hAnsi="宋体" w:cs="宋体"/>
          <w:b/>
          <w:bCs/>
          <w:color w:val="auto"/>
          <w:sz w:val="21"/>
          <w:szCs w:val="21"/>
          <w:highlight w:val="none"/>
        </w:rPr>
        <w:t>附件3：</w:t>
      </w:r>
      <w:r>
        <w:rPr>
          <w:rFonts w:hint="eastAsia" w:ascii="宋体" w:hAnsi="宋体" w:cs="宋体"/>
          <w:b/>
          <w:bCs/>
          <w:color w:val="auto"/>
          <w:sz w:val="21"/>
          <w:szCs w:val="21"/>
          <w:highlight w:val="none"/>
          <w:lang w:val="en-US" w:eastAsia="zh-CN"/>
        </w:rPr>
        <w:t xml:space="preserve">                            </w:t>
      </w:r>
      <w:r>
        <w:rPr>
          <w:rFonts w:hint="eastAsia" w:ascii="宋体" w:hAnsi="宋体" w:cs="宋体"/>
          <w:b/>
          <w:color w:val="auto"/>
          <w:sz w:val="21"/>
          <w:szCs w:val="21"/>
          <w:highlight w:val="none"/>
          <w:lang w:val="zh-CN"/>
        </w:rPr>
        <w:t>工程项目廉政合同</w:t>
      </w:r>
      <w:bookmarkEnd w:id="456"/>
      <w:bookmarkEnd w:id="457"/>
      <w:bookmarkEnd w:id="458"/>
      <w:bookmarkEnd w:id="459"/>
      <w:bookmarkEnd w:id="460"/>
    </w:p>
    <w:p w14:paraId="19F04E4F">
      <w:pPr>
        <w:keepNext w:val="0"/>
        <w:keepLines w:val="0"/>
        <w:pageBreakBefore w:val="0"/>
        <w:widowControl/>
        <w:numPr>
          <w:ilvl w:val="0"/>
          <w:numId w:val="0"/>
        </w:numPr>
        <w:kinsoku/>
        <w:wordWrap/>
        <w:overflowPunct/>
        <w:topLinePunct w:val="0"/>
        <w:autoSpaceDE/>
        <w:autoSpaceDN/>
        <w:bidi w:val="0"/>
        <w:adjustRightInd/>
        <w:snapToGrid/>
        <w:spacing w:before="100" w:beforeAutospacing="1" w:after="100" w:afterAutospacing="1" w:line="240" w:lineRule="auto"/>
        <w:ind w:firstLine="420" w:firstLineChars="200"/>
        <w:jc w:val="left"/>
        <w:textAlignment w:val="auto"/>
        <w:outlineLvl w:val="0"/>
        <w:rPr>
          <w:rFonts w:hint="eastAsia" w:ascii="宋体" w:hAnsi="宋体" w:cs="宋体"/>
          <w:color w:val="auto"/>
          <w:kern w:val="0"/>
          <w:sz w:val="21"/>
          <w:szCs w:val="21"/>
          <w:highlight w:val="none"/>
          <w:u w:val="single"/>
          <w:lang w:val="en-US" w:eastAsia="zh-CN"/>
        </w:rPr>
      </w:pPr>
      <w:r>
        <w:rPr>
          <w:rFonts w:hint="eastAsia" w:ascii="宋体" w:hAnsi="宋体" w:eastAsia="宋体" w:cs="宋体"/>
          <w:color w:val="auto"/>
          <w:kern w:val="0"/>
          <w:sz w:val="21"/>
          <w:szCs w:val="21"/>
          <w:highlight w:val="none"/>
          <w:lang w:val="zh-CN"/>
        </w:rPr>
        <w:t>工程项目名称：</w:t>
      </w:r>
      <w:r>
        <w:rPr>
          <w:rFonts w:hint="eastAsia" w:ascii="宋体" w:hAnsi="宋体" w:cs="宋体"/>
          <w:color w:val="auto"/>
          <w:kern w:val="0"/>
          <w:sz w:val="21"/>
          <w:szCs w:val="21"/>
          <w:highlight w:val="none"/>
          <w:u w:val="single"/>
          <w:lang w:val="zh-CN" w:eastAsia="zh-CN"/>
        </w:rPr>
        <w:t>大慈路与公园路交叉口提升工程项目</w:t>
      </w:r>
    </w:p>
    <w:p w14:paraId="4B064B1F">
      <w:pPr>
        <w:keepNext w:val="0"/>
        <w:keepLines w:val="0"/>
        <w:pageBreakBefore w:val="0"/>
        <w:widowControl/>
        <w:numPr>
          <w:ilvl w:val="0"/>
          <w:numId w:val="0"/>
        </w:numPr>
        <w:kinsoku/>
        <w:wordWrap/>
        <w:overflowPunct/>
        <w:topLinePunct w:val="0"/>
        <w:autoSpaceDE/>
        <w:autoSpaceDN/>
        <w:bidi w:val="0"/>
        <w:adjustRightInd/>
        <w:snapToGrid/>
        <w:spacing w:before="100" w:beforeAutospacing="1" w:after="100" w:afterAutospacing="1" w:line="240" w:lineRule="exact"/>
        <w:ind w:firstLine="420" w:firstLineChars="200"/>
        <w:jc w:val="left"/>
        <w:textAlignment w:val="auto"/>
        <w:outlineLvl w:val="0"/>
        <w:rPr>
          <w:rFonts w:hint="eastAsia" w:ascii="宋体" w:hAnsi="宋体" w:cs="宋体"/>
          <w:color w:val="auto"/>
          <w:kern w:val="0"/>
          <w:sz w:val="21"/>
          <w:szCs w:val="21"/>
          <w:highlight w:val="none"/>
          <w:u w:val="single"/>
          <w:lang w:val="zh-CN"/>
        </w:rPr>
      </w:pPr>
      <w:r>
        <w:rPr>
          <w:rFonts w:hint="eastAsia" w:ascii="宋体" w:hAnsi="宋体" w:cs="宋体"/>
          <w:color w:val="auto"/>
          <w:kern w:val="0"/>
          <w:sz w:val="21"/>
          <w:szCs w:val="21"/>
          <w:highlight w:val="none"/>
          <w:lang w:val="zh-CN"/>
        </w:rPr>
        <w:t>发包人名称(以下称甲方)：</w:t>
      </w:r>
      <w:r>
        <w:rPr>
          <w:rFonts w:hint="eastAsia" w:ascii="宋体" w:hAnsi="宋体" w:cs="宋体"/>
          <w:color w:val="auto"/>
          <w:kern w:val="0"/>
          <w:sz w:val="21"/>
          <w:szCs w:val="21"/>
          <w:highlight w:val="none"/>
          <w:u w:val="single"/>
          <w:lang w:val="zh-CN"/>
        </w:rPr>
        <w:t xml:space="preserve">宁波市名山建设发展集团有限公司 </w:t>
      </w:r>
    </w:p>
    <w:p w14:paraId="402F0073">
      <w:pPr>
        <w:keepNext w:val="0"/>
        <w:keepLines w:val="0"/>
        <w:pageBreakBefore w:val="0"/>
        <w:widowControl w:val="0"/>
        <w:kinsoku/>
        <w:wordWrap/>
        <w:overflowPunct/>
        <w:topLinePunct w:val="0"/>
        <w:autoSpaceDE w:val="0"/>
        <w:autoSpaceDN w:val="0"/>
        <w:bidi w:val="0"/>
        <w:adjustRightInd w:val="0"/>
        <w:snapToGrid/>
        <w:spacing w:line="240" w:lineRule="exact"/>
        <w:ind w:firstLine="420" w:firstLineChars="200"/>
        <w:jc w:val="left"/>
        <w:textAlignment w:val="auto"/>
        <w:outlineLvl w:val="9"/>
        <w:rPr>
          <w:rFonts w:hint="default" w:ascii="宋体" w:hAnsi="宋体" w:eastAsia="宋体" w:cs="宋体"/>
          <w:color w:val="auto"/>
          <w:kern w:val="0"/>
          <w:sz w:val="21"/>
          <w:szCs w:val="21"/>
          <w:highlight w:val="none"/>
          <w:u w:val="single"/>
          <w:lang w:val="en-US"/>
        </w:rPr>
      </w:pPr>
      <w:r>
        <w:rPr>
          <w:rFonts w:hint="eastAsia" w:ascii="宋体" w:hAnsi="宋体" w:cs="宋体"/>
          <w:color w:val="auto"/>
          <w:kern w:val="0"/>
          <w:sz w:val="21"/>
          <w:szCs w:val="21"/>
          <w:highlight w:val="none"/>
          <w:lang w:val="zh-CN"/>
        </w:rPr>
        <w:t>承包人名称(以下称乙方)：</w:t>
      </w:r>
      <w:r>
        <w:rPr>
          <w:rFonts w:hint="eastAsia" w:ascii="宋体" w:hAnsi="宋体" w:eastAsia="宋体" w:cs="宋体"/>
          <w:color w:val="auto"/>
          <w:sz w:val="21"/>
          <w:szCs w:val="21"/>
          <w:highlight w:val="none"/>
          <w:u w:val="single"/>
          <w:lang w:val="en-US" w:eastAsia="zh-CN"/>
        </w:rPr>
        <w:t xml:space="preserve">                                 </w:t>
      </w:r>
    </w:p>
    <w:p w14:paraId="0318AD00">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为加强工程建设中的廉政建设，规范工程项目承包、发包双方的各项活动，防止发生各种谋取不正当利益的违法违纪行为，保护国家、集体和当事人的合法权益，根据国家有关工程建设的法律法规和廉政建设规定，特订立本廉政合同。    </w:t>
      </w:r>
    </w:p>
    <w:p w14:paraId="6D42934B">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第一条  甲乙双方的权利和义务    </w:t>
      </w:r>
    </w:p>
    <w:p w14:paraId="155DA35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(一)严格遵守国家关于市场准入、勘测设计、施工监理、招标询价、工程施工、设备安装和市场经营活动等有关法律法规和相关政策，以及廉政建设的各项规定。    </w:t>
      </w:r>
    </w:p>
    <w:p w14:paraId="5C336EC6">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(二)严格执行本项目发包承包双方签订的 (施工合同、监理合同、勘测设计合同、采购合同、代理合同等)合同，自觉按合同办事。    </w:t>
      </w:r>
    </w:p>
    <w:p w14:paraId="74252FB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业务活动必须坚持公开、公平、公正、诚信、透明的原则(除法律法规认定的商业秘密和合同文件另有规定者外)，双方人员不得为获取不正当的利益，就工程费用、材料供应、工程量变动、工程验收、工程质量等问题进行私下商谈或达成默契，不得损害国家和集体利益，违反工程建设管理规章制度。    </w:t>
      </w:r>
    </w:p>
    <w:p w14:paraId="595FE61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建立健全廉政制度，开展廉政教育，设立廉政告示牌，公布举报电话，监督违法违纪行为。发现对方在业务活动中有违反本合同行为的，有及时提醒对方纠正的权利和义务。情节严重的，有向有关部门举报、建议给予处理并要求告知处理结果的权利。    </w:t>
      </w:r>
    </w:p>
    <w:p w14:paraId="7BCE2A3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第二条  甲方的责任    </w:t>
      </w:r>
    </w:p>
    <w:p w14:paraId="5D397FD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甲方的负责人和从事该工程项目的工作人员，在工程项目的事前、事中、事后应遵守以下规定：    </w:t>
      </w:r>
    </w:p>
    <w:p w14:paraId="03CA7212">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(一)不以任何理由向乙方索要或接受回扣、礼金、有价证券、贵重物品和好处费、感谢费等；不在乙方报销应由甲方或个人支付的费用。    </w:t>
      </w:r>
    </w:p>
    <w:p w14:paraId="43996DCC">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(二)不参加乙方安排的宴请及其他消费活动；不接受乙方提供的通讯工具、交通工具、高档办公用品等。    </w:t>
      </w:r>
    </w:p>
    <w:p w14:paraId="045AE1F1">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(三)不要求、暗示和接受乙方为个人装修住房、为配偶子女的工作安排以及本人或亲属旅游、出国(境)等提供方便。    </w:t>
      </w:r>
    </w:p>
    <w:p w14:paraId="43BF4CE8">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(四)配偶、子女不得从事与乙方承包工程有关的设备材料供应、工程分包、劳务等经济活动。    </w:t>
      </w:r>
    </w:p>
    <w:p w14:paraId="416665A9">
      <w:pPr>
        <w:keepNext w:val="0"/>
        <w:keepLines w:val="0"/>
        <w:pageBreakBefore w:val="0"/>
        <w:widowControl w:val="0"/>
        <w:kinsoku/>
        <w:wordWrap/>
        <w:overflowPunct/>
        <w:topLinePunct w:val="0"/>
        <w:autoSpaceDE w:val="0"/>
        <w:autoSpaceDN w:val="0"/>
        <w:bidi w:val="0"/>
        <w:adjustRightInd w:val="0"/>
        <w:snapToGrid/>
        <w:spacing w:line="380" w:lineRule="exact"/>
        <w:ind w:firstLine="315" w:firstLineChars="15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（五)不以任何理由向乙方推荐分包人或要求乙方购买项目合同规定以外的材料、设备和服务等。</w:t>
      </w:r>
    </w:p>
    <w:p w14:paraId="728F6CE4">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第三条  乙方的责任</w:t>
      </w:r>
    </w:p>
    <w:p w14:paraId="0F3F424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乙方应与甲方保持正常的业务交往，按照有关法律法规和程序开展业务活动，严格执行工程建设的有关方针、政策，尤其是有关强制性标准和规范，并遵守以下规定：    </w:t>
      </w:r>
    </w:p>
    <w:p w14:paraId="3E8E90BF">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(一)不以任何理由向甲方及其工作人员行贿或赠送礼金、有价证券、贵重物品。    </w:t>
      </w:r>
    </w:p>
    <w:p w14:paraId="217495B9">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(二)不以任何名义为甲方及其工作人员报销应由对方支付的费用。    </w:t>
      </w:r>
    </w:p>
    <w:p w14:paraId="1B3F628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(三)不以任何理由宴请甲方工作人员或安排其他消费活动。    </w:t>
      </w:r>
    </w:p>
    <w:p w14:paraId="153CEF07">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(四)不为甲方和工作人员购置或提供通讯工具、交通工具、高档办公用品和装修住房等。 </w:t>
      </w:r>
    </w:p>
    <w:p w14:paraId="775AA679">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第四条  违约责任 </w:t>
      </w:r>
    </w:p>
    <w:p w14:paraId="66365398">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甲方工作人员有违反本合同第一、二条责任行为的，按照管理权限，依据有关规定予以处理；涉嫌犯罪的，移交司法机关追究刑事责任；给乙方造成经济损失的，应予赔偿。符合不良行为记录、公示规定的，进行不良行为记录、公示。    </w:t>
      </w:r>
    </w:p>
    <w:p w14:paraId="522ED4F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乙方工作人员有违反本合同第一、二条责任行为的，按照管理权限，依据有关规定予以处理；涉嫌犯罪的，移交司法机关追究刑事责任；给甲方造成经济损失的，应予赔偿。符合不良行为记录、公示规定的，进行不良行为记录、公示。    </w:t>
      </w:r>
    </w:p>
    <w:p w14:paraId="5897D4F0">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(三)乙方如将部分辅助项目分包的，乙方有责任向分包人交待本合同的具体内容，并严格执行本合同之规定，分包人如有违反上述责任行为的，乙方将承担连带责任。    </w:t>
      </w:r>
    </w:p>
    <w:p w14:paraId="20705873">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第五条  双方约定：在自觉履行合同的同时，由甲、乙双方的监督单位负责对本合同履行情况进行监督检查。</w:t>
      </w:r>
    </w:p>
    <w:p w14:paraId="3BD4DB17">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第六条  本合同作为</w:t>
      </w:r>
      <w:r>
        <w:rPr>
          <w:rFonts w:hint="eastAsia" w:ascii="宋体" w:hAnsi="宋体" w:cs="宋体"/>
          <w:color w:val="auto"/>
          <w:kern w:val="0"/>
          <w:sz w:val="21"/>
          <w:szCs w:val="21"/>
          <w:highlight w:val="none"/>
          <w:u w:val="single"/>
          <w:lang w:val="zh-CN" w:eastAsia="zh-CN"/>
        </w:rPr>
        <w:t>大慈路与公园路交叉口提升工程项目</w:t>
      </w:r>
      <w:r>
        <w:rPr>
          <w:rFonts w:hint="eastAsia" w:ascii="宋体" w:hAnsi="宋体" w:eastAsia="宋体" w:cs="宋体"/>
          <w:color w:val="auto"/>
          <w:kern w:val="0"/>
          <w:sz w:val="21"/>
          <w:szCs w:val="21"/>
          <w:highlight w:val="none"/>
          <w:lang w:val="zh-CN"/>
        </w:rPr>
        <w:t>签订工程施工合同的附件，与主合同具有同等法律效力。</w:t>
      </w:r>
    </w:p>
    <w:p w14:paraId="277F291F">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甲乙双方签署后立即生效。</w:t>
      </w:r>
    </w:p>
    <w:p w14:paraId="769BED12">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xml:space="preserve">第七条  本合同的有效期为双方签署之日起至该工程项目竣工验收合格时止。  </w:t>
      </w:r>
      <w:r>
        <w:rPr>
          <w:rFonts w:hint="eastAsia" w:ascii="宋体" w:hAnsi="宋体" w:cs="宋体"/>
          <w:color w:val="auto"/>
          <w:kern w:val="0"/>
          <w:sz w:val="21"/>
          <w:szCs w:val="21"/>
          <w:highlight w:val="none"/>
          <w:lang w:val="zh-CN"/>
        </w:rPr>
        <w:t xml:space="preserve">  </w:t>
      </w:r>
    </w:p>
    <w:p w14:paraId="303DAF4F">
      <w:pPr>
        <w:keepNext w:val="0"/>
        <w:keepLines w:val="0"/>
        <w:pageBreakBefore w:val="0"/>
        <w:widowControl w:val="0"/>
        <w:kinsoku/>
        <w:wordWrap/>
        <w:overflowPunct/>
        <w:topLinePunct w:val="0"/>
        <w:bidi w:val="0"/>
        <w:snapToGrid/>
        <w:spacing w:line="380" w:lineRule="exact"/>
        <w:ind w:firstLine="420" w:firstLineChars="200"/>
        <w:textAlignment w:val="auto"/>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 xml:space="preserve">第八条  </w:t>
      </w:r>
      <w:r>
        <w:rPr>
          <w:rFonts w:hint="eastAsia" w:ascii="宋体" w:hAnsi="宋体"/>
          <w:color w:val="auto"/>
          <w:sz w:val="21"/>
          <w:szCs w:val="21"/>
          <w:highlight w:val="none"/>
        </w:rPr>
        <w:t>本合同一式</w:t>
      </w:r>
      <w:r>
        <w:rPr>
          <w:rFonts w:hint="eastAsia" w:ascii="宋体" w:hAnsi="宋体"/>
          <w:color w:val="auto"/>
          <w:sz w:val="21"/>
          <w:szCs w:val="21"/>
          <w:highlight w:val="none"/>
          <w:lang w:eastAsia="zh-CN"/>
        </w:rPr>
        <w:t>陆</w:t>
      </w:r>
      <w:r>
        <w:rPr>
          <w:rFonts w:hint="eastAsia" w:ascii="宋体" w:hAnsi="宋体"/>
          <w:color w:val="auto"/>
          <w:sz w:val="21"/>
          <w:szCs w:val="21"/>
          <w:highlight w:val="none"/>
        </w:rPr>
        <w:t>份，甲、乙双方各执</w:t>
      </w:r>
      <w:r>
        <w:rPr>
          <w:rFonts w:hint="eastAsia" w:ascii="宋体" w:hAnsi="宋体"/>
          <w:color w:val="auto"/>
          <w:sz w:val="21"/>
          <w:szCs w:val="21"/>
          <w:highlight w:val="none"/>
          <w:lang w:eastAsia="zh-CN"/>
        </w:rPr>
        <w:t>贰</w:t>
      </w:r>
      <w:r>
        <w:rPr>
          <w:rFonts w:hint="eastAsia" w:ascii="宋体" w:hAnsi="宋体"/>
          <w:color w:val="auto"/>
          <w:sz w:val="21"/>
          <w:szCs w:val="21"/>
          <w:highlight w:val="none"/>
        </w:rPr>
        <w:t>份，镇（街道）公共资源交易分中心</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份，归档</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w:t>
      </w:r>
    </w:p>
    <w:p w14:paraId="7906EDB0">
      <w:pPr>
        <w:autoSpaceDE w:val="0"/>
        <w:autoSpaceDN w:val="0"/>
        <w:adjustRightInd w:val="0"/>
        <w:spacing w:line="38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甲方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ab/>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乙方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盖章</w:t>
      </w:r>
      <w:r>
        <w:rPr>
          <w:rFonts w:hint="eastAsia" w:ascii="宋体" w:hAnsi="宋体" w:eastAsia="宋体" w:cs="宋体"/>
          <w:color w:val="auto"/>
          <w:sz w:val="21"/>
          <w:szCs w:val="21"/>
          <w:highlight w:val="none"/>
        </w:rPr>
        <w:t>)：</w:t>
      </w:r>
    </w:p>
    <w:p w14:paraId="16CCB307">
      <w:pPr>
        <w:tabs>
          <w:tab w:val="left" w:pos="4962"/>
        </w:tabs>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法定代表人或其委托代理人：</w:t>
      </w:r>
    </w:p>
    <w:p w14:paraId="50C570E1">
      <w:pPr>
        <w:autoSpaceDE w:val="0"/>
        <w:autoSpaceDN w:val="0"/>
        <w:adjustRightInd w:val="0"/>
        <w:spacing w:line="38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地址</w:t>
      </w: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en-US" w:eastAsia="zh-CN"/>
        </w:rPr>
        <w:t>地址</w:t>
      </w:r>
      <w:r>
        <w:rPr>
          <w:rFonts w:hint="eastAsia" w:ascii="宋体" w:hAnsi="宋体" w:eastAsia="宋体" w:cs="宋体"/>
          <w:color w:val="auto"/>
          <w:kern w:val="0"/>
          <w:sz w:val="21"/>
          <w:szCs w:val="21"/>
          <w:highlight w:val="none"/>
        </w:rPr>
        <w:t>：</w:t>
      </w:r>
    </w:p>
    <w:p w14:paraId="0EAD7BC1">
      <w:pPr>
        <w:autoSpaceDE w:val="0"/>
        <w:autoSpaceDN w:val="0"/>
        <w:adjustRightInd w:val="0"/>
        <w:spacing w:line="380" w:lineRule="exact"/>
        <w:ind w:left="521" w:leftChars="248"/>
        <w:jc w:val="left"/>
        <w:rPr>
          <w:rFonts w:hint="eastAsia" w:ascii="宋体" w:hAnsi="宋体" w:cs="宋体"/>
          <w:color w:val="auto"/>
          <w:sz w:val="21"/>
          <w:szCs w:val="21"/>
          <w:highlight w:val="none"/>
        </w:rPr>
      </w:pPr>
      <w:r>
        <w:rPr>
          <w:rFonts w:hint="eastAsia" w:ascii="宋体" w:hAnsi="宋体" w:eastAsia="宋体" w:cs="宋体"/>
          <w:color w:val="auto"/>
          <w:kern w:val="0"/>
          <w:sz w:val="21"/>
          <w:szCs w:val="21"/>
          <w:highlight w:val="none"/>
        </w:rPr>
        <w:t xml:space="preserve"> </w:t>
      </w:r>
    </w:p>
    <w:p w14:paraId="610C6CD4">
      <w:pPr>
        <w:tabs>
          <w:tab w:val="left" w:pos="4962"/>
        </w:tabs>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电话：</w:t>
      </w:r>
      <w:r>
        <w:rPr>
          <w:rFonts w:hint="eastAsia" w:ascii="宋体" w:hAnsi="宋体" w:cs="宋体"/>
          <w:color w:val="auto"/>
          <w:sz w:val="21"/>
          <w:szCs w:val="21"/>
          <w:highlight w:val="none"/>
        </w:rPr>
        <w:tab/>
      </w:r>
      <w:r>
        <w:rPr>
          <w:rFonts w:hint="eastAsia" w:ascii="宋体" w:hAnsi="宋体" w:cs="宋体"/>
          <w:color w:val="auto"/>
          <w:sz w:val="21"/>
          <w:szCs w:val="21"/>
          <w:highlight w:val="none"/>
        </w:rPr>
        <w:t>电话：</w:t>
      </w:r>
    </w:p>
    <w:p w14:paraId="5668339D">
      <w:pPr>
        <w:tabs>
          <w:tab w:val="left" w:pos="4962"/>
        </w:tabs>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2025</w:t>
      </w:r>
      <w:r>
        <w:rPr>
          <w:rFonts w:hint="eastAsia" w:ascii="宋体" w:hAnsi="宋体" w:cs="宋体"/>
          <w:color w:val="auto"/>
          <w:sz w:val="21"/>
          <w:szCs w:val="21"/>
          <w:highlight w:val="none"/>
        </w:rPr>
        <w:t>年 月</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日</w:t>
      </w:r>
      <w:r>
        <w:rPr>
          <w:rFonts w:hint="eastAsia" w:ascii="宋体" w:hAnsi="宋体" w:cs="宋体"/>
          <w:color w:val="auto"/>
          <w:sz w:val="21"/>
          <w:szCs w:val="21"/>
          <w:highlight w:val="none"/>
        </w:rPr>
        <w:tab/>
      </w:r>
      <w:r>
        <w:rPr>
          <w:rFonts w:hint="eastAsia" w:ascii="宋体" w:hAnsi="宋体" w:cs="宋体"/>
          <w:color w:val="auto"/>
          <w:sz w:val="21"/>
          <w:szCs w:val="21"/>
          <w:highlight w:val="none"/>
          <w:lang w:val="en-US" w:eastAsia="zh-CN"/>
        </w:rPr>
        <w:t>2025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 日</w:t>
      </w:r>
    </w:p>
    <w:p w14:paraId="6BF384C0">
      <w:pPr>
        <w:spacing w:line="360" w:lineRule="auto"/>
        <w:rPr>
          <w:rFonts w:hint="eastAsia" w:ascii="宋体" w:hAnsi="宋体" w:cs="宋体"/>
          <w:b/>
          <w:color w:val="auto"/>
          <w:sz w:val="21"/>
          <w:szCs w:val="21"/>
          <w:highlight w:val="none"/>
        </w:rPr>
      </w:pPr>
    </w:p>
    <w:p w14:paraId="4ADA3636">
      <w:pPr>
        <w:spacing w:line="360" w:lineRule="auto"/>
        <w:rPr>
          <w:rFonts w:hint="eastAsia" w:ascii="宋体" w:hAnsi="宋体" w:cs="宋体"/>
          <w:b/>
          <w:color w:val="auto"/>
          <w:sz w:val="21"/>
          <w:szCs w:val="21"/>
          <w:highlight w:val="none"/>
        </w:rPr>
      </w:pPr>
    </w:p>
    <w:p w14:paraId="56C0886F">
      <w:pPr>
        <w:spacing w:line="360" w:lineRule="auto"/>
        <w:rPr>
          <w:rFonts w:hint="eastAsia" w:ascii="宋体" w:hAnsi="宋体" w:cs="宋体"/>
          <w:b/>
          <w:color w:val="auto"/>
          <w:sz w:val="21"/>
          <w:szCs w:val="21"/>
          <w:highlight w:val="none"/>
        </w:rPr>
      </w:pPr>
    </w:p>
    <w:p w14:paraId="39A558C8">
      <w:pPr>
        <w:spacing w:line="360" w:lineRule="auto"/>
        <w:rPr>
          <w:rFonts w:hint="eastAsia" w:ascii="宋体" w:hAnsi="宋体" w:cs="宋体"/>
          <w:b/>
          <w:color w:val="auto"/>
          <w:sz w:val="21"/>
          <w:szCs w:val="21"/>
          <w:highlight w:val="none"/>
        </w:rPr>
      </w:pPr>
    </w:p>
    <w:p w14:paraId="6A675A3C">
      <w:pPr>
        <w:spacing w:line="360" w:lineRule="auto"/>
        <w:rPr>
          <w:rFonts w:hint="eastAsia" w:ascii="宋体" w:hAnsi="宋体" w:cs="宋体"/>
          <w:b/>
          <w:color w:val="auto"/>
          <w:sz w:val="21"/>
          <w:szCs w:val="21"/>
          <w:highlight w:val="none"/>
        </w:rPr>
      </w:pPr>
    </w:p>
    <w:p w14:paraId="0D06A927">
      <w:pPr>
        <w:spacing w:line="360" w:lineRule="auto"/>
        <w:rPr>
          <w:rFonts w:hint="eastAsia" w:ascii="宋体" w:hAnsi="宋体" w:cs="宋体"/>
          <w:b/>
          <w:color w:val="auto"/>
          <w:sz w:val="21"/>
          <w:szCs w:val="21"/>
          <w:highlight w:val="none"/>
        </w:rPr>
      </w:pPr>
    </w:p>
    <w:p w14:paraId="064327A7">
      <w:pPr>
        <w:spacing w:line="360" w:lineRule="auto"/>
        <w:rPr>
          <w:rFonts w:hint="eastAsia" w:ascii="宋体" w:hAnsi="宋体" w:cs="宋体"/>
          <w:b/>
          <w:color w:val="auto"/>
          <w:sz w:val="21"/>
          <w:szCs w:val="21"/>
          <w:highlight w:val="none"/>
        </w:rPr>
      </w:pPr>
    </w:p>
    <w:p w14:paraId="64946CF8">
      <w:pPr>
        <w:spacing w:line="360" w:lineRule="auto"/>
        <w:rPr>
          <w:rFonts w:hint="eastAsia" w:ascii="宋体" w:hAnsi="宋体" w:cs="宋体"/>
          <w:b/>
          <w:color w:val="auto"/>
          <w:sz w:val="21"/>
          <w:szCs w:val="21"/>
          <w:highlight w:val="none"/>
        </w:rPr>
      </w:pPr>
    </w:p>
    <w:p w14:paraId="45B82FF0">
      <w:pPr>
        <w:spacing w:line="360" w:lineRule="auto"/>
        <w:rPr>
          <w:rFonts w:hint="eastAsia" w:ascii="宋体" w:hAnsi="宋体" w:cs="宋体"/>
          <w:b/>
          <w:color w:val="auto"/>
          <w:sz w:val="21"/>
          <w:szCs w:val="21"/>
          <w:highlight w:val="none"/>
        </w:rPr>
      </w:pPr>
    </w:p>
    <w:p w14:paraId="0046ED86">
      <w:pPr>
        <w:spacing w:line="360" w:lineRule="auto"/>
        <w:rPr>
          <w:rFonts w:hint="eastAsia" w:ascii="宋体" w:hAnsi="宋体" w:cs="宋体"/>
          <w:b/>
          <w:color w:val="auto"/>
          <w:sz w:val="21"/>
          <w:szCs w:val="21"/>
          <w:highlight w:val="none"/>
        </w:rPr>
      </w:pPr>
    </w:p>
    <w:p w14:paraId="2C380CAD">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61" w:name="_Toc296346728"/>
      <w:bookmarkStart w:id="462" w:name="_Toc296891055"/>
      <w:bookmarkStart w:id="463" w:name="_Toc267261698"/>
      <w:bookmarkStart w:id="464" w:name="_Toc296347226"/>
      <w:bookmarkStart w:id="465" w:name="_Toc296891267"/>
      <w:bookmarkStart w:id="466" w:name="_Toc296503227"/>
      <w:bookmarkStart w:id="467" w:name="_Toc296944566"/>
      <w:r>
        <w:rPr>
          <w:rFonts w:hint="eastAsia" w:ascii="宋体" w:hAnsi="宋体" w:cs="宋体"/>
          <w:b/>
          <w:color w:val="auto"/>
          <w:sz w:val="21"/>
          <w:szCs w:val="21"/>
          <w:highlight w:val="none"/>
        </w:rPr>
        <w:t>件4：</w:t>
      </w:r>
    </w:p>
    <w:bookmarkEnd w:id="461"/>
    <w:bookmarkEnd w:id="462"/>
    <w:bookmarkEnd w:id="463"/>
    <w:bookmarkEnd w:id="464"/>
    <w:bookmarkEnd w:id="465"/>
    <w:bookmarkEnd w:id="466"/>
    <w:bookmarkEnd w:id="467"/>
    <w:p w14:paraId="0D99D552">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承包人用于本工程施工的机械设备表</w:t>
      </w:r>
    </w:p>
    <w:tbl>
      <w:tblPr>
        <w:tblStyle w:val="24"/>
        <w:tblW w:w="88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81"/>
        <w:gridCol w:w="1549"/>
        <w:gridCol w:w="1001"/>
        <w:gridCol w:w="718"/>
        <w:gridCol w:w="794"/>
        <w:gridCol w:w="920"/>
        <w:gridCol w:w="1334"/>
        <w:gridCol w:w="920"/>
        <w:gridCol w:w="828"/>
      </w:tblGrid>
      <w:tr w14:paraId="081893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781" w:type="dxa"/>
            <w:tcBorders>
              <w:top w:val="single" w:color="auto" w:sz="12" w:space="0"/>
              <w:bottom w:val="double" w:color="auto" w:sz="6" w:space="0"/>
            </w:tcBorders>
            <w:noWrap w:val="0"/>
            <w:vAlign w:val="center"/>
          </w:tcPr>
          <w:p w14:paraId="19FD84DA">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序号</w:t>
            </w:r>
          </w:p>
        </w:tc>
        <w:tc>
          <w:tcPr>
            <w:tcW w:w="1549" w:type="dxa"/>
            <w:tcBorders>
              <w:top w:val="single" w:color="auto" w:sz="12" w:space="0"/>
              <w:bottom w:val="double" w:color="auto" w:sz="6" w:space="0"/>
            </w:tcBorders>
            <w:noWrap w:val="0"/>
            <w:vAlign w:val="center"/>
          </w:tcPr>
          <w:p w14:paraId="27B8258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机械或</w:t>
            </w:r>
          </w:p>
          <w:p w14:paraId="159BE83C">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设备名称</w:t>
            </w:r>
          </w:p>
        </w:tc>
        <w:tc>
          <w:tcPr>
            <w:tcW w:w="1001" w:type="dxa"/>
            <w:tcBorders>
              <w:top w:val="single" w:color="auto" w:sz="12" w:space="0"/>
              <w:bottom w:val="double" w:color="auto" w:sz="6" w:space="0"/>
            </w:tcBorders>
            <w:noWrap w:val="0"/>
            <w:vAlign w:val="center"/>
          </w:tcPr>
          <w:p w14:paraId="7D7AADFC">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规格</w:t>
            </w:r>
          </w:p>
          <w:p w14:paraId="39367BC1">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型号</w:t>
            </w:r>
          </w:p>
        </w:tc>
        <w:tc>
          <w:tcPr>
            <w:tcW w:w="718" w:type="dxa"/>
            <w:tcBorders>
              <w:top w:val="single" w:color="auto" w:sz="12" w:space="0"/>
              <w:bottom w:val="double" w:color="auto" w:sz="6" w:space="0"/>
            </w:tcBorders>
            <w:noWrap w:val="0"/>
            <w:vAlign w:val="center"/>
          </w:tcPr>
          <w:p w14:paraId="4230E9DA">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数量</w:t>
            </w:r>
          </w:p>
        </w:tc>
        <w:tc>
          <w:tcPr>
            <w:tcW w:w="794" w:type="dxa"/>
            <w:tcBorders>
              <w:top w:val="single" w:color="auto" w:sz="12" w:space="0"/>
              <w:bottom w:val="double" w:color="auto" w:sz="6" w:space="0"/>
            </w:tcBorders>
            <w:noWrap w:val="0"/>
            <w:vAlign w:val="center"/>
          </w:tcPr>
          <w:p w14:paraId="3D1F28C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产地</w:t>
            </w:r>
          </w:p>
        </w:tc>
        <w:tc>
          <w:tcPr>
            <w:tcW w:w="920" w:type="dxa"/>
            <w:tcBorders>
              <w:top w:val="single" w:color="auto" w:sz="12" w:space="0"/>
              <w:bottom w:val="double" w:color="auto" w:sz="6" w:space="0"/>
            </w:tcBorders>
            <w:noWrap w:val="0"/>
            <w:vAlign w:val="center"/>
          </w:tcPr>
          <w:p w14:paraId="5C6B095D">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制造</w:t>
            </w:r>
          </w:p>
          <w:p w14:paraId="3CCB10BE">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年份</w:t>
            </w:r>
          </w:p>
        </w:tc>
        <w:tc>
          <w:tcPr>
            <w:tcW w:w="1334" w:type="dxa"/>
            <w:tcBorders>
              <w:top w:val="single" w:color="auto" w:sz="12" w:space="0"/>
              <w:bottom w:val="double" w:color="auto" w:sz="6" w:space="0"/>
            </w:tcBorders>
            <w:noWrap w:val="0"/>
            <w:vAlign w:val="center"/>
          </w:tcPr>
          <w:p w14:paraId="3CC94F7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额定功率(kW)</w:t>
            </w:r>
          </w:p>
        </w:tc>
        <w:tc>
          <w:tcPr>
            <w:tcW w:w="920" w:type="dxa"/>
            <w:tcBorders>
              <w:top w:val="single" w:color="auto" w:sz="12" w:space="0"/>
              <w:bottom w:val="double" w:color="auto" w:sz="6" w:space="0"/>
            </w:tcBorders>
            <w:noWrap w:val="0"/>
            <w:vAlign w:val="center"/>
          </w:tcPr>
          <w:p w14:paraId="402D36C8">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生产</w:t>
            </w:r>
          </w:p>
          <w:p w14:paraId="4DFBD8F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能力</w:t>
            </w:r>
          </w:p>
        </w:tc>
        <w:tc>
          <w:tcPr>
            <w:tcW w:w="828" w:type="dxa"/>
            <w:tcBorders>
              <w:top w:val="single" w:color="auto" w:sz="12" w:space="0"/>
              <w:bottom w:val="double" w:color="auto" w:sz="6" w:space="0"/>
            </w:tcBorders>
            <w:noWrap w:val="0"/>
            <w:vAlign w:val="center"/>
          </w:tcPr>
          <w:p w14:paraId="7661EAC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备注</w:t>
            </w:r>
          </w:p>
        </w:tc>
      </w:tr>
      <w:tr w14:paraId="28898B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tcBorders>
              <w:top w:val="double" w:color="auto" w:sz="6" w:space="0"/>
              <w:bottom w:val="single" w:color="auto" w:sz="6" w:space="0"/>
            </w:tcBorders>
            <w:noWrap w:val="0"/>
            <w:vAlign w:val="center"/>
          </w:tcPr>
          <w:p w14:paraId="27CC24C4">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w:t>
            </w:r>
          </w:p>
        </w:tc>
        <w:tc>
          <w:tcPr>
            <w:tcW w:w="1549" w:type="dxa"/>
            <w:tcBorders>
              <w:top w:val="double" w:color="auto" w:sz="6" w:space="0"/>
              <w:bottom w:val="single" w:color="auto" w:sz="6" w:space="0"/>
            </w:tcBorders>
            <w:noWrap w:val="0"/>
            <w:vAlign w:val="center"/>
          </w:tcPr>
          <w:p w14:paraId="5C09F580">
            <w:pPr>
              <w:jc w:val="center"/>
              <w:rPr>
                <w:rFonts w:hint="eastAsia" w:ascii="仿宋_GB2312" w:eastAsia="仿宋_GB2312"/>
                <w:color w:val="auto"/>
                <w:kern w:val="2"/>
                <w:sz w:val="21"/>
                <w:szCs w:val="21"/>
                <w:highlight w:val="none"/>
                <w:lang w:val="en-US" w:eastAsia="zh-CN" w:bidi="ar-SA"/>
              </w:rPr>
            </w:pPr>
          </w:p>
        </w:tc>
        <w:tc>
          <w:tcPr>
            <w:tcW w:w="1001" w:type="dxa"/>
            <w:tcBorders>
              <w:top w:val="double" w:color="auto" w:sz="6" w:space="0"/>
              <w:bottom w:val="single" w:color="auto" w:sz="6" w:space="0"/>
            </w:tcBorders>
            <w:noWrap w:val="0"/>
            <w:vAlign w:val="center"/>
          </w:tcPr>
          <w:p w14:paraId="40FEC9B5">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tcBorders>
              <w:top w:val="double" w:color="auto" w:sz="6" w:space="0"/>
              <w:bottom w:val="single" w:color="auto" w:sz="6" w:space="0"/>
            </w:tcBorders>
            <w:noWrap w:val="0"/>
            <w:vAlign w:val="bottom"/>
          </w:tcPr>
          <w:p w14:paraId="0A029C43">
            <w:pPr>
              <w:jc w:val="center"/>
              <w:rPr>
                <w:rFonts w:hint="eastAsia" w:ascii="仿宋_GB2312" w:eastAsia="仿宋_GB2312"/>
                <w:color w:val="auto"/>
                <w:kern w:val="2"/>
                <w:sz w:val="21"/>
                <w:szCs w:val="21"/>
                <w:highlight w:val="none"/>
                <w:lang w:val="en-US" w:eastAsia="zh-CN" w:bidi="ar-SA"/>
              </w:rPr>
            </w:pPr>
          </w:p>
        </w:tc>
        <w:tc>
          <w:tcPr>
            <w:tcW w:w="794" w:type="dxa"/>
            <w:tcBorders>
              <w:top w:val="double" w:color="auto" w:sz="6" w:space="0"/>
              <w:bottom w:val="single" w:color="auto" w:sz="6" w:space="0"/>
            </w:tcBorders>
            <w:noWrap w:val="0"/>
            <w:vAlign w:val="center"/>
          </w:tcPr>
          <w:p w14:paraId="2BD71394">
            <w:pPr>
              <w:widowControl/>
              <w:jc w:val="center"/>
              <w:rPr>
                <w:rFonts w:hint="eastAsia" w:ascii="仿宋_GB2312" w:hAnsi="宋体" w:eastAsia="仿宋_GB2312" w:cs="宋体"/>
                <w:color w:val="auto"/>
                <w:kern w:val="0"/>
                <w:sz w:val="21"/>
                <w:szCs w:val="21"/>
                <w:highlight w:val="none"/>
                <w:lang w:val="en-US" w:eastAsia="zh-CN" w:bidi="ar-SA"/>
              </w:rPr>
            </w:pPr>
          </w:p>
        </w:tc>
        <w:tc>
          <w:tcPr>
            <w:tcW w:w="920" w:type="dxa"/>
            <w:tcBorders>
              <w:top w:val="double" w:color="auto" w:sz="6" w:space="0"/>
              <w:bottom w:val="single" w:color="auto" w:sz="6" w:space="0"/>
            </w:tcBorders>
            <w:noWrap w:val="0"/>
            <w:vAlign w:val="center"/>
          </w:tcPr>
          <w:p w14:paraId="165F8A49">
            <w:pPr>
              <w:jc w:val="center"/>
              <w:rPr>
                <w:rFonts w:hint="eastAsia" w:ascii="仿宋_GB2312" w:hAnsi="宋体" w:eastAsia="仿宋_GB2312"/>
                <w:color w:val="auto"/>
                <w:kern w:val="2"/>
                <w:sz w:val="21"/>
                <w:szCs w:val="21"/>
                <w:highlight w:val="none"/>
                <w:lang w:val="en-US" w:eastAsia="zh-CN" w:bidi="ar-SA"/>
              </w:rPr>
            </w:pPr>
          </w:p>
        </w:tc>
        <w:tc>
          <w:tcPr>
            <w:tcW w:w="1334" w:type="dxa"/>
            <w:tcBorders>
              <w:top w:val="double" w:color="auto" w:sz="6" w:space="0"/>
              <w:bottom w:val="single" w:color="auto" w:sz="6" w:space="0"/>
            </w:tcBorders>
            <w:noWrap w:val="0"/>
            <w:vAlign w:val="bottom"/>
          </w:tcPr>
          <w:p w14:paraId="3A504BD9">
            <w:pPr>
              <w:jc w:val="center"/>
              <w:rPr>
                <w:rFonts w:hint="eastAsia" w:ascii="仿宋_GB2312" w:eastAsia="仿宋_GB2312"/>
                <w:color w:val="auto"/>
                <w:kern w:val="2"/>
                <w:sz w:val="21"/>
                <w:szCs w:val="21"/>
                <w:highlight w:val="none"/>
                <w:lang w:val="en-US" w:eastAsia="zh-CN" w:bidi="ar-SA"/>
              </w:rPr>
            </w:pPr>
          </w:p>
        </w:tc>
        <w:tc>
          <w:tcPr>
            <w:tcW w:w="920" w:type="dxa"/>
            <w:tcBorders>
              <w:top w:val="double" w:color="auto" w:sz="6" w:space="0"/>
              <w:bottom w:val="single" w:color="auto" w:sz="6" w:space="0"/>
            </w:tcBorders>
            <w:noWrap w:val="0"/>
            <w:vAlign w:val="center"/>
          </w:tcPr>
          <w:p w14:paraId="07BA944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tcBorders>
              <w:top w:val="double" w:color="auto" w:sz="6" w:space="0"/>
              <w:bottom w:val="single" w:color="auto" w:sz="6" w:space="0"/>
            </w:tcBorders>
            <w:noWrap w:val="0"/>
            <w:vAlign w:val="center"/>
          </w:tcPr>
          <w:p w14:paraId="5D505561">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253DE7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tcBorders>
              <w:top w:val="nil"/>
            </w:tcBorders>
            <w:noWrap w:val="0"/>
            <w:vAlign w:val="center"/>
          </w:tcPr>
          <w:p w14:paraId="59F6739E">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2</w:t>
            </w:r>
          </w:p>
        </w:tc>
        <w:tc>
          <w:tcPr>
            <w:tcW w:w="1549" w:type="dxa"/>
            <w:tcBorders>
              <w:top w:val="nil"/>
            </w:tcBorders>
            <w:noWrap w:val="0"/>
            <w:vAlign w:val="center"/>
          </w:tcPr>
          <w:p w14:paraId="2752EF06">
            <w:pPr>
              <w:jc w:val="center"/>
              <w:rPr>
                <w:rFonts w:hint="eastAsia" w:ascii="仿宋_GB2312" w:eastAsia="仿宋_GB2312"/>
                <w:color w:val="auto"/>
                <w:kern w:val="2"/>
                <w:sz w:val="21"/>
                <w:szCs w:val="21"/>
                <w:highlight w:val="none"/>
                <w:lang w:val="en-US" w:eastAsia="zh-CN" w:bidi="ar-SA"/>
              </w:rPr>
            </w:pPr>
          </w:p>
        </w:tc>
        <w:tc>
          <w:tcPr>
            <w:tcW w:w="1001" w:type="dxa"/>
            <w:tcBorders>
              <w:top w:val="nil"/>
            </w:tcBorders>
            <w:noWrap w:val="0"/>
            <w:vAlign w:val="center"/>
          </w:tcPr>
          <w:p w14:paraId="70620AD6">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tcBorders>
              <w:top w:val="nil"/>
            </w:tcBorders>
            <w:noWrap w:val="0"/>
            <w:vAlign w:val="bottom"/>
          </w:tcPr>
          <w:p w14:paraId="2E60C836">
            <w:pPr>
              <w:jc w:val="center"/>
              <w:rPr>
                <w:rFonts w:hint="eastAsia" w:ascii="仿宋_GB2312" w:eastAsia="仿宋_GB2312"/>
                <w:color w:val="auto"/>
                <w:kern w:val="2"/>
                <w:sz w:val="21"/>
                <w:szCs w:val="21"/>
                <w:highlight w:val="none"/>
                <w:lang w:val="en-US" w:eastAsia="zh-CN" w:bidi="ar-SA"/>
              </w:rPr>
            </w:pPr>
          </w:p>
        </w:tc>
        <w:tc>
          <w:tcPr>
            <w:tcW w:w="794" w:type="dxa"/>
            <w:tcBorders>
              <w:top w:val="nil"/>
            </w:tcBorders>
            <w:noWrap w:val="0"/>
            <w:vAlign w:val="center"/>
          </w:tcPr>
          <w:p w14:paraId="127ECBC3">
            <w:pPr>
              <w:jc w:val="center"/>
              <w:rPr>
                <w:rFonts w:hint="eastAsia" w:ascii="仿宋_GB2312" w:hAnsi="宋体" w:eastAsia="仿宋_GB2312"/>
                <w:color w:val="auto"/>
                <w:kern w:val="2"/>
                <w:sz w:val="21"/>
                <w:szCs w:val="21"/>
                <w:highlight w:val="none"/>
                <w:lang w:val="en-US" w:eastAsia="zh-CN" w:bidi="ar-SA"/>
              </w:rPr>
            </w:pPr>
          </w:p>
        </w:tc>
        <w:tc>
          <w:tcPr>
            <w:tcW w:w="920" w:type="dxa"/>
            <w:tcBorders>
              <w:top w:val="nil"/>
            </w:tcBorders>
            <w:noWrap w:val="0"/>
            <w:vAlign w:val="center"/>
          </w:tcPr>
          <w:p w14:paraId="0A193381">
            <w:pPr>
              <w:jc w:val="center"/>
              <w:rPr>
                <w:rFonts w:hint="eastAsia" w:ascii="仿宋_GB2312" w:hAnsi="宋体" w:eastAsia="仿宋_GB2312"/>
                <w:b/>
                <w:color w:val="auto"/>
                <w:kern w:val="2"/>
                <w:sz w:val="21"/>
                <w:szCs w:val="21"/>
                <w:highlight w:val="none"/>
                <w:lang w:val="en-US" w:eastAsia="zh-CN" w:bidi="ar-SA"/>
              </w:rPr>
            </w:pPr>
          </w:p>
        </w:tc>
        <w:tc>
          <w:tcPr>
            <w:tcW w:w="1334" w:type="dxa"/>
            <w:tcBorders>
              <w:top w:val="nil"/>
            </w:tcBorders>
            <w:noWrap w:val="0"/>
            <w:vAlign w:val="bottom"/>
          </w:tcPr>
          <w:p w14:paraId="19979C6D">
            <w:pPr>
              <w:jc w:val="center"/>
              <w:rPr>
                <w:rFonts w:hint="eastAsia" w:ascii="仿宋_GB2312" w:eastAsia="仿宋_GB2312"/>
                <w:color w:val="auto"/>
                <w:kern w:val="2"/>
                <w:sz w:val="21"/>
                <w:szCs w:val="21"/>
                <w:highlight w:val="none"/>
                <w:lang w:val="en-US" w:eastAsia="zh-CN" w:bidi="ar-SA"/>
              </w:rPr>
            </w:pPr>
          </w:p>
        </w:tc>
        <w:tc>
          <w:tcPr>
            <w:tcW w:w="920" w:type="dxa"/>
            <w:tcBorders>
              <w:top w:val="nil"/>
            </w:tcBorders>
            <w:noWrap w:val="0"/>
            <w:vAlign w:val="center"/>
          </w:tcPr>
          <w:p w14:paraId="7484E20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tcBorders>
              <w:top w:val="nil"/>
            </w:tcBorders>
            <w:noWrap w:val="0"/>
            <w:vAlign w:val="center"/>
          </w:tcPr>
          <w:p w14:paraId="70196FE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37B9C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6D7000FC">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3</w:t>
            </w:r>
          </w:p>
        </w:tc>
        <w:tc>
          <w:tcPr>
            <w:tcW w:w="1549" w:type="dxa"/>
            <w:noWrap w:val="0"/>
            <w:vAlign w:val="center"/>
          </w:tcPr>
          <w:p w14:paraId="3AE59B22">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8F67677">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CD183D9">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10E7EF83">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21D3FAC">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3132FDD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1281EA73">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472DEB92">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755E0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85F0ACA">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4</w:t>
            </w:r>
          </w:p>
        </w:tc>
        <w:tc>
          <w:tcPr>
            <w:tcW w:w="1549" w:type="dxa"/>
            <w:noWrap w:val="0"/>
            <w:vAlign w:val="center"/>
          </w:tcPr>
          <w:p w14:paraId="22A7131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E450D1F">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ADE340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EDA8E60">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9FF05D8">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0213102C">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6C1D5D9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7A54964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38CD6E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237A5B9">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5</w:t>
            </w:r>
          </w:p>
        </w:tc>
        <w:tc>
          <w:tcPr>
            <w:tcW w:w="1549" w:type="dxa"/>
            <w:noWrap w:val="0"/>
            <w:vAlign w:val="center"/>
          </w:tcPr>
          <w:p w14:paraId="6F7F83F1">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25BEBD1">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76CC2D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2C1AC7C">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6A1B8B6">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1876D9C">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08BDD074">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6D5C5567">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0F7C2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C6336B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6</w:t>
            </w:r>
          </w:p>
        </w:tc>
        <w:tc>
          <w:tcPr>
            <w:tcW w:w="1549" w:type="dxa"/>
            <w:noWrap w:val="0"/>
            <w:vAlign w:val="center"/>
          </w:tcPr>
          <w:p w14:paraId="0BC51D48">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871ECB3">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7E93E67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5C4D9E12">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DD5B9D4">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3811CF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0C0992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5F294BEB">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3E526B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33B1D46C">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7</w:t>
            </w:r>
          </w:p>
        </w:tc>
        <w:tc>
          <w:tcPr>
            <w:tcW w:w="1549" w:type="dxa"/>
            <w:noWrap w:val="0"/>
            <w:vAlign w:val="center"/>
          </w:tcPr>
          <w:p w14:paraId="23455610">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E198469">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6713F3E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EB922D5">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6E50323">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48131B3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36010760">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30FB951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ECD86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51DA03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8</w:t>
            </w:r>
          </w:p>
        </w:tc>
        <w:tc>
          <w:tcPr>
            <w:tcW w:w="1549" w:type="dxa"/>
            <w:noWrap w:val="0"/>
            <w:vAlign w:val="center"/>
          </w:tcPr>
          <w:p w14:paraId="194A96A3">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62FD17A">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7F733B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76C6255B">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7C2D2153">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1CDECE23">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1DCFD3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08A812A9">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D9208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C7902D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9</w:t>
            </w:r>
          </w:p>
        </w:tc>
        <w:tc>
          <w:tcPr>
            <w:tcW w:w="1549" w:type="dxa"/>
            <w:noWrap w:val="0"/>
            <w:vAlign w:val="center"/>
          </w:tcPr>
          <w:p w14:paraId="468900D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8A02BBE">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22BAB000">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7C84C7D2">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0A8C1F7">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3F615175">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9AD0E8C">
            <w:pPr>
              <w:spacing w:line="360" w:lineRule="auto"/>
              <w:rPr>
                <w:rFonts w:hint="eastAsia" w:ascii="宋体" w:hAnsi="宋体" w:cs="宋体"/>
                <w:color w:val="auto"/>
                <w:sz w:val="21"/>
                <w:szCs w:val="21"/>
                <w:highlight w:val="none"/>
              </w:rPr>
            </w:pPr>
          </w:p>
        </w:tc>
        <w:tc>
          <w:tcPr>
            <w:tcW w:w="828" w:type="dxa"/>
            <w:noWrap w:val="0"/>
            <w:vAlign w:val="top"/>
          </w:tcPr>
          <w:p w14:paraId="2DBB46B0">
            <w:pPr>
              <w:spacing w:line="360" w:lineRule="auto"/>
              <w:rPr>
                <w:rFonts w:hint="eastAsia" w:ascii="宋体" w:hAnsi="宋体" w:cs="宋体"/>
                <w:color w:val="auto"/>
                <w:sz w:val="21"/>
                <w:szCs w:val="21"/>
                <w:highlight w:val="none"/>
              </w:rPr>
            </w:pPr>
          </w:p>
        </w:tc>
      </w:tr>
      <w:tr w14:paraId="5D44AB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16AA6C9">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10</w:t>
            </w:r>
          </w:p>
        </w:tc>
        <w:tc>
          <w:tcPr>
            <w:tcW w:w="1549" w:type="dxa"/>
            <w:noWrap w:val="0"/>
            <w:vAlign w:val="center"/>
          </w:tcPr>
          <w:p w14:paraId="41205033">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0ED022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3EAA512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231591E">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2BF516F">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10D006E">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6E99331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4D98A7C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E0BFB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52B0BA4">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11</w:t>
            </w:r>
          </w:p>
        </w:tc>
        <w:tc>
          <w:tcPr>
            <w:tcW w:w="1549" w:type="dxa"/>
            <w:noWrap w:val="0"/>
            <w:vAlign w:val="center"/>
          </w:tcPr>
          <w:p w14:paraId="7698487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3EA402E6">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7FFE858">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3813939D">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62E358BA">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05B65813">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1F750E">
            <w:pPr>
              <w:spacing w:line="360" w:lineRule="auto"/>
              <w:rPr>
                <w:rFonts w:hint="eastAsia" w:ascii="宋体" w:hAnsi="宋体" w:cs="宋体"/>
                <w:color w:val="auto"/>
                <w:sz w:val="21"/>
                <w:szCs w:val="21"/>
                <w:highlight w:val="none"/>
              </w:rPr>
            </w:pPr>
          </w:p>
        </w:tc>
        <w:tc>
          <w:tcPr>
            <w:tcW w:w="828" w:type="dxa"/>
            <w:noWrap w:val="0"/>
            <w:vAlign w:val="top"/>
          </w:tcPr>
          <w:p w14:paraId="3D69ECDA">
            <w:pPr>
              <w:spacing w:line="360" w:lineRule="auto"/>
              <w:rPr>
                <w:rFonts w:hint="eastAsia" w:ascii="宋体" w:hAnsi="宋体" w:cs="宋体"/>
                <w:color w:val="auto"/>
                <w:sz w:val="21"/>
                <w:szCs w:val="21"/>
                <w:highlight w:val="none"/>
              </w:rPr>
            </w:pPr>
          </w:p>
        </w:tc>
      </w:tr>
      <w:tr w14:paraId="60F03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E9CD250">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12</w:t>
            </w:r>
          </w:p>
        </w:tc>
        <w:tc>
          <w:tcPr>
            <w:tcW w:w="1549" w:type="dxa"/>
            <w:noWrap w:val="0"/>
            <w:vAlign w:val="center"/>
          </w:tcPr>
          <w:p w14:paraId="7C7F16D8">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F18A49D">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3212CCAD">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A5B0104">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5A9AB3E8">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FB11002">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1EE2D245">
            <w:pPr>
              <w:spacing w:line="360" w:lineRule="auto"/>
              <w:rPr>
                <w:rFonts w:hint="eastAsia" w:ascii="宋体" w:hAnsi="宋体" w:cs="宋体"/>
                <w:color w:val="auto"/>
                <w:sz w:val="21"/>
                <w:szCs w:val="21"/>
                <w:highlight w:val="none"/>
              </w:rPr>
            </w:pPr>
          </w:p>
        </w:tc>
        <w:tc>
          <w:tcPr>
            <w:tcW w:w="828" w:type="dxa"/>
            <w:noWrap w:val="0"/>
            <w:vAlign w:val="top"/>
          </w:tcPr>
          <w:p w14:paraId="2FF345F0">
            <w:pPr>
              <w:spacing w:line="360" w:lineRule="auto"/>
              <w:rPr>
                <w:rFonts w:hint="eastAsia" w:ascii="宋体" w:hAnsi="宋体" w:cs="宋体"/>
                <w:color w:val="auto"/>
                <w:sz w:val="21"/>
                <w:szCs w:val="21"/>
                <w:highlight w:val="none"/>
              </w:rPr>
            </w:pPr>
          </w:p>
        </w:tc>
      </w:tr>
      <w:tr w14:paraId="263A36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AD3B821">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13</w:t>
            </w:r>
          </w:p>
        </w:tc>
        <w:tc>
          <w:tcPr>
            <w:tcW w:w="1549" w:type="dxa"/>
            <w:noWrap w:val="0"/>
            <w:vAlign w:val="center"/>
          </w:tcPr>
          <w:p w14:paraId="79C33E79">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28589A8A">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656238D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17A7F8ED">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3B6F8B8F">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57DBDD8">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EDF92F4">
            <w:pPr>
              <w:spacing w:line="360" w:lineRule="auto"/>
              <w:rPr>
                <w:rFonts w:hint="eastAsia" w:ascii="宋体" w:hAnsi="宋体" w:cs="宋体"/>
                <w:color w:val="auto"/>
                <w:sz w:val="21"/>
                <w:szCs w:val="21"/>
                <w:highlight w:val="none"/>
              </w:rPr>
            </w:pPr>
          </w:p>
        </w:tc>
        <w:tc>
          <w:tcPr>
            <w:tcW w:w="828" w:type="dxa"/>
            <w:noWrap w:val="0"/>
            <w:vAlign w:val="top"/>
          </w:tcPr>
          <w:p w14:paraId="3BAC74A8">
            <w:pPr>
              <w:spacing w:line="360" w:lineRule="auto"/>
              <w:rPr>
                <w:rFonts w:hint="eastAsia" w:ascii="宋体" w:hAnsi="宋体" w:cs="宋体"/>
                <w:color w:val="auto"/>
                <w:sz w:val="21"/>
                <w:szCs w:val="21"/>
                <w:highlight w:val="none"/>
              </w:rPr>
            </w:pPr>
          </w:p>
        </w:tc>
      </w:tr>
      <w:tr w14:paraId="00A1A7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7E21EB6">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14</w:t>
            </w:r>
          </w:p>
        </w:tc>
        <w:tc>
          <w:tcPr>
            <w:tcW w:w="1549" w:type="dxa"/>
            <w:noWrap w:val="0"/>
            <w:vAlign w:val="center"/>
          </w:tcPr>
          <w:p w14:paraId="5EA91367">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FD870A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79B50648">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3DE52F8">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BC809D9">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2646BDD">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441B5F3B">
            <w:pPr>
              <w:spacing w:line="360" w:lineRule="auto"/>
              <w:rPr>
                <w:rFonts w:hint="eastAsia" w:ascii="宋体" w:hAnsi="宋体" w:cs="宋体"/>
                <w:color w:val="auto"/>
                <w:sz w:val="21"/>
                <w:szCs w:val="21"/>
                <w:highlight w:val="none"/>
              </w:rPr>
            </w:pPr>
          </w:p>
        </w:tc>
        <w:tc>
          <w:tcPr>
            <w:tcW w:w="828" w:type="dxa"/>
            <w:noWrap w:val="0"/>
            <w:vAlign w:val="top"/>
          </w:tcPr>
          <w:p w14:paraId="39F2E9F6">
            <w:pPr>
              <w:spacing w:line="360" w:lineRule="auto"/>
              <w:rPr>
                <w:rFonts w:hint="eastAsia" w:ascii="宋体" w:hAnsi="宋体" w:cs="宋体"/>
                <w:color w:val="auto"/>
                <w:sz w:val="21"/>
                <w:szCs w:val="21"/>
                <w:highlight w:val="none"/>
              </w:rPr>
            </w:pPr>
          </w:p>
        </w:tc>
      </w:tr>
      <w:tr w14:paraId="77CC93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54381A77">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15</w:t>
            </w:r>
          </w:p>
        </w:tc>
        <w:tc>
          <w:tcPr>
            <w:tcW w:w="1549" w:type="dxa"/>
            <w:noWrap w:val="0"/>
            <w:vAlign w:val="center"/>
          </w:tcPr>
          <w:p w14:paraId="228BEC3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767651B">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1205CF9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6EAFBA86">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D492DA2">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48D4785">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7B133B58">
            <w:pPr>
              <w:spacing w:line="360" w:lineRule="auto"/>
              <w:rPr>
                <w:rFonts w:hint="eastAsia" w:ascii="宋体" w:hAnsi="宋体" w:cs="宋体"/>
                <w:color w:val="auto"/>
                <w:sz w:val="21"/>
                <w:szCs w:val="21"/>
                <w:highlight w:val="none"/>
              </w:rPr>
            </w:pPr>
          </w:p>
        </w:tc>
        <w:tc>
          <w:tcPr>
            <w:tcW w:w="828" w:type="dxa"/>
            <w:noWrap w:val="0"/>
            <w:vAlign w:val="top"/>
          </w:tcPr>
          <w:p w14:paraId="1D2515D0">
            <w:pPr>
              <w:spacing w:line="360" w:lineRule="auto"/>
              <w:rPr>
                <w:rFonts w:hint="eastAsia" w:ascii="宋体" w:hAnsi="宋体" w:cs="宋体"/>
                <w:color w:val="auto"/>
                <w:sz w:val="21"/>
                <w:szCs w:val="21"/>
                <w:highlight w:val="none"/>
              </w:rPr>
            </w:pPr>
          </w:p>
        </w:tc>
      </w:tr>
      <w:tr w14:paraId="5FA446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A2AD180">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16</w:t>
            </w:r>
          </w:p>
        </w:tc>
        <w:tc>
          <w:tcPr>
            <w:tcW w:w="1549" w:type="dxa"/>
            <w:noWrap w:val="0"/>
            <w:vAlign w:val="center"/>
          </w:tcPr>
          <w:p w14:paraId="58367A11">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2EEF0A34">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D5B71E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ECAD364">
            <w:pPr>
              <w:widowControl/>
              <w:jc w:val="center"/>
              <w:rPr>
                <w:rFonts w:hint="eastAsia" w:ascii="仿宋_GB2312" w:hAnsi="宋体" w:eastAsia="仿宋_GB2312" w:cs="宋体"/>
                <w:color w:val="auto"/>
                <w:kern w:val="0"/>
                <w:sz w:val="21"/>
                <w:szCs w:val="21"/>
                <w:highlight w:val="none"/>
                <w:lang w:val="en-US" w:eastAsia="zh-CN" w:bidi="ar-SA"/>
              </w:rPr>
            </w:pPr>
          </w:p>
        </w:tc>
        <w:tc>
          <w:tcPr>
            <w:tcW w:w="920" w:type="dxa"/>
            <w:noWrap w:val="0"/>
            <w:vAlign w:val="center"/>
          </w:tcPr>
          <w:p w14:paraId="26C67DA7">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4FCC44A3">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A0D8DB">
            <w:pPr>
              <w:spacing w:line="360" w:lineRule="auto"/>
              <w:rPr>
                <w:rFonts w:hint="eastAsia" w:ascii="宋体" w:hAnsi="宋体" w:cs="宋体"/>
                <w:color w:val="auto"/>
                <w:sz w:val="21"/>
                <w:szCs w:val="21"/>
                <w:highlight w:val="none"/>
              </w:rPr>
            </w:pPr>
          </w:p>
        </w:tc>
        <w:tc>
          <w:tcPr>
            <w:tcW w:w="828" w:type="dxa"/>
            <w:noWrap w:val="0"/>
            <w:vAlign w:val="top"/>
          </w:tcPr>
          <w:p w14:paraId="4BCB02CF">
            <w:pPr>
              <w:spacing w:line="360" w:lineRule="auto"/>
              <w:rPr>
                <w:rFonts w:hint="eastAsia" w:ascii="宋体" w:hAnsi="宋体" w:cs="宋体"/>
                <w:color w:val="auto"/>
                <w:sz w:val="21"/>
                <w:szCs w:val="21"/>
                <w:highlight w:val="none"/>
              </w:rPr>
            </w:pPr>
          </w:p>
        </w:tc>
      </w:tr>
      <w:tr w14:paraId="7438E5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203103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17</w:t>
            </w:r>
          </w:p>
        </w:tc>
        <w:tc>
          <w:tcPr>
            <w:tcW w:w="1549" w:type="dxa"/>
            <w:noWrap w:val="0"/>
            <w:vAlign w:val="center"/>
          </w:tcPr>
          <w:p w14:paraId="69F022C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128E94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1725F45D">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65A296B">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81D7686">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2E873956">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61C5B96">
            <w:pPr>
              <w:spacing w:line="360" w:lineRule="auto"/>
              <w:rPr>
                <w:rFonts w:hint="eastAsia" w:ascii="宋体" w:hAnsi="宋体" w:cs="宋体"/>
                <w:color w:val="auto"/>
                <w:sz w:val="21"/>
                <w:szCs w:val="21"/>
                <w:highlight w:val="none"/>
              </w:rPr>
            </w:pPr>
          </w:p>
        </w:tc>
        <w:tc>
          <w:tcPr>
            <w:tcW w:w="828" w:type="dxa"/>
            <w:noWrap w:val="0"/>
            <w:vAlign w:val="top"/>
          </w:tcPr>
          <w:p w14:paraId="2114073F">
            <w:pPr>
              <w:spacing w:line="360" w:lineRule="auto"/>
              <w:rPr>
                <w:rFonts w:hint="eastAsia" w:ascii="宋体" w:hAnsi="宋体" w:cs="宋体"/>
                <w:color w:val="auto"/>
                <w:sz w:val="21"/>
                <w:szCs w:val="21"/>
                <w:highlight w:val="none"/>
              </w:rPr>
            </w:pPr>
          </w:p>
        </w:tc>
      </w:tr>
      <w:tr w14:paraId="69B47E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014CFBE2">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18</w:t>
            </w:r>
          </w:p>
        </w:tc>
        <w:tc>
          <w:tcPr>
            <w:tcW w:w="1549" w:type="dxa"/>
            <w:noWrap w:val="0"/>
            <w:vAlign w:val="center"/>
          </w:tcPr>
          <w:p w14:paraId="38CC384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96B1F7B">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7B060A9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BB9C575">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215C9CE8">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181D6CD0">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A6E781">
            <w:pPr>
              <w:spacing w:line="360" w:lineRule="auto"/>
              <w:rPr>
                <w:rFonts w:hint="eastAsia" w:ascii="宋体" w:hAnsi="宋体" w:cs="宋体"/>
                <w:color w:val="auto"/>
                <w:sz w:val="21"/>
                <w:szCs w:val="21"/>
                <w:highlight w:val="none"/>
              </w:rPr>
            </w:pPr>
          </w:p>
        </w:tc>
        <w:tc>
          <w:tcPr>
            <w:tcW w:w="828" w:type="dxa"/>
            <w:noWrap w:val="0"/>
            <w:vAlign w:val="top"/>
          </w:tcPr>
          <w:p w14:paraId="2C4D39B5">
            <w:pPr>
              <w:spacing w:line="360" w:lineRule="auto"/>
              <w:rPr>
                <w:rFonts w:hint="eastAsia" w:ascii="宋体" w:hAnsi="宋体" w:cs="宋体"/>
                <w:color w:val="auto"/>
                <w:sz w:val="21"/>
                <w:szCs w:val="21"/>
                <w:highlight w:val="none"/>
              </w:rPr>
            </w:pPr>
          </w:p>
        </w:tc>
      </w:tr>
      <w:tr w14:paraId="42E21C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A72BDFA">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19</w:t>
            </w:r>
          </w:p>
        </w:tc>
        <w:tc>
          <w:tcPr>
            <w:tcW w:w="1549" w:type="dxa"/>
            <w:noWrap w:val="0"/>
            <w:vAlign w:val="center"/>
          </w:tcPr>
          <w:p w14:paraId="1AE81790">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092D0CC4">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09DA30D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38E2B604">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581E4C44">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56CB23A9">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2BA3568">
            <w:pPr>
              <w:spacing w:line="360" w:lineRule="auto"/>
              <w:rPr>
                <w:rFonts w:hint="eastAsia" w:ascii="宋体" w:hAnsi="宋体" w:cs="宋体"/>
                <w:color w:val="auto"/>
                <w:sz w:val="21"/>
                <w:szCs w:val="21"/>
                <w:highlight w:val="none"/>
              </w:rPr>
            </w:pPr>
          </w:p>
        </w:tc>
        <w:tc>
          <w:tcPr>
            <w:tcW w:w="828" w:type="dxa"/>
            <w:noWrap w:val="0"/>
            <w:vAlign w:val="top"/>
          </w:tcPr>
          <w:p w14:paraId="1D848DD2">
            <w:pPr>
              <w:spacing w:line="360" w:lineRule="auto"/>
              <w:rPr>
                <w:rFonts w:hint="eastAsia" w:ascii="宋体" w:hAnsi="宋体" w:cs="宋体"/>
                <w:color w:val="auto"/>
                <w:sz w:val="21"/>
                <w:szCs w:val="21"/>
                <w:highlight w:val="none"/>
              </w:rPr>
            </w:pPr>
          </w:p>
        </w:tc>
      </w:tr>
      <w:tr w14:paraId="4C244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0AEAC1F2">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20</w:t>
            </w:r>
          </w:p>
        </w:tc>
        <w:tc>
          <w:tcPr>
            <w:tcW w:w="1549" w:type="dxa"/>
            <w:noWrap w:val="0"/>
            <w:vAlign w:val="center"/>
          </w:tcPr>
          <w:p w14:paraId="05083F7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196B161">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6A3DA20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A13EF15">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586D26D4">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1EB41DE7">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6664696B">
            <w:pPr>
              <w:spacing w:line="360" w:lineRule="auto"/>
              <w:rPr>
                <w:rFonts w:hint="eastAsia" w:ascii="宋体" w:hAnsi="宋体" w:cs="宋体"/>
                <w:color w:val="auto"/>
                <w:sz w:val="21"/>
                <w:szCs w:val="21"/>
                <w:highlight w:val="none"/>
              </w:rPr>
            </w:pPr>
          </w:p>
        </w:tc>
        <w:tc>
          <w:tcPr>
            <w:tcW w:w="828" w:type="dxa"/>
            <w:noWrap w:val="0"/>
            <w:vAlign w:val="top"/>
          </w:tcPr>
          <w:p w14:paraId="34F07DD6">
            <w:pPr>
              <w:spacing w:line="360" w:lineRule="auto"/>
              <w:rPr>
                <w:rFonts w:hint="eastAsia" w:ascii="宋体" w:hAnsi="宋体" w:cs="宋体"/>
                <w:color w:val="auto"/>
                <w:sz w:val="21"/>
                <w:szCs w:val="21"/>
                <w:highlight w:val="none"/>
              </w:rPr>
            </w:pPr>
          </w:p>
        </w:tc>
      </w:tr>
    </w:tbl>
    <w:p w14:paraId="15134FCF">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68" w:name="_Toc296891056"/>
      <w:bookmarkStart w:id="469" w:name="_Toc267261699"/>
      <w:bookmarkStart w:id="470" w:name="_Toc296891268"/>
      <w:bookmarkStart w:id="471" w:name="_Toc296503228"/>
      <w:bookmarkStart w:id="472" w:name="_Toc296346729"/>
      <w:bookmarkStart w:id="473" w:name="_Toc296944567"/>
      <w:bookmarkStart w:id="474" w:name="_Toc296347227"/>
      <w:r>
        <w:rPr>
          <w:rFonts w:hint="eastAsia" w:ascii="宋体" w:hAnsi="宋体" w:cs="宋体"/>
          <w:b/>
          <w:color w:val="auto"/>
          <w:sz w:val="21"/>
          <w:szCs w:val="21"/>
          <w:highlight w:val="none"/>
        </w:rPr>
        <w:t>件5：</w:t>
      </w:r>
    </w:p>
    <w:bookmarkEnd w:id="468"/>
    <w:bookmarkEnd w:id="469"/>
    <w:bookmarkEnd w:id="470"/>
    <w:bookmarkEnd w:id="471"/>
    <w:bookmarkEnd w:id="472"/>
    <w:bookmarkEnd w:id="473"/>
    <w:bookmarkEnd w:id="474"/>
    <w:p w14:paraId="46CB3013">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承包人主要施工管理人员表</w:t>
      </w:r>
    </w:p>
    <w:tbl>
      <w:tblPr>
        <w:tblStyle w:val="24"/>
        <w:tblW w:w="88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689"/>
        <w:gridCol w:w="1279"/>
        <w:gridCol w:w="1022"/>
        <w:gridCol w:w="1022"/>
        <w:gridCol w:w="3833"/>
      </w:tblGrid>
      <w:tr w14:paraId="7CB874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12" w:space="0"/>
              <w:bottom w:val="double" w:color="auto" w:sz="6" w:space="0"/>
            </w:tcBorders>
            <w:noWrap w:val="0"/>
            <w:vAlign w:val="center"/>
          </w:tcPr>
          <w:p w14:paraId="3B94CD92">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名    称</w:t>
            </w:r>
          </w:p>
        </w:tc>
        <w:tc>
          <w:tcPr>
            <w:tcW w:w="1279" w:type="dxa"/>
            <w:tcBorders>
              <w:top w:val="single" w:color="auto" w:sz="12" w:space="0"/>
              <w:bottom w:val="double" w:color="auto" w:sz="6" w:space="0"/>
            </w:tcBorders>
            <w:noWrap w:val="0"/>
            <w:vAlign w:val="center"/>
          </w:tcPr>
          <w:p w14:paraId="26AB25C2">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姓名</w:t>
            </w:r>
          </w:p>
        </w:tc>
        <w:tc>
          <w:tcPr>
            <w:tcW w:w="1022" w:type="dxa"/>
            <w:tcBorders>
              <w:top w:val="single" w:color="auto" w:sz="12" w:space="0"/>
              <w:bottom w:val="double" w:color="auto" w:sz="6" w:space="0"/>
            </w:tcBorders>
            <w:noWrap w:val="0"/>
            <w:vAlign w:val="center"/>
          </w:tcPr>
          <w:p w14:paraId="1FB4C86F">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职务</w:t>
            </w:r>
          </w:p>
        </w:tc>
        <w:tc>
          <w:tcPr>
            <w:tcW w:w="1022" w:type="dxa"/>
            <w:tcBorders>
              <w:top w:val="single" w:color="auto" w:sz="12" w:space="0"/>
              <w:bottom w:val="double" w:color="auto" w:sz="6" w:space="0"/>
            </w:tcBorders>
            <w:noWrap w:val="0"/>
            <w:vAlign w:val="center"/>
          </w:tcPr>
          <w:p w14:paraId="659FC1E0">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职称</w:t>
            </w:r>
          </w:p>
        </w:tc>
        <w:tc>
          <w:tcPr>
            <w:tcW w:w="3833" w:type="dxa"/>
            <w:tcBorders>
              <w:top w:val="single" w:color="auto" w:sz="12" w:space="0"/>
              <w:bottom w:val="double" w:color="auto" w:sz="6" w:space="0"/>
            </w:tcBorders>
            <w:noWrap w:val="0"/>
            <w:vAlign w:val="center"/>
          </w:tcPr>
          <w:p w14:paraId="5187ED3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主要资历、经验及承担过的项目</w:t>
            </w:r>
          </w:p>
        </w:tc>
      </w:tr>
      <w:tr w14:paraId="588627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8845" w:type="dxa"/>
            <w:gridSpan w:val="5"/>
            <w:tcBorders>
              <w:top w:val="double" w:color="auto" w:sz="6" w:space="0"/>
              <w:bottom w:val="single" w:color="auto" w:sz="6" w:space="0"/>
            </w:tcBorders>
            <w:noWrap w:val="0"/>
            <w:vAlign w:val="center"/>
          </w:tcPr>
          <w:p w14:paraId="77280F06">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一、总部人员</w:t>
            </w:r>
          </w:p>
        </w:tc>
      </w:tr>
      <w:tr w14:paraId="1B313C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nil"/>
              <w:bottom w:val="nil"/>
            </w:tcBorders>
            <w:noWrap w:val="0"/>
            <w:vAlign w:val="center"/>
          </w:tcPr>
          <w:p w14:paraId="20B89158">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项目主管</w:t>
            </w:r>
          </w:p>
        </w:tc>
        <w:tc>
          <w:tcPr>
            <w:tcW w:w="1279" w:type="dxa"/>
            <w:tcBorders>
              <w:top w:val="nil"/>
            </w:tcBorders>
            <w:noWrap w:val="0"/>
            <w:vAlign w:val="center"/>
          </w:tcPr>
          <w:p w14:paraId="2E51CD9A">
            <w:pPr>
              <w:pStyle w:val="9"/>
              <w:keepNext/>
              <w:spacing w:after="0" w:line="360" w:lineRule="auto"/>
              <w:ind w:left="63" w:leftChars="30" w:right="63" w:rightChars="30"/>
              <w:rPr>
                <w:rFonts w:hint="eastAsia" w:ascii="宋体" w:hAnsi="宋体" w:cs="宋体"/>
                <w:color w:val="auto"/>
                <w:kern w:val="2"/>
                <w:sz w:val="21"/>
                <w:szCs w:val="21"/>
                <w:highlight w:val="none"/>
                <w:lang w:val="en-US" w:eastAsia="zh-CN" w:bidi="ar-SA"/>
              </w:rPr>
            </w:pPr>
          </w:p>
        </w:tc>
        <w:tc>
          <w:tcPr>
            <w:tcW w:w="1022" w:type="dxa"/>
            <w:tcBorders>
              <w:top w:val="nil"/>
            </w:tcBorders>
            <w:noWrap w:val="0"/>
            <w:vAlign w:val="center"/>
          </w:tcPr>
          <w:p w14:paraId="2B053003">
            <w:pPr>
              <w:pStyle w:val="9"/>
              <w:keepNext/>
              <w:spacing w:after="0" w:line="360" w:lineRule="auto"/>
              <w:ind w:left="63" w:leftChars="30" w:right="63" w:rightChars="30"/>
              <w:rPr>
                <w:rFonts w:hint="eastAsia" w:ascii="宋体" w:hAnsi="宋体" w:cs="宋体"/>
                <w:color w:val="auto"/>
                <w:kern w:val="2"/>
                <w:sz w:val="21"/>
                <w:szCs w:val="21"/>
                <w:highlight w:val="none"/>
                <w:lang w:val="en-US" w:eastAsia="zh-CN" w:bidi="ar-SA"/>
              </w:rPr>
            </w:pPr>
          </w:p>
        </w:tc>
        <w:tc>
          <w:tcPr>
            <w:tcW w:w="1022" w:type="dxa"/>
            <w:tcBorders>
              <w:top w:val="nil"/>
            </w:tcBorders>
            <w:noWrap w:val="0"/>
            <w:vAlign w:val="center"/>
          </w:tcPr>
          <w:p w14:paraId="1D6BE56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top w:val="nil"/>
            </w:tcBorders>
            <w:noWrap w:val="0"/>
            <w:vAlign w:val="center"/>
          </w:tcPr>
          <w:p w14:paraId="6972FCB4">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C6F38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nil"/>
            </w:tcBorders>
            <w:noWrap w:val="0"/>
            <w:vAlign w:val="center"/>
          </w:tcPr>
          <w:p w14:paraId="7EBB877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43641B7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71E52D3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4A7E19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89778E0">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2B0D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nil"/>
              <w:bottom w:val="nil"/>
            </w:tcBorders>
            <w:noWrap w:val="0"/>
            <w:vAlign w:val="center"/>
          </w:tcPr>
          <w:p w14:paraId="601CED1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其他人员</w:t>
            </w:r>
          </w:p>
        </w:tc>
        <w:tc>
          <w:tcPr>
            <w:tcW w:w="1279" w:type="dxa"/>
            <w:noWrap w:val="0"/>
            <w:vAlign w:val="center"/>
          </w:tcPr>
          <w:p w14:paraId="434A32A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2A0A6D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4A16A3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4CC1228">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CF5D4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nil"/>
              <w:bottom w:val="nil"/>
            </w:tcBorders>
            <w:noWrap w:val="0"/>
            <w:vAlign w:val="center"/>
          </w:tcPr>
          <w:p w14:paraId="56EF8108">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3E9630A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47F4828">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5CF5C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8A59B83">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7D6DE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8845" w:type="dxa"/>
            <w:gridSpan w:val="5"/>
            <w:tcBorders>
              <w:top w:val="single" w:color="auto" w:sz="6" w:space="0"/>
              <w:bottom w:val="single" w:color="auto" w:sz="6" w:space="0"/>
            </w:tcBorders>
            <w:noWrap w:val="0"/>
            <w:vAlign w:val="center"/>
          </w:tcPr>
          <w:p w14:paraId="6DC40CD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二、现场人员</w:t>
            </w:r>
          </w:p>
        </w:tc>
      </w:tr>
      <w:tr w14:paraId="1B5A70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6C8E1020">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项目经理</w:t>
            </w:r>
          </w:p>
        </w:tc>
        <w:tc>
          <w:tcPr>
            <w:tcW w:w="1279" w:type="dxa"/>
            <w:noWrap w:val="0"/>
            <w:vAlign w:val="center"/>
          </w:tcPr>
          <w:p w14:paraId="2031C5D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63A7CCA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2087DBA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2FD1610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2B64A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1" w:hRule="atLeast"/>
          <w:jc w:val="center"/>
        </w:trPr>
        <w:tc>
          <w:tcPr>
            <w:tcW w:w="1689" w:type="dxa"/>
            <w:tcBorders>
              <w:top w:val="single" w:color="auto" w:sz="6" w:space="0"/>
              <w:bottom w:val="single" w:color="auto" w:sz="6" w:space="0"/>
            </w:tcBorders>
            <w:noWrap w:val="0"/>
            <w:vAlign w:val="center"/>
          </w:tcPr>
          <w:p w14:paraId="696FF2F5">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技术负责人</w:t>
            </w:r>
          </w:p>
        </w:tc>
        <w:tc>
          <w:tcPr>
            <w:tcW w:w="1279" w:type="dxa"/>
            <w:noWrap w:val="0"/>
            <w:vAlign w:val="center"/>
          </w:tcPr>
          <w:p w14:paraId="6F36FDCC">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55EF083D">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7908F15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4BA79C3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45687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4A1347CF">
            <w:pPr>
              <w:pStyle w:val="9"/>
              <w:keepNext/>
              <w:spacing w:after="0" w:line="360" w:lineRule="auto"/>
              <w:ind w:left="63" w:right="63"/>
              <w:rPr>
                <w:rFonts w:hint="default"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施工管理</w:t>
            </w:r>
          </w:p>
        </w:tc>
        <w:tc>
          <w:tcPr>
            <w:tcW w:w="1279" w:type="dxa"/>
            <w:noWrap w:val="0"/>
            <w:vAlign w:val="center"/>
          </w:tcPr>
          <w:p w14:paraId="4463A559">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0846A1A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A5D7BEF">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403B8FA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729DC0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5405C1EF">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质量管理</w:t>
            </w:r>
          </w:p>
        </w:tc>
        <w:tc>
          <w:tcPr>
            <w:tcW w:w="1279" w:type="dxa"/>
            <w:noWrap w:val="0"/>
            <w:vAlign w:val="center"/>
          </w:tcPr>
          <w:p w14:paraId="579D199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EBBB463">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6381567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124DF99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2DC44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6" w:space="0"/>
              <w:bottom w:val="single" w:color="auto" w:sz="6" w:space="0"/>
            </w:tcBorders>
            <w:noWrap w:val="0"/>
            <w:vAlign w:val="center"/>
          </w:tcPr>
          <w:p w14:paraId="2DAC27F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安全管理</w:t>
            </w:r>
          </w:p>
        </w:tc>
        <w:tc>
          <w:tcPr>
            <w:tcW w:w="1279" w:type="dxa"/>
            <w:noWrap w:val="0"/>
            <w:vAlign w:val="center"/>
          </w:tcPr>
          <w:p w14:paraId="1537A51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34655BA">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796D2DD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22008481">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F7C38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14CF410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24D53EB3">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AB1FF9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C9DE7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C2B3A40">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168C2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6" w:space="0"/>
              <w:bottom w:val="single" w:color="auto" w:sz="6" w:space="0"/>
            </w:tcBorders>
            <w:noWrap w:val="0"/>
            <w:vAlign w:val="center"/>
          </w:tcPr>
          <w:p w14:paraId="5531CAE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5284ED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310FFF6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1A202970">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AE55A9C">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C80BB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309414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347118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CD17D6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F25510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4D8345B7">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A5DAF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restart"/>
            <w:tcBorders>
              <w:top w:val="single" w:color="auto" w:sz="6" w:space="0"/>
            </w:tcBorders>
            <w:noWrap w:val="0"/>
            <w:vAlign w:val="center"/>
          </w:tcPr>
          <w:p w14:paraId="0820CA16">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其他人员</w:t>
            </w:r>
          </w:p>
        </w:tc>
        <w:tc>
          <w:tcPr>
            <w:tcW w:w="1279" w:type="dxa"/>
            <w:noWrap w:val="0"/>
            <w:vAlign w:val="center"/>
          </w:tcPr>
          <w:p w14:paraId="1ECD0D9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7B8A84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435FCA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6C6866AF">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8244E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466A1C3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tcBorders>
              <w:bottom w:val="nil"/>
            </w:tcBorders>
            <w:noWrap w:val="0"/>
            <w:vAlign w:val="center"/>
          </w:tcPr>
          <w:p w14:paraId="7757941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nil"/>
            </w:tcBorders>
            <w:noWrap w:val="0"/>
            <w:vAlign w:val="center"/>
          </w:tcPr>
          <w:p w14:paraId="244A3A8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nil"/>
            </w:tcBorders>
            <w:noWrap w:val="0"/>
            <w:vAlign w:val="center"/>
          </w:tcPr>
          <w:p w14:paraId="4583DF9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bottom w:val="nil"/>
            </w:tcBorders>
            <w:noWrap w:val="0"/>
            <w:vAlign w:val="center"/>
          </w:tcPr>
          <w:p w14:paraId="22DF980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69374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6194B4C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1D76346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51CEE0A">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12E996C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74ABB5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D448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7D3AE15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5BAA0E7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422EC93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3348DA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12AB65A9">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E51D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301E69F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C3FF24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7BA90C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7DCBED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2ABDC885">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2E5E10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tcBorders>
              <w:bottom w:val="single" w:color="auto" w:sz="12" w:space="0"/>
            </w:tcBorders>
            <w:noWrap w:val="0"/>
            <w:vAlign w:val="center"/>
          </w:tcPr>
          <w:p w14:paraId="50DD61C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tcBorders>
              <w:bottom w:val="single" w:color="auto" w:sz="12" w:space="0"/>
            </w:tcBorders>
            <w:noWrap w:val="0"/>
            <w:vAlign w:val="center"/>
          </w:tcPr>
          <w:p w14:paraId="6E01B16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single" w:color="auto" w:sz="12" w:space="0"/>
            </w:tcBorders>
            <w:noWrap w:val="0"/>
            <w:vAlign w:val="center"/>
          </w:tcPr>
          <w:p w14:paraId="3BC58FA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single" w:color="auto" w:sz="12" w:space="0"/>
            </w:tcBorders>
            <w:noWrap w:val="0"/>
            <w:vAlign w:val="center"/>
          </w:tcPr>
          <w:p w14:paraId="0664FEA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bottom w:val="single" w:color="auto" w:sz="12" w:space="0"/>
            </w:tcBorders>
            <w:noWrap w:val="0"/>
            <w:vAlign w:val="center"/>
          </w:tcPr>
          <w:p w14:paraId="6AC5D0A5">
            <w:pPr>
              <w:pStyle w:val="9"/>
              <w:keepNext/>
              <w:spacing w:after="0" w:line="360" w:lineRule="auto"/>
              <w:ind w:left="63" w:right="63"/>
              <w:rPr>
                <w:rFonts w:hint="eastAsia" w:ascii="宋体" w:hAnsi="宋体" w:cs="宋体"/>
                <w:color w:val="auto"/>
                <w:kern w:val="2"/>
                <w:sz w:val="21"/>
                <w:szCs w:val="21"/>
                <w:highlight w:val="none"/>
                <w:lang w:val="en-US" w:eastAsia="zh-CN"/>
              </w:rPr>
            </w:pPr>
          </w:p>
        </w:tc>
      </w:tr>
    </w:tbl>
    <w:p w14:paraId="781CC90E">
      <w:pPr>
        <w:rPr>
          <w:rFonts w:asciiTheme="minorEastAsia" w:hAnsiTheme="minorEastAsia" w:eastAsiaTheme="minorEastAsia" w:cstheme="minorEastAsia"/>
          <w:b/>
          <w:color w:val="auto"/>
          <w:sz w:val="24"/>
          <w:highlight w:val="none"/>
        </w:rPr>
      </w:pPr>
    </w:p>
    <w:p w14:paraId="546CBB68">
      <w:pPr>
        <w:spacing w:line="360" w:lineRule="auto"/>
        <w:jc w:val="center"/>
        <w:rPr>
          <w:rFonts w:asciiTheme="minorEastAsia" w:hAnsiTheme="minorEastAsia" w:eastAsiaTheme="minorEastAsia" w:cstheme="minorEastAsia"/>
          <w:b/>
          <w:color w:val="auto"/>
          <w:sz w:val="24"/>
          <w:highlight w:val="none"/>
        </w:rPr>
      </w:pPr>
    </w:p>
    <w:p w14:paraId="36258794">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p>
    <w:p w14:paraId="6207E3BF">
      <w:pPr>
        <w:spacing w:line="360" w:lineRule="auto"/>
        <w:ind w:left="720" w:firstLine="1084" w:firstLineChars="300"/>
        <w:outlineLvl w:val="0"/>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96"/>
      <w:r>
        <w:rPr>
          <w:rFonts w:hint="eastAsia" w:asciiTheme="minorEastAsia" w:hAnsiTheme="minorEastAsia" w:eastAsiaTheme="minorEastAsia" w:cstheme="minorEastAsia"/>
          <w:b/>
          <w:color w:val="auto"/>
          <w:sz w:val="36"/>
          <w:szCs w:val="20"/>
          <w:highlight w:val="none"/>
        </w:rPr>
        <w:t xml:space="preserve"> </w:t>
      </w:r>
      <w:bookmarkEnd w:id="397"/>
      <w:r>
        <w:rPr>
          <w:rFonts w:hint="eastAsia" w:asciiTheme="minorEastAsia" w:hAnsiTheme="minorEastAsia" w:eastAsiaTheme="minorEastAsia" w:cstheme="minorEastAsia"/>
          <w:b/>
          <w:color w:val="auto"/>
          <w:sz w:val="36"/>
          <w:szCs w:val="20"/>
          <w:highlight w:val="none"/>
        </w:rPr>
        <w:t>应提交的有关格式范例</w:t>
      </w:r>
    </w:p>
    <w:p w14:paraId="38AAB778">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7BBEDAF5">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1861ED3B">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7CD55EA7">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091B3296">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有效的企业法人营业执照（或事业法人登记证）、其他组织（个体工商户）的营业执照或者民办非企业单位登记证书；</w:t>
      </w:r>
    </w:p>
    <w:p w14:paraId="58B70C38">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符合参加政府采购活动应当具备的一般条件的承诺函；</w:t>
      </w:r>
    </w:p>
    <w:p w14:paraId="0A471512">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3 落实政府采购政策需满足的资格要求</w:t>
      </w:r>
      <w:r>
        <w:rPr>
          <w:rFonts w:hint="eastAsia" w:asciiTheme="minorEastAsia" w:hAnsiTheme="minorEastAsia" w:eastAsiaTheme="minorEastAsia" w:cstheme="minorEastAsia"/>
          <w:color w:val="auto"/>
          <w:sz w:val="28"/>
          <w:szCs w:val="28"/>
          <w:highlight w:val="none"/>
          <w:lang w:eastAsia="zh-CN"/>
        </w:rPr>
        <w:t>（如有）</w:t>
      </w:r>
      <w:r>
        <w:rPr>
          <w:rFonts w:hint="eastAsia" w:asciiTheme="minorEastAsia" w:hAnsiTheme="minorEastAsia" w:eastAsiaTheme="minorEastAsia" w:cstheme="minorEastAsia"/>
          <w:color w:val="auto"/>
          <w:sz w:val="28"/>
          <w:szCs w:val="28"/>
          <w:highlight w:val="none"/>
        </w:rPr>
        <w:t>；</w:t>
      </w:r>
    </w:p>
    <w:p w14:paraId="3ACF99DB">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4 本项目的特定资格要求（如有）。</w:t>
      </w:r>
    </w:p>
    <w:p w14:paraId="4E7916AF">
      <w:pPr>
        <w:pStyle w:val="31"/>
        <w:spacing w:line="360" w:lineRule="auto"/>
        <w:ind w:firstLine="480"/>
        <w:rPr>
          <w:rFonts w:asciiTheme="minorEastAsia" w:hAnsiTheme="minorEastAsia" w:eastAsiaTheme="minorEastAsia" w:cstheme="minorEastAsia"/>
          <w:color w:val="auto"/>
          <w:sz w:val="24"/>
          <w:highlight w:val="none"/>
        </w:rPr>
      </w:pPr>
    </w:p>
    <w:p w14:paraId="1BDE9ADE">
      <w:pP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5A66008B">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一、 符合参加政府采购活动应当具备的一般条件的承诺函</w:t>
      </w:r>
    </w:p>
    <w:p w14:paraId="35E9CA84">
      <w:pP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757A430C">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u w:val="single"/>
          <w:lang w:eastAsia="zh-CN"/>
        </w:rPr>
        <w:t>项目编号：</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lang w:eastAsia="zh-CN"/>
        </w:rPr>
        <w:t>】</w:t>
      </w:r>
      <w:r>
        <w:rPr>
          <w:rFonts w:hint="eastAsia" w:asciiTheme="minorEastAsia" w:hAnsiTheme="minorEastAsia" w:eastAsiaTheme="minorEastAsia" w:cstheme="minorEastAsia"/>
          <w:color w:val="auto"/>
          <w:sz w:val="24"/>
          <w:highlight w:val="none"/>
        </w:rPr>
        <w:t>政府采购活动，郑重承诺：</w:t>
      </w:r>
    </w:p>
    <w:p w14:paraId="3EBC1DB9">
      <w:pPr>
        <w:snapToGrid w:val="0"/>
        <w:spacing w:line="360" w:lineRule="auto"/>
        <w:ind w:firstLine="360" w:firstLineChars="1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（一）具备《中华人民共和国政府采购法》第二十二条第一款规定的条件：</w:t>
      </w:r>
    </w:p>
    <w:p w14:paraId="4633B55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具有独立承担民事责任的能力；</w:t>
      </w:r>
    </w:p>
    <w:p w14:paraId="3A4522E3">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 xml:space="preserve">具有良好的商业信誉和健全的财务会计制度； </w:t>
      </w:r>
    </w:p>
    <w:p w14:paraId="64B025C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具有履行合同所必需的设备和专业技术能力；</w:t>
      </w:r>
    </w:p>
    <w:p w14:paraId="51FE8A7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有依法缴纳税收和社会保障资金的良好记录；</w:t>
      </w:r>
    </w:p>
    <w:p w14:paraId="29794C2E">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参加政府采购活动前三年内，在经营活动中没有重大违法记录；</w:t>
      </w:r>
    </w:p>
    <w:p w14:paraId="1E569772">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具有法律、行政法规规定的其他条件。</w:t>
      </w:r>
    </w:p>
    <w:p w14:paraId="4C1B23A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（二）未被信用中国（www.creditchina.gov.cn)、中国政府采购网（www.ccgp.gov.cn）列入失信被执行人、重大税收违法失信主体、政府采购严重违法失信行为记录名单。</w:t>
      </w:r>
    </w:p>
    <w:p w14:paraId="7D47157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（三）不存在以下情况：</w:t>
      </w:r>
    </w:p>
    <w:p w14:paraId="0DC08B3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单位负责人为同一人或者存在直接控股、管理关系的不同供应商参加同一合同项下的政府采购活动的；</w:t>
      </w:r>
    </w:p>
    <w:p w14:paraId="4CC2D3A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为采购项目提供整体设计、规范编制或者项目管理、监理、检测等服务后再参加该采购项目的其他采购活动的。</w:t>
      </w:r>
    </w:p>
    <w:p w14:paraId="7D8F5E61">
      <w:pP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5AC1303C">
      <w:pP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7B364BA4">
      <w:pPr>
        <w:spacing w:line="360" w:lineRule="auto"/>
        <w:ind w:right="420" w:firstLine="5250" w:firstLineChars="25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法定代表人（签名或印章）：     </w:t>
      </w:r>
    </w:p>
    <w:p w14:paraId="0AE1A1F8">
      <w:pPr>
        <w:spacing w:line="360" w:lineRule="auto"/>
        <w:ind w:right="420" w:firstLine="5460" w:firstLineChars="2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供应商（盖章）：   </w:t>
      </w:r>
    </w:p>
    <w:p w14:paraId="39AD6CE7">
      <w:pPr>
        <w:spacing w:line="360" w:lineRule="auto"/>
        <w:ind w:right="420" w:firstLine="5355" w:firstLineChars="25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年    月    日</w:t>
      </w:r>
    </w:p>
    <w:p w14:paraId="7BA4892D">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7A84C30">
      <w:pP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2389F1BF">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二、落实政府采购政策需满足的资格要求</w:t>
      </w:r>
    </w:p>
    <w:p w14:paraId="7D8C1472">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（根据竞争性磋商公告落实政府采购政策需满足的资格要求选择提供相应的材料；未要求的，无需提供）</w:t>
      </w:r>
    </w:p>
    <w:p w14:paraId="27C5CFD1">
      <w:pPr>
        <w:snapToGrid w:val="0"/>
        <w:spacing w:before="50" w:after="50"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A</w:t>
      </w:r>
      <w:r>
        <w:rPr>
          <w:rFonts w:hint="eastAsia" w:asciiTheme="minorEastAsia" w:hAnsiTheme="minorEastAsia" w:eastAsiaTheme="minorEastAsia" w:cstheme="minorEastAsia"/>
          <w:color w:val="auto"/>
          <w:sz w:val="24"/>
          <w:highlight w:val="none"/>
        </w:rPr>
        <w:t xml:space="preserve">.专门面向中小企业，货物全部由符合政策要求的中小企业（或小微企业）制造或者服务全部由符合政策要求的中小企业（或小微企业）承接的，提供相应的中小企业声明函。 </w:t>
      </w:r>
    </w:p>
    <w:p w14:paraId="272F43DD">
      <w:pPr>
        <w:widowControl/>
        <w:spacing w:line="360" w:lineRule="auto"/>
        <w:ind w:firstLine="480"/>
        <w:jc w:val="left"/>
        <w:rPr>
          <w:rFonts w:asciiTheme="minorEastAsia" w:hAnsiTheme="minorEastAsia" w:eastAsiaTheme="minorEastAsia" w:cstheme="minorEastAsia"/>
          <w:color w:val="auto"/>
          <w:sz w:val="24"/>
          <w:highlight w:val="none"/>
        </w:rPr>
      </w:pPr>
    </w:p>
    <w:p w14:paraId="3AF5D417">
      <w:pPr>
        <w:widowControl/>
        <w:spacing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B.</w:t>
      </w:r>
      <w:r>
        <w:rPr>
          <w:rFonts w:hint="eastAsia" w:asciiTheme="minorEastAsia" w:hAnsiTheme="minorEastAsia" w:eastAsiaTheme="minorEastAsia" w:cstheme="minorEastAsia"/>
          <w:color w:val="auto"/>
          <w:sz w:val="24"/>
          <w:highlight w:val="none"/>
        </w:rPr>
        <w:t>要求以联合体形式参加的，提供联合协议和中小企业声明函，联合协议中中小企业合同金额应当达到竞争性磋商公告载明的比例；如果供应商本身提供所有标的均由中小企业制造或承接的，视同符合了资格条件，无需再与其他中小企业组成联合体参加政府采购活动，无需提供联合协议。</w:t>
      </w:r>
    </w:p>
    <w:p w14:paraId="4278D40F">
      <w:pPr>
        <w:spacing w:line="360" w:lineRule="auto"/>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rPr>
        <w:t>三、本项目的特定资格要求</w:t>
      </w:r>
    </w:p>
    <w:p w14:paraId="4EBD966D">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（根据竞争性磋商公告本项目的特定资格要求提供相应的材料；未要求的，无需提供）</w:t>
      </w:r>
    </w:p>
    <w:p w14:paraId="46F9DF04">
      <w:pPr>
        <w:spacing w:line="360" w:lineRule="auto"/>
        <w:rPr>
          <w:rFonts w:asciiTheme="minorEastAsia" w:hAnsiTheme="minorEastAsia" w:eastAsiaTheme="minorEastAsia" w:cstheme="minorEastAsia"/>
          <w:color w:val="auto"/>
          <w:highlight w:val="none"/>
        </w:rPr>
      </w:pPr>
    </w:p>
    <w:p w14:paraId="50BA447E">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66748DC">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434B5521">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3CCB77C5">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35E211BE">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5CEC8B87">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12DAA56">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2EA970CF">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5694571B">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1E608177">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74398039">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1559F449">
      <w:pPr>
        <w:spacing w:line="360" w:lineRule="auto"/>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1EDA4413">
      <w:pPr>
        <w:spacing w:line="360" w:lineRule="auto"/>
        <w:ind w:right="420"/>
        <w:jc w:val="center"/>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72DC0830">
      <w:pPr>
        <w:spacing w:line="360" w:lineRule="auto"/>
        <w:jc w:val="center"/>
        <w:outlineLvl w:val="0"/>
        <w:rPr>
          <w:rFonts w:asciiTheme="minorEastAsia" w:hAnsiTheme="minorEastAsia" w:eastAsiaTheme="minorEastAsia" w:cstheme="minorEastAsia"/>
          <w:b/>
          <w:color w:val="auto"/>
          <w:kern w:val="0"/>
          <w:sz w:val="24"/>
          <w:highlight w:val="none"/>
        </w:rPr>
      </w:pPr>
    </w:p>
    <w:p w14:paraId="3BA277A0">
      <w:pPr>
        <w:spacing w:line="360" w:lineRule="auto"/>
        <w:ind w:left="3990" w:leftChars="1900"/>
        <w:outlineLvl w:val="0"/>
        <w:rPr>
          <w:rFonts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 录</w:t>
      </w:r>
    </w:p>
    <w:p w14:paraId="27C8E848">
      <w:pPr>
        <w:snapToGrid w:val="0"/>
        <w:spacing w:line="360" w:lineRule="auto"/>
        <w:ind w:firstLine="960" w:firstLineChars="400"/>
        <w:rPr>
          <w:rFonts w:asciiTheme="minorEastAsia" w:hAnsiTheme="minorEastAsia" w:eastAsiaTheme="minorEastAsia" w:cstheme="minorEastAsia"/>
          <w:color w:val="auto"/>
          <w:sz w:val="24"/>
          <w:highlight w:val="none"/>
        </w:rPr>
      </w:pPr>
    </w:p>
    <w:p w14:paraId="3008F2DE">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符合性自查表；</w:t>
      </w:r>
    </w:p>
    <w:p w14:paraId="77D837E9">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磋商函；</w:t>
      </w:r>
      <w:r>
        <w:rPr>
          <w:rFonts w:hint="eastAsia" w:asciiTheme="minorEastAsia" w:hAnsiTheme="minorEastAsia" w:eastAsiaTheme="minorEastAsia" w:cstheme="minorEastAsia"/>
          <w:color w:val="auto"/>
          <w:sz w:val="28"/>
          <w:szCs w:val="28"/>
          <w:highlight w:val="none"/>
          <w:lang w:val="zh-CN"/>
        </w:rPr>
        <w:t xml:space="preserve"> </w:t>
      </w:r>
    </w:p>
    <w:p w14:paraId="2636F374">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3 授权委托书；</w:t>
      </w:r>
    </w:p>
    <w:p w14:paraId="74C115A5">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4 供应商情况表；</w:t>
      </w:r>
    </w:p>
    <w:p w14:paraId="068D969B">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5 距采购人最近或者能为本项目提供最优服务的网点情况表；</w:t>
      </w:r>
    </w:p>
    <w:p w14:paraId="785C7596">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6 评审标准相应的商务技术资料；</w:t>
      </w:r>
    </w:p>
    <w:p w14:paraId="281436A6">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7 商务偏离表；</w:t>
      </w:r>
    </w:p>
    <w:p w14:paraId="5D8A5607">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8 技术偏离表；</w:t>
      </w:r>
    </w:p>
    <w:p w14:paraId="6925679E">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9 同类业绩情况一览表；</w:t>
      </w:r>
    </w:p>
    <w:p w14:paraId="1BBB07E2">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lang w:val="zh-CN"/>
        </w:rPr>
      </w:pPr>
      <w:r>
        <w:rPr>
          <w:rFonts w:hint="eastAsia" w:asciiTheme="minorEastAsia" w:hAnsiTheme="minorEastAsia" w:eastAsiaTheme="minorEastAsia" w:cstheme="minorEastAsia"/>
          <w:color w:val="auto"/>
          <w:sz w:val="28"/>
          <w:szCs w:val="28"/>
          <w:highlight w:val="none"/>
        </w:rPr>
        <w:t xml:space="preserve">10 </w:t>
      </w:r>
      <w:r>
        <w:rPr>
          <w:rFonts w:hint="eastAsia" w:asciiTheme="minorEastAsia" w:hAnsiTheme="minorEastAsia" w:eastAsiaTheme="minorEastAsia" w:cstheme="minorEastAsia"/>
          <w:color w:val="auto"/>
          <w:sz w:val="28"/>
          <w:szCs w:val="28"/>
          <w:highlight w:val="none"/>
          <w:lang w:val="zh-CN"/>
        </w:rPr>
        <w:t>政府采购供应商廉洁自律承诺书；</w:t>
      </w:r>
    </w:p>
    <w:p w14:paraId="563516DD">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11 其他资料。</w:t>
      </w:r>
    </w:p>
    <w:p w14:paraId="76C7D96B">
      <w:pPr>
        <w:snapToGrid w:val="0"/>
        <w:spacing w:line="360" w:lineRule="auto"/>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p>
    <w:p w14:paraId="50D78245">
      <w:pPr>
        <w:numPr>
          <w:ilvl w:val="0"/>
          <w:numId w:val="5"/>
        </w:numPr>
        <w:snapToGrid w:val="0"/>
        <w:spacing w:line="360" w:lineRule="auto"/>
        <w:ind w:left="420" w:leftChars="0" w:firstLineChars="0"/>
        <w:jc w:val="center"/>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符合性自查表</w:t>
      </w:r>
    </w:p>
    <w:tbl>
      <w:tblPr>
        <w:tblStyle w:val="24"/>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3544"/>
        <w:gridCol w:w="2693"/>
        <w:gridCol w:w="1276"/>
        <w:gridCol w:w="1979"/>
      </w:tblGrid>
      <w:tr w14:paraId="54157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07" w:type="dxa"/>
            <w:vAlign w:val="center"/>
          </w:tcPr>
          <w:p w14:paraId="04624843">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544" w:type="dxa"/>
            <w:vAlign w:val="center"/>
          </w:tcPr>
          <w:p w14:paraId="33CE47ED">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2693" w:type="dxa"/>
            <w:vAlign w:val="center"/>
          </w:tcPr>
          <w:p w14:paraId="259C4DCC">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276" w:type="dxa"/>
            <w:vAlign w:val="center"/>
          </w:tcPr>
          <w:p w14:paraId="35BBD2E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自查结论</w:t>
            </w:r>
          </w:p>
        </w:tc>
        <w:tc>
          <w:tcPr>
            <w:tcW w:w="1979" w:type="dxa"/>
            <w:vAlign w:val="center"/>
          </w:tcPr>
          <w:p w14:paraId="748A7352">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395A5BE4">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7F1C1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24ADA675">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544" w:type="dxa"/>
            <w:vAlign w:val="center"/>
          </w:tcPr>
          <w:p w14:paraId="34B81E6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响应文件按照采购文件要求签署、盖章。</w:t>
            </w:r>
          </w:p>
        </w:tc>
        <w:tc>
          <w:tcPr>
            <w:tcW w:w="2693" w:type="dxa"/>
            <w:vAlign w:val="center"/>
          </w:tcPr>
          <w:p w14:paraId="3AE4726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276" w:type="dxa"/>
            <w:vAlign w:val="center"/>
          </w:tcPr>
          <w:p w14:paraId="4D13E33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7C327FDA">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25E44A7B">
            <w:pPr>
              <w:spacing w:line="360" w:lineRule="auto"/>
              <w:rPr>
                <w:rFonts w:asciiTheme="minorEastAsia" w:hAnsiTheme="minorEastAsia" w:eastAsiaTheme="minorEastAsia" w:cstheme="minorEastAsia"/>
                <w:color w:val="auto"/>
                <w:sz w:val="24"/>
                <w:highlight w:val="none"/>
              </w:rPr>
            </w:pPr>
          </w:p>
          <w:p w14:paraId="41A9F59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152D0C4E">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67FC8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75FED9B4">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544" w:type="dxa"/>
            <w:vAlign w:val="center"/>
          </w:tcPr>
          <w:p w14:paraId="76DAC420">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响应文件中承诺的响应有效期不少于采购文件中载明的响应有效期。</w:t>
            </w:r>
          </w:p>
        </w:tc>
        <w:tc>
          <w:tcPr>
            <w:tcW w:w="2693" w:type="dxa"/>
            <w:vAlign w:val="center"/>
          </w:tcPr>
          <w:p w14:paraId="588FEFF6">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磋商函</w:t>
            </w:r>
          </w:p>
        </w:tc>
        <w:tc>
          <w:tcPr>
            <w:tcW w:w="1276" w:type="dxa"/>
            <w:vAlign w:val="center"/>
          </w:tcPr>
          <w:p w14:paraId="40CBA876">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4A8375B4">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4CA2794C">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7CDF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707" w:type="dxa"/>
            <w:vAlign w:val="center"/>
          </w:tcPr>
          <w:p w14:paraId="3BFA06E7">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544" w:type="dxa"/>
            <w:vAlign w:val="center"/>
          </w:tcPr>
          <w:p w14:paraId="378CD7EC">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响应文件满足采购文件的其它实质性要求。</w:t>
            </w:r>
          </w:p>
        </w:tc>
        <w:tc>
          <w:tcPr>
            <w:tcW w:w="2693" w:type="dxa"/>
            <w:vAlign w:val="center"/>
          </w:tcPr>
          <w:p w14:paraId="27DC486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采购文件其它实质性要求相应的材料（“▲” 系指实质性要求条款，采购文件无其它实质性要求的，无需提供）</w:t>
            </w:r>
          </w:p>
        </w:tc>
        <w:tc>
          <w:tcPr>
            <w:tcW w:w="1276" w:type="dxa"/>
            <w:vAlign w:val="center"/>
          </w:tcPr>
          <w:p w14:paraId="21065A8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7A8278BB">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6DDDBD75">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09002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6FDD51A6">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3544" w:type="dxa"/>
            <w:vAlign w:val="center"/>
          </w:tcPr>
          <w:p w14:paraId="50D0E0F0">
            <w:pP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响应文件没有采购文件中规定的其它无效响应条款的。</w:t>
            </w:r>
          </w:p>
        </w:tc>
        <w:tc>
          <w:tcPr>
            <w:tcW w:w="2693" w:type="dxa"/>
            <w:vAlign w:val="center"/>
          </w:tcPr>
          <w:p w14:paraId="20586ED7">
            <w:pP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72C6C6B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051454E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618DE174">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6874B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7169F74F">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3544" w:type="dxa"/>
            <w:vAlign w:val="center"/>
          </w:tcPr>
          <w:p w14:paraId="48B65985">
            <w:pP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按有关法律、法规、规章不属于响应无效的。</w:t>
            </w:r>
          </w:p>
        </w:tc>
        <w:tc>
          <w:tcPr>
            <w:tcW w:w="2693" w:type="dxa"/>
            <w:vAlign w:val="center"/>
          </w:tcPr>
          <w:p w14:paraId="3E58C5EE">
            <w:pP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1BE954D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65F1D26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4E7DE2FA">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37037079">
      <w:pPr>
        <w:snapToGrid w:val="0"/>
        <w:spacing w:line="360" w:lineRule="auto"/>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24"/>
          <w:highlight w:val="none"/>
        </w:rPr>
        <w:t xml:space="preserve">备注：供应商自查表将作为供应商有效性审查的重要内容之一，供应商必须严格按照其内容及序列要求在响应文件中对应如实提供，对资格性证明文件的任何缺漏和不符合项将会直接导致响应无效！ </w:t>
      </w:r>
    </w:p>
    <w:p w14:paraId="17C94631">
      <w:pPr>
        <w:numPr>
          <w:ilvl w:val="0"/>
          <w:numId w:val="5"/>
        </w:numPr>
        <w:snapToGrid w:val="0"/>
        <w:spacing w:line="360" w:lineRule="auto"/>
        <w:ind w:left="420" w:leftChars="0" w:firstLineChars="0"/>
        <w:jc w:val="center"/>
        <w:outlineLvl w:val="0"/>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r>
        <w:rPr>
          <w:rFonts w:hint="eastAsia" w:asciiTheme="minorEastAsia" w:hAnsiTheme="minorEastAsia" w:eastAsiaTheme="minorEastAsia" w:cstheme="minorEastAsia"/>
          <w:b/>
          <w:color w:val="auto"/>
          <w:kern w:val="0"/>
          <w:sz w:val="32"/>
          <w:szCs w:val="32"/>
          <w:highlight w:val="none"/>
        </w:rPr>
        <w:t>磋商</w:t>
      </w:r>
      <w:r>
        <w:rPr>
          <w:rFonts w:hint="eastAsia" w:asciiTheme="minorEastAsia" w:hAnsiTheme="minorEastAsia" w:eastAsiaTheme="minorEastAsia" w:cstheme="minorEastAsia"/>
          <w:b/>
          <w:color w:val="auto"/>
          <w:sz w:val="32"/>
          <w:szCs w:val="32"/>
          <w:highlight w:val="none"/>
        </w:rPr>
        <w:t>函</w:t>
      </w:r>
    </w:p>
    <w:p w14:paraId="6ED48FD0">
      <w:pP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28CEBA75">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u w:val="single"/>
          <w:lang w:eastAsia="zh-CN"/>
        </w:rPr>
        <w:t>项目编号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采购活动，并对此项目进行磋商响应。为此：</w:t>
      </w:r>
    </w:p>
    <w:p w14:paraId="53ED16B7">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我方承诺响应有效期从提交响应文件的截止之日起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本响应文件在响应有效期满之前均具有约束力。</w:t>
      </w:r>
    </w:p>
    <w:p w14:paraId="27FBCBF4">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我方的响应文件包括以下内容：</w:t>
      </w:r>
    </w:p>
    <w:p w14:paraId="0413A746">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7FD63DF4">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2.1.1有效的企业法人营业执照（或事业法人登记证）、其他组织（个体工商户）的营业执照或者民办非企业单位登记证书；</w:t>
      </w:r>
    </w:p>
    <w:p w14:paraId="11B4BE40">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2.1.2符合参加政府采购活动应当具备的一般条件的承诺函；</w:t>
      </w:r>
    </w:p>
    <w:p w14:paraId="488C45C6">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2.1.3落实政府采购政策需满足的资格要求（</w:t>
      </w:r>
      <w:r>
        <w:rPr>
          <w:rFonts w:hint="eastAsia" w:asciiTheme="minorEastAsia" w:hAnsiTheme="minorEastAsia" w:eastAsiaTheme="minorEastAsia" w:cstheme="minorEastAsia"/>
          <w:color w:val="auto"/>
          <w:sz w:val="24"/>
          <w:highlight w:val="none"/>
          <w:lang w:eastAsia="zh-CN"/>
        </w:rPr>
        <w:t>如有</w:t>
      </w:r>
      <w:r>
        <w:rPr>
          <w:rFonts w:hint="eastAsia" w:asciiTheme="minorEastAsia" w:hAnsiTheme="minorEastAsia" w:eastAsiaTheme="minorEastAsia" w:cstheme="minorEastAsia"/>
          <w:color w:val="auto"/>
          <w:sz w:val="24"/>
          <w:highlight w:val="none"/>
        </w:rPr>
        <w:t>）；</w:t>
      </w:r>
    </w:p>
    <w:p w14:paraId="0823AD16">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2.1.4本项目的特定资格要求（</w:t>
      </w:r>
      <w:r>
        <w:rPr>
          <w:rFonts w:hint="eastAsia" w:asciiTheme="minorEastAsia" w:hAnsiTheme="minorEastAsia" w:eastAsiaTheme="minorEastAsia" w:cstheme="minorEastAsia"/>
          <w:color w:val="auto"/>
          <w:sz w:val="24"/>
          <w:highlight w:val="none"/>
          <w:lang w:eastAsia="zh-CN"/>
        </w:rPr>
        <w:t>如有</w:t>
      </w:r>
      <w:r>
        <w:rPr>
          <w:rFonts w:hint="eastAsia" w:asciiTheme="minorEastAsia" w:hAnsiTheme="minorEastAsia" w:eastAsiaTheme="minorEastAsia" w:cstheme="minorEastAsia"/>
          <w:color w:val="auto"/>
          <w:sz w:val="24"/>
          <w:highlight w:val="none"/>
        </w:rPr>
        <w:t>）。</w:t>
      </w:r>
    </w:p>
    <w:p w14:paraId="0D6E109C">
      <w:pPr>
        <w:snapToGrid w:val="0"/>
        <w:spacing w:line="360" w:lineRule="auto"/>
        <w:ind w:left="210" w:leftChars="1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商务技术</w:t>
      </w:r>
      <w:r>
        <w:rPr>
          <w:rFonts w:hint="eastAsia" w:asciiTheme="minorEastAsia" w:hAnsiTheme="minorEastAsia" w:eastAsiaTheme="minorEastAsia" w:cstheme="minorEastAsia"/>
          <w:color w:val="auto"/>
          <w:sz w:val="24"/>
          <w:highlight w:val="none"/>
          <w:lang w:val="zh-CN"/>
        </w:rPr>
        <w:t>文件：</w:t>
      </w:r>
    </w:p>
    <w:p w14:paraId="7CED0183">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 符合性自查表；</w:t>
      </w:r>
    </w:p>
    <w:p w14:paraId="6926CE74">
      <w:pPr>
        <w:snapToGrid w:val="0"/>
        <w:spacing w:line="360" w:lineRule="auto"/>
        <w:ind w:left="420" w:leftChars="200" w:firstLine="480" w:firstLineChars="200"/>
        <w:rPr>
          <w:rFonts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sz w:val="24"/>
          <w:highlight w:val="none"/>
        </w:rPr>
        <w:t>2.2.2 磋商函；</w:t>
      </w:r>
      <w:r>
        <w:rPr>
          <w:rFonts w:hint="eastAsia" w:asciiTheme="minorEastAsia" w:hAnsiTheme="minorEastAsia" w:eastAsiaTheme="minorEastAsia" w:cstheme="minorEastAsia"/>
          <w:color w:val="auto"/>
          <w:sz w:val="24"/>
          <w:highlight w:val="none"/>
          <w:lang w:val="zh-CN"/>
        </w:rPr>
        <w:t xml:space="preserve"> </w:t>
      </w:r>
    </w:p>
    <w:p w14:paraId="460D7E51">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 授权委托书；</w:t>
      </w:r>
    </w:p>
    <w:p w14:paraId="3463398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 供应商情况表；</w:t>
      </w:r>
    </w:p>
    <w:p w14:paraId="7E499A6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2.2.5 距采购人最近或者能为本项目提供最优服务的网点情况表；</w:t>
      </w:r>
    </w:p>
    <w:p w14:paraId="78D26B69">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 评审标准相应的商务技术资料；</w:t>
      </w:r>
    </w:p>
    <w:p w14:paraId="095E6FF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7 商务</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668634DA">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 技术</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6E0D2EEB">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9 同类业绩情况一览表；</w:t>
      </w:r>
    </w:p>
    <w:p w14:paraId="0220D153">
      <w:pPr>
        <w:snapToGrid w:val="0"/>
        <w:spacing w:line="360" w:lineRule="auto"/>
        <w:ind w:left="420" w:leftChars="2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 xml:space="preserve">2.2.10 </w:t>
      </w:r>
      <w:r>
        <w:rPr>
          <w:rFonts w:hint="eastAsia" w:asciiTheme="minorEastAsia" w:hAnsiTheme="minorEastAsia" w:eastAsiaTheme="minorEastAsia" w:cstheme="minorEastAsia"/>
          <w:color w:val="auto"/>
          <w:sz w:val="24"/>
          <w:highlight w:val="none"/>
          <w:lang w:val="zh-CN"/>
        </w:rPr>
        <w:t>政府采购供应商廉洁自律承诺书；</w:t>
      </w:r>
    </w:p>
    <w:p w14:paraId="6C846055">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2.2.11 其他资料。</w:t>
      </w:r>
    </w:p>
    <w:p w14:paraId="6B6F11BD">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050027CE">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 报价一览表；</w:t>
      </w:r>
    </w:p>
    <w:p w14:paraId="306EA8B6">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2.3.2中小企业声明函（如有）；</w:t>
      </w:r>
    </w:p>
    <w:p w14:paraId="56305DE9">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2.3.3 残疾人福利性单位声明函（如有）；</w:t>
      </w:r>
    </w:p>
    <w:p w14:paraId="2FF47F02">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2.3.4 监狱企业的证明文件（如有）；</w:t>
      </w:r>
    </w:p>
    <w:p w14:paraId="3DDF904B">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2.3.5 政府采购统计基础信息表。</w:t>
      </w:r>
    </w:p>
    <w:p w14:paraId="019B1E8B">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我方承诺除商务技术偏离表列出的偏离外，我方响应采购文件的全部要求。</w:t>
      </w:r>
    </w:p>
    <w:p w14:paraId="701C9EFB">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如我方成交，我方承诺：</w:t>
      </w:r>
    </w:p>
    <w:p w14:paraId="34F55C28">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066CEF17">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53837630">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4.3按照采购文件要求提交履约保证金； </w:t>
      </w:r>
    </w:p>
    <w:p w14:paraId="1216EF17">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3106E530">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其他补充说明</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w:t>
      </w:r>
    </w:p>
    <w:p w14:paraId="77F60A41">
      <w:pPr>
        <w:spacing w:line="360" w:lineRule="auto"/>
        <w:ind w:firstLine="3600" w:firstLineChars="1500"/>
        <w:rPr>
          <w:rFonts w:asciiTheme="minorEastAsia" w:hAnsiTheme="minorEastAsia" w:eastAsiaTheme="minorEastAsia" w:cstheme="minorEastAsia"/>
          <w:color w:val="auto"/>
          <w:sz w:val="24"/>
          <w:highlight w:val="none"/>
        </w:rPr>
      </w:pPr>
    </w:p>
    <w:p w14:paraId="5F02E8BA">
      <w:pPr>
        <w:spacing w:line="360" w:lineRule="auto"/>
        <w:ind w:firstLine="3600" w:firstLineChars="1500"/>
        <w:rPr>
          <w:rFonts w:asciiTheme="minorEastAsia" w:hAnsiTheme="minorEastAsia" w:eastAsiaTheme="minorEastAsia" w:cstheme="minorEastAsia"/>
          <w:color w:val="auto"/>
          <w:sz w:val="24"/>
          <w:highlight w:val="none"/>
        </w:rPr>
      </w:pPr>
    </w:p>
    <w:p w14:paraId="71B1D14F">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法定代表人（签名或印章）：     </w:t>
      </w:r>
    </w:p>
    <w:p w14:paraId="6B2196A9">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供应商（盖章）：   </w:t>
      </w:r>
    </w:p>
    <w:p w14:paraId="7366C0B5">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    月    日</w:t>
      </w:r>
    </w:p>
    <w:p w14:paraId="0C3CFA30">
      <w:pPr>
        <w:spacing w:line="360" w:lineRule="auto"/>
        <w:jc w:val="center"/>
        <w:rPr>
          <w:rFonts w:asciiTheme="minorEastAsia" w:hAnsiTheme="minorEastAsia" w:eastAsiaTheme="minorEastAsia" w:cstheme="minorEastAsia"/>
          <w:b/>
          <w:color w:val="auto"/>
          <w:kern w:val="0"/>
          <w:sz w:val="32"/>
          <w:szCs w:val="32"/>
          <w:highlight w:val="none"/>
        </w:rPr>
      </w:pPr>
    </w:p>
    <w:p w14:paraId="43B86DCE">
      <w:pPr>
        <w:spacing w:line="360" w:lineRule="auto"/>
        <w:jc w:val="center"/>
        <w:rPr>
          <w:rFonts w:asciiTheme="minorEastAsia" w:hAnsiTheme="minorEastAsia" w:eastAsiaTheme="minorEastAsia" w:cstheme="minorEastAsia"/>
          <w:b/>
          <w:color w:val="auto"/>
          <w:kern w:val="0"/>
          <w:sz w:val="32"/>
          <w:szCs w:val="32"/>
          <w:highlight w:val="none"/>
          <w:lang w:val="zh-CN"/>
        </w:rPr>
      </w:pPr>
    </w:p>
    <w:p w14:paraId="1C53E9BF">
      <w:pPr>
        <w:spacing w:line="360" w:lineRule="auto"/>
        <w:rPr>
          <w:rFonts w:asciiTheme="minorEastAsia" w:hAnsiTheme="minorEastAsia" w:eastAsiaTheme="minorEastAsia" w:cstheme="minorEastAsia"/>
          <w:b/>
          <w:color w:val="auto"/>
          <w:sz w:val="32"/>
          <w:szCs w:val="32"/>
          <w:highlight w:val="none"/>
        </w:rPr>
      </w:pPr>
      <w:bookmarkStart w:id="475" w:name="_Toc225223761"/>
      <w:bookmarkStart w:id="476" w:name="_Toc488936100"/>
      <w:bookmarkStart w:id="477" w:name="_Toc483379796"/>
      <w:bookmarkStart w:id="478" w:name="_Toc14746861"/>
      <w:bookmarkStart w:id="479" w:name="_Toc110393361"/>
      <w:bookmarkStart w:id="480" w:name="_Toc479927873"/>
    </w:p>
    <w:p w14:paraId="26638480">
      <w:pPr>
        <w:numPr>
          <w:ilvl w:val="0"/>
          <w:numId w:val="5"/>
        </w:numPr>
        <w:snapToGrid w:val="0"/>
        <w:spacing w:line="360" w:lineRule="auto"/>
        <w:ind w:left="420" w:leftChars="0" w:firstLineChars="0"/>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授权委托书</w:t>
      </w:r>
    </w:p>
    <w:p w14:paraId="7BCE5D95">
      <w:pPr>
        <w:spacing w:line="440" w:lineRule="exact"/>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32"/>
          <w:szCs w:val="32"/>
          <w:highlight w:val="none"/>
        </w:rPr>
        <w:t>法定代表人授权委托书</w:t>
      </w:r>
    </w:p>
    <w:p w14:paraId="4D8CE035">
      <w:pPr>
        <w:spacing w:line="440" w:lineRule="exact"/>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Cs/>
          <w:color w:val="auto"/>
          <w:sz w:val="24"/>
          <w:highlight w:val="none"/>
        </w:rPr>
        <w:t>（法定代表人来参加磋商采购活动的，此表不用）</w:t>
      </w:r>
    </w:p>
    <w:p w14:paraId="56C5E4C1">
      <w:pPr>
        <w:snapToGrid w:val="0"/>
        <w:spacing w:line="360" w:lineRule="auto"/>
        <w:rPr>
          <w:rFonts w:asciiTheme="minorEastAsia" w:hAnsiTheme="minorEastAsia" w:eastAsiaTheme="minorEastAsia" w:cstheme="minorEastAsia"/>
          <w:bCs/>
          <w:color w:val="auto"/>
          <w:sz w:val="24"/>
          <w:highlight w:val="none"/>
        </w:rPr>
      </w:pPr>
    </w:p>
    <w:p w14:paraId="6AC172BD">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（采购单位名称）</w:t>
      </w:r>
      <w:r>
        <w:rPr>
          <w:rFonts w:hint="eastAsia" w:asciiTheme="minorEastAsia" w:hAnsiTheme="minorEastAsia" w:eastAsiaTheme="minorEastAsia" w:cstheme="minorEastAsia"/>
          <w:b/>
          <w:bCs/>
          <w:color w:val="auto"/>
          <w:szCs w:val="21"/>
          <w:highlight w:val="none"/>
        </w:rPr>
        <w:t xml:space="preserve"> </w:t>
      </w:r>
      <w:r>
        <w:rPr>
          <w:rFonts w:hint="eastAsia" w:asciiTheme="minorEastAsia" w:hAnsiTheme="minorEastAsia" w:eastAsiaTheme="minorEastAsia" w:cstheme="minorEastAsia"/>
          <w:color w:val="auto"/>
          <w:szCs w:val="21"/>
          <w:highlight w:val="none"/>
        </w:rPr>
        <w:t>：</w:t>
      </w:r>
    </w:p>
    <w:p w14:paraId="37C3750A">
      <w:pP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（姓名）系</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（供应商名称）的法定代表人，现授权委托本单位在职职工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（姓名）以我方的名义参加</w:t>
      </w:r>
      <w:r>
        <w:rPr>
          <w:rFonts w:hint="eastAsia" w:asciiTheme="minorEastAsia" w:hAnsiTheme="minorEastAsia" w:eastAsiaTheme="minorEastAsia" w:cstheme="minorEastAsia"/>
          <w:color w:val="auto"/>
          <w:szCs w:val="21"/>
          <w:highlight w:val="none"/>
          <w:u w:val="single"/>
        </w:rPr>
        <w:t xml:space="preserve">                       政府采购 </w:t>
      </w:r>
      <w:r>
        <w:rPr>
          <w:rFonts w:hint="eastAsia" w:asciiTheme="minorEastAsia" w:hAnsiTheme="minorEastAsia" w:eastAsiaTheme="minorEastAsia" w:cstheme="minorEastAsia"/>
          <w:color w:val="auto"/>
          <w:szCs w:val="21"/>
          <w:highlight w:val="none"/>
        </w:rPr>
        <w:t>项目的磋商采购活动，并代表我方全权办理针对上述项目的磋商、评审、签约等具体事务和签署相关文件。</w:t>
      </w:r>
    </w:p>
    <w:p w14:paraId="07D215C6">
      <w:pP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我方对被授权人的签名事项负全部责任。</w:t>
      </w:r>
    </w:p>
    <w:p w14:paraId="0C630BD5">
      <w:pP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在撤销授权的书面通知以前，本授权书一直有效。被授权人在授权书有效期内签署的所有文件不因授权的撤销而失效。</w:t>
      </w:r>
    </w:p>
    <w:p w14:paraId="5FE2B6F8">
      <w:pPr>
        <w:snapToGrid w:val="0"/>
        <w:spacing w:line="360" w:lineRule="auto"/>
        <w:ind w:firstLine="48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被授权人无转委托权，特此委托。</w:t>
      </w:r>
    </w:p>
    <w:p w14:paraId="4C988985">
      <w:pPr>
        <w:snapToGrid w:val="0"/>
        <w:spacing w:line="360" w:lineRule="auto"/>
        <w:rPr>
          <w:rFonts w:asciiTheme="minorEastAsia" w:hAnsiTheme="minorEastAsia" w:eastAsiaTheme="minorEastAsia" w:cstheme="minorEastAsia"/>
          <w:color w:val="auto"/>
          <w:szCs w:val="21"/>
          <w:highlight w:val="none"/>
        </w:rPr>
      </w:pPr>
    </w:p>
    <w:p w14:paraId="57FC83C1">
      <w:pPr>
        <w:snapToGrid w:val="0"/>
        <w:spacing w:line="360" w:lineRule="auto"/>
        <w:rPr>
          <w:rFonts w:asciiTheme="minorEastAsia" w:hAnsiTheme="minorEastAsia" w:eastAsiaTheme="minorEastAsia" w:cstheme="minorEastAsia"/>
          <w:color w:val="auto"/>
          <w:szCs w:val="21"/>
          <w:highlight w:val="none"/>
        </w:rPr>
      </w:pPr>
    </w:p>
    <w:p w14:paraId="37CCA1D0">
      <w:pPr>
        <w:snapToGrid w:val="0"/>
        <w:spacing w:line="360" w:lineRule="auto"/>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被授权人签名或印章：</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法定代表人签名或印章：</w:t>
      </w:r>
      <w:r>
        <w:rPr>
          <w:rFonts w:hint="eastAsia" w:asciiTheme="minorEastAsia" w:hAnsiTheme="minorEastAsia" w:eastAsiaTheme="minorEastAsia" w:cstheme="minorEastAsia"/>
          <w:color w:val="auto"/>
          <w:szCs w:val="21"/>
          <w:highlight w:val="none"/>
          <w:u w:val="single"/>
        </w:rPr>
        <w:t xml:space="preserve">          </w:t>
      </w:r>
    </w:p>
    <w:p w14:paraId="7F0F4602">
      <w:pPr>
        <w:snapToGrid w:val="0"/>
        <w:spacing w:line="360" w:lineRule="auto"/>
        <w:ind w:firstLine="840" w:firstLineChars="4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职务：</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职务：</w:t>
      </w:r>
      <w:r>
        <w:rPr>
          <w:rFonts w:hint="eastAsia" w:asciiTheme="minorEastAsia" w:hAnsiTheme="minorEastAsia" w:eastAsiaTheme="minorEastAsia" w:cstheme="minorEastAsia"/>
          <w:color w:val="auto"/>
          <w:szCs w:val="21"/>
          <w:highlight w:val="none"/>
          <w:u w:val="single"/>
        </w:rPr>
        <w:t xml:space="preserve">           </w:t>
      </w:r>
    </w:p>
    <w:p w14:paraId="0020D82E">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被授权人身份证号码：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w:t>
      </w:r>
    </w:p>
    <w:p w14:paraId="4BA0B669">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w:t>
      </w:r>
    </w:p>
    <w:p w14:paraId="5B6E3644">
      <w:pPr>
        <w:snapToGrid w:val="0"/>
        <w:spacing w:line="360" w:lineRule="auto"/>
        <w:rPr>
          <w:rFonts w:asciiTheme="minorEastAsia" w:hAnsiTheme="minorEastAsia" w:eastAsiaTheme="minorEastAsia" w:cstheme="minorEastAsia"/>
          <w:color w:val="auto"/>
          <w:szCs w:val="21"/>
          <w:highlight w:val="none"/>
        </w:rPr>
      </w:pPr>
    </w:p>
    <w:p w14:paraId="122D9382">
      <w:pPr>
        <w:spacing w:line="360" w:lineRule="auto"/>
        <w:ind w:firstLine="4830" w:firstLineChars="23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供应商（盖章）：</w:t>
      </w:r>
    </w:p>
    <w:p w14:paraId="16DE94E8">
      <w:pPr>
        <w:spacing w:line="360" w:lineRule="auto"/>
        <w:ind w:firstLine="1260" w:firstLineChars="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日期：</w:t>
      </w:r>
    </w:p>
    <w:p w14:paraId="667D70D9">
      <w:pPr>
        <w:spacing w:line="360" w:lineRule="auto"/>
        <w:rPr>
          <w:rFonts w:asciiTheme="minorEastAsia" w:hAnsiTheme="minorEastAsia" w:eastAsiaTheme="minorEastAsia" w:cstheme="minorEastAsia"/>
          <w:b/>
          <w:color w:val="auto"/>
          <w:szCs w:val="21"/>
          <w:highlight w:val="none"/>
        </w:rPr>
      </w:pPr>
    </w:p>
    <w:p w14:paraId="1FE22D0F">
      <w:pPr>
        <w:spacing w:line="360" w:lineRule="auto"/>
        <w:rPr>
          <w:rFonts w:asciiTheme="minorEastAsia" w:hAnsiTheme="minorEastAsia" w:eastAsiaTheme="minorEastAsia" w:cstheme="minorEastAsia"/>
          <w:b/>
          <w:color w:val="auto"/>
          <w:szCs w:val="21"/>
          <w:highlight w:val="none"/>
        </w:rPr>
      </w:pPr>
    </w:p>
    <w:p w14:paraId="7F50F94E">
      <w:pPr>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附：法定代表人身份证复印件（正反面）、授权代表身份证复印件（正反面）：</w:t>
      </w:r>
    </w:p>
    <w:p w14:paraId="1C62CFBA">
      <w:pPr>
        <w:snapToGrid w:val="0"/>
        <w:spacing w:line="360" w:lineRule="auto"/>
        <w:rPr>
          <w:rFonts w:asciiTheme="minorEastAsia" w:hAnsiTheme="minorEastAsia" w:eastAsiaTheme="minorEastAsia" w:cstheme="minorEastAsia"/>
          <w:color w:val="auto"/>
          <w:sz w:val="24"/>
          <w:highlight w:val="none"/>
        </w:rPr>
      </w:pPr>
    </w:p>
    <w:p w14:paraId="3DF05F3C">
      <w:pPr>
        <w:spacing w:line="360" w:lineRule="auto"/>
        <w:jc w:val="center"/>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32"/>
          <w:szCs w:val="32"/>
          <w:highlight w:val="none"/>
          <w:lang w:val="zh-CN"/>
        </w:rPr>
        <w:t xml:space="preserve">      </w:t>
      </w:r>
      <w:r>
        <w:rPr>
          <w:rFonts w:hint="eastAsia" w:asciiTheme="minorEastAsia" w:hAnsiTheme="minorEastAsia" w:eastAsiaTheme="minorEastAsia" w:cstheme="minorEastAsia"/>
          <w:b/>
          <w:color w:val="auto"/>
          <w:kern w:val="0"/>
          <w:sz w:val="32"/>
          <w:szCs w:val="32"/>
          <w:highlight w:val="none"/>
        </w:rPr>
        <w:t xml:space="preserve"> </w:t>
      </w:r>
    </w:p>
    <w:p w14:paraId="66FD5FF0">
      <w:pPr>
        <w:spacing w:line="360" w:lineRule="auto"/>
        <w:jc w:val="center"/>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四、</w:t>
      </w:r>
      <w:r>
        <w:rPr>
          <w:rFonts w:hint="eastAsia" w:asciiTheme="minorEastAsia" w:hAnsiTheme="minorEastAsia" w:eastAsiaTheme="minorEastAsia" w:cstheme="minorEastAsia"/>
          <w:b/>
          <w:color w:val="auto"/>
          <w:kern w:val="0"/>
          <w:sz w:val="32"/>
          <w:szCs w:val="32"/>
          <w:highlight w:val="none"/>
          <w:lang w:val="zh-CN"/>
        </w:rPr>
        <w:t>供应商基本情况</w:t>
      </w:r>
      <w:bookmarkEnd w:id="475"/>
      <w:bookmarkEnd w:id="476"/>
      <w:bookmarkEnd w:id="477"/>
      <w:bookmarkEnd w:id="478"/>
      <w:bookmarkEnd w:id="479"/>
      <w:bookmarkEnd w:id="480"/>
      <w:r>
        <w:rPr>
          <w:rFonts w:hint="eastAsia" w:asciiTheme="minorEastAsia" w:hAnsiTheme="minorEastAsia" w:eastAsiaTheme="minorEastAsia" w:cstheme="minorEastAsia"/>
          <w:b/>
          <w:color w:val="auto"/>
          <w:kern w:val="0"/>
          <w:sz w:val="32"/>
          <w:szCs w:val="32"/>
          <w:highlight w:val="none"/>
          <w:lang w:val="zh-CN"/>
        </w:rPr>
        <w:t>表</w:t>
      </w:r>
    </w:p>
    <w:tbl>
      <w:tblPr>
        <w:tblStyle w:val="24"/>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09D52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C8DD45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供应商名称</w:t>
            </w:r>
          </w:p>
        </w:tc>
        <w:tc>
          <w:tcPr>
            <w:tcW w:w="7647" w:type="dxa"/>
            <w:gridSpan w:val="5"/>
            <w:vAlign w:val="center"/>
          </w:tcPr>
          <w:p w14:paraId="37EF2C0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058D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45FC2B4">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注册地址</w:t>
            </w:r>
          </w:p>
        </w:tc>
        <w:tc>
          <w:tcPr>
            <w:tcW w:w="2809" w:type="dxa"/>
            <w:gridSpan w:val="2"/>
            <w:vAlign w:val="center"/>
          </w:tcPr>
          <w:p w14:paraId="248C0941">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3029A0C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成立时间</w:t>
            </w:r>
          </w:p>
        </w:tc>
        <w:tc>
          <w:tcPr>
            <w:tcW w:w="3052" w:type="dxa"/>
            <w:gridSpan w:val="2"/>
            <w:vAlign w:val="center"/>
          </w:tcPr>
          <w:p w14:paraId="2FF681A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51A0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9F82A2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统一信用代码</w:t>
            </w:r>
          </w:p>
        </w:tc>
        <w:tc>
          <w:tcPr>
            <w:tcW w:w="2809" w:type="dxa"/>
            <w:gridSpan w:val="2"/>
            <w:vAlign w:val="center"/>
          </w:tcPr>
          <w:p w14:paraId="6E62AE4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63DA2A51">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注册资金</w:t>
            </w:r>
          </w:p>
        </w:tc>
        <w:tc>
          <w:tcPr>
            <w:tcW w:w="3052" w:type="dxa"/>
            <w:gridSpan w:val="2"/>
            <w:vAlign w:val="center"/>
          </w:tcPr>
          <w:p w14:paraId="01895CF6">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E208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AF3550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供应商授权代表联系人姓名</w:t>
            </w:r>
          </w:p>
        </w:tc>
        <w:tc>
          <w:tcPr>
            <w:tcW w:w="1936" w:type="dxa"/>
            <w:vAlign w:val="center"/>
          </w:tcPr>
          <w:p w14:paraId="6FBD5BD2">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358ED22A">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6A7F720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329A216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4293403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2C89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14D0A0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法定代表人姓名</w:t>
            </w:r>
          </w:p>
        </w:tc>
        <w:tc>
          <w:tcPr>
            <w:tcW w:w="1936" w:type="dxa"/>
            <w:vAlign w:val="center"/>
          </w:tcPr>
          <w:p w14:paraId="34C4DBD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209D437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49F4BE3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07EEDE5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4583735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3EA8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257E53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项目负责人姓名</w:t>
            </w:r>
          </w:p>
        </w:tc>
        <w:tc>
          <w:tcPr>
            <w:tcW w:w="1936" w:type="dxa"/>
            <w:vAlign w:val="center"/>
          </w:tcPr>
          <w:p w14:paraId="0242BDAF">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318E726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7DF184E9">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72CEFF96">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技术职称</w:t>
            </w:r>
          </w:p>
        </w:tc>
        <w:tc>
          <w:tcPr>
            <w:tcW w:w="1852" w:type="dxa"/>
            <w:vAlign w:val="center"/>
          </w:tcPr>
          <w:p w14:paraId="7E204646">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9C7D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16C4A48C">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936" w:type="dxa"/>
            <w:vMerge w:val="restart"/>
            <w:vAlign w:val="center"/>
          </w:tcPr>
          <w:p w14:paraId="3005B0B9">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restart"/>
            <w:vAlign w:val="center"/>
          </w:tcPr>
          <w:p w14:paraId="3F6D9F0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w:t>
            </w:r>
          </w:p>
        </w:tc>
        <w:tc>
          <w:tcPr>
            <w:tcW w:w="1786" w:type="dxa"/>
            <w:vAlign w:val="center"/>
          </w:tcPr>
          <w:p w14:paraId="7381ADAA">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高级职称</w:t>
            </w:r>
          </w:p>
        </w:tc>
        <w:tc>
          <w:tcPr>
            <w:tcW w:w="3052" w:type="dxa"/>
            <w:gridSpan w:val="2"/>
            <w:vAlign w:val="center"/>
          </w:tcPr>
          <w:p w14:paraId="271742A5">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08C97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073D1B2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30D4420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2D673F70">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7EE0345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中级职称</w:t>
            </w:r>
          </w:p>
        </w:tc>
        <w:tc>
          <w:tcPr>
            <w:tcW w:w="3052" w:type="dxa"/>
            <w:gridSpan w:val="2"/>
            <w:vAlign w:val="center"/>
          </w:tcPr>
          <w:p w14:paraId="674A05B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B53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0600AF7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6AB1E531">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103484F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2F7ECAD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各类注册人员</w:t>
            </w:r>
          </w:p>
        </w:tc>
        <w:tc>
          <w:tcPr>
            <w:tcW w:w="3052" w:type="dxa"/>
            <w:gridSpan w:val="2"/>
            <w:vAlign w:val="center"/>
          </w:tcPr>
          <w:p w14:paraId="124FFC93">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6A2F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E4401E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基本账户开户银行</w:t>
            </w:r>
          </w:p>
        </w:tc>
        <w:tc>
          <w:tcPr>
            <w:tcW w:w="7647" w:type="dxa"/>
            <w:gridSpan w:val="5"/>
            <w:vAlign w:val="center"/>
          </w:tcPr>
          <w:p w14:paraId="7FFCB36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584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C4DF256">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基本账户账号</w:t>
            </w:r>
          </w:p>
        </w:tc>
        <w:tc>
          <w:tcPr>
            <w:tcW w:w="7647" w:type="dxa"/>
            <w:gridSpan w:val="5"/>
            <w:vAlign w:val="center"/>
          </w:tcPr>
          <w:p w14:paraId="0854AA25">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B110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5F8D5DC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经营范围</w:t>
            </w:r>
          </w:p>
        </w:tc>
        <w:tc>
          <w:tcPr>
            <w:tcW w:w="7647" w:type="dxa"/>
            <w:gridSpan w:val="5"/>
            <w:vAlign w:val="center"/>
          </w:tcPr>
          <w:p w14:paraId="78700022">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018B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792EC7D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w:t>
            </w:r>
          </w:p>
        </w:tc>
        <w:tc>
          <w:tcPr>
            <w:tcW w:w="7647" w:type="dxa"/>
            <w:gridSpan w:val="5"/>
            <w:vAlign w:val="center"/>
          </w:tcPr>
          <w:p w14:paraId="34246B3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6C8FA7A4">
      <w:pPr>
        <w:adjustRightInd w:val="0"/>
        <w:snapToGrid w:val="0"/>
        <w:spacing w:line="360" w:lineRule="auto"/>
        <w:ind w:firstLine="482" w:firstLineChars="200"/>
        <w:rPr>
          <w:rFonts w:asciiTheme="minorEastAsia" w:hAnsiTheme="minorEastAsia" w:eastAsiaTheme="minorEastAsia" w:cstheme="minorEastAsia"/>
          <w:b/>
          <w:bCs/>
          <w:color w:val="auto"/>
          <w:kern w:val="0"/>
          <w:sz w:val="24"/>
          <w:highlight w:val="none"/>
          <w:lang w:val="zh-CN"/>
        </w:rPr>
      </w:pPr>
      <w:r>
        <w:rPr>
          <w:rFonts w:hint="eastAsia" w:asciiTheme="minorEastAsia" w:hAnsiTheme="minorEastAsia" w:eastAsiaTheme="minorEastAsia" w:cstheme="minorEastAsia"/>
          <w:b/>
          <w:bCs/>
          <w:color w:val="auto"/>
          <w:kern w:val="0"/>
          <w:sz w:val="24"/>
          <w:highlight w:val="none"/>
          <w:lang w:val="zh-CN"/>
        </w:rPr>
        <w:t>兹证明上述声明是真实、正确的，并提供了全部能提供的资料和数据，我们同意遵照贵方要求出示有关证明文件。</w:t>
      </w:r>
    </w:p>
    <w:p w14:paraId="73AEB8A3">
      <w:pPr>
        <w:adjustRightInd w:val="0"/>
        <w:snapToGrid w:val="0"/>
        <w:spacing w:line="360" w:lineRule="auto"/>
        <w:rPr>
          <w:rFonts w:asciiTheme="minorEastAsia" w:hAnsiTheme="minorEastAsia" w:eastAsiaTheme="minorEastAsia" w:cstheme="minorEastAsia"/>
          <w:color w:val="auto"/>
          <w:kern w:val="0"/>
          <w:sz w:val="24"/>
          <w:highlight w:val="none"/>
          <w:lang w:val="zh-CN"/>
        </w:rPr>
      </w:pPr>
    </w:p>
    <w:p w14:paraId="40DBF0CE">
      <w:pPr>
        <w:pStyle w:val="31"/>
        <w:spacing w:line="360" w:lineRule="auto"/>
        <w:ind w:firstLine="560"/>
        <w:rPr>
          <w:rFonts w:asciiTheme="minorEastAsia" w:hAnsiTheme="minorEastAsia" w:eastAsiaTheme="minorEastAsia" w:cstheme="minorEastAsia"/>
          <w:color w:val="auto"/>
          <w:highlight w:val="none"/>
          <w:lang w:val="zh-CN"/>
        </w:rPr>
      </w:pPr>
    </w:p>
    <w:p w14:paraId="6D90EFCC">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3708A74">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1797696F">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A72B688">
      <w:pPr>
        <w:numPr>
          <w:ilvl w:val="0"/>
          <w:numId w:val="0"/>
        </w:numPr>
        <w:snapToGrid w:val="0"/>
        <w:spacing w:line="360" w:lineRule="auto"/>
        <w:ind w:left="420" w:leftChars="0"/>
        <w:jc w:val="both"/>
        <w:outlineLvl w:val="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五、</w:t>
      </w:r>
      <w:r>
        <w:rPr>
          <w:rFonts w:hint="eastAsia" w:asciiTheme="minorEastAsia" w:hAnsiTheme="minorEastAsia" w:eastAsiaTheme="minorEastAsia" w:cstheme="minorEastAsia"/>
          <w:b/>
          <w:color w:val="auto"/>
          <w:kern w:val="0"/>
          <w:sz w:val="32"/>
          <w:szCs w:val="32"/>
          <w:highlight w:val="none"/>
          <w:lang w:val="zh-CN"/>
        </w:rPr>
        <w:t>距采购人最近或者能为本项目提供最优服务的网点情况表</w:t>
      </w:r>
    </w:p>
    <w:tbl>
      <w:tblPr>
        <w:tblStyle w:val="24"/>
        <w:tblW w:w="92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95"/>
        <w:gridCol w:w="1780"/>
        <w:gridCol w:w="209"/>
        <w:gridCol w:w="1581"/>
        <w:gridCol w:w="971"/>
        <w:gridCol w:w="2849"/>
      </w:tblGrid>
      <w:tr w14:paraId="46D25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32B7191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服务网点名称</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7910B92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3B482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F8155CC">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地址</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4D3C66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0765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91FD62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注册资本金</w:t>
            </w:r>
          </w:p>
        </w:tc>
        <w:tc>
          <w:tcPr>
            <w:tcW w:w="1780" w:type="dxa"/>
            <w:tcBorders>
              <w:top w:val="single" w:color="auto" w:sz="4" w:space="0"/>
              <w:left w:val="single" w:color="auto" w:sz="4" w:space="0"/>
              <w:bottom w:val="single" w:color="auto" w:sz="4" w:space="0"/>
              <w:right w:val="single" w:color="auto" w:sz="4" w:space="0"/>
            </w:tcBorders>
            <w:vAlign w:val="center"/>
          </w:tcPr>
          <w:p w14:paraId="2338286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19621D75">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其中：供应商出资比例</w:t>
            </w:r>
          </w:p>
        </w:tc>
        <w:tc>
          <w:tcPr>
            <w:tcW w:w="2849" w:type="dxa"/>
            <w:tcBorders>
              <w:top w:val="single" w:color="auto" w:sz="4" w:space="0"/>
              <w:left w:val="single" w:color="auto" w:sz="4" w:space="0"/>
              <w:bottom w:val="single" w:color="auto" w:sz="4" w:space="0"/>
              <w:right w:val="single" w:color="auto" w:sz="4" w:space="0"/>
            </w:tcBorders>
            <w:vAlign w:val="center"/>
          </w:tcPr>
          <w:p w14:paraId="4076B34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36644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231E8F4">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780" w:type="dxa"/>
            <w:tcBorders>
              <w:top w:val="single" w:color="auto" w:sz="4" w:space="0"/>
              <w:left w:val="single" w:color="auto" w:sz="4" w:space="0"/>
              <w:bottom w:val="single" w:color="auto" w:sz="4" w:space="0"/>
              <w:right w:val="single" w:color="auto" w:sz="4" w:space="0"/>
            </w:tcBorders>
            <w:vAlign w:val="center"/>
          </w:tcPr>
          <w:p w14:paraId="574AA19F">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5B797D5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其中：技术人员数</w:t>
            </w:r>
          </w:p>
        </w:tc>
        <w:tc>
          <w:tcPr>
            <w:tcW w:w="2849" w:type="dxa"/>
            <w:tcBorders>
              <w:top w:val="single" w:color="auto" w:sz="4" w:space="0"/>
              <w:left w:val="single" w:color="auto" w:sz="4" w:space="0"/>
              <w:bottom w:val="single" w:color="auto" w:sz="4" w:space="0"/>
              <w:right w:val="single" w:color="auto" w:sz="4" w:space="0"/>
            </w:tcBorders>
            <w:vAlign w:val="center"/>
          </w:tcPr>
          <w:p w14:paraId="5F7BA048">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C8F5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1EF1C44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经营期限</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33BFCC3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D2FE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59DAAF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售后服务协议</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289BDFA8">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ECEA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E14A4F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售后服务内容</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4429680">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A6E7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2834A7F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工作业绩</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115468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47F8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7825A6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服务承诺</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3B08E4F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6A35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861B14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业务咨询电话</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65049F0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0518547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传 真</w:t>
            </w:r>
          </w:p>
        </w:tc>
        <w:tc>
          <w:tcPr>
            <w:tcW w:w="3820" w:type="dxa"/>
            <w:gridSpan w:val="2"/>
            <w:tcBorders>
              <w:top w:val="single" w:color="auto" w:sz="4" w:space="0"/>
              <w:left w:val="single" w:color="auto" w:sz="2" w:space="0"/>
              <w:bottom w:val="single" w:color="auto" w:sz="4" w:space="0"/>
              <w:right w:val="single" w:color="auto" w:sz="2" w:space="0"/>
            </w:tcBorders>
            <w:vAlign w:val="center"/>
          </w:tcPr>
          <w:p w14:paraId="3EDAA9B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479B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EB1EFE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负责人</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42B3921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1D24017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联系电话</w:t>
            </w:r>
          </w:p>
        </w:tc>
        <w:tc>
          <w:tcPr>
            <w:tcW w:w="3820" w:type="dxa"/>
            <w:gridSpan w:val="2"/>
            <w:tcBorders>
              <w:top w:val="single" w:color="auto" w:sz="4" w:space="0"/>
              <w:left w:val="single" w:color="auto" w:sz="2" w:space="0"/>
              <w:bottom w:val="single" w:color="auto" w:sz="4" w:space="0"/>
              <w:right w:val="single" w:color="auto" w:sz="4" w:space="0"/>
            </w:tcBorders>
            <w:vAlign w:val="center"/>
          </w:tcPr>
          <w:p w14:paraId="51249B0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2976B646">
      <w:pPr>
        <w:spacing w:line="360" w:lineRule="auto"/>
        <w:rPr>
          <w:rFonts w:asciiTheme="minorEastAsia" w:hAnsiTheme="minorEastAsia" w:eastAsiaTheme="minorEastAsia" w:cstheme="minorEastAsia"/>
          <w:color w:val="auto"/>
          <w:highlight w:val="none"/>
        </w:rPr>
      </w:pPr>
    </w:p>
    <w:p w14:paraId="231C249D">
      <w:pPr>
        <w:spacing w:line="360" w:lineRule="auto"/>
        <w:rPr>
          <w:rFonts w:asciiTheme="minorEastAsia" w:hAnsiTheme="minorEastAsia" w:eastAsiaTheme="minorEastAsia" w:cstheme="minorEastAsia"/>
          <w:color w:val="auto"/>
          <w:highlight w:val="none"/>
        </w:rPr>
      </w:pPr>
    </w:p>
    <w:p w14:paraId="732D9A8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rPr>
        <w:t xml:space="preserve">       </w:t>
      </w:r>
    </w:p>
    <w:p w14:paraId="7D8A310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61F512F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20042BB1">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lang w:val="zh-CN" w:eastAsia="zh-CN"/>
        </w:rPr>
        <w:t>：</w:t>
      </w:r>
    </w:p>
    <w:p w14:paraId="57D6553A">
      <w:pPr>
        <w:numPr>
          <w:ilvl w:val="0"/>
          <w:numId w:val="0"/>
        </w:numP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六、</w:t>
      </w:r>
      <w:r>
        <w:rPr>
          <w:rFonts w:hint="eastAsia" w:asciiTheme="minorEastAsia" w:hAnsiTheme="minorEastAsia" w:eastAsiaTheme="minorEastAsia" w:cstheme="minorEastAsia"/>
          <w:b/>
          <w:color w:val="auto"/>
          <w:kern w:val="0"/>
          <w:sz w:val="32"/>
          <w:szCs w:val="32"/>
          <w:highlight w:val="none"/>
          <w:lang w:val="zh-CN"/>
        </w:rPr>
        <w:t>评审标准相应的商务技术资料</w:t>
      </w:r>
    </w:p>
    <w:p w14:paraId="1093E684">
      <w:pPr>
        <w:snapToGrid w:val="0"/>
        <w:spacing w:line="360" w:lineRule="auto"/>
        <w:jc w:val="left"/>
        <w:rPr>
          <w:rFonts w:hint="eastAsia"/>
        </w:rPr>
      </w:pPr>
      <w:r>
        <w:rPr>
          <w:rFonts w:hint="eastAsia" w:asciiTheme="minorEastAsia" w:hAnsiTheme="minorEastAsia" w:eastAsiaTheme="minorEastAsia" w:cstheme="minorEastAsia"/>
          <w:b/>
          <w:color w:val="auto"/>
          <w:sz w:val="24"/>
          <w:highlight w:val="none"/>
        </w:rPr>
        <w:t>（按采购文件第四部分评审办法前附表中“响应文件中评审标准相应的商务技术资料目录”提供资料）</w:t>
      </w:r>
    </w:p>
    <w:p w14:paraId="16C5D1AE">
      <w:pPr>
        <w:numPr>
          <w:ilvl w:val="0"/>
          <w:numId w:val="6"/>
        </w:num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t>商务</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p w14:paraId="655EF997">
      <w:pPr>
        <w:pStyle w:val="35"/>
        <w:rPr>
          <w:rFonts w:hint="eastAsia"/>
          <w:lang w:val="zh-CN"/>
        </w:rPr>
      </w:pPr>
      <w:r>
        <w:rPr>
          <w:rFonts w:hint="eastAsia"/>
          <w:lang w:val="zh-CN"/>
        </w:rPr>
        <w:t>项目名称：</w:t>
      </w:r>
    </w:p>
    <w:tbl>
      <w:tblPr>
        <w:tblStyle w:val="24"/>
        <w:tblW w:w="5191" w:type="pct"/>
        <w:tblInd w:w="-176" w:type="dxa"/>
        <w:tblLayout w:type="autofit"/>
        <w:tblCellMar>
          <w:top w:w="0" w:type="dxa"/>
          <w:left w:w="108" w:type="dxa"/>
          <w:bottom w:w="0" w:type="dxa"/>
          <w:right w:w="108" w:type="dxa"/>
        </w:tblCellMar>
      </w:tblPr>
      <w:tblGrid>
        <w:gridCol w:w="850"/>
        <w:gridCol w:w="6664"/>
        <w:gridCol w:w="713"/>
        <w:gridCol w:w="1414"/>
      </w:tblGrid>
      <w:tr w14:paraId="2C048A74">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1E1EB884">
            <w:pPr>
              <w:tabs>
                <w:tab w:val="left" w:pos="0"/>
              </w:tabs>
              <w:adjustRightInd w:val="0"/>
              <w:snapToGrid w:val="0"/>
              <w:spacing w:line="360" w:lineRule="auto"/>
              <w:jc w:val="center"/>
              <w:rPr>
                <w:rFonts w:ascii="宋体" w:hAnsi="宋体" w:cs="仿宋"/>
                <w:b/>
                <w:bCs/>
                <w:kern w:val="0"/>
                <w:szCs w:val="21"/>
              </w:rPr>
            </w:pPr>
            <w:r>
              <w:rPr>
                <w:rFonts w:hint="eastAsia" w:ascii="宋体" w:hAnsi="宋体" w:cs="仿宋"/>
                <w:b/>
                <w:bCs/>
                <w:kern w:val="0"/>
                <w:szCs w:val="21"/>
              </w:rPr>
              <w:t>序号</w:t>
            </w:r>
          </w:p>
        </w:tc>
        <w:tc>
          <w:tcPr>
            <w:tcW w:w="3456" w:type="pct"/>
            <w:tcBorders>
              <w:top w:val="single" w:color="000000" w:sz="4" w:space="0"/>
              <w:left w:val="single" w:color="000000" w:sz="4" w:space="0"/>
              <w:bottom w:val="single" w:color="000000" w:sz="4" w:space="0"/>
              <w:right w:val="single" w:color="000000" w:sz="4" w:space="0"/>
            </w:tcBorders>
            <w:noWrap w:val="0"/>
            <w:vAlign w:val="center"/>
          </w:tcPr>
          <w:p w14:paraId="4BC71B3E">
            <w:pPr>
              <w:tabs>
                <w:tab w:val="left" w:pos="0"/>
              </w:tabs>
              <w:adjustRightInd w:val="0"/>
              <w:snapToGrid w:val="0"/>
              <w:spacing w:line="360" w:lineRule="auto"/>
              <w:jc w:val="center"/>
              <w:rPr>
                <w:rFonts w:hint="eastAsia" w:ascii="宋体" w:hAnsi="宋体" w:cs="仿宋"/>
                <w:b/>
                <w:bCs/>
                <w:kern w:val="0"/>
                <w:szCs w:val="21"/>
              </w:rPr>
            </w:pPr>
            <w:r>
              <w:rPr>
                <w:rFonts w:hint="eastAsia" w:ascii="宋体" w:hAnsi="宋体" w:cs="仿宋"/>
                <w:kern w:val="0"/>
                <w:szCs w:val="21"/>
              </w:rPr>
              <w:t>商务条款要求</w:t>
            </w:r>
          </w:p>
        </w:tc>
        <w:tc>
          <w:tcPr>
            <w:tcW w:w="370" w:type="pct"/>
            <w:tcBorders>
              <w:top w:val="single" w:color="000000" w:sz="4" w:space="0"/>
              <w:left w:val="single" w:color="000000" w:sz="4" w:space="0"/>
              <w:bottom w:val="single" w:color="000000" w:sz="4" w:space="0"/>
              <w:right w:val="single" w:color="000000" w:sz="4" w:space="0"/>
            </w:tcBorders>
            <w:noWrap w:val="0"/>
            <w:vAlign w:val="center"/>
          </w:tcPr>
          <w:p w14:paraId="6B8DA114">
            <w:pPr>
              <w:spacing w:line="360" w:lineRule="auto"/>
              <w:jc w:val="center"/>
              <w:rPr>
                <w:rFonts w:hint="eastAsia" w:ascii="宋体" w:hAnsi="宋体" w:cs="仿宋"/>
                <w:kern w:val="0"/>
                <w:szCs w:val="21"/>
              </w:rPr>
            </w:pPr>
            <w:r>
              <w:rPr>
                <w:rFonts w:hint="eastAsia" w:ascii="宋体" w:hAnsi="宋体" w:cs="仿宋"/>
                <w:kern w:val="0"/>
                <w:szCs w:val="21"/>
              </w:rPr>
              <w:t>响应情况</w:t>
            </w:r>
          </w:p>
        </w:tc>
        <w:tc>
          <w:tcPr>
            <w:tcW w:w="733" w:type="pct"/>
            <w:tcBorders>
              <w:top w:val="single" w:color="000000" w:sz="4" w:space="0"/>
              <w:left w:val="single" w:color="000000" w:sz="4" w:space="0"/>
              <w:bottom w:val="single" w:color="000000" w:sz="4" w:space="0"/>
              <w:right w:val="single" w:color="000000" w:sz="4" w:space="0"/>
            </w:tcBorders>
            <w:noWrap w:val="0"/>
            <w:vAlign w:val="center"/>
          </w:tcPr>
          <w:p w14:paraId="21782941">
            <w:pPr>
              <w:spacing w:line="360" w:lineRule="auto"/>
              <w:jc w:val="center"/>
              <w:rPr>
                <w:rFonts w:hint="eastAsia" w:ascii="宋体" w:hAnsi="宋体" w:cs="仿宋"/>
                <w:kern w:val="0"/>
                <w:szCs w:val="21"/>
              </w:rPr>
            </w:pPr>
            <w:r>
              <w:rPr>
                <w:rFonts w:hint="eastAsia" w:ascii="宋体" w:hAnsi="宋体" w:cs="仿宋"/>
                <w:kern w:val="0"/>
                <w:szCs w:val="21"/>
              </w:rPr>
              <w:t>优于情况说明（如有）</w:t>
            </w:r>
          </w:p>
        </w:tc>
      </w:tr>
      <w:tr w14:paraId="65FB8820">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273E279E">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1</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611C5A1F">
            <w:pPr>
              <w:tabs>
                <w:tab w:val="left" w:pos="0"/>
              </w:tabs>
              <w:adjustRightInd w:val="0"/>
              <w:snapToGrid w:val="0"/>
              <w:spacing w:line="360" w:lineRule="auto"/>
              <w:jc w:val="left"/>
              <w:rPr>
                <w:rFonts w:ascii="宋体" w:hAnsi="宋体" w:cs="仿宋"/>
                <w:kern w:val="0"/>
                <w:szCs w:val="21"/>
              </w:rPr>
            </w:pPr>
            <w:r>
              <w:rPr>
                <w:rFonts w:hint="eastAsia" w:ascii="宋体" w:hAnsi="宋体" w:cs="仿宋"/>
                <w:kern w:val="0"/>
                <w:szCs w:val="21"/>
              </w:rPr>
              <w:t>履约保证金：电汇、银行保函、保险公司保函。</w:t>
            </w:r>
          </w:p>
          <w:p w14:paraId="21EB6D49">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履约担保的收取及退还：按合同总价的</w:t>
            </w:r>
            <w:r>
              <w:rPr>
                <w:rFonts w:hint="eastAsia" w:ascii="宋体" w:hAnsi="宋体" w:cs="仿宋"/>
                <w:kern w:val="0"/>
                <w:szCs w:val="21"/>
                <w:lang w:val="en-US" w:eastAsia="zh-CN"/>
              </w:rPr>
              <w:t>2.5</w:t>
            </w:r>
            <w:r>
              <w:rPr>
                <w:rFonts w:hint="eastAsia" w:ascii="宋体" w:hAnsi="宋体" w:cs="仿宋"/>
                <w:kern w:val="0"/>
                <w:szCs w:val="21"/>
              </w:rPr>
              <w:t>%计收，合同履行完毕后5日内无息退还。</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4CE31517">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35D554E2">
            <w:pPr>
              <w:tabs>
                <w:tab w:val="left" w:pos="0"/>
              </w:tabs>
              <w:adjustRightInd w:val="0"/>
              <w:snapToGrid w:val="0"/>
              <w:spacing w:line="360" w:lineRule="auto"/>
              <w:jc w:val="center"/>
              <w:rPr>
                <w:rFonts w:hint="eastAsia" w:ascii="宋体" w:hAnsi="宋体" w:cs="仿宋"/>
                <w:kern w:val="0"/>
                <w:szCs w:val="21"/>
              </w:rPr>
            </w:pPr>
          </w:p>
        </w:tc>
      </w:tr>
      <w:tr w14:paraId="4D9E9DFC">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020C5E02">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2</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002F5234">
            <w:pPr>
              <w:tabs>
                <w:tab w:val="left" w:pos="0"/>
              </w:tabs>
              <w:adjustRightInd w:val="0"/>
              <w:snapToGrid w:val="0"/>
              <w:spacing w:line="360" w:lineRule="auto"/>
              <w:jc w:val="left"/>
              <w:rPr>
                <w:rFonts w:ascii="宋体" w:hAnsi="宋体" w:cs="仿宋"/>
                <w:kern w:val="0"/>
                <w:szCs w:val="21"/>
              </w:rPr>
            </w:pPr>
            <w:r>
              <w:rPr>
                <w:rFonts w:hint="eastAsia" w:ascii="宋体" w:hAnsi="宋体" w:cs="仿宋"/>
                <w:kern w:val="0"/>
                <w:szCs w:val="21"/>
              </w:rPr>
              <w:t>承包方式：包工包料</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4D82F551">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1F98FAF6">
            <w:pPr>
              <w:tabs>
                <w:tab w:val="left" w:pos="0"/>
              </w:tabs>
              <w:adjustRightInd w:val="0"/>
              <w:snapToGrid w:val="0"/>
              <w:spacing w:line="360" w:lineRule="auto"/>
              <w:jc w:val="center"/>
              <w:rPr>
                <w:rFonts w:hint="eastAsia" w:ascii="宋体" w:hAnsi="宋体" w:cs="仿宋"/>
                <w:kern w:val="0"/>
                <w:szCs w:val="21"/>
              </w:rPr>
            </w:pPr>
          </w:p>
        </w:tc>
      </w:tr>
      <w:tr w14:paraId="24BD2ED3">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7769E070">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3</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05EC164E">
            <w:pPr>
              <w:tabs>
                <w:tab w:val="left" w:pos="0"/>
              </w:tabs>
              <w:adjustRightInd w:val="0"/>
              <w:snapToGrid w:val="0"/>
              <w:spacing w:line="360" w:lineRule="auto"/>
              <w:jc w:val="left"/>
              <w:rPr>
                <w:rFonts w:ascii="宋体" w:hAnsi="宋体" w:cs="仿宋"/>
                <w:kern w:val="0"/>
                <w:szCs w:val="21"/>
              </w:rPr>
            </w:pPr>
            <w:r>
              <w:rPr>
                <w:rFonts w:hint="eastAsia" w:ascii="宋体" w:hAnsi="宋体" w:cs="仿宋"/>
                <w:kern w:val="0"/>
                <w:szCs w:val="21"/>
              </w:rPr>
              <w:t>质量要求：达到国家和行业施工验收规范一次性验收合格</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7491AF9A">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36238559">
            <w:pPr>
              <w:tabs>
                <w:tab w:val="left" w:pos="0"/>
              </w:tabs>
              <w:adjustRightInd w:val="0"/>
              <w:snapToGrid w:val="0"/>
              <w:spacing w:line="360" w:lineRule="auto"/>
              <w:jc w:val="center"/>
              <w:rPr>
                <w:rFonts w:hint="eastAsia" w:ascii="宋体" w:hAnsi="宋体" w:cs="仿宋"/>
                <w:kern w:val="0"/>
                <w:szCs w:val="21"/>
              </w:rPr>
            </w:pPr>
          </w:p>
        </w:tc>
      </w:tr>
      <w:tr w14:paraId="7C519D85">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7B0D5F5E">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4</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7E38C9E8">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安全要求：合格</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48C56353">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12010D52">
            <w:pPr>
              <w:tabs>
                <w:tab w:val="left" w:pos="0"/>
              </w:tabs>
              <w:adjustRightInd w:val="0"/>
              <w:snapToGrid w:val="0"/>
              <w:spacing w:line="360" w:lineRule="auto"/>
              <w:jc w:val="center"/>
              <w:rPr>
                <w:rFonts w:hint="eastAsia" w:ascii="宋体" w:hAnsi="宋体" w:cs="仿宋"/>
                <w:kern w:val="0"/>
                <w:szCs w:val="21"/>
              </w:rPr>
            </w:pPr>
          </w:p>
        </w:tc>
      </w:tr>
      <w:tr w14:paraId="040E57E5">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633E4D4F">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5</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28027FFF">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工期：</w:t>
            </w:r>
            <w:r>
              <w:rPr>
                <w:rFonts w:hint="eastAsia" w:ascii="宋体" w:hAnsi="宋体" w:cs="仿宋"/>
                <w:kern w:val="0"/>
                <w:szCs w:val="21"/>
                <w:lang w:val="en-US" w:eastAsia="zh-CN"/>
              </w:rPr>
              <w:t>50</w:t>
            </w:r>
            <w:r>
              <w:rPr>
                <w:rFonts w:hint="eastAsia" w:ascii="宋体" w:hAnsi="宋体" w:cs="仿宋"/>
                <w:kern w:val="0"/>
                <w:szCs w:val="21"/>
              </w:rPr>
              <w:t>日历天</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5324311D">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25801724">
            <w:pPr>
              <w:tabs>
                <w:tab w:val="left" w:pos="0"/>
              </w:tabs>
              <w:adjustRightInd w:val="0"/>
              <w:snapToGrid w:val="0"/>
              <w:spacing w:line="360" w:lineRule="auto"/>
              <w:jc w:val="center"/>
              <w:rPr>
                <w:rFonts w:hint="eastAsia" w:ascii="宋体" w:hAnsi="宋体" w:cs="仿宋"/>
                <w:kern w:val="0"/>
                <w:szCs w:val="21"/>
              </w:rPr>
            </w:pPr>
          </w:p>
        </w:tc>
      </w:tr>
      <w:tr w14:paraId="2D6B2FE5">
        <w:tblPrEx>
          <w:tblCellMar>
            <w:top w:w="0" w:type="dxa"/>
            <w:left w:w="108" w:type="dxa"/>
            <w:bottom w:w="0" w:type="dxa"/>
            <w:right w:w="108" w:type="dxa"/>
          </w:tblCellMar>
        </w:tblPrEx>
        <w:trPr>
          <w:trHeight w:val="35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74FD7208">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6</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7BE3D904">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合同条款：按竞争性磋商文件第五部分“拟签订的合同文本”执行</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3D595FDC">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26676DE2">
            <w:pPr>
              <w:tabs>
                <w:tab w:val="left" w:pos="0"/>
              </w:tabs>
              <w:adjustRightInd w:val="0"/>
              <w:snapToGrid w:val="0"/>
              <w:spacing w:line="360" w:lineRule="auto"/>
              <w:jc w:val="center"/>
              <w:rPr>
                <w:rFonts w:hint="eastAsia" w:ascii="宋体" w:hAnsi="宋体" w:cs="仿宋"/>
                <w:kern w:val="0"/>
                <w:szCs w:val="21"/>
              </w:rPr>
            </w:pPr>
          </w:p>
        </w:tc>
      </w:tr>
      <w:tr w14:paraId="61F353AB">
        <w:tblPrEx>
          <w:tblCellMar>
            <w:top w:w="0" w:type="dxa"/>
            <w:left w:w="108" w:type="dxa"/>
            <w:bottom w:w="0" w:type="dxa"/>
            <w:right w:w="108" w:type="dxa"/>
          </w:tblCellMar>
        </w:tblPrEx>
        <w:trPr>
          <w:trHeight w:val="46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759BFF23">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7</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048D920C">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付款方式：合同签订后15个工作日内支付签约合同价的30%,项目交工验收通过后15个工作日内支付至实际完成工程总造价的80%,工程结算经发包人委托的造价咨询机构审核完成后支付至审核价款的 95%，余款待相关部门复审完成或备案后扣除工程质量保证金外一次性付清。（若工程质量担保以非保证金形式提供的，则余款全额拨付，扣除所有违约金及罚款）</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184D7115">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1AFE977D">
            <w:pPr>
              <w:tabs>
                <w:tab w:val="left" w:pos="0"/>
              </w:tabs>
              <w:adjustRightInd w:val="0"/>
              <w:snapToGrid w:val="0"/>
              <w:spacing w:line="360" w:lineRule="auto"/>
              <w:jc w:val="center"/>
              <w:rPr>
                <w:rFonts w:hint="eastAsia" w:ascii="宋体" w:hAnsi="宋体" w:cs="仿宋"/>
                <w:kern w:val="0"/>
                <w:szCs w:val="21"/>
              </w:rPr>
            </w:pPr>
          </w:p>
        </w:tc>
      </w:tr>
      <w:tr w14:paraId="0CEC9FBA">
        <w:tblPrEx>
          <w:tblCellMar>
            <w:top w:w="0" w:type="dxa"/>
            <w:left w:w="108" w:type="dxa"/>
            <w:bottom w:w="0" w:type="dxa"/>
            <w:right w:w="108" w:type="dxa"/>
          </w:tblCellMar>
        </w:tblPrEx>
        <w:trPr>
          <w:trHeight w:val="719"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34FAB420">
            <w:pPr>
              <w:tabs>
                <w:tab w:val="left" w:pos="0"/>
              </w:tabs>
              <w:adjustRightInd w:val="0"/>
              <w:snapToGrid w:val="0"/>
              <w:spacing w:line="360" w:lineRule="auto"/>
              <w:jc w:val="center"/>
              <w:rPr>
                <w:rFonts w:ascii="宋体" w:hAnsi="宋体" w:cs="仿宋"/>
                <w:kern w:val="0"/>
                <w:szCs w:val="21"/>
              </w:rPr>
            </w:pPr>
            <w:r>
              <w:rPr>
                <w:rFonts w:hint="eastAsia" w:ascii="宋体" w:hAnsi="宋体" w:cs="仿宋"/>
                <w:kern w:val="0"/>
                <w:szCs w:val="21"/>
              </w:rPr>
              <w:t>8</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7EFF7527">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szCs w:val="21"/>
              </w:rPr>
              <w:t>缺陷责任期（工程质量保修期）：本工程缺陷责任期为1年。保修期（缺陷责任期）自实际交工日期起计算。在保修范围内和保修期限内发生质量问题的，承包人应当履行保修义务，并对造成的损失承担赔偿责任。</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5A519FBA">
            <w:pPr>
              <w:tabs>
                <w:tab w:val="left" w:pos="0"/>
              </w:tabs>
              <w:adjustRightInd w:val="0"/>
              <w:snapToGrid w:val="0"/>
              <w:spacing w:line="360" w:lineRule="auto"/>
              <w:jc w:val="center"/>
              <w:rPr>
                <w:rFonts w:hint="eastAsia" w:ascii="宋体" w:hAnsi="宋体" w:cs="仿宋"/>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326F46CE">
            <w:pPr>
              <w:tabs>
                <w:tab w:val="left" w:pos="0"/>
              </w:tabs>
              <w:adjustRightInd w:val="0"/>
              <w:snapToGrid w:val="0"/>
              <w:spacing w:line="360" w:lineRule="auto"/>
              <w:jc w:val="center"/>
              <w:rPr>
                <w:rFonts w:hint="eastAsia" w:ascii="宋体" w:hAnsi="宋体" w:cs="仿宋"/>
                <w:szCs w:val="21"/>
              </w:rPr>
            </w:pPr>
          </w:p>
        </w:tc>
      </w:tr>
      <w:tr w14:paraId="2889F0B2">
        <w:tblPrEx>
          <w:tblCellMar>
            <w:top w:w="0" w:type="dxa"/>
            <w:left w:w="108" w:type="dxa"/>
            <w:bottom w:w="0" w:type="dxa"/>
            <w:right w:w="108" w:type="dxa"/>
          </w:tblCellMar>
        </w:tblPrEx>
        <w:trPr>
          <w:trHeight w:val="90"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0B40C3D9">
            <w:pPr>
              <w:tabs>
                <w:tab w:val="left" w:pos="0"/>
              </w:tabs>
              <w:adjustRightInd w:val="0"/>
              <w:snapToGrid w:val="0"/>
              <w:spacing w:line="360" w:lineRule="auto"/>
              <w:jc w:val="center"/>
              <w:rPr>
                <w:rFonts w:ascii="宋体" w:hAnsi="宋体" w:cs="仿宋"/>
                <w:szCs w:val="21"/>
              </w:rPr>
            </w:pPr>
            <w:r>
              <w:rPr>
                <w:rFonts w:hint="eastAsia" w:ascii="宋体" w:hAnsi="宋体" w:cs="仿宋"/>
                <w:szCs w:val="21"/>
              </w:rPr>
              <w:t>9</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5CD64C7A">
            <w:pPr>
              <w:tabs>
                <w:tab w:val="left" w:pos="0"/>
              </w:tabs>
              <w:adjustRightInd w:val="0"/>
              <w:snapToGrid w:val="0"/>
              <w:spacing w:line="360" w:lineRule="auto"/>
              <w:jc w:val="left"/>
              <w:rPr>
                <w:rFonts w:ascii="宋体" w:hAnsi="宋体" w:cs="仿宋"/>
                <w:kern w:val="0"/>
                <w:szCs w:val="21"/>
              </w:rPr>
            </w:pPr>
            <w:r>
              <w:rPr>
                <w:rFonts w:hint="eastAsia" w:ascii="宋体" w:hAnsi="宋体" w:cs="仿宋"/>
                <w:kern w:val="0"/>
                <w:szCs w:val="21"/>
              </w:rPr>
              <w:t>报价方式：采用综合折扣率方式进行报价。</w:t>
            </w:r>
          </w:p>
          <w:p w14:paraId="453BAB01">
            <w:pPr>
              <w:spacing w:line="360" w:lineRule="auto"/>
              <w:jc w:val="left"/>
              <w:rPr>
                <w:rFonts w:hint="eastAsia" w:ascii="宋体" w:hAnsi="宋体" w:cs="仿宋"/>
                <w:kern w:val="0"/>
                <w:szCs w:val="21"/>
              </w:rPr>
            </w:pPr>
            <w:r>
              <w:rPr>
                <w:rFonts w:hint="eastAsia" w:ascii="宋体" w:hAnsi="宋体" w:cs="仿宋"/>
                <w:kern w:val="0"/>
                <w:szCs w:val="21"/>
              </w:rPr>
              <w:t>合同类型：本工程采用单价合同形式，结算单价以采购人提供的工程量清单中各子项综合单价结合综合折扣率确定，工程量按实调整。</w:t>
            </w:r>
          </w:p>
          <w:p w14:paraId="14BBBADA">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本项目工程量清单中标明的总价：均已包括为实施本工程所需的人工费、材料费、机械费、管理费、与施工方案相关的技术措施费、施工组织措施费、规费、保险、利润、税金、风险费、成品保护费、垃圾外运及处置费、保洁清理费、采购代理服务费及政策性文件规定费用等所有费用。以及合同明示或暗示的所有责任、义务和一切风险。</w:t>
            </w:r>
          </w:p>
          <w:p w14:paraId="2519DD3C">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其它报价要求：供应商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部分项工程量清单项目与施工图纸相对应的项目就具体构造、作法、用材等出现矛盾时，谈判时以采购人提供的工程量清单为准，结算时按实际工程量调整。</w:t>
            </w:r>
          </w:p>
          <w:p w14:paraId="0FDFC39F">
            <w:pPr>
              <w:tabs>
                <w:tab w:val="left" w:pos="0"/>
              </w:tabs>
              <w:adjustRightInd w:val="0"/>
              <w:snapToGrid w:val="0"/>
              <w:spacing w:line="360" w:lineRule="auto"/>
              <w:jc w:val="left"/>
              <w:rPr>
                <w:rFonts w:hint="eastAsia" w:ascii="宋体" w:hAnsi="宋体" w:cs="仿宋"/>
                <w:kern w:val="0"/>
                <w:szCs w:val="21"/>
              </w:rPr>
            </w:pPr>
            <w:r>
              <w:rPr>
                <w:rFonts w:hint="eastAsia" w:ascii="宋体" w:hAnsi="宋体" w:cs="仿宋"/>
                <w:kern w:val="0"/>
                <w:szCs w:val="21"/>
              </w:rPr>
              <w:t>结算价要求：结算价小于等于合同价的，按合同约定实际结算；超过合同总价的，可以与中标供应商签订补充合同，对工程进行追加后按实际结算，最高追加比例为10%，且追加后总价不超过预算价。</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0E866E82">
            <w:pPr>
              <w:tabs>
                <w:tab w:val="left" w:pos="0"/>
              </w:tabs>
              <w:adjustRightInd w:val="0"/>
              <w:snapToGrid w:val="0"/>
              <w:spacing w:line="360" w:lineRule="auto"/>
              <w:jc w:val="center"/>
              <w:rPr>
                <w:rFonts w:hint="eastAsia" w:ascii="宋体" w:hAnsi="宋体" w:cs="仿宋"/>
                <w:kern w:val="0"/>
                <w:szCs w:val="21"/>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0F3797D6">
            <w:pPr>
              <w:tabs>
                <w:tab w:val="left" w:pos="0"/>
              </w:tabs>
              <w:adjustRightInd w:val="0"/>
              <w:snapToGrid w:val="0"/>
              <w:spacing w:line="360" w:lineRule="auto"/>
              <w:jc w:val="center"/>
              <w:rPr>
                <w:rFonts w:hint="eastAsia" w:ascii="宋体" w:hAnsi="宋体" w:cs="仿宋"/>
                <w:kern w:val="0"/>
                <w:szCs w:val="21"/>
              </w:rPr>
            </w:pPr>
          </w:p>
        </w:tc>
      </w:tr>
      <w:tr w14:paraId="6A9624C4">
        <w:tblPrEx>
          <w:tblCellMar>
            <w:top w:w="0" w:type="dxa"/>
            <w:left w:w="108" w:type="dxa"/>
            <w:bottom w:w="0" w:type="dxa"/>
            <w:right w:w="108" w:type="dxa"/>
          </w:tblCellMar>
        </w:tblPrEx>
        <w:trPr>
          <w:trHeight w:val="352"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225E1F64">
            <w:pPr>
              <w:tabs>
                <w:tab w:val="left" w:pos="0"/>
              </w:tabs>
              <w:adjustRightInd w:val="0"/>
              <w:snapToGrid w:val="0"/>
              <w:jc w:val="center"/>
              <w:rPr>
                <w:rFonts w:ascii="宋体" w:hAnsi="宋体" w:cs="仿宋"/>
                <w:szCs w:val="21"/>
              </w:rPr>
            </w:pPr>
            <w:r>
              <w:rPr>
                <w:rFonts w:hint="eastAsia" w:ascii="宋体" w:hAnsi="宋体" w:cs="仿宋"/>
                <w:szCs w:val="21"/>
              </w:rPr>
              <w:t>10</w:t>
            </w:r>
          </w:p>
        </w:tc>
        <w:tc>
          <w:tcPr>
            <w:tcW w:w="3456" w:type="pct"/>
            <w:tcBorders>
              <w:top w:val="single" w:color="000000" w:sz="4" w:space="0"/>
              <w:left w:val="single" w:color="000000" w:sz="4" w:space="0"/>
              <w:bottom w:val="single" w:color="000000" w:sz="4" w:space="0"/>
              <w:right w:val="single" w:color="000000" w:sz="4" w:space="0"/>
            </w:tcBorders>
            <w:noWrap w:val="0"/>
            <w:vAlign w:val="bottom"/>
          </w:tcPr>
          <w:p w14:paraId="09948977">
            <w:pPr>
              <w:tabs>
                <w:tab w:val="left" w:pos="0"/>
              </w:tabs>
              <w:adjustRightInd w:val="0"/>
              <w:snapToGrid w:val="0"/>
              <w:jc w:val="left"/>
              <w:rPr>
                <w:rFonts w:ascii="宋体" w:hAnsi="宋体" w:cs="仿宋"/>
                <w:kern w:val="0"/>
                <w:szCs w:val="21"/>
              </w:rPr>
            </w:pPr>
            <w:r>
              <w:rPr>
                <w:rFonts w:hint="eastAsia" w:ascii="宋体" w:hAnsi="宋体" w:cs="仿宋"/>
                <w:szCs w:val="21"/>
                <w:lang w:val="zh-CN"/>
              </w:rPr>
              <w:t>签约合同价</w:t>
            </w:r>
            <w:r>
              <w:rPr>
                <w:rFonts w:hint="eastAsia" w:ascii="宋体" w:hAnsi="宋体" w:cs="仿宋"/>
                <w:szCs w:val="21"/>
              </w:rPr>
              <w:t>=（预算金额-暂定价）*成交综合折扣率+暂定价</w:t>
            </w:r>
          </w:p>
        </w:tc>
        <w:tc>
          <w:tcPr>
            <w:tcW w:w="370" w:type="pct"/>
            <w:tcBorders>
              <w:top w:val="single" w:color="000000" w:sz="4" w:space="0"/>
              <w:left w:val="single" w:color="000000" w:sz="4" w:space="0"/>
              <w:bottom w:val="single" w:color="000000" w:sz="4" w:space="0"/>
              <w:right w:val="single" w:color="000000" w:sz="4" w:space="0"/>
            </w:tcBorders>
            <w:noWrap w:val="0"/>
            <w:vAlign w:val="bottom"/>
          </w:tcPr>
          <w:p w14:paraId="698C8B6F">
            <w:pPr>
              <w:tabs>
                <w:tab w:val="left" w:pos="0"/>
              </w:tabs>
              <w:adjustRightInd w:val="0"/>
              <w:snapToGrid w:val="0"/>
              <w:jc w:val="center"/>
              <w:rPr>
                <w:rFonts w:hint="eastAsia" w:ascii="宋体" w:hAnsi="宋体" w:cs="仿宋"/>
                <w:szCs w:val="21"/>
                <w:lang w:val="zh-CN"/>
              </w:rPr>
            </w:pPr>
          </w:p>
        </w:tc>
        <w:tc>
          <w:tcPr>
            <w:tcW w:w="733" w:type="pct"/>
            <w:tcBorders>
              <w:top w:val="single" w:color="000000" w:sz="4" w:space="0"/>
              <w:left w:val="single" w:color="000000" w:sz="4" w:space="0"/>
              <w:bottom w:val="single" w:color="000000" w:sz="4" w:space="0"/>
              <w:right w:val="single" w:color="000000" w:sz="4" w:space="0"/>
            </w:tcBorders>
            <w:noWrap w:val="0"/>
            <w:vAlign w:val="bottom"/>
          </w:tcPr>
          <w:p w14:paraId="66AA4E90">
            <w:pPr>
              <w:tabs>
                <w:tab w:val="left" w:pos="0"/>
              </w:tabs>
              <w:adjustRightInd w:val="0"/>
              <w:snapToGrid w:val="0"/>
              <w:jc w:val="center"/>
              <w:rPr>
                <w:rFonts w:hint="eastAsia" w:ascii="宋体" w:hAnsi="宋体" w:cs="仿宋"/>
                <w:szCs w:val="21"/>
                <w:lang w:val="zh-CN"/>
              </w:rPr>
            </w:pPr>
          </w:p>
        </w:tc>
      </w:tr>
    </w:tbl>
    <w:p w14:paraId="06671018">
      <w:pPr>
        <w:pStyle w:val="35"/>
        <w:rPr>
          <w:rFonts w:hint="eastAsia"/>
        </w:rPr>
      </w:pPr>
    </w:p>
    <w:p w14:paraId="2F2E0FAB">
      <w:pPr>
        <w:pStyle w:val="35"/>
        <w:rPr>
          <w:rFonts w:hint="eastAsia"/>
          <w:lang w:val="zh-CN"/>
        </w:rPr>
      </w:pPr>
    </w:p>
    <w:p w14:paraId="2A602FEE">
      <w:pPr>
        <w:spacing w:line="360" w:lineRule="auto"/>
        <w:jc w:val="left"/>
        <w:rPr>
          <w:rFonts w:ascii="宋体" w:hAnsi="宋体" w:cs="宋体"/>
          <w:kern w:val="0"/>
          <w:sz w:val="24"/>
        </w:rPr>
      </w:pPr>
      <w:r>
        <w:rPr>
          <w:rFonts w:hint="eastAsia" w:ascii="宋体" w:hAnsi="宋体" w:cs="仿宋"/>
          <w:kern w:val="0"/>
          <w:sz w:val="24"/>
          <w:lang w:val="zh-CN"/>
        </w:rPr>
        <w:t>备注</w:t>
      </w:r>
      <w:r>
        <w:rPr>
          <w:rFonts w:hint="eastAsia" w:ascii="宋体" w:hAnsi="宋体" w:cs="仿宋"/>
          <w:kern w:val="0"/>
          <w:sz w:val="24"/>
        </w:rPr>
        <w:t>：此表根据“第三部分采购需求”商务要求逐条填写；供应商需完全响应以上商务条款要求并在“响应情况”一栏里明确响应，未明确响应的作无效处理。如有优于的，可以在“优于情况说明”一栏里详细说明。</w:t>
      </w:r>
    </w:p>
    <w:p w14:paraId="5EA0A42C">
      <w:pPr>
        <w:spacing w:line="360" w:lineRule="auto"/>
        <w:jc w:val="left"/>
        <w:rPr>
          <w:rFonts w:hint="eastAsia" w:ascii="宋体" w:hAnsi="宋体" w:cs="仿宋"/>
          <w:b/>
          <w:bCs/>
          <w:kern w:val="0"/>
          <w:sz w:val="24"/>
          <w:shd w:val="clear" w:color="auto" w:fill="FFFF00"/>
        </w:rPr>
      </w:pPr>
    </w:p>
    <w:p w14:paraId="3E6D070C">
      <w:pPr>
        <w:pStyle w:val="31"/>
        <w:ind w:firstLine="0" w:firstLineChars="0"/>
        <w:rPr>
          <w:rFonts w:hint="eastAsia" w:ascii="宋体" w:hAnsi="宋体" w:eastAsia="宋体" w:cs="仿宋"/>
          <w:kern w:val="0"/>
          <w:sz w:val="24"/>
        </w:rPr>
      </w:pPr>
    </w:p>
    <w:p w14:paraId="51AF563E">
      <w:pPr>
        <w:adjustRightInd w:val="0"/>
        <w:snapToGrid w:val="0"/>
        <w:spacing w:line="360" w:lineRule="auto"/>
        <w:ind w:left="3990" w:leftChars="1900"/>
        <w:rPr>
          <w:rFonts w:hint="eastAsia" w:ascii="宋体" w:hAnsi="宋体" w:cs="仿宋"/>
          <w:kern w:val="0"/>
          <w:sz w:val="24"/>
          <w:lang w:val="zh-CN"/>
        </w:rPr>
      </w:pPr>
      <w:r>
        <w:rPr>
          <w:rFonts w:hint="eastAsia" w:ascii="宋体" w:hAnsi="宋体" w:cs="仿宋"/>
          <w:kern w:val="0"/>
          <w:sz w:val="24"/>
          <w:lang w:val="zh-CN"/>
        </w:rPr>
        <w:t>法定代表人或其授权委托人（签名或印章）：</w:t>
      </w:r>
    </w:p>
    <w:p w14:paraId="5E4B08AF">
      <w:pPr>
        <w:adjustRightInd w:val="0"/>
        <w:snapToGrid w:val="0"/>
        <w:spacing w:line="360" w:lineRule="auto"/>
        <w:ind w:left="3990" w:leftChars="1900"/>
        <w:rPr>
          <w:rFonts w:hint="eastAsia" w:ascii="宋体" w:hAnsi="宋体" w:cs="仿宋"/>
          <w:kern w:val="0"/>
          <w:sz w:val="24"/>
          <w:lang w:val="zh-CN"/>
        </w:rPr>
      </w:pPr>
      <w:r>
        <w:rPr>
          <w:rFonts w:hint="eastAsia" w:ascii="宋体" w:hAnsi="宋体" w:cs="仿宋"/>
          <w:kern w:val="0"/>
          <w:sz w:val="24"/>
          <w:lang w:val="zh-CN"/>
        </w:rPr>
        <w:t>供应商（盖章）：</w:t>
      </w:r>
    </w:p>
    <w:p w14:paraId="0C162BE3">
      <w:pPr>
        <w:adjustRightInd w:val="0"/>
        <w:snapToGrid w:val="0"/>
        <w:spacing w:line="360" w:lineRule="auto"/>
        <w:rPr>
          <w:rFonts w:hint="eastAsia" w:ascii="宋体" w:hAnsi="宋体" w:cs="仿宋"/>
          <w:kern w:val="0"/>
          <w:sz w:val="24"/>
        </w:rPr>
      </w:pPr>
      <w:r>
        <w:rPr>
          <w:rFonts w:hint="eastAsia" w:ascii="宋体" w:hAnsi="宋体" w:cs="仿宋"/>
          <w:kern w:val="0"/>
          <w:sz w:val="24"/>
          <w:lang w:val="zh-CN"/>
        </w:rPr>
        <w:t xml:space="preserve">                                 日期</w:t>
      </w:r>
      <w:r>
        <w:rPr>
          <w:rFonts w:hint="eastAsia" w:ascii="宋体" w:hAnsi="宋体" w:cs="仿宋"/>
          <w:kern w:val="0"/>
          <w:sz w:val="24"/>
        </w:rPr>
        <w:t>:</w:t>
      </w:r>
    </w:p>
    <w:p w14:paraId="6B520202">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p>
    <w:p w14:paraId="409154CD">
      <w:pPr>
        <w:rPr>
          <w:rFonts w:hint="eastAsia" w:asciiTheme="minorEastAsia" w:hAnsiTheme="minorEastAsia" w:eastAsiaTheme="minorEastAsia" w:cstheme="minorEastAsia"/>
          <w:b/>
          <w:color w:val="auto"/>
          <w:kern w:val="0"/>
          <w:sz w:val="32"/>
          <w:szCs w:val="32"/>
          <w:highlight w:val="none"/>
          <w:lang w:val="en-US" w:eastAsia="zh-CN"/>
        </w:rPr>
      </w:pPr>
      <w:r>
        <w:rPr>
          <w:rFonts w:hint="eastAsia" w:asciiTheme="minorEastAsia" w:hAnsiTheme="minorEastAsia" w:eastAsiaTheme="minorEastAsia" w:cstheme="minorEastAsia"/>
          <w:b/>
          <w:color w:val="auto"/>
          <w:kern w:val="0"/>
          <w:sz w:val="32"/>
          <w:szCs w:val="32"/>
          <w:highlight w:val="none"/>
          <w:lang w:val="en-US" w:eastAsia="zh-CN"/>
        </w:rPr>
        <w:br w:type="page"/>
      </w:r>
    </w:p>
    <w:p w14:paraId="1E2C955B">
      <w:pPr>
        <w:widowControl/>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en-US" w:eastAsia="zh-CN"/>
        </w:rPr>
        <w:t>八、</w:t>
      </w:r>
      <w:r>
        <w:rPr>
          <w:rFonts w:hint="eastAsia" w:asciiTheme="minorEastAsia" w:hAnsiTheme="minorEastAsia" w:eastAsiaTheme="minorEastAsia" w:cstheme="minorEastAsia"/>
          <w:b/>
          <w:color w:val="auto"/>
          <w:kern w:val="0"/>
          <w:sz w:val="32"/>
          <w:szCs w:val="32"/>
          <w:highlight w:val="none"/>
          <w:lang w:val="zh-CN"/>
        </w:rPr>
        <w:t>技术</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p w14:paraId="312DBA52">
      <w:pPr>
        <w:pStyle w:val="35"/>
        <w:rPr>
          <w:rFonts w:hint="default" w:ascii="Calibri" w:hAnsi="Calibri" w:eastAsia="宋体" w:cs="宋体"/>
          <w:color w:val="auto"/>
          <w:kern w:val="2"/>
          <w:sz w:val="24"/>
          <w:szCs w:val="24"/>
          <w:lang w:val="en-US" w:eastAsia="zh-CN" w:bidi="ar-SA"/>
        </w:rPr>
      </w:pPr>
      <w:r>
        <w:rPr>
          <w:rFonts w:hint="eastAsia" w:ascii="Calibri" w:hAnsi="Calibri" w:eastAsia="宋体" w:cs="宋体"/>
          <w:color w:val="auto"/>
          <w:kern w:val="2"/>
          <w:sz w:val="24"/>
          <w:szCs w:val="24"/>
          <w:lang w:val="en-US" w:eastAsia="zh-CN" w:bidi="ar-SA"/>
        </w:rPr>
        <w:t>1、技术响应表</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804"/>
        <w:gridCol w:w="992"/>
        <w:gridCol w:w="567"/>
      </w:tblGrid>
      <w:tr w14:paraId="1BE56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57B8B174">
            <w:pPr>
              <w:rPr>
                <w:rFonts w:hint="eastAsia" w:ascii="宋体" w:hAnsi="宋体" w:cs="仿宋"/>
                <w:bCs/>
              </w:rPr>
            </w:pPr>
            <w:r>
              <w:rPr>
                <w:rFonts w:hint="eastAsia" w:ascii="宋体" w:hAnsi="宋体" w:cs="仿宋"/>
                <w:bCs/>
              </w:rPr>
              <w:t>序号</w:t>
            </w:r>
          </w:p>
        </w:tc>
        <w:tc>
          <w:tcPr>
            <w:tcW w:w="6804" w:type="dxa"/>
            <w:noWrap w:val="0"/>
            <w:vAlign w:val="center"/>
          </w:tcPr>
          <w:p w14:paraId="68BB6558">
            <w:pPr>
              <w:jc w:val="center"/>
              <w:rPr>
                <w:rFonts w:hint="eastAsia" w:ascii="宋体" w:hAnsi="宋体" w:cs="仿宋"/>
                <w:bCs/>
              </w:rPr>
            </w:pPr>
            <w:r>
              <w:rPr>
                <w:rFonts w:hint="eastAsia" w:ascii="宋体" w:hAnsi="宋体" w:cs="仿宋"/>
                <w:bCs/>
              </w:rPr>
              <w:t>采购文件采购需求描述</w:t>
            </w:r>
          </w:p>
        </w:tc>
        <w:tc>
          <w:tcPr>
            <w:tcW w:w="992" w:type="dxa"/>
            <w:noWrap w:val="0"/>
            <w:vAlign w:val="center"/>
          </w:tcPr>
          <w:p w14:paraId="39D33237">
            <w:pPr>
              <w:ind w:left="-78" w:leftChars="-37" w:right="-80" w:rightChars="-38"/>
              <w:jc w:val="left"/>
              <w:rPr>
                <w:rFonts w:hint="eastAsia" w:ascii="宋体" w:hAnsi="宋体" w:cs="仿宋"/>
                <w:bCs/>
              </w:rPr>
            </w:pPr>
            <w:r>
              <w:rPr>
                <w:rFonts w:hint="eastAsia" w:ascii="宋体" w:hAnsi="宋体" w:cs="仿宋"/>
                <w:bCs/>
              </w:rPr>
              <w:t>供应商响应情况</w:t>
            </w:r>
          </w:p>
        </w:tc>
        <w:tc>
          <w:tcPr>
            <w:tcW w:w="567" w:type="dxa"/>
            <w:noWrap w:val="0"/>
            <w:vAlign w:val="center"/>
          </w:tcPr>
          <w:p w14:paraId="795C232A">
            <w:pPr>
              <w:ind w:left="-78" w:leftChars="-37" w:right="-80" w:rightChars="-38"/>
              <w:rPr>
                <w:rFonts w:hint="eastAsia" w:ascii="宋体" w:hAnsi="宋体" w:cs="仿宋"/>
                <w:bCs/>
              </w:rPr>
            </w:pPr>
            <w:r>
              <w:rPr>
                <w:rFonts w:hint="eastAsia" w:ascii="宋体" w:hAnsi="宋体" w:cs="仿宋"/>
                <w:bCs/>
              </w:rPr>
              <w:t>差异</w:t>
            </w:r>
          </w:p>
        </w:tc>
      </w:tr>
      <w:tr w14:paraId="6DFE0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16AB5F45">
            <w:pPr>
              <w:jc w:val="center"/>
              <w:rPr>
                <w:rFonts w:hint="eastAsia" w:ascii="宋体" w:hAnsi="宋体" w:cs="仿宋"/>
                <w:sz w:val="24"/>
              </w:rPr>
            </w:pPr>
            <w:r>
              <w:rPr>
                <w:rFonts w:hint="eastAsia" w:ascii="宋体" w:hAnsi="宋体" w:cs="仿宋"/>
                <w:sz w:val="24"/>
              </w:rPr>
              <w:t>1</w:t>
            </w:r>
          </w:p>
        </w:tc>
        <w:tc>
          <w:tcPr>
            <w:tcW w:w="6804" w:type="dxa"/>
            <w:noWrap w:val="0"/>
            <w:vAlign w:val="top"/>
          </w:tcPr>
          <w:p w14:paraId="41A8B3D2">
            <w:pPr>
              <w:rPr>
                <w:rFonts w:hint="eastAsia"/>
              </w:rPr>
            </w:pPr>
          </w:p>
        </w:tc>
        <w:tc>
          <w:tcPr>
            <w:tcW w:w="992" w:type="dxa"/>
            <w:noWrap w:val="0"/>
            <w:vAlign w:val="top"/>
          </w:tcPr>
          <w:p w14:paraId="716C085D">
            <w:pPr>
              <w:rPr>
                <w:rFonts w:hint="eastAsia" w:ascii="宋体" w:hAnsi="宋体" w:cs="仿宋"/>
                <w:sz w:val="24"/>
              </w:rPr>
            </w:pPr>
          </w:p>
        </w:tc>
        <w:tc>
          <w:tcPr>
            <w:tcW w:w="567" w:type="dxa"/>
            <w:noWrap w:val="0"/>
            <w:vAlign w:val="top"/>
          </w:tcPr>
          <w:p w14:paraId="7ACCFACB">
            <w:pPr>
              <w:rPr>
                <w:rFonts w:hint="eastAsia" w:ascii="宋体" w:hAnsi="宋体" w:cs="仿宋"/>
                <w:sz w:val="24"/>
              </w:rPr>
            </w:pPr>
          </w:p>
        </w:tc>
      </w:tr>
      <w:tr w14:paraId="0B4C8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11235CB0">
            <w:pPr>
              <w:jc w:val="center"/>
              <w:rPr>
                <w:rFonts w:hint="eastAsia" w:ascii="宋体" w:hAnsi="宋体" w:cs="仿宋"/>
                <w:sz w:val="24"/>
              </w:rPr>
            </w:pPr>
            <w:r>
              <w:rPr>
                <w:rFonts w:hint="eastAsia" w:ascii="宋体" w:hAnsi="宋体" w:cs="仿宋"/>
                <w:sz w:val="24"/>
              </w:rPr>
              <w:t>2</w:t>
            </w:r>
          </w:p>
        </w:tc>
        <w:tc>
          <w:tcPr>
            <w:tcW w:w="6804" w:type="dxa"/>
            <w:noWrap w:val="0"/>
            <w:vAlign w:val="top"/>
          </w:tcPr>
          <w:p w14:paraId="4F3B9659">
            <w:pPr>
              <w:rPr>
                <w:rFonts w:hint="eastAsia" w:ascii="宋体" w:hAnsi="宋体" w:cs="仿宋"/>
                <w:sz w:val="24"/>
              </w:rPr>
            </w:pPr>
          </w:p>
        </w:tc>
        <w:tc>
          <w:tcPr>
            <w:tcW w:w="992" w:type="dxa"/>
            <w:noWrap w:val="0"/>
            <w:vAlign w:val="top"/>
          </w:tcPr>
          <w:p w14:paraId="1A83C677">
            <w:pPr>
              <w:rPr>
                <w:rFonts w:hint="eastAsia" w:ascii="宋体" w:hAnsi="宋体" w:cs="仿宋"/>
                <w:sz w:val="24"/>
              </w:rPr>
            </w:pPr>
          </w:p>
        </w:tc>
        <w:tc>
          <w:tcPr>
            <w:tcW w:w="567" w:type="dxa"/>
            <w:noWrap w:val="0"/>
            <w:vAlign w:val="top"/>
          </w:tcPr>
          <w:p w14:paraId="08A79DB1">
            <w:pPr>
              <w:rPr>
                <w:rFonts w:hint="eastAsia" w:ascii="宋体" w:hAnsi="宋体" w:cs="仿宋"/>
                <w:sz w:val="24"/>
              </w:rPr>
            </w:pPr>
          </w:p>
        </w:tc>
      </w:tr>
      <w:tr w14:paraId="51DD1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1A5CDB3E">
            <w:pPr>
              <w:jc w:val="center"/>
              <w:rPr>
                <w:rFonts w:hint="eastAsia" w:ascii="宋体" w:hAnsi="宋体" w:cs="仿宋"/>
                <w:sz w:val="24"/>
              </w:rPr>
            </w:pPr>
            <w:r>
              <w:rPr>
                <w:rFonts w:hint="eastAsia" w:ascii="宋体" w:hAnsi="宋体" w:cs="仿宋"/>
                <w:sz w:val="24"/>
              </w:rPr>
              <w:t>...</w:t>
            </w:r>
          </w:p>
        </w:tc>
        <w:tc>
          <w:tcPr>
            <w:tcW w:w="6804" w:type="dxa"/>
            <w:noWrap w:val="0"/>
            <w:vAlign w:val="top"/>
          </w:tcPr>
          <w:p w14:paraId="50B0E11B">
            <w:pPr>
              <w:rPr>
                <w:rFonts w:hint="eastAsia" w:ascii="宋体" w:hAnsi="宋体" w:cs="仿宋"/>
                <w:sz w:val="24"/>
              </w:rPr>
            </w:pPr>
          </w:p>
        </w:tc>
        <w:tc>
          <w:tcPr>
            <w:tcW w:w="992" w:type="dxa"/>
            <w:noWrap w:val="0"/>
            <w:vAlign w:val="top"/>
          </w:tcPr>
          <w:p w14:paraId="613C2E36">
            <w:pPr>
              <w:rPr>
                <w:rFonts w:hint="eastAsia" w:ascii="宋体" w:hAnsi="宋体" w:cs="仿宋"/>
                <w:sz w:val="24"/>
              </w:rPr>
            </w:pPr>
          </w:p>
        </w:tc>
        <w:tc>
          <w:tcPr>
            <w:tcW w:w="567" w:type="dxa"/>
            <w:noWrap w:val="0"/>
            <w:vAlign w:val="top"/>
          </w:tcPr>
          <w:p w14:paraId="447C2179">
            <w:pPr>
              <w:rPr>
                <w:rFonts w:hint="eastAsia" w:ascii="宋体" w:hAnsi="宋体" w:cs="仿宋"/>
                <w:sz w:val="24"/>
              </w:rPr>
            </w:pPr>
          </w:p>
        </w:tc>
      </w:tr>
    </w:tbl>
    <w:p w14:paraId="1436C88E">
      <w:pPr>
        <w:snapToGrid w:val="0"/>
        <w:spacing w:line="360" w:lineRule="auto"/>
        <w:jc w:val="left"/>
        <w:outlineLvl w:val="0"/>
        <w:rPr>
          <w:rFonts w:hint="eastAsia" w:ascii="宋体" w:hAnsi="宋体" w:cs="仿宋"/>
          <w:sz w:val="24"/>
        </w:rPr>
      </w:pPr>
      <w:r>
        <w:rPr>
          <w:rFonts w:hint="eastAsia" w:ascii="宋体" w:hAnsi="宋体" w:cs="仿宋"/>
          <w:sz w:val="24"/>
        </w:rPr>
        <w:t>说明：供应商必须对应采购文件“第三部分 采购需求”进行响应。带“</w:t>
      </w:r>
      <w:r>
        <w:rPr>
          <w:rFonts w:hint="eastAsia" w:ascii="宋体" w:hAnsi="宋体" w:cs="仿宋"/>
          <w:b/>
          <w:sz w:val="24"/>
        </w:rPr>
        <w:t>▲</w:t>
      </w:r>
      <w:r>
        <w:rPr>
          <w:rFonts w:hint="eastAsia" w:ascii="宋体" w:hAnsi="宋体" w:cs="仿宋"/>
          <w:sz w:val="24"/>
        </w:rPr>
        <w:t>”的条款有负偏离的作无效响应文件处理。条款要求提供的相关证明资料必须一并提供，其中关于拟派项目负责人无在建的承诺格式详见附件1，否则视为不响应。</w:t>
      </w:r>
    </w:p>
    <w:p w14:paraId="03E813E8">
      <w:pPr>
        <w:spacing w:line="360" w:lineRule="auto"/>
        <w:jc w:val="right"/>
        <w:rPr>
          <w:rFonts w:hint="eastAsia" w:ascii="宋体" w:hAnsi="宋体" w:cs="仿宋"/>
          <w:sz w:val="24"/>
        </w:rPr>
      </w:pPr>
      <w:r>
        <w:rPr>
          <w:rFonts w:hint="eastAsia" w:ascii="宋体" w:hAnsi="宋体" w:cs="仿宋"/>
          <w:sz w:val="24"/>
        </w:rPr>
        <w:t>法定代表人或其授权委托人（签名或印章）：</w:t>
      </w:r>
    </w:p>
    <w:p w14:paraId="4B688892">
      <w:pPr>
        <w:spacing w:line="360" w:lineRule="auto"/>
        <w:ind w:firstLine="5760" w:firstLineChars="2400"/>
        <w:rPr>
          <w:rFonts w:hint="eastAsia" w:ascii="宋体" w:hAnsi="宋体" w:cs="仿宋"/>
          <w:sz w:val="24"/>
        </w:rPr>
      </w:pPr>
      <w:r>
        <w:rPr>
          <w:rFonts w:hint="eastAsia" w:ascii="宋体" w:hAnsi="宋体" w:cs="仿宋"/>
          <w:sz w:val="24"/>
        </w:rPr>
        <w:t>投标人（盖章）：</w:t>
      </w:r>
    </w:p>
    <w:p w14:paraId="15755008">
      <w:pPr>
        <w:spacing w:line="360" w:lineRule="auto"/>
        <w:ind w:firstLine="240" w:firstLineChars="100"/>
        <w:jc w:val="left"/>
        <w:rPr>
          <w:rFonts w:hint="eastAsia" w:ascii="Calibri" w:hAnsi="Calibri" w:eastAsia="宋体" w:cs="宋体"/>
          <w:color w:val="auto"/>
          <w:kern w:val="2"/>
          <w:sz w:val="24"/>
          <w:szCs w:val="24"/>
          <w:lang w:val="en-US" w:eastAsia="zh-CN" w:bidi="ar-SA"/>
        </w:rPr>
      </w:pPr>
      <w:r>
        <w:rPr>
          <w:rFonts w:hint="eastAsia" w:ascii="宋体" w:hAnsi="宋体" w:cs="仿宋"/>
          <w:sz w:val="24"/>
        </w:rPr>
        <w:t xml:space="preserve">                                                日期：</w:t>
      </w:r>
    </w:p>
    <w:p w14:paraId="5B811EEB">
      <w:pPr>
        <w:spacing w:line="360" w:lineRule="auto"/>
        <w:ind w:firstLine="720" w:firstLineChars="300"/>
        <w:jc w:val="left"/>
        <w:rPr>
          <w:rFonts w:hint="eastAsia" w:ascii="Calibri" w:hAnsi="Calibri" w:eastAsia="宋体" w:cs="宋体"/>
          <w:color w:val="auto"/>
          <w:kern w:val="2"/>
          <w:sz w:val="24"/>
          <w:szCs w:val="24"/>
          <w:lang w:val="en-US" w:eastAsia="zh-CN" w:bidi="ar-SA"/>
        </w:rPr>
      </w:pPr>
    </w:p>
    <w:p w14:paraId="6AA98506">
      <w:pPr>
        <w:snapToGrid w:val="0"/>
        <w:spacing w:line="360" w:lineRule="auto"/>
        <w:jc w:val="left"/>
        <w:outlineLvl w:val="0"/>
        <w:rPr>
          <w:rFonts w:ascii="宋体" w:hAnsi="宋体" w:cs="仿宋"/>
          <w:b/>
          <w:kern w:val="0"/>
          <w:sz w:val="24"/>
        </w:rPr>
      </w:pPr>
      <w:r>
        <w:rPr>
          <w:rFonts w:hint="eastAsia" w:asciiTheme="minorEastAsia" w:hAnsiTheme="minorEastAsia" w:eastAsiaTheme="minorEastAsia" w:cstheme="minorEastAsia"/>
          <w:color w:val="auto"/>
          <w:kern w:val="0"/>
          <w:sz w:val="24"/>
          <w:highlight w:val="none"/>
          <w:lang w:val="zh-CN"/>
        </w:rPr>
        <w:t>日</w:t>
      </w:r>
      <w:r>
        <w:rPr>
          <w:rFonts w:hint="eastAsia" w:ascii="宋体" w:hAnsi="宋体" w:cs="仿宋"/>
          <w:b/>
          <w:kern w:val="0"/>
          <w:sz w:val="24"/>
        </w:rPr>
        <w:t>附件1</w:t>
      </w:r>
    </w:p>
    <w:p w14:paraId="4653C9FB">
      <w:pPr>
        <w:snapToGrid w:val="0"/>
        <w:spacing w:line="360" w:lineRule="auto"/>
        <w:jc w:val="center"/>
        <w:outlineLvl w:val="0"/>
        <w:rPr>
          <w:rFonts w:hint="eastAsia" w:ascii="宋体" w:hAnsi="宋体" w:cs="仿宋"/>
          <w:b/>
          <w:kern w:val="0"/>
          <w:sz w:val="24"/>
          <w:szCs w:val="24"/>
        </w:rPr>
      </w:pPr>
      <w:r>
        <w:rPr>
          <w:rFonts w:hint="eastAsia" w:ascii="宋体" w:hAnsi="宋体" w:cs="仿宋"/>
          <w:b/>
          <w:kern w:val="0"/>
          <w:sz w:val="24"/>
          <w:szCs w:val="24"/>
        </w:rPr>
        <w:t>关于拟派项目负责人无在建的承诺</w:t>
      </w:r>
    </w:p>
    <w:p w14:paraId="568B1A37">
      <w:pPr>
        <w:spacing w:line="560" w:lineRule="exact"/>
        <w:ind w:firstLine="480" w:firstLineChars="200"/>
        <w:rPr>
          <w:rFonts w:hint="eastAsia" w:ascii="宋体" w:hAnsi="宋体" w:cs="宋体"/>
          <w:sz w:val="24"/>
          <w:szCs w:val="24"/>
          <w:lang w:bidi="ar"/>
        </w:rPr>
      </w:pPr>
      <w:r>
        <w:rPr>
          <w:rFonts w:hint="eastAsia" w:ascii="宋体" w:hAnsi="宋体" w:cs="仿宋"/>
          <w:sz w:val="24"/>
          <w:szCs w:val="24"/>
          <w:lang w:bidi="ar"/>
        </w:rPr>
        <w:t>我单位承诺：拟派项目负责人在响应文件提交截止日无在其他任何在建合同工程上担任项目负责人（包括工程总承包项目中的施工负责人）的情形。如</w:t>
      </w:r>
      <w:r>
        <w:rPr>
          <w:rFonts w:hint="eastAsia" w:ascii="宋体" w:hAnsi="宋体" w:cs="仿宋"/>
          <w:sz w:val="24"/>
          <w:szCs w:val="24"/>
        </w:rPr>
        <w:t>在其他在建合同工程中担任除项目负责人以外职位的，中标后从其他项目中撤离职位，否则同意</w:t>
      </w:r>
      <w:r>
        <w:rPr>
          <w:rFonts w:hint="eastAsia" w:ascii="宋体" w:hAnsi="宋体" w:cs="仿宋"/>
          <w:sz w:val="24"/>
          <w:szCs w:val="24"/>
          <w:lang w:bidi="ar"/>
        </w:rPr>
        <w:t>取消中标资格；如我公司在本项目及其他工程中同时被确定为第一成交候选供应商或中标候选人，且拟派项目负责人为同一人的，我公司将积极配合招标人解决，包括同意取消中标资格；因上述原因产生的一切后果均由我单位承担。</w:t>
      </w:r>
    </w:p>
    <w:p w14:paraId="36A72949">
      <w:pPr>
        <w:adjustRightInd w:val="0"/>
        <w:snapToGrid w:val="0"/>
        <w:spacing w:line="360" w:lineRule="auto"/>
        <w:ind w:left="3990" w:leftChars="1900"/>
        <w:rPr>
          <w:rFonts w:hint="eastAsia" w:ascii="宋体" w:hAnsi="宋体" w:cs="仿宋"/>
          <w:kern w:val="0"/>
          <w:sz w:val="24"/>
          <w:szCs w:val="24"/>
          <w:lang w:val="zh-CN"/>
        </w:rPr>
      </w:pPr>
      <w:r>
        <w:rPr>
          <w:rFonts w:hint="eastAsia" w:ascii="宋体" w:hAnsi="宋体" w:cs="仿宋"/>
          <w:kern w:val="0"/>
          <w:sz w:val="24"/>
          <w:szCs w:val="24"/>
          <w:lang w:val="zh-CN"/>
        </w:rPr>
        <w:t>法定代表人或其授权委托人（签名或印章）：</w:t>
      </w:r>
    </w:p>
    <w:p w14:paraId="39CC0EA9">
      <w:pPr>
        <w:adjustRightInd w:val="0"/>
        <w:snapToGrid w:val="0"/>
        <w:spacing w:line="360" w:lineRule="auto"/>
        <w:ind w:left="3990" w:leftChars="1900"/>
        <w:rPr>
          <w:rFonts w:hint="eastAsia" w:ascii="宋体" w:hAnsi="宋体" w:cs="仿宋"/>
          <w:kern w:val="0"/>
          <w:sz w:val="24"/>
          <w:szCs w:val="24"/>
          <w:lang w:val="zh-CN"/>
        </w:rPr>
      </w:pPr>
      <w:r>
        <w:rPr>
          <w:rFonts w:hint="eastAsia" w:ascii="宋体" w:hAnsi="宋体" w:cs="仿宋"/>
          <w:kern w:val="0"/>
          <w:sz w:val="24"/>
          <w:szCs w:val="24"/>
          <w:lang w:val="zh-CN"/>
        </w:rPr>
        <w:t>供应商（盖章）：</w:t>
      </w:r>
    </w:p>
    <w:p w14:paraId="5981521E">
      <w:pPr>
        <w:adjustRightInd w:val="0"/>
        <w:snapToGrid w:val="0"/>
        <w:spacing w:line="360" w:lineRule="auto"/>
        <w:rPr>
          <w:rFonts w:hint="eastAsia" w:ascii="宋体" w:hAnsi="宋体" w:cs="仿宋"/>
          <w:kern w:val="0"/>
          <w:sz w:val="24"/>
          <w:szCs w:val="24"/>
        </w:rPr>
      </w:pPr>
      <w:r>
        <w:rPr>
          <w:rFonts w:hint="eastAsia" w:ascii="宋体" w:hAnsi="宋体" w:cs="仿宋"/>
          <w:kern w:val="0"/>
          <w:sz w:val="24"/>
          <w:szCs w:val="24"/>
          <w:lang w:val="zh-CN"/>
        </w:rPr>
        <w:t xml:space="preserve">                                 日期</w:t>
      </w:r>
      <w:r>
        <w:rPr>
          <w:rFonts w:hint="eastAsia" w:ascii="宋体" w:hAnsi="宋体" w:cs="仿宋"/>
          <w:kern w:val="0"/>
          <w:sz w:val="24"/>
          <w:szCs w:val="24"/>
        </w:rPr>
        <w:t>:</w:t>
      </w:r>
    </w:p>
    <w:p w14:paraId="7755ACF4">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p>
    <w:p w14:paraId="4637BD6F">
      <w:pPr>
        <w:pStyle w:val="31"/>
        <w:ind w:firstLine="560"/>
        <w:rPr>
          <w:rFonts w:asciiTheme="minorEastAsia" w:hAnsiTheme="minorEastAsia" w:eastAsiaTheme="minorEastAsia" w:cstheme="minorEastAsia"/>
          <w:color w:val="auto"/>
          <w:highlight w:val="none"/>
        </w:rPr>
      </w:pPr>
    </w:p>
    <w:p w14:paraId="66449C56">
      <w:pPr>
        <w:rPr>
          <w:rFonts w:hint="eastAsia" w:asciiTheme="minorEastAsia" w:hAnsiTheme="minorEastAsia" w:eastAsiaTheme="minorEastAsia" w:cstheme="minorEastAsia"/>
          <w:b/>
          <w:color w:val="auto"/>
          <w:kern w:val="0"/>
          <w:sz w:val="32"/>
          <w:szCs w:val="32"/>
          <w:highlight w:val="none"/>
          <w:lang w:val="en-US" w:eastAsia="zh-CN"/>
        </w:rPr>
      </w:pPr>
      <w:r>
        <w:rPr>
          <w:rFonts w:hint="eastAsia" w:asciiTheme="minorEastAsia" w:hAnsiTheme="minorEastAsia" w:eastAsiaTheme="minorEastAsia" w:cstheme="minorEastAsia"/>
          <w:b/>
          <w:color w:val="auto"/>
          <w:kern w:val="0"/>
          <w:sz w:val="32"/>
          <w:szCs w:val="32"/>
          <w:highlight w:val="none"/>
          <w:lang w:val="en-US" w:eastAsia="zh-CN"/>
        </w:rPr>
        <w:br w:type="page"/>
      </w:r>
    </w:p>
    <w:p w14:paraId="715B6A90">
      <w:pPr>
        <w:numPr>
          <w:ilvl w:val="0"/>
          <w:numId w:val="0"/>
        </w:numPr>
        <w:snapToGrid w:val="0"/>
        <w:spacing w:line="360" w:lineRule="auto"/>
        <w:ind w:firstLine="2570" w:firstLineChars="800"/>
        <w:jc w:val="both"/>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en-US" w:eastAsia="zh-CN"/>
        </w:rPr>
        <w:t>九、</w:t>
      </w:r>
      <w:r>
        <w:rPr>
          <w:rFonts w:hint="eastAsia" w:asciiTheme="minorEastAsia" w:hAnsiTheme="minorEastAsia" w:eastAsiaTheme="minorEastAsia" w:cstheme="minorEastAsia"/>
          <w:b/>
          <w:color w:val="auto"/>
          <w:kern w:val="0"/>
          <w:sz w:val="32"/>
          <w:szCs w:val="32"/>
          <w:highlight w:val="none"/>
        </w:rPr>
        <w:t>同类业绩情况一览表</w:t>
      </w:r>
    </w:p>
    <w:p w14:paraId="29DB2FB7">
      <w:pPr>
        <w:spacing w:line="360" w:lineRule="auto"/>
        <w:jc w:val="center"/>
        <w:rPr>
          <w:rFonts w:asciiTheme="minorEastAsia" w:hAnsiTheme="minorEastAsia" w:eastAsiaTheme="minorEastAsia" w:cstheme="minorEastAsia"/>
          <w:color w:val="auto"/>
          <w:highlight w:val="none"/>
        </w:rPr>
      </w:pPr>
    </w:p>
    <w:tbl>
      <w:tblPr>
        <w:tblStyle w:val="24"/>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829"/>
        <w:gridCol w:w="1701"/>
        <w:gridCol w:w="1693"/>
        <w:gridCol w:w="1950"/>
        <w:gridCol w:w="1792"/>
      </w:tblGrid>
      <w:tr w14:paraId="7C45B9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50ECF231">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序号</w:t>
            </w:r>
          </w:p>
        </w:tc>
        <w:tc>
          <w:tcPr>
            <w:tcW w:w="1829" w:type="dxa"/>
            <w:tcBorders>
              <w:top w:val="single" w:color="auto" w:sz="4" w:space="0"/>
              <w:left w:val="single" w:color="auto" w:sz="4" w:space="0"/>
              <w:bottom w:val="single" w:color="auto" w:sz="4" w:space="0"/>
              <w:right w:val="single" w:color="auto" w:sz="4" w:space="0"/>
            </w:tcBorders>
            <w:vAlign w:val="center"/>
          </w:tcPr>
          <w:p w14:paraId="5E4BAF8D">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采购单位名称</w:t>
            </w:r>
          </w:p>
        </w:tc>
        <w:tc>
          <w:tcPr>
            <w:tcW w:w="1701" w:type="dxa"/>
            <w:tcBorders>
              <w:top w:val="single" w:color="auto" w:sz="4" w:space="0"/>
              <w:left w:val="single" w:color="auto" w:sz="4" w:space="0"/>
              <w:right w:val="single" w:color="auto" w:sz="4" w:space="0"/>
            </w:tcBorders>
            <w:vAlign w:val="center"/>
          </w:tcPr>
          <w:p w14:paraId="651040E8">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项目名称</w:t>
            </w:r>
          </w:p>
        </w:tc>
        <w:tc>
          <w:tcPr>
            <w:tcW w:w="1693" w:type="dxa"/>
            <w:tcBorders>
              <w:top w:val="single" w:color="auto" w:sz="4" w:space="0"/>
              <w:left w:val="single" w:color="auto" w:sz="4" w:space="0"/>
              <w:bottom w:val="single" w:color="auto" w:sz="4" w:space="0"/>
              <w:right w:val="single" w:color="auto" w:sz="4" w:space="0"/>
            </w:tcBorders>
            <w:vAlign w:val="center"/>
          </w:tcPr>
          <w:p w14:paraId="168897B6">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合同金额</w:t>
            </w:r>
          </w:p>
          <w:p w14:paraId="7645A0A9">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7DA25921">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6175A518">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合同签订时间</w:t>
            </w:r>
          </w:p>
        </w:tc>
      </w:tr>
      <w:tr w14:paraId="3A5519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0CB35BDD">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1829" w:type="dxa"/>
            <w:tcBorders>
              <w:top w:val="single" w:color="auto" w:sz="4" w:space="0"/>
              <w:left w:val="single" w:color="auto" w:sz="4" w:space="0"/>
              <w:bottom w:val="single" w:color="auto" w:sz="4" w:space="0"/>
              <w:right w:val="single" w:color="auto" w:sz="4" w:space="0"/>
            </w:tcBorders>
            <w:vAlign w:val="center"/>
          </w:tcPr>
          <w:p w14:paraId="47A340EA">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119B2E3F">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606358AC">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7C1DE36">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B0CF9A6">
            <w:pPr>
              <w:spacing w:line="360" w:lineRule="auto"/>
              <w:jc w:val="left"/>
              <w:rPr>
                <w:rFonts w:asciiTheme="minorEastAsia" w:hAnsiTheme="minorEastAsia" w:eastAsiaTheme="minorEastAsia" w:cstheme="minorEastAsia"/>
                <w:color w:val="auto"/>
                <w:kern w:val="0"/>
                <w:sz w:val="24"/>
                <w:highlight w:val="none"/>
              </w:rPr>
            </w:pPr>
          </w:p>
        </w:tc>
      </w:tr>
      <w:tr w14:paraId="596F0C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323A2FE1">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1829" w:type="dxa"/>
            <w:tcBorders>
              <w:top w:val="single" w:color="auto" w:sz="4" w:space="0"/>
              <w:left w:val="single" w:color="auto" w:sz="4" w:space="0"/>
              <w:bottom w:val="single" w:color="auto" w:sz="4" w:space="0"/>
              <w:right w:val="single" w:color="auto" w:sz="4" w:space="0"/>
            </w:tcBorders>
            <w:vAlign w:val="center"/>
          </w:tcPr>
          <w:p w14:paraId="5314FB57">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269A624B">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07967E25">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86BDF1B">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2593C059">
            <w:pPr>
              <w:spacing w:line="360" w:lineRule="auto"/>
              <w:jc w:val="left"/>
              <w:rPr>
                <w:rFonts w:asciiTheme="minorEastAsia" w:hAnsiTheme="minorEastAsia" w:eastAsiaTheme="minorEastAsia" w:cstheme="minorEastAsia"/>
                <w:color w:val="auto"/>
                <w:kern w:val="0"/>
                <w:sz w:val="24"/>
                <w:highlight w:val="none"/>
              </w:rPr>
            </w:pPr>
          </w:p>
        </w:tc>
      </w:tr>
      <w:tr w14:paraId="31B49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46B654F">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w:t>
            </w:r>
          </w:p>
        </w:tc>
        <w:tc>
          <w:tcPr>
            <w:tcW w:w="1829" w:type="dxa"/>
            <w:tcBorders>
              <w:top w:val="single" w:color="auto" w:sz="4" w:space="0"/>
              <w:left w:val="single" w:color="auto" w:sz="4" w:space="0"/>
              <w:bottom w:val="single" w:color="auto" w:sz="4" w:space="0"/>
              <w:right w:val="single" w:color="auto" w:sz="4" w:space="0"/>
            </w:tcBorders>
            <w:vAlign w:val="center"/>
          </w:tcPr>
          <w:p w14:paraId="1DCFD497">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82A9856">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0C123A46">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47D92BB0">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6E8D177B">
            <w:pPr>
              <w:spacing w:line="360" w:lineRule="auto"/>
              <w:jc w:val="left"/>
              <w:rPr>
                <w:rFonts w:asciiTheme="minorEastAsia" w:hAnsiTheme="minorEastAsia" w:eastAsiaTheme="minorEastAsia" w:cstheme="minorEastAsia"/>
                <w:color w:val="auto"/>
                <w:kern w:val="0"/>
                <w:sz w:val="24"/>
                <w:highlight w:val="none"/>
              </w:rPr>
            </w:pPr>
          </w:p>
        </w:tc>
      </w:tr>
      <w:tr w14:paraId="6155EF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F284BDB">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w:t>
            </w:r>
          </w:p>
        </w:tc>
        <w:tc>
          <w:tcPr>
            <w:tcW w:w="1829" w:type="dxa"/>
            <w:tcBorders>
              <w:top w:val="single" w:color="auto" w:sz="4" w:space="0"/>
              <w:left w:val="single" w:color="auto" w:sz="4" w:space="0"/>
              <w:bottom w:val="single" w:color="auto" w:sz="4" w:space="0"/>
              <w:right w:val="single" w:color="auto" w:sz="4" w:space="0"/>
            </w:tcBorders>
            <w:vAlign w:val="center"/>
          </w:tcPr>
          <w:p w14:paraId="084F8764">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77F8CD7E">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394BC22D">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4F087F18">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9B5888C">
            <w:pPr>
              <w:spacing w:line="360" w:lineRule="auto"/>
              <w:jc w:val="left"/>
              <w:rPr>
                <w:rFonts w:asciiTheme="minorEastAsia" w:hAnsiTheme="minorEastAsia" w:eastAsiaTheme="minorEastAsia" w:cstheme="minorEastAsia"/>
                <w:color w:val="auto"/>
                <w:kern w:val="0"/>
                <w:sz w:val="24"/>
                <w:highlight w:val="none"/>
              </w:rPr>
            </w:pPr>
          </w:p>
        </w:tc>
      </w:tr>
      <w:tr w14:paraId="22F50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7CEBF714">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5</w:t>
            </w:r>
          </w:p>
        </w:tc>
        <w:tc>
          <w:tcPr>
            <w:tcW w:w="1829" w:type="dxa"/>
            <w:tcBorders>
              <w:top w:val="single" w:color="auto" w:sz="4" w:space="0"/>
              <w:left w:val="single" w:color="auto" w:sz="4" w:space="0"/>
              <w:bottom w:val="single" w:color="auto" w:sz="4" w:space="0"/>
              <w:right w:val="single" w:color="auto" w:sz="4" w:space="0"/>
            </w:tcBorders>
            <w:vAlign w:val="center"/>
          </w:tcPr>
          <w:p w14:paraId="46CA1413">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3F7380FF">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56EADEAD">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671EB83B">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5597A60">
            <w:pPr>
              <w:spacing w:line="360" w:lineRule="auto"/>
              <w:jc w:val="left"/>
              <w:rPr>
                <w:rFonts w:asciiTheme="minorEastAsia" w:hAnsiTheme="minorEastAsia" w:eastAsiaTheme="minorEastAsia" w:cstheme="minorEastAsia"/>
                <w:color w:val="auto"/>
                <w:kern w:val="0"/>
                <w:sz w:val="24"/>
                <w:highlight w:val="none"/>
              </w:rPr>
            </w:pPr>
          </w:p>
        </w:tc>
      </w:tr>
    </w:tbl>
    <w:p w14:paraId="15A8F119">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附：评分标准要求的证明材料</w:t>
      </w:r>
    </w:p>
    <w:p w14:paraId="08F1B11F">
      <w:pPr>
        <w:spacing w:line="360" w:lineRule="auto"/>
        <w:jc w:val="left"/>
        <w:rPr>
          <w:rFonts w:asciiTheme="minorEastAsia" w:hAnsiTheme="minorEastAsia" w:eastAsiaTheme="minorEastAsia" w:cstheme="minorEastAsia"/>
          <w:color w:val="auto"/>
          <w:kern w:val="0"/>
          <w:sz w:val="24"/>
          <w:highlight w:val="none"/>
        </w:rPr>
      </w:pPr>
    </w:p>
    <w:p w14:paraId="38E96F73">
      <w:pPr>
        <w:spacing w:line="360" w:lineRule="auto"/>
        <w:jc w:val="left"/>
        <w:rPr>
          <w:rFonts w:asciiTheme="minorEastAsia" w:hAnsiTheme="minorEastAsia" w:eastAsiaTheme="minorEastAsia" w:cstheme="minorEastAsia"/>
          <w:color w:val="auto"/>
          <w:kern w:val="0"/>
          <w:sz w:val="24"/>
          <w:highlight w:val="none"/>
        </w:rPr>
      </w:pPr>
    </w:p>
    <w:p w14:paraId="0A57FF42">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D0AA51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6C8EA27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lang w:val="zh-CN" w:eastAsia="zh-CN"/>
        </w:rPr>
        <w:t>：</w:t>
      </w:r>
    </w:p>
    <w:p w14:paraId="42357193">
      <w:pPr>
        <w:spacing w:line="360" w:lineRule="auto"/>
        <w:ind w:left="4620" w:leftChars="2200"/>
        <w:jc w:val="left"/>
        <w:rPr>
          <w:rFonts w:asciiTheme="minorEastAsia" w:hAnsiTheme="minorEastAsia" w:eastAsiaTheme="minorEastAsia" w:cstheme="minorEastAsia"/>
          <w:b/>
          <w:color w:val="auto"/>
          <w:kern w:val="0"/>
          <w:sz w:val="32"/>
          <w:szCs w:val="32"/>
          <w:highlight w:val="none"/>
          <w:lang w:val="zh-CN"/>
        </w:rPr>
      </w:pPr>
    </w:p>
    <w:p w14:paraId="55F8A66F">
      <w:pPr>
        <w:numPr>
          <w:ilvl w:val="0"/>
          <w:numId w:val="0"/>
        </w:numP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十、</w:t>
      </w:r>
      <w:r>
        <w:rPr>
          <w:rFonts w:hint="eastAsia" w:asciiTheme="minorEastAsia" w:hAnsiTheme="minorEastAsia" w:eastAsiaTheme="minorEastAsia" w:cstheme="minorEastAsia"/>
          <w:b/>
          <w:color w:val="auto"/>
          <w:kern w:val="0"/>
          <w:sz w:val="32"/>
          <w:szCs w:val="32"/>
          <w:highlight w:val="none"/>
          <w:lang w:val="zh-CN"/>
        </w:rPr>
        <w:t>政府采购供应商廉洁自律承诺书</w:t>
      </w:r>
    </w:p>
    <w:p w14:paraId="4B6C6076">
      <w:pPr>
        <w:snapToGrid w:val="0"/>
        <w:spacing w:line="360" w:lineRule="auto"/>
        <w:rPr>
          <w:rFonts w:asciiTheme="minorEastAsia" w:hAnsiTheme="minorEastAsia" w:eastAsiaTheme="minorEastAsia" w:cstheme="minorEastAsia"/>
          <w:color w:val="auto"/>
          <w:sz w:val="24"/>
          <w:highlight w:val="none"/>
        </w:rPr>
      </w:pPr>
    </w:p>
    <w:p w14:paraId="0ED65751">
      <w:pPr>
        <w:snapToGrid w:val="0"/>
        <w:spacing w:line="360" w:lineRule="auto"/>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kern w:val="0"/>
          <w:sz w:val="24"/>
          <w:highlight w:val="none"/>
          <w:lang w:val="zh-CN"/>
        </w:rPr>
        <w:t>：</w:t>
      </w:r>
    </w:p>
    <w:p w14:paraId="278396D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项目磋商要求参加磋商采购活动。在这次采购过程中和成交后，我们将严格遵守国家法律法规要求，并郑重承诺：</w:t>
      </w:r>
    </w:p>
    <w:p w14:paraId="2FC521F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6256DC07">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5337B32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4E1260AD">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1340A677">
      <w:pP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75FE6365">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544BD4C3">
      <w:pP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六、严格遵守《</w:t>
      </w:r>
      <w:r>
        <w:rPr>
          <w:rFonts w:hint="eastAsia" w:asciiTheme="minorEastAsia" w:hAnsiTheme="minorEastAsia" w:eastAsiaTheme="minorEastAsia" w:cstheme="minorEastAsia"/>
          <w:color w:val="auto"/>
          <w:sz w:val="24"/>
          <w:highlight w:val="none"/>
          <w:lang w:val="zh-CN"/>
        </w:rPr>
        <w:t>中华人民共和国</w:t>
      </w:r>
      <w:r>
        <w:rPr>
          <w:rFonts w:hint="eastAsia" w:asciiTheme="minorEastAsia" w:hAnsiTheme="minorEastAsia" w:eastAsiaTheme="minorEastAsia" w:cstheme="minorEastAsia"/>
          <w:color w:val="auto"/>
          <w:kern w:val="0"/>
          <w:sz w:val="24"/>
          <w:highlight w:val="none"/>
          <w:lang w:val="zh-CN"/>
        </w:rPr>
        <w:t>政府采购法》</w:t>
      </w:r>
      <w:r>
        <w:rPr>
          <w:rFonts w:hint="eastAsia" w:asciiTheme="minorEastAsia" w:hAnsiTheme="minorEastAsia" w:eastAsiaTheme="minorEastAsia" w:cstheme="minorEastAsia"/>
          <w:color w:val="auto"/>
          <w:sz w:val="24"/>
          <w:highlight w:val="none"/>
          <w:lang w:val="zh-CN"/>
        </w:rPr>
        <w:t>《中华人民共和国民法典》</w:t>
      </w:r>
      <w:r>
        <w:rPr>
          <w:rFonts w:hint="eastAsia" w:asciiTheme="minorEastAsia" w:hAnsiTheme="minorEastAsia" w:eastAsiaTheme="minorEastAsia" w:cstheme="minorEastAsia"/>
          <w:color w:val="auto"/>
          <w:kern w:val="0"/>
          <w:sz w:val="24"/>
          <w:highlight w:val="none"/>
          <w:lang w:val="zh-CN"/>
        </w:rPr>
        <w:t xml:space="preserve">等法律法规，诚实守信，合法经营，坚决抵制各种违法违纪行为。 </w:t>
      </w:r>
    </w:p>
    <w:p w14:paraId="676BF11B">
      <w:pPr>
        <w:autoSpaceDE w:val="0"/>
        <w:autoSpaceDN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有权立即取消我单位响应、成交或在建项目的建设资格，有权拒绝我单位在一定时期内进入你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54F172A3">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p>
    <w:p w14:paraId="4F6F784E">
      <w:pPr>
        <w:autoSpaceDE w:val="0"/>
        <w:autoSpaceDN w:val="0"/>
        <w:spacing w:line="360" w:lineRule="auto"/>
        <w:ind w:left="2"/>
        <w:jc w:val="left"/>
        <w:rPr>
          <w:rFonts w:asciiTheme="minorEastAsia" w:hAnsiTheme="minorEastAsia" w:eastAsiaTheme="minorEastAsia" w:cstheme="minorEastAsia"/>
          <w:color w:val="auto"/>
          <w:kern w:val="0"/>
          <w:sz w:val="24"/>
          <w:highlight w:val="none"/>
          <w:lang w:val="zh-CN"/>
        </w:rPr>
      </w:pPr>
    </w:p>
    <w:p w14:paraId="02B0F24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25624E93">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5BCA7D6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78F5913A">
      <w:pPr>
        <w:spacing w:line="360" w:lineRule="auto"/>
        <w:ind w:left="4620" w:leftChars="2200"/>
        <w:rPr>
          <w:rFonts w:asciiTheme="minorEastAsia" w:hAnsiTheme="minorEastAsia" w:eastAsiaTheme="minorEastAsia" w:cstheme="minorEastAsia"/>
          <w:color w:val="auto"/>
          <w:sz w:val="24"/>
          <w:highlight w:val="none"/>
        </w:rPr>
      </w:pPr>
    </w:p>
    <w:p w14:paraId="3EC408D4">
      <w:pPr>
        <w:spacing w:line="360" w:lineRule="auto"/>
        <w:jc w:val="center"/>
        <w:rPr>
          <w:rFonts w:asciiTheme="minorEastAsia" w:hAnsiTheme="minorEastAsia" w:eastAsiaTheme="minorEastAsia" w:cstheme="minorEastAsia"/>
          <w:b/>
          <w:bCs/>
          <w:color w:val="auto"/>
          <w:sz w:val="24"/>
          <w:highlight w:val="none"/>
        </w:rPr>
      </w:pPr>
    </w:p>
    <w:p w14:paraId="2945C582">
      <w:pPr>
        <w:spacing w:line="360" w:lineRule="auto"/>
        <w:jc w:val="center"/>
        <w:rPr>
          <w:rFonts w:asciiTheme="minorEastAsia" w:hAnsiTheme="minorEastAsia" w:eastAsiaTheme="minorEastAsia" w:cstheme="minorEastAsia"/>
          <w:b/>
          <w:bCs/>
          <w:color w:val="auto"/>
          <w:sz w:val="24"/>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04561D52">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5D50BBF3">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791A6C91">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5BB47666">
      <w:pPr>
        <w:snapToGrid w:val="0"/>
        <w:spacing w:line="360" w:lineRule="auto"/>
        <w:ind w:firstLine="480" w:firstLineChars="200"/>
        <w:rPr>
          <w:rFonts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sz w:val="24"/>
          <w:highlight w:val="none"/>
        </w:rPr>
        <w:t xml:space="preserve"> </w:t>
      </w:r>
    </w:p>
    <w:p w14:paraId="592F46A3">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报价一览表；</w:t>
      </w:r>
    </w:p>
    <w:p w14:paraId="1BE17A86">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2</w:t>
      </w:r>
      <w:r>
        <w:rPr>
          <w:rFonts w:hint="eastAsia" w:asciiTheme="minorEastAsia" w:hAnsiTheme="minorEastAsia" w:eastAsiaTheme="minorEastAsia" w:cstheme="minorEastAsia"/>
          <w:color w:val="auto"/>
          <w:sz w:val="28"/>
          <w:szCs w:val="28"/>
          <w:highlight w:val="none"/>
        </w:rPr>
        <w:t xml:space="preserve"> 中小企业声明函（如有）；</w:t>
      </w:r>
    </w:p>
    <w:p w14:paraId="7834C168">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3</w:t>
      </w:r>
      <w:r>
        <w:rPr>
          <w:rFonts w:hint="eastAsia" w:asciiTheme="minorEastAsia" w:hAnsiTheme="minorEastAsia" w:eastAsiaTheme="minorEastAsia" w:cstheme="minorEastAsia"/>
          <w:color w:val="auto"/>
          <w:sz w:val="28"/>
          <w:szCs w:val="28"/>
          <w:highlight w:val="none"/>
        </w:rPr>
        <w:t xml:space="preserve"> 残疾人福利性单位声明函（如有）；</w:t>
      </w:r>
    </w:p>
    <w:p w14:paraId="694DE40F">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4</w:t>
      </w:r>
      <w:r>
        <w:rPr>
          <w:rFonts w:hint="eastAsia" w:asciiTheme="minorEastAsia" w:hAnsiTheme="minorEastAsia" w:eastAsiaTheme="minorEastAsia" w:cstheme="minorEastAsia"/>
          <w:color w:val="auto"/>
          <w:sz w:val="28"/>
          <w:szCs w:val="28"/>
          <w:highlight w:val="none"/>
        </w:rPr>
        <w:t xml:space="preserve"> 监狱企业的证明文件（如有）；</w:t>
      </w:r>
    </w:p>
    <w:p w14:paraId="4E943F58">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5</w:t>
      </w:r>
      <w:r>
        <w:rPr>
          <w:rFonts w:hint="eastAsia" w:asciiTheme="minorEastAsia" w:hAnsiTheme="minorEastAsia" w:eastAsiaTheme="minorEastAsia" w:cstheme="minorEastAsia"/>
          <w:color w:val="auto"/>
          <w:sz w:val="28"/>
          <w:szCs w:val="28"/>
          <w:highlight w:val="none"/>
        </w:rPr>
        <w:t xml:space="preserve"> 政府采购统计基础信息表；</w:t>
      </w:r>
    </w:p>
    <w:p w14:paraId="71A00C7D">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6</w:t>
      </w:r>
      <w:r>
        <w:rPr>
          <w:rFonts w:hint="eastAsia" w:asciiTheme="minorEastAsia" w:hAnsiTheme="minorEastAsia" w:eastAsiaTheme="minorEastAsia" w:cstheme="minorEastAsia"/>
          <w:color w:val="auto"/>
          <w:sz w:val="28"/>
          <w:szCs w:val="28"/>
          <w:highlight w:val="none"/>
        </w:rPr>
        <w:t xml:space="preserve"> 其他资料（如有）。</w:t>
      </w:r>
    </w:p>
    <w:p w14:paraId="121904F3">
      <w:pPr>
        <w:snapToGrid w:val="0"/>
        <w:spacing w:line="360" w:lineRule="auto"/>
        <w:ind w:right="480"/>
        <w:rPr>
          <w:rFonts w:asciiTheme="minorEastAsia" w:hAnsiTheme="minorEastAsia" w:eastAsiaTheme="minorEastAsia" w:cstheme="minorEastAsia"/>
          <w:b/>
          <w:color w:val="auto"/>
          <w:kern w:val="0"/>
          <w:sz w:val="32"/>
          <w:szCs w:val="32"/>
          <w:highlight w:val="none"/>
        </w:rPr>
      </w:pPr>
    </w:p>
    <w:p w14:paraId="0891CB2F">
      <w:pPr>
        <w:pStyle w:val="45"/>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CDF9AAA">
      <w:pPr>
        <w:pStyle w:val="45"/>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一、报价一览表</w:t>
      </w:r>
    </w:p>
    <w:p w14:paraId="3AF3E259">
      <w:pPr>
        <w:snapToGrid w:val="0"/>
        <w:spacing w:line="360" w:lineRule="auto"/>
        <w:rPr>
          <w:rFonts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（采购人）、（采购代理机构）</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 xml:space="preserve">                                     </w:t>
      </w:r>
    </w:p>
    <w:p w14:paraId="6343750F">
      <w:pPr>
        <w:snapToGrid w:val="0"/>
        <w:spacing w:line="360" w:lineRule="auto"/>
        <w:ind w:firstLine="482"/>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按你方采购文件要求，我们，本响应文件签字方，谨此向你方发出要约如下：如你方接受本次磋商响应，我方承诺按照如下报价一览表（报价表）的价格完成</w:t>
      </w:r>
      <w:r>
        <w:rPr>
          <w:rFonts w:hint="eastAsia" w:asciiTheme="minorEastAsia" w:hAnsiTheme="minorEastAsia" w:eastAsiaTheme="minorEastAsia" w:cstheme="minorEastAsia"/>
          <w:color w:val="auto"/>
          <w:kern w:val="0"/>
          <w:sz w:val="24"/>
          <w:highlight w:val="none"/>
          <w:lang w:val="en-US" w:eastAsia="zh-CN"/>
        </w:rPr>
        <w:t>本项目的实施</w:t>
      </w:r>
      <w:r>
        <w:rPr>
          <w:rFonts w:hint="eastAsia" w:asciiTheme="minorEastAsia" w:hAnsiTheme="minorEastAsia" w:eastAsiaTheme="minorEastAsia" w:cstheme="minorEastAsia"/>
          <w:color w:val="auto"/>
          <w:kern w:val="0"/>
          <w:sz w:val="24"/>
          <w:highlight w:val="none"/>
          <w:lang w:val="zh-CN"/>
        </w:rPr>
        <w:t>。</w:t>
      </w:r>
    </w:p>
    <w:p w14:paraId="5352BAA1">
      <w:pPr>
        <w:spacing w:line="360" w:lineRule="auto"/>
        <w:jc w:val="center"/>
        <w:rPr>
          <w:rFonts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报价一览表（初次报价表）(单位均为人民币元)</w:t>
      </w:r>
    </w:p>
    <w:tbl>
      <w:tblPr>
        <w:tblStyle w:val="24"/>
        <w:tblpPr w:leftFromText="180" w:rightFromText="180" w:vertAnchor="text" w:horzAnchor="margin" w:tblpX="1" w:tblpY="192"/>
        <w:tblW w:w="8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6"/>
        <w:gridCol w:w="2942"/>
        <w:gridCol w:w="1961"/>
      </w:tblGrid>
      <w:tr w14:paraId="7331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3926" w:type="dxa"/>
            <w:tcBorders>
              <w:top w:val="single" w:color="auto" w:sz="4" w:space="0"/>
              <w:left w:val="single" w:color="auto" w:sz="4" w:space="0"/>
              <w:bottom w:val="single" w:color="auto" w:sz="4" w:space="0"/>
              <w:right w:val="single" w:color="auto" w:sz="4" w:space="0"/>
            </w:tcBorders>
            <w:noWrap w:val="0"/>
            <w:vAlign w:val="center"/>
          </w:tcPr>
          <w:p w14:paraId="7F09B893">
            <w:pPr>
              <w:pStyle w:val="10"/>
              <w:pageBreakBefore w:val="0"/>
              <w:kinsoku/>
              <w:wordWrap/>
              <w:overflowPunct/>
              <w:topLinePunct w:val="0"/>
              <w:bidi w:val="0"/>
              <w:spacing w:line="360" w:lineRule="auto"/>
              <w:ind w:firstLine="0"/>
              <w:jc w:val="center"/>
              <w:rPr>
                <w:color w:val="auto"/>
                <w:szCs w:val="24"/>
                <w:highlight w:val="none"/>
              </w:rPr>
            </w:pPr>
            <w:r>
              <w:rPr>
                <w:rFonts w:hint="eastAsia"/>
                <w:color w:val="auto"/>
                <w:szCs w:val="24"/>
                <w:highlight w:val="none"/>
              </w:rPr>
              <w:t>项目名称</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14DB6578">
            <w:pPr>
              <w:pStyle w:val="10"/>
              <w:pageBreakBefore w:val="0"/>
              <w:kinsoku/>
              <w:wordWrap/>
              <w:overflowPunct/>
              <w:topLinePunct w:val="0"/>
              <w:bidi w:val="0"/>
              <w:spacing w:line="360" w:lineRule="auto"/>
              <w:ind w:left="0" w:leftChars="0" w:firstLine="0" w:firstLineChars="0"/>
              <w:jc w:val="center"/>
              <w:rPr>
                <w:rFonts w:hint="eastAsia" w:eastAsia="方正书宋简体"/>
                <w:color w:val="auto"/>
                <w:szCs w:val="24"/>
                <w:highlight w:val="none"/>
                <w:lang w:eastAsia="zh-CN"/>
              </w:rPr>
            </w:pPr>
            <w:r>
              <w:rPr>
                <w:rFonts w:hint="eastAsia"/>
                <w:color w:val="auto"/>
                <w:szCs w:val="24"/>
                <w:highlight w:val="none"/>
              </w:rPr>
              <w:t>投标报价</w:t>
            </w:r>
            <w:r>
              <w:rPr>
                <w:color w:val="auto"/>
                <w:szCs w:val="24"/>
                <w:highlight w:val="none"/>
              </w:rPr>
              <w:t>（</w:t>
            </w:r>
            <w:r>
              <w:rPr>
                <w:rFonts w:hint="eastAsia"/>
                <w:color w:val="auto"/>
                <w:szCs w:val="24"/>
                <w:highlight w:val="none"/>
                <w:lang w:val="en-US" w:eastAsia="zh-CN"/>
              </w:rPr>
              <w:t>综合折扣</w:t>
            </w:r>
            <w:r>
              <w:rPr>
                <w:rFonts w:hint="eastAsia"/>
                <w:color w:val="auto"/>
                <w:szCs w:val="24"/>
                <w:highlight w:val="none"/>
              </w:rPr>
              <w:t>%</w:t>
            </w:r>
            <w:r>
              <w:rPr>
                <w:color w:val="auto"/>
                <w:szCs w:val="24"/>
                <w:highlight w:val="none"/>
              </w:rPr>
              <w:t>）</w:t>
            </w:r>
          </w:p>
        </w:tc>
        <w:tc>
          <w:tcPr>
            <w:tcW w:w="1961" w:type="dxa"/>
            <w:tcBorders>
              <w:top w:val="single" w:color="auto" w:sz="4" w:space="0"/>
              <w:left w:val="single" w:color="auto" w:sz="4" w:space="0"/>
              <w:bottom w:val="single" w:color="auto" w:sz="4" w:space="0"/>
              <w:right w:val="single" w:color="auto" w:sz="4" w:space="0"/>
            </w:tcBorders>
            <w:noWrap w:val="0"/>
            <w:vAlign w:val="center"/>
          </w:tcPr>
          <w:p w14:paraId="29BB2B99">
            <w:pPr>
              <w:pStyle w:val="10"/>
              <w:pageBreakBefore w:val="0"/>
              <w:kinsoku/>
              <w:wordWrap/>
              <w:overflowPunct/>
              <w:topLinePunct w:val="0"/>
              <w:bidi w:val="0"/>
              <w:spacing w:line="360" w:lineRule="auto"/>
              <w:ind w:firstLine="0"/>
              <w:jc w:val="both"/>
              <w:rPr>
                <w:rFonts w:hint="default" w:eastAsia="方正书宋简体"/>
                <w:color w:val="auto"/>
                <w:szCs w:val="24"/>
                <w:highlight w:val="none"/>
                <w:lang w:val="en-US" w:eastAsia="zh-CN"/>
              </w:rPr>
            </w:pPr>
            <w:r>
              <w:rPr>
                <w:rFonts w:hint="eastAsia" w:eastAsia="方正书宋简体"/>
                <w:color w:val="auto"/>
                <w:szCs w:val="24"/>
                <w:highlight w:val="none"/>
                <w:lang w:val="en-US" w:eastAsia="zh-CN"/>
              </w:rPr>
              <w:t>备注</w:t>
            </w:r>
          </w:p>
        </w:tc>
      </w:tr>
      <w:tr w14:paraId="5E636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3926" w:type="dxa"/>
            <w:tcBorders>
              <w:top w:val="single" w:color="auto" w:sz="4" w:space="0"/>
              <w:left w:val="single" w:color="auto" w:sz="4" w:space="0"/>
              <w:bottom w:val="single" w:color="auto" w:sz="4" w:space="0"/>
              <w:right w:val="single" w:color="auto" w:sz="4" w:space="0"/>
            </w:tcBorders>
            <w:noWrap w:val="0"/>
            <w:vAlign w:val="center"/>
          </w:tcPr>
          <w:p w14:paraId="4C4164CD">
            <w:pPr>
              <w:pStyle w:val="10"/>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lang w:val="en-US" w:eastAsia="zh-CN"/>
              </w:rPr>
            </w:pPr>
            <w:r>
              <w:rPr>
                <w:rFonts w:hint="eastAsia" w:cs="Times New Roman"/>
                <w:color w:val="auto"/>
                <w:szCs w:val="24"/>
                <w:highlight w:val="none"/>
                <w:lang w:val="en-US" w:eastAsia="zh-CN"/>
              </w:rPr>
              <w:t>大慈路与公园路交叉口提升工程项目</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597458AE">
            <w:pPr>
              <w:pStyle w:val="10"/>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rPr>
            </w:pPr>
            <w:r>
              <w:rPr>
                <w:rFonts w:hint="eastAsia" w:ascii="宋体" w:hAnsi="宋体" w:eastAsia="宋体" w:cs="Times New Roman"/>
                <w:color w:val="auto"/>
                <w:szCs w:val="24"/>
                <w:highlight w:val="none"/>
                <w:lang w:val="en-US" w:eastAsia="zh-CN"/>
              </w:rPr>
              <w:t>综合折扣</w:t>
            </w:r>
            <w:r>
              <w:rPr>
                <w:rFonts w:hint="eastAsia" w:ascii="宋体" w:hAnsi="宋体" w:eastAsia="宋体" w:cs="Times New Roman"/>
                <w:color w:val="auto"/>
                <w:szCs w:val="24"/>
                <w:highlight w:val="none"/>
              </w:rPr>
              <w:t>：   %</w:t>
            </w:r>
          </w:p>
        </w:tc>
        <w:tc>
          <w:tcPr>
            <w:tcW w:w="1961" w:type="dxa"/>
            <w:tcBorders>
              <w:top w:val="single" w:color="auto" w:sz="4" w:space="0"/>
              <w:left w:val="single" w:color="auto" w:sz="4" w:space="0"/>
              <w:bottom w:val="single" w:color="auto" w:sz="4" w:space="0"/>
              <w:right w:val="single" w:color="auto" w:sz="4" w:space="0"/>
            </w:tcBorders>
            <w:noWrap w:val="0"/>
            <w:vAlign w:val="center"/>
          </w:tcPr>
          <w:p w14:paraId="72B994AE">
            <w:pPr>
              <w:pStyle w:val="10"/>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lang w:val="en-US" w:eastAsia="zh-CN"/>
              </w:rPr>
            </w:pPr>
          </w:p>
        </w:tc>
      </w:tr>
    </w:tbl>
    <w:p w14:paraId="1F4A7FE5">
      <w:pPr>
        <w:shd w:val="clear"/>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r>
        <w:rPr>
          <w:rFonts w:hint="eastAsia" w:ascii="宋体" w:hAnsi="宋体" w:eastAsia="宋体" w:cs="Times New Roman"/>
          <w:b/>
          <w:color w:val="auto"/>
          <w:sz w:val="24"/>
          <w:highlight w:val="none"/>
          <w:u w:val="single"/>
          <w:lang w:val="zh-CN"/>
        </w:rPr>
        <w:t>1、磋商</w:t>
      </w:r>
      <w:r>
        <w:rPr>
          <w:rFonts w:hint="eastAsia" w:ascii="宋体" w:hAnsi="宋体" w:eastAsia="宋体" w:cs="Times New Roman"/>
          <w:b/>
          <w:color w:val="auto"/>
          <w:sz w:val="24"/>
          <w:highlight w:val="none"/>
          <w:u w:val="single"/>
        </w:rPr>
        <w:t>报价</w:t>
      </w:r>
      <w:r>
        <w:rPr>
          <w:rFonts w:hint="eastAsia" w:ascii="宋体" w:hAnsi="宋体"/>
          <w:b/>
          <w:color w:val="auto"/>
          <w:sz w:val="24"/>
          <w:highlight w:val="none"/>
          <w:u w:val="single"/>
        </w:rPr>
        <w:t>折</w:t>
      </w:r>
      <w:r>
        <w:rPr>
          <w:rFonts w:ascii="宋体" w:hAnsi="宋体"/>
          <w:b/>
          <w:color w:val="auto"/>
          <w:sz w:val="24"/>
          <w:highlight w:val="none"/>
          <w:u w:val="single"/>
        </w:rPr>
        <w:t>扣</w:t>
      </w:r>
      <w:r>
        <w:rPr>
          <w:rFonts w:hint="eastAsia" w:ascii="宋体" w:hAnsi="宋体"/>
          <w:b/>
          <w:color w:val="auto"/>
          <w:sz w:val="24"/>
          <w:highlight w:val="none"/>
          <w:u w:val="single"/>
        </w:rPr>
        <w:t>以“%”的形式填写。</w:t>
      </w:r>
      <w:r>
        <w:rPr>
          <w:rFonts w:hint="eastAsia"/>
          <w:b/>
          <w:color w:val="auto"/>
          <w:sz w:val="24"/>
          <w:highlight w:val="none"/>
          <w:u w:val="single"/>
        </w:rPr>
        <w:t>本次项目设有最高折扣（94%），未按折扣进行报价或超过最高综合折扣进行报价的磋商响应文件作无效处理。</w:t>
      </w:r>
    </w:p>
    <w:p w14:paraId="23EE1026">
      <w:pPr>
        <w:snapToGrid w:val="0"/>
        <w:spacing w:line="360" w:lineRule="auto"/>
        <w:ind w:left="480"/>
        <w:rPr>
          <w:rFonts w:hint="default"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2、报价一经涂改，应在涂改处加盖单位公章或者由法定代表人或授权委托人签名或盖章，否则其投标作无效标处理。</w:t>
      </w:r>
    </w:p>
    <w:p w14:paraId="51DCD216">
      <w:pPr>
        <w:snapToGrid w:val="0"/>
        <w:spacing w:line="360" w:lineRule="auto"/>
        <w:ind w:left="48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en-US" w:eastAsia="zh-CN"/>
        </w:rPr>
        <w:t>3、</w:t>
      </w:r>
      <w:r>
        <w:rPr>
          <w:rFonts w:hint="eastAsia" w:asciiTheme="minorEastAsia" w:hAnsiTheme="minorEastAsia" w:eastAsiaTheme="minorEastAsia" w:cstheme="minorEastAsia"/>
          <w:color w:val="auto"/>
          <w:kern w:val="0"/>
          <w:sz w:val="24"/>
          <w:highlight w:val="none"/>
          <w:lang w:val="zh-CN"/>
        </w:rPr>
        <w:t>供应商需按本表格式填写，不得自行更改。</w:t>
      </w:r>
    </w:p>
    <w:p w14:paraId="6AC8F8B4">
      <w:pPr>
        <w:spacing w:line="360" w:lineRule="auto"/>
        <w:ind w:firstLine="480" w:firstLineChars="20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en-US" w:eastAsia="zh-CN"/>
        </w:rPr>
        <w:t>4</w:t>
      </w:r>
      <w:r>
        <w:rPr>
          <w:rFonts w:hint="eastAsia" w:asciiTheme="minorEastAsia" w:hAnsiTheme="minorEastAsia" w:eastAsiaTheme="minorEastAsia" w:cstheme="minorEastAsia"/>
          <w:color w:val="auto"/>
          <w:kern w:val="0"/>
          <w:sz w:val="24"/>
          <w:highlight w:val="none"/>
          <w:lang w:val="zh-CN"/>
        </w:rPr>
        <w:t>.有关本项目实施所涉及的一切费用均计入报价。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采购人将以合同形式有偿取得货物或服务，不接受供应商给予的赠品、回扣或者与采购无关的其他商品、服务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响应文件含有采购人不能接受的附加条件的，</w:t>
      </w:r>
      <w:r>
        <w:rPr>
          <w:rFonts w:hint="eastAsia" w:asciiTheme="minorEastAsia" w:hAnsiTheme="minorEastAsia" w:eastAsiaTheme="minorEastAsia" w:cstheme="minorEastAsia"/>
          <w:b/>
          <w:color w:val="auto"/>
          <w:sz w:val="24"/>
          <w:highlight w:val="none"/>
          <w:lang w:val="en-US" w:eastAsia="zh-CN"/>
        </w:rPr>
        <w:t>投标</w:t>
      </w:r>
      <w:r>
        <w:rPr>
          <w:rFonts w:hint="eastAsia" w:asciiTheme="minorEastAsia" w:hAnsiTheme="minorEastAsia" w:eastAsiaTheme="minorEastAsia" w:cstheme="minorEastAsia"/>
          <w:b/>
          <w:color w:val="auto"/>
          <w:sz w:val="24"/>
          <w:highlight w:val="none"/>
        </w:rPr>
        <w:t>无效</w:t>
      </w:r>
      <w:r>
        <w:rPr>
          <w:rFonts w:hint="eastAsia" w:asciiTheme="minorEastAsia" w:hAnsiTheme="minorEastAsia" w:eastAsiaTheme="minorEastAsia" w:cstheme="minorEastAsia"/>
          <w:b/>
          <w:color w:val="auto"/>
          <w:kern w:val="0"/>
          <w:sz w:val="24"/>
          <w:highlight w:val="none"/>
          <w:lang w:val="zh-CN"/>
        </w:rPr>
        <w:t>。</w:t>
      </w:r>
    </w:p>
    <w:p w14:paraId="66BB9E23">
      <w:pPr>
        <w:spacing w:line="360" w:lineRule="auto"/>
        <w:rPr>
          <w:rFonts w:hint="eastAsia" w:asciiTheme="minorEastAsia" w:hAnsiTheme="minorEastAsia" w:eastAsiaTheme="minorEastAsia" w:cstheme="minorEastAsia"/>
          <w:color w:val="auto"/>
          <w:sz w:val="24"/>
          <w:highlight w:val="none"/>
        </w:rPr>
      </w:pPr>
    </w:p>
    <w:p w14:paraId="1FD849EC">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 xml:space="preserve">定代表人或其授权委托人（签名或印章）：  </w:t>
      </w:r>
    </w:p>
    <w:p w14:paraId="29434C2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供应商（盖章）：         </w:t>
      </w:r>
    </w:p>
    <w:p w14:paraId="16F9CF1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  期：</w:t>
      </w:r>
    </w:p>
    <w:p w14:paraId="25F12156">
      <w:pP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14:paraId="15AA0F30">
      <w:pP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二、中小企业声明函</w:t>
      </w:r>
    </w:p>
    <w:p w14:paraId="236BD98F">
      <w:pPr>
        <w:widowControl/>
        <w:spacing w:line="360" w:lineRule="auto"/>
        <w:ind w:firstLine="120" w:firstLineChars="50"/>
        <w:jc w:val="left"/>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w:t>
      </w:r>
    </w:p>
    <w:p w14:paraId="77252666">
      <w:pPr>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中小企业声明函</w:t>
      </w:r>
    </w:p>
    <w:p w14:paraId="6614B6E9">
      <w:pPr>
        <w:spacing w:line="360" w:lineRule="auto"/>
        <w:rPr>
          <w:rFonts w:asciiTheme="minorEastAsia" w:hAnsiTheme="minorEastAsia" w:eastAsiaTheme="minorEastAsia" w:cstheme="minorEastAsia"/>
          <w:color w:val="auto"/>
          <w:highlight w:val="none"/>
        </w:rPr>
      </w:pPr>
    </w:p>
    <w:p w14:paraId="7A31C37C">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本公司郑重声明，根据《政府采购促进中小企业发展管理办法》（财库﹝2020﹞46 号）的规定，本公司参加</w:t>
      </w:r>
      <w:r>
        <w:rPr>
          <w:rFonts w:hint="eastAsia" w:asciiTheme="minorEastAsia" w:hAnsiTheme="minorEastAsia" w:eastAsiaTheme="minorEastAsia" w:cstheme="minorEastAsia"/>
          <w:b/>
          <w:bCs/>
          <w:color w:val="auto"/>
          <w:sz w:val="24"/>
          <w:highlight w:val="none"/>
          <w:u w:val="single"/>
          <w:lang w:eastAsia="zh-CN"/>
        </w:rPr>
        <w:t xml:space="preserve"> </w:t>
      </w:r>
      <w:r>
        <w:rPr>
          <w:rFonts w:hint="eastAsia" w:asciiTheme="minorEastAsia" w:hAnsiTheme="minorEastAsia" w:eastAsiaTheme="minorEastAsia" w:cstheme="minorEastAsia"/>
          <w:b/>
          <w:bCs/>
          <w:color w:val="auto"/>
          <w:sz w:val="24"/>
          <w:highlight w:val="none"/>
          <w:u w:val="single"/>
          <w:lang w:val="en-US" w:eastAsia="zh-CN"/>
        </w:rPr>
        <w:t xml:space="preserve">宁波市名山建设发展集团有限公司 </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
          <w:bCs/>
          <w:color w:val="auto"/>
          <w:sz w:val="24"/>
          <w:highlight w:val="none"/>
          <w:u w:val="single"/>
          <w:lang w:val="en-US" w:eastAsia="zh-CN"/>
        </w:rPr>
        <w:t xml:space="preserve"> 大慈路与公园路交叉口提升工程项目</w:t>
      </w:r>
      <w:r>
        <w:rPr>
          <w:rFonts w:hint="eastAsia" w:asciiTheme="minorEastAsia" w:hAnsiTheme="minorEastAsia" w:eastAsiaTheme="minorEastAsia" w:cstheme="minorEastAsia"/>
          <w:color w:val="auto"/>
          <w:sz w:val="24"/>
          <w:highlight w:val="none"/>
        </w:rPr>
        <w:t>采购活动，</w:t>
      </w:r>
      <w:r>
        <w:rPr>
          <w:rFonts w:hint="eastAsia" w:asciiTheme="minorEastAsia" w:hAnsiTheme="minorEastAsia" w:eastAsiaTheme="minorEastAsia" w:cstheme="minorEastAsia"/>
          <w:color w:val="auto"/>
          <w:sz w:val="24"/>
          <w:highlight w:val="none"/>
          <w:lang w:val="en-US" w:eastAsia="zh-CN"/>
        </w:rPr>
        <w:t>工程</w:t>
      </w:r>
      <w:r>
        <w:rPr>
          <w:rFonts w:hint="eastAsia" w:asciiTheme="minorEastAsia" w:hAnsiTheme="minorEastAsia" w:eastAsiaTheme="minorEastAsia" w:cstheme="minorEastAsia"/>
          <w:color w:val="auto"/>
          <w:sz w:val="24"/>
          <w:highlight w:val="none"/>
        </w:rPr>
        <w:t>全部由符合政策要求的中小企业承接。相关企业的具体情况如下：</w:t>
      </w:r>
    </w:p>
    <w:p w14:paraId="126961A6">
      <w:pPr>
        <w:spacing w:line="360" w:lineRule="auto"/>
        <w:ind w:firstLine="482"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u w:val="single"/>
          <w:lang w:val="en-US" w:eastAsia="zh-CN"/>
        </w:rPr>
        <w:t>大慈路与公园路交叉口提升工程项目</w:t>
      </w:r>
      <w:r>
        <w:rPr>
          <w:rFonts w:hint="eastAsia" w:asciiTheme="minorEastAsia" w:hAnsiTheme="minorEastAsia" w:eastAsiaTheme="minorEastAsia" w:cstheme="minorEastAsia"/>
          <w:color w:val="auto"/>
          <w:sz w:val="24"/>
          <w:highlight w:val="none"/>
        </w:rPr>
        <w:t xml:space="preserve">，属于 </w:t>
      </w:r>
      <w:r>
        <w:rPr>
          <w:rFonts w:hint="eastAsia" w:asciiTheme="minorEastAsia" w:hAnsiTheme="minorEastAsia" w:eastAsiaTheme="minorEastAsia" w:cstheme="minorEastAsia"/>
          <w:color w:val="auto"/>
          <w:sz w:val="24"/>
          <w:highlight w:val="none"/>
          <w:u w:val="single"/>
          <w:lang w:val="en-US" w:eastAsia="zh-CN"/>
        </w:rPr>
        <w:t>建筑</w:t>
      </w:r>
      <w:r>
        <w:rPr>
          <w:rFonts w:hint="eastAsia" w:asciiTheme="minorEastAsia" w:hAnsiTheme="minorEastAsia" w:eastAsiaTheme="minorEastAsia" w:cstheme="minorEastAsia"/>
          <w:color w:val="auto"/>
          <w:sz w:val="24"/>
          <w:highlight w:val="none"/>
          <w:u w:val="single"/>
        </w:rPr>
        <w:t>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（中型企业、小型企业、微型企业） </w:t>
      </w:r>
      <w:r>
        <w:rPr>
          <w:rFonts w:hint="eastAsia" w:asciiTheme="minorEastAsia" w:hAnsiTheme="minorEastAsia" w:eastAsiaTheme="minorEastAsia" w:cstheme="minorEastAsia"/>
          <w:color w:val="auto"/>
          <w:sz w:val="24"/>
          <w:highlight w:val="none"/>
        </w:rPr>
        <w:t>；</w:t>
      </w:r>
    </w:p>
    <w:p w14:paraId="191E1574">
      <w:pPr>
        <w:spacing w:line="360" w:lineRule="auto"/>
        <w:jc w:val="left"/>
        <w:rPr>
          <w:rFonts w:asciiTheme="minorEastAsia" w:hAnsiTheme="minorEastAsia" w:eastAsiaTheme="minorEastAsia" w:cstheme="minorEastAsia"/>
          <w:color w:val="auto"/>
          <w:sz w:val="24"/>
          <w:highlight w:val="none"/>
        </w:rPr>
      </w:pPr>
    </w:p>
    <w:p w14:paraId="60D37F2A">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14:paraId="449B594A">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14:paraId="3E0A5A75">
      <w:pPr>
        <w:spacing w:line="360" w:lineRule="auto"/>
        <w:ind w:right="1760"/>
        <w:jc w:val="right"/>
        <w:rPr>
          <w:rFonts w:asciiTheme="minorEastAsia" w:hAnsiTheme="minorEastAsia" w:eastAsiaTheme="minorEastAsia" w:cstheme="minorEastAsia"/>
          <w:color w:val="auto"/>
          <w:sz w:val="24"/>
          <w:highlight w:val="none"/>
        </w:rPr>
      </w:pPr>
    </w:p>
    <w:p w14:paraId="2AE4A831">
      <w:pPr>
        <w:spacing w:line="360" w:lineRule="auto"/>
        <w:ind w:right="1760"/>
        <w:jc w:val="righ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供应商名称（电子签名）：</w:t>
      </w:r>
    </w:p>
    <w:p w14:paraId="6EFE7E76">
      <w:pPr>
        <w:spacing w:line="360" w:lineRule="auto"/>
        <w:ind w:right="1120" w:firstLine="4680" w:firstLineChars="19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 期：</w:t>
      </w:r>
    </w:p>
    <w:p w14:paraId="715427FE">
      <w:pPr>
        <w:spacing w:line="360" w:lineRule="auto"/>
        <w:ind w:firstLine="310" w:firstLineChars="147"/>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Cs w:val="21"/>
          <w:highlight w:val="none"/>
        </w:rPr>
        <w:t>从业人员、营业收入、资产总额填报上一年度数据，无上一年度数据的新成立企业可不填报。</w:t>
      </w:r>
    </w:p>
    <w:p w14:paraId="6E8E33A7">
      <w:pPr>
        <w:spacing w:line="360" w:lineRule="auto"/>
        <w:ind w:right="-283"/>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687B9A4">
      <w:pPr>
        <w:spacing w:line="360" w:lineRule="auto"/>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color w:val="auto"/>
          <w:sz w:val="32"/>
          <w:szCs w:val="32"/>
          <w:highlight w:val="none"/>
        </w:rPr>
        <w:br w:type="page"/>
      </w:r>
    </w:p>
    <w:p w14:paraId="07013213">
      <w:pP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b/>
          <w:bCs/>
          <w:color w:val="auto"/>
          <w:sz w:val="32"/>
          <w:szCs w:val="32"/>
          <w:highlight w:val="none"/>
        </w:rPr>
        <w:t>四、残疾人福利性单位声明函</w:t>
      </w:r>
    </w:p>
    <w:p w14:paraId="48835239">
      <w:pPr>
        <w:spacing w:line="360" w:lineRule="auto"/>
        <w:rPr>
          <w:rFonts w:asciiTheme="minorEastAsia" w:hAnsiTheme="minorEastAsia" w:eastAsiaTheme="minorEastAsia" w:cstheme="minorEastAsia"/>
          <w:b/>
          <w:color w:val="auto"/>
          <w:spacing w:val="6"/>
          <w:sz w:val="30"/>
          <w:szCs w:val="30"/>
          <w:highlight w:val="none"/>
        </w:rPr>
      </w:pPr>
    </w:p>
    <w:p w14:paraId="491755A4">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68D279">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14:paraId="573D9385">
      <w:pPr>
        <w:spacing w:line="360" w:lineRule="auto"/>
        <w:ind w:firstLine="480" w:firstLineChars="200"/>
        <w:jc w:val="left"/>
        <w:rPr>
          <w:rFonts w:asciiTheme="minorEastAsia" w:hAnsiTheme="minorEastAsia" w:eastAsiaTheme="minorEastAsia" w:cstheme="minorEastAsia"/>
          <w:color w:val="auto"/>
          <w:sz w:val="24"/>
          <w:highlight w:val="none"/>
        </w:rPr>
      </w:pPr>
    </w:p>
    <w:p w14:paraId="734B2BB2">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p>
    <w:p w14:paraId="15A66399">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30210B79">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0B2D9594">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60D4900">
      <w:pPr>
        <w:spacing w:line="360" w:lineRule="auto"/>
        <w:ind w:firstLine="643" w:firstLineChars="200"/>
        <w:jc w:val="left"/>
        <w:rPr>
          <w:rFonts w:asciiTheme="minorEastAsia" w:hAnsiTheme="minorEastAsia" w:eastAsiaTheme="minorEastAsia" w:cstheme="minorEastAsia"/>
          <w:b/>
          <w:color w:val="auto"/>
          <w:sz w:val="32"/>
          <w:szCs w:val="32"/>
          <w:highlight w:val="none"/>
        </w:rPr>
      </w:pPr>
    </w:p>
    <w:p w14:paraId="1E5F4C87">
      <w:pPr>
        <w:spacing w:line="360" w:lineRule="auto"/>
        <w:rPr>
          <w:rFonts w:asciiTheme="minorEastAsia" w:hAnsiTheme="minorEastAsia" w:eastAsiaTheme="minorEastAsia" w:cstheme="minorEastAsia"/>
          <w:b/>
          <w:color w:val="auto"/>
          <w:sz w:val="32"/>
          <w:szCs w:val="32"/>
          <w:highlight w:val="none"/>
        </w:rPr>
      </w:pPr>
    </w:p>
    <w:p w14:paraId="720D7A8F">
      <w:pPr>
        <w:numPr>
          <w:ilvl w:val="0"/>
          <w:numId w:val="7"/>
        </w:numPr>
        <w:spacing w:line="360" w:lineRule="auto"/>
        <w:jc w:val="center"/>
        <w:rPr>
          <w:rFonts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r>
        <w:rPr>
          <w:rFonts w:hint="eastAsia" w:asciiTheme="minorEastAsia" w:hAnsiTheme="minorEastAsia" w:eastAsiaTheme="minorEastAsia" w:cstheme="minorEastAsia"/>
          <w:b/>
          <w:color w:val="auto"/>
          <w:spacing w:val="6"/>
          <w:sz w:val="32"/>
          <w:szCs w:val="32"/>
          <w:highlight w:val="none"/>
        </w:rPr>
        <w:t>政府采购统计基础信息表</w:t>
      </w:r>
    </w:p>
    <w:p w14:paraId="6A91C842">
      <w:pPr>
        <w:pStyle w:val="31"/>
        <w:spacing w:line="360" w:lineRule="auto"/>
        <w:ind w:firstLine="0" w:firstLineChars="0"/>
        <w:rPr>
          <w:rFonts w:asciiTheme="minorEastAsia" w:hAnsiTheme="minorEastAsia" w:eastAsiaTheme="minorEastAsia" w:cstheme="minorEastAsia"/>
          <w:color w:val="auto"/>
          <w:highlight w:val="none"/>
        </w:rPr>
      </w:pPr>
    </w:p>
    <w:tbl>
      <w:tblPr>
        <w:tblStyle w:val="24"/>
        <w:tblW w:w="8537" w:type="dxa"/>
        <w:jc w:val="center"/>
        <w:tblLayout w:type="fixed"/>
        <w:tblCellMar>
          <w:top w:w="0" w:type="dxa"/>
          <w:left w:w="108" w:type="dxa"/>
          <w:bottom w:w="0" w:type="dxa"/>
          <w:right w:w="108" w:type="dxa"/>
        </w:tblCellMar>
      </w:tblPr>
      <w:tblGrid>
        <w:gridCol w:w="4998"/>
        <w:gridCol w:w="3539"/>
      </w:tblGrid>
      <w:tr w14:paraId="60CD428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04FB905">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采购人及采购项目名称</w:t>
            </w:r>
          </w:p>
        </w:tc>
        <w:tc>
          <w:tcPr>
            <w:tcW w:w="3539" w:type="dxa"/>
            <w:tcBorders>
              <w:top w:val="single" w:color="000000" w:sz="4" w:space="0"/>
              <w:left w:val="nil"/>
              <w:bottom w:val="single" w:color="000000" w:sz="4" w:space="0"/>
              <w:right w:val="single" w:color="000000" w:sz="4" w:space="0"/>
            </w:tcBorders>
          </w:tcPr>
          <w:p w14:paraId="12090069">
            <w:pPr>
              <w:spacing w:line="360" w:lineRule="auto"/>
              <w:rPr>
                <w:rFonts w:asciiTheme="minorEastAsia" w:hAnsiTheme="minorEastAsia" w:eastAsiaTheme="minorEastAsia" w:cstheme="minorEastAsia"/>
                <w:color w:val="auto"/>
                <w:highlight w:val="none"/>
              </w:rPr>
            </w:pPr>
          </w:p>
        </w:tc>
      </w:tr>
      <w:tr w14:paraId="18145B5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83D587D">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w:t>
            </w:r>
          </w:p>
        </w:tc>
        <w:tc>
          <w:tcPr>
            <w:tcW w:w="3539" w:type="dxa"/>
            <w:tcBorders>
              <w:top w:val="single" w:color="000000" w:sz="4" w:space="0"/>
              <w:left w:val="nil"/>
              <w:bottom w:val="single" w:color="000000" w:sz="4" w:space="0"/>
              <w:right w:val="single" w:color="000000" w:sz="4" w:space="0"/>
            </w:tcBorders>
          </w:tcPr>
          <w:p w14:paraId="4A66656E">
            <w:pPr>
              <w:spacing w:line="360" w:lineRule="auto"/>
              <w:rPr>
                <w:rFonts w:asciiTheme="minorEastAsia" w:hAnsiTheme="minorEastAsia" w:eastAsiaTheme="minorEastAsia" w:cstheme="minorEastAsia"/>
                <w:color w:val="auto"/>
                <w:highlight w:val="none"/>
              </w:rPr>
            </w:pPr>
          </w:p>
        </w:tc>
      </w:tr>
      <w:tr w14:paraId="21C8409F">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D303426">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供应商是否为外商投资企业</w:t>
            </w:r>
          </w:p>
        </w:tc>
        <w:tc>
          <w:tcPr>
            <w:tcW w:w="3539" w:type="dxa"/>
            <w:tcBorders>
              <w:top w:val="single" w:color="000000" w:sz="4" w:space="0"/>
              <w:left w:val="nil"/>
              <w:bottom w:val="single" w:color="000000" w:sz="4" w:space="0"/>
              <w:right w:val="single" w:color="000000" w:sz="4" w:space="0"/>
            </w:tcBorders>
          </w:tcPr>
          <w:p w14:paraId="55C1F2D5">
            <w:pPr>
              <w:spacing w:line="360" w:lineRule="auto"/>
              <w:rPr>
                <w:rFonts w:asciiTheme="minorEastAsia" w:hAnsiTheme="minorEastAsia" w:eastAsiaTheme="minorEastAsia" w:cstheme="minorEastAsia"/>
                <w:color w:val="auto"/>
                <w:highlight w:val="none"/>
              </w:rPr>
            </w:pPr>
          </w:p>
        </w:tc>
      </w:tr>
      <w:tr w14:paraId="08718C4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10B9C63">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供应商是否为宁波企业</w:t>
            </w:r>
          </w:p>
        </w:tc>
        <w:tc>
          <w:tcPr>
            <w:tcW w:w="3539" w:type="dxa"/>
            <w:tcBorders>
              <w:top w:val="single" w:color="000000" w:sz="4" w:space="0"/>
              <w:left w:val="nil"/>
              <w:bottom w:val="single" w:color="000000" w:sz="4" w:space="0"/>
              <w:right w:val="single" w:color="000000" w:sz="4" w:space="0"/>
            </w:tcBorders>
          </w:tcPr>
          <w:p w14:paraId="0DF7EF2A">
            <w:pPr>
              <w:spacing w:line="360" w:lineRule="auto"/>
              <w:rPr>
                <w:rFonts w:asciiTheme="minorEastAsia" w:hAnsiTheme="minorEastAsia" w:eastAsiaTheme="minorEastAsia" w:cstheme="minorEastAsia"/>
                <w:color w:val="auto"/>
                <w:highlight w:val="none"/>
              </w:rPr>
            </w:pPr>
          </w:p>
        </w:tc>
      </w:tr>
      <w:tr w14:paraId="140DFAE1">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3B385E">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0E608326">
            <w:pPr>
              <w:spacing w:line="360" w:lineRule="auto"/>
              <w:rPr>
                <w:rFonts w:asciiTheme="minorEastAsia" w:hAnsiTheme="minorEastAsia" w:eastAsiaTheme="minorEastAsia" w:cstheme="minorEastAsia"/>
                <w:color w:val="auto"/>
                <w:highlight w:val="none"/>
              </w:rPr>
            </w:pPr>
          </w:p>
        </w:tc>
      </w:tr>
      <w:tr w14:paraId="4BDC0B5B">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C70106">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提供的货物是否本企业制造</w:t>
            </w:r>
          </w:p>
        </w:tc>
        <w:tc>
          <w:tcPr>
            <w:tcW w:w="3539" w:type="dxa"/>
            <w:tcBorders>
              <w:top w:val="single" w:color="000000" w:sz="4" w:space="0"/>
              <w:left w:val="nil"/>
              <w:bottom w:val="single" w:color="000000" w:sz="4" w:space="0"/>
              <w:right w:val="single" w:color="000000" w:sz="4" w:space="0"/>
            </w:tcBorders>
          </w:tcPr>
          <w:p w14:paraId="776A6929">
            <w:pPr>
              <w:spacing w:line="360" w:lineRule="auto"/>
              <w:rPr>
                <w:rFonts w:asciiTheme="minorEastAsia" w:hAnsiTheme="minorEastAsia" w:eastAsiaTheme="minorEastAsia" w:cstheme="minorEastAsia"/>
                <w:color w:val="auto"/>
                <w:highlight w:val="none"/>
              </w:rPr>
            </w:pPr>
          </w:p>
        </w:tc>
      </w:tr>
      <w:tr w14:paraId="0694D725">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296B14B">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货物原产地国别</w:t>
            </w:r>
          </w:p>
        </w:tc>
        <w:tc>
          <w:tcPr>
            <w:tcW w:w="3539" w:type="dxa"/>
            <w:tcBorders>
              <w:top w:val="single" w:color="000000" w:sz="4" w:space="0"/>
              <w:left w:val="nil"/>
              <w:bottom w:val="single" w:color="000000" w:sz="4" w:space="0"/>
              <w:right w:val="single" w:color="000000" w:sz="4" w:space="0"/>
            </w:tcBorders>
          </w:tcPr>
          <w:p w14:paraId="12D97890">
            <w:pPr>
              <w:spacing w:line="360" w:lineRule="auto"/>
              <w:rPr>
                <w:rFonts w:asciiTheme="minorEastAsia" w:hAnsiTheme="minorEastAsia" w:eastAsiaTheme="minorEastAsia" w:cstheme="minorEastAsia"/>
                <w:color w:val="auto"/>
                <w:highlight w:val="none"/>
              </w:rPr>
            </w:pPr>
          </w:p>
        </w:tc>
      </w:tr>
      <w:tr w14:paraId="13955E6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9E51081">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提供的货物是否为节能清单产品</w:t>
            </w:r>
          </w:p>
        </w:tc>
        <w:tc>
          <w:tcPr>
            <w:tcW w:w="3539" w:type="dxa"/>
            <w:tcBorders>
              <w:top w:val="single" w:color="000000" w:sz="4" w:space="0"/>
              <w:left w:val="nil"/>
              <w:bottom w:val="single" w:color="000000" w:sz="4" w:space="0"/>
              <w:right w:val="single" w:color="000000" w:sz="4" w:space="0"/>
            </w:tcBorders>
          </w:tcPr>
          <w:p w14:paraId="0A38FA3E">
            <w:pPr>
              <w:spacing w:line="360" w:lineRule="auto"/>
              <w:rPr>
                <w:rFonts w:asciiTheme="minorEastAsia" w:hAnsiTheme="minorEastAsia" w:eastAsiaTheme="minorEastAsia" w:cstheme="minorEastAsia"/>
                <w:color w:val="auto"/>
                <w:highlight w:val="none"/>
              </w:rPr>
            </w:pPr>
          </w:p>
        </w:tc>
      </w:tr>
      <w:tr w14:paraId="7C78DBC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E59221">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4DDC60C9">
            <w:pPr>
              <w:spacing w:line="360" w:lineRule="auto"/>
              <w:rPr>
                <w:rFonts w:asciiTheme="minorEastAsia" w:hAnsiTheme="minorEastAsia" w:eastAsiaTheme="minorEastAsia" w:cstheme="minorEastAsia"/>
                <w:color w:val="auto"/>
                <w:highlight w:val="none"/>
              </w:rPr>
            </w:pPr>
          </w:p>
        </w:tc>
      </w:tr>
      <w:tr w14:paraId="57A4E1D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DE11EDB">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74CCEE49">
            <w:pPr>
              <w:spacing w:line="360" w:lineRule="auto"/>
              <w:rPr>
                <w:rFonts w:asciiTheme="minorEastAsia" w:hAnsiTheme="minorEastAsia" w:eastAsiaTheme="minorEastAsia" w:cstheme="minorEastAsia"/>
                <w:color w:val="auto"/>
                <w:highlight w:val="none"/>
              </w:rPr>
            </w:pPr>
          </w:p>
        </w:tc>
      </w:tr>
    </w:tbl>
    <w:p w14:paraId="32A477D2">
      <w:pPr>
        <w:adjustRightInd w:val="0"/>
        <w:spacing w:line="360" w:lineRule="auto"/>
        <w:jc w:val="left"/>
        <w:rPr>
          <w:rFonts w:asciiTheme="minorEastAsia" w:hAnsiTheme="minorEastAsia" w:eastAsiaTheme="minorEastAsia" w:cstheme="minorEastAsia"/>
          <w:color w:val="auto"/>
          <w:sz w:val="24"/>
          <w:highlight w:val="none"/>
        </w:rPr>
      </w:pPr>
    </w:p>
    <w:p w14:paraId="0DF6390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备注：请各供应商务必填写此表作为响应文件的组成部分。</w:t>
      </w:r>
    </w:p>
    <w:p w14:paraId="2BA672BA">
      <w:pPr>
        <w:adjustRightInd w:val="0"/>
        <w:spacing w:line="360" w:lineRule="auto"/>
        <w:jc w:val="left"/>
        <w:rPr>
          <w:rFonts w:asciiTheme="minorEastAsia" w:hAnsiTheme="minorEastAsia" w:eastAsiaTheme="minorEastAsia" w:cstheme="minorEastAsia"/>
          <w:color w:val="auto"/>
          <w:sz w:val="24"/>
          <w:highlight w:val="none"/>
        </w:rPr>
      </w:pPr>
    </w:p>
    <w:p w14:paraId="03929715">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p>
    <w:p w14:paraId="53300D8E">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5F7BDF2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255B831B">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 w:name="方正书宋简体">
    <w:altName w:val="宋体"/>
    <w:panose1 w:val="00000000000000000000"/>
    <w:charset w:val="00"/>
    <w:family w:val="auto"/>
    <w:pitch w:val="default"/>
    <w:sig w:usb0="00000000" w:usb1="00000000" w:usb2="00000010"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12FE">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087A6AA3">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8AE5C">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14DBF070">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3301C">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324C60B5">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6F5EB">
    <w:pPr>
      <w:pStyle w:val="1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54FF7B25">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AFDC9">
    <w:pPr>
      <w:pStyle w:val="16"/>
      <w:pBdr>
        <w:bottom w:val="none" w:color="auto" w:sz="0" w:space="0"/>
      </w:pBdr>
      <w:jc w:val="right"/>
      <w:rPr>
        <w:rFonts w:ascii="仿宋_GB2312" w:eastAsia="仿宋_GB2312"/>
        <w:b/>
        <w:i/>
        <w:u w:val="single"/>
      </w:rPr>
    </w:pPr>
    <w:r>
      <w:t></w:t>
    </w:r>
    <w:r>
      <w:rPr>
        <w:rFonts w:hint="eastAsia"/>
      </w:rPr>
      <w:t xml:space="preserve">                                               </w:t>
    </w:r>
  </w:p>
  <w:p w14:paraId="634CE9C8">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138F3">
    <w:pPr>
      <w:pStyle w:val="16"/>
      <w:pBdr>
        <w:bottom w:val="none" w:color="auto" w:sz="0" w:space="1"/>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4FC6C">
    <w:pPr>
      <w:pStyle w:val="16"/>
      <w:pBdr>
        <w:bottom w:val="none" w:color="auto" w:sz="0" w:space="1"/>
      </w:pBdr>
      <w:jc w:val="right"/>
      <w:rPr>
        <w:rFonts w:ascii="仿宋_GB2312" w:eastAsia="仿宋_GB2312"/>
        <w:b/>
        <w:i/>
        <w:u w:val="single"/>
      </w:rPr>
    </w:pPr>
    <w:r>
      <w:rPr>
        <w:rFonts w:hint="eastAsia"/>
      </w:rPr>
      <w:t xml:space="preserve">                                 </w:t>
    </w:r>
  </w:p>
  <w:p w14:paraId="0973DA91">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3037B">
    <w:pPr>
      <w:pStyle w:val="16"/>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9F158476"/>
    <w:multiLevelType w:val="singleLevel"/>
    <w:tmpl w:val="9F158476"/>
    <w:lvl w:ilvl="0" w:tentative="0">
      <w:start w:val="2"/>
      <w:numFmt w:val="decimal"/>
      <w:suff w:val="nothing"/>
      <w:lvlText w:val="%1、"/>
      <w:lvlJc w:val="left"/>
    </w:lvl>
  </w:abstractNum>
  <w:abstractNum w:abstractNumId="2">
    <w:nsid w:val="A95BA21C"/>
    <w:multiLevelType w:val="singleLevel"/>
    <w:tmpl w:val="A95BA21C"/>
    <w:lvl w:ilvl="0" w:tentative="0">
      <w:start w:val="1"/>
      <w:numFmt w:val="decimal"/>
      <w:suff w:val="nothing"/>
      <w:lvlText w:val="%1．"/>
      <w:lvlJc w:val="left"/>
      <w:pPr>
        <w:ind w:left="3711" w:firstLine="400"/>
      </w:pPr>
      <w:rPr>
        <w:rFonts w:hint="default"/>
      </w:rPr>
    </w:lvl>
  </w:abstractNum>
  <w:abstractNum w:abstractNumId="3">
    <w:nsid w:val="2DC53F9C"/>
    <w:multiLevelType w:val="singleLevel"/>
    <w:tmpl w:val="2DC53F9C"/>
    <w:lvl w:ilvl="0" w:tentative="0">
      <w:start w:val="5"/>
      <w:numFmt w:val="chineseCounting"/>
      <w:suff w:val="space"/>
      <w:lvlText w:val="第%1部分"/>
      <w:lvlJc w:val="left"/>
      <w:rPr>
        <w:rFonts w:hint="eastAsia"/>
      </w:rPr>
    </w:lvl>
  </w:abstractNum>
  <w:abstractNum w:abstractNumId="4">
    <w:nsid w:val="495C2BCE"/>
    <w:multiLevelType w:val="singleLevel"/>
    <w:tmpl w:val="495C2BCE"/>
    <w:lvl w:ilvl="0" w:tentative="0">
      <w:start w:val="1"/>
      <w:numFmt w:val="chineseCounting"/>
      <w:suff w:val="nothing"/>
      <w:lvlText w:val="%1、"/>
      <w:lvlJc w:val="left"/>
      <w:pPr>
        <w:ind w:left="420"/>
      </w:pPr>
      <w:rPr>
        <w:rFonts w:hint="eastAsia"/>
      </w:rPr>
    </w:lvl>
  </w:abstractNum>
  <w:abstractNum w:abstractNumId="5">
    <w:nsid w:val="5030D621"/>
    <w:multiLevelType w:val="multilevel"/>
    <w:tmpl w:val="5030D621"/>
    <w:lvl w:ilvl="0" w:tentative="0">
      <w:start w:val="3"/>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6">
    <w:nsid w:val="5365A933"/>
    <w:multiLevelType w:val="singleLevel"/>
    <w:tmpl w:val="5365A933"/>
    <w:lvl w:ilvl="0" w:tentative="0">
      <w:start w:val="7"/>
      <w:numFmt w:val="chineseCounting"/>
      <w:suff w:val="nothing"/>
      <w:lvlText w:val="%1、"/>
      <w:lvlJc w:val="left"/>
      <w:rPr>
        <w:rFonts w:hint="eastAsia"/>
      </w:rPr>
    </w:lvl>
  </w:abstractNum>
  <w:num w:numId="1">
    <w:abstractNumId w:val="2"/>
  </w:num>
  <w:num w:numId="2">
    <w:abstractNumId w:val="5"/>
  </w:num>
  <w:num w:numId="3">
    <w:abstractNumId w:val="1"/>
  </w:num>
  <w:num w:numId="4">
    <w:abstractNumId w:val="3"/>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NkY2FhYTJiZmI4MmJiNjZiMDBjMjQ0N2UwOTBjY2YifQ=="/>
  </w:docVars>
  <w:rsids>
    <w:rsidRoot w:val="004E6532"/>
    <w:rsid w:val="00034901"/>
    <w:rsid w:val="001A0E98"/>
    <w:rsid w:val="004369B5"/>
    <w:rsid w:val="00446CD6"/>
    <w:rsid w:val="00453F9B"/>
    <w:rsid w:val="004E6532"/>
    <w:rsid w:val="00535688"/>
    <w:rsid w:val="0054723B"/>
    <w:rsid w:val="00616EEA"/>
    <w:rsid w:val="00621873"/>
    <w:rsid w:val="00803953"/>
    <w:rsid w:val="00877893"/>
    <w:rsid w:val="008859D0"/>
    <w:rsid w:val="00C14B91"/>
    <w:rsid w:val="00C73030"/>
    <w:rsid w:val="00D43C04"/>
    <w:rsid w:val="00F01506"/>
    <w:rsid w:val="00FB3DEC"/>
    <w:rsid w:val="00FC4926"/>
    <w:rsid w:val="01722330"/>
    <w:rsid w:val="017E3702"/>
    <w:rsid w:val="01A93FA3"/>
    <w:rsid w:val="022507A0"/>
    <w:rsid w:val="02974AD8"/>
    <w:rsid w:val="02B40E52"/>
    <w:rsid w:val="02D95BB6"/>
    <w:rsid w:val="02FF0DA1"/>
    <w:rsid w:val="03FE41A6"/>
    <w:rsid w:val="04133956"/>
    <w:rsid w:val="04330EDE"/>
    <w:rsid w:val="043F7883"/>
    <w:rsid w:val="046E624C"/>
    <w:rsid w:val="04756284"/>
    <w:rsid w:val="04E6106A"/>
    <w:rsid w:val="0543421B"/>
    <w:rsid w:val="05735A3A"/>
    <w:rsid w:val="05BE57B7"/>
    <w:rsid w:val="05C46291"/>
    <w:rsid w:val="05F31C91"/>
    <w:rsid w:val="060036AF"/>
    <w:rsid w:val="064C314F"/>
    <w:rsid w:val="067803E8"/>
    <w:rsid w:val="06BA6D43"/>
    <w:rsid w:val="06D25D4A"/>
    <w:rsid w:val="06FC438C"/>
    <w:rsid w:val="07213690"/>
    <w:rsid w:val="073E518E"/>
    <w:rsid w:val="07453440"/>
    <w:rsid w:val="079B1B4C"/>
    <w:rsid w:val="07AB20F7"/>
    <w:rsid w:val="08153A45"/>
    <w:rsid w:val="08BD0ECF"/>
    <w:rsid w:val="08C43072"/>
    <w:rsid w:val="08D31906"/>
    <w:rsid w:val="08DB4458"/>
    <w:rsid w:val="08EC5795"/>
    <w:rsid w:val="08F04266"/>
    <w:rsid w:val="08FC70AE"/>
    <w:rsid w:val="0906084A"/>
    <w:rsid w:val="09CB082F"/>
    <w:rsid w:val="0A042457"/>
    <w:rsid w:val="0A0B50CF"/>
    <w:rsid w:val="0A4D50B5"/>
    <w:rsid w:val="0AC534D0"/>
    <w:rsid w:val="0AD019C3"/>
    <w:rsid w:val="0B095AB3"/>
    <w:rsid w:val="0B0A7C7E"/>
    <w:rsid w:val="0B190942"/>
    <w:rsid w:val="0BFD6A07"/>
    <w:rsid w:val="0C436DA2"/>
    <w:rsid w:val="0CE64ABC"/>
    <w:rsid w:val="0D014A54"/>
    <w:rsid w:val="0D0504FC"/>
    <w:rsid w:val="0DCE6B40"/>
    <w:rsid w:val="0E050EED"/>
    <w:rsid w:val="0E0662D9"/>
    <w:rsid w:val="0E65475F"/>
    <w:rsid w:val="0E912047"/>
    <w:rsid w:val="0E985C49"/>
    <w:rsid w:val="0E9E4764"/>
    <w:rsid w:val="0ECE36AE"/>
    <w:rsid w:val="0F461684"/>
    <w:rsid w:val="0F6806E9"/>
    <w:rsid w:val="0F855338"/>
    <w:rsid w:val="0FB56209"/>
    <w:rsid w:val="0FDE143F"/>
    <w:rsid w:val="101C0036"/>
    <w:rsid w:val="112C42A9"/>
    <w:rsid w:val="113E5D8A"/>
    <w:rsid w:val="11C61877"/>
    <w:rsid w:val="11D43722"/>
    <w:rsid w:val="11D70A74"/>
    <w:rsid w:val="120E6F80"/>
    <w:rsid w:val="13144FF5"/>
    <w:rsid w:val="131905E4"/>
    <w:rsid w:val="134D79C4"/>
    <w:rsid w:val="13651CF4"/>
    <w:rsid w:val="13727710"/>
    <w:rsid w:val="137C74D8"/>
    <w:rsid w:val="13CD7831"/>
    <w:rsid w:val="13E72483"/>
    <w:rsid w:val="142B4CEC"/>
    <w:rsid w:val="14635EBD"/>
    <w:rsid w:val="14733F9D"/>
    <w:rsid w:val="147541B9"/>
    <w:rsid w:val="14C021B2"/>
    <w:rsid w:val="14F450DE"/>
    <w:rsid w:val="15987341"/>
    <w:rsid w:val="15C56A7A"/>
    <w:rsid w:val="15D1541F"/>
    <w:rsid w:val="15D87EFC"/>
    <w:rsid w:val="15E52C78"/>
    <w:rsid w:val="165E2A90"/>
    <w:rsid w:val="165E7BD5"/>
    <w:rsid w:val="166D49F3"/>
    <w:rsid w:val="167A1613"/>
    <w:rsid w:val="17070C1E"/>
    <w:rsid w:val="17075B7B"/>
    <w:rsid w:val="1720040C"/>
    <w:rsid w:val="172F62D6"/>
    <w:rsid w:val="17343EB7"/>
    <w:rsid w:val="17552F75"/>
    <w:rsid w:val="17AC492E"/>
    <w:rsid w:val="17EC672F"/>
    <w:rsid w:val="180814BF"/>
    <w:rsid w:val="181222ED"/>
    <w:rsid w:val="183463C4"/>
    <w:rsid w:val="1867549B"/>
    <w:rsid w:val="18CF43F8"/>
    <w:rsid w:val="18DB244F"/>
    <w:rsid w:val="193E2676"/>
    <w:rsid w:val="19B968F6"/>
    <w:rsid w:val="19E85593"/>
    <w:rsid w:val="1A09162B"/>
    <w:rsid w:val="1A1A55E6"/>
    <w:rsid w:val="1A36522D"/>
    <w:rsid w:val="1A4A57A0"/>
    <w:rsid w:val="1A5046C1"/>
    <w:rsid w:val="1A892DC6"/>
    <w:rsid w:val="1AB759EF"/>
    <w:rsid w:val="1ABD5311"/>
    <w:rsid w:val="1B2D0950"/>
    <w:rsid w:val="1B9C5DDE"/>
    <w:rsid w:val="1BA41091"/>
    <w:rsid w:val="1BD47C9F"/>
    <w:rsid w:val="1CEA33EA"/>
    <w:rsid w:val="1D780306"/>
    <w:rsid w:val="1DA358F3"/>
    <w:rsid w:val="1DB47B11"/>
    <w:rsid w:val="1DDC2BB3"/>
    <w:rsid w:val="1DDC5928"/>
    <w:rsid w:val="1DE35D79"/>
    <w:rsid w:val="1DE75D86"/>
    <w:rsid w:val="1E200A3C"/>
    <w:rsid w:val="1E25455A"/>
    <w:rsid w:val="1E522E75"/>
    <w:rsid w:val="1E8219AC"/>
    <w:rsid w:val="1E85324A"/>
    <w:rsid w:val="1EC0236C"/>
    <w:rsid w:val="1EC30B03"/>
    <w:rsid w:val="1F6D440A"/>
    <w:rsid w:val="208732AA"/>
    <w:rsid w:val="209669C5"/>
    <w:rsid w:val="20C07B2F"/>
    <w:rsid w:val="212A1E87"/>
    <w:rsid w:val="213A06E6"/>
    <w:rsid w:val="2155267B"/>
    <w:rsid w:val="21982936"/>
    <w:rsid w:val="219F23DC"/>
    <w:rsid w:val="21C11D94"/>
    <w:rsid w:val="21E169EA"/>
    <w:rsid w:val="22543660"/>
    <w:rsid w:val="2299657C"/>
    <w:rsid w:val="22C73E32"/>
    <w:rsid w:val="235651B5"/>
    <w:rsid w:val="238705A1"/>
    <w:rsid w:val="23A710EC"/>
    <w:rsid w:val="23F0560A"/>
    <w:rsid w:val="240519D5"/>
    <w:rsid w:val="240E7E40"/>
    <w:rsid w:val="2453522D"/>
    <w:rsid w:val="24547947"/>
    <w:rsid w:val="24681644"/>
    <w:rsid w:val="251A4EF6"/>
    <w:rsid w:val="253E0A44"/>
    <w:rsid w:val="25B763DF"/>
    <w:rsid w:val="25CF1F63"/>
    <w:rsid w:val="25E871FD"/>
    <w:rsid w:val="25EF3DCB"/>
    <w:rsid w:val="25F37999"/>
    <w:rsid w:val="262D0597"/>
    <w:rsid w:val="272A6E20"/>
    <w:rsid w:val="27545EB0"/>
    <w:rsid w:val="2803474D"/>
    <w:rsid w:val="28060F58"/>
    <w:rsid w:val="281318C7"/>
    <w:rsid w:val="282C43E5"/>
    <w:rsid w:val="2891704F"/>
    <w:rsid w:val="28A40E75"/>
    <w:rsid w:val="297E7214"/>
    <w:rsid w:val="298C7B83"/>
    <w:rsid w:val="2A0B7EDE"/>
    <w:rsid w:val="2A4C32D1"/>
    <w:rsid w:val="2A597DE8"/>
    <w:rsid w:val="2A9232F3"/>
    <w:rsid w:val="2ACB541A"/>
    <w:rsid w:val="2B096A2F"/>
    <w:rsid w:val="2B0A1823"/>
    <w:rsid w:val="2B503489"/>
    <w:rsid w:val="2B651CE5"/>
    <w:rsid w:val="2BC76C50"/>
    <w:rsid w:val="2BEB4325"/>
    <w:rsid w:val="2BFC0FF0"/>
    <w:rsid w:val="2C091017"/>
    <w:rsid w:val="2C26606D"/>
    <w:rsid w:val="2CAB0320"/>
    <w:rsid w:val="2FF5557A"/>
    <w:rsid w:val="2FFF0A63"/>
    <w:rsid w:val="305C2AA5"/>
    <w:rsid w:val="307849BD"/>
    <w:rsid w:val="316A07AA"/>
    <w:rsid w:val="31B61E1E"/>
    <w:rsid w:val="31D42AD9"/>
    <w:rsid w:val="31D651A2"/>
    <w:rsid w:val="3233535A"/>
    <w:rsid w:val="326633AB"/>
    <w:rsid w:val="33233306"/>
    <w:rsid w:val="332A2D54"/>
    <w:rsid w:val="33444564"/>
    <w:rsid w:val="33AB59D4"/>
    <w:rsid w:val="33C341A1"/>
    <w:rsid w:val="33E74197"/>
    <w:rsid w:val="343B467F"/>
    <w:rsid w:val="355B0F59"/>
    <w:rsid w:val="356B698C"/>
    <w:rsid w:val="359853D9"/>
    <w:rsid w:val="35A16CAA"/>
    <w:rsid w:val="35A66D8A"/>
    <w:rsid w:val="35C62DE0"/>
    <w:rsid w:val="35FC7E3E"/>
    <w:rsid w:val="360C1CB6"/>
    <w:rsid w:val="360C1DD5"/>
    <w:rsid w:val="36201D7F"/>
    <w:rsid w:val="36CC7811"/>
    <w:rsid w:val="36D93CDC"/>
    <w:rsid w:val="370A0339"/>
    <w:rsid w:val="370D4B2D"/>
    <w:rsid w:val="372963EF"/>
    <w:rsid w:val="38121F62"/>
    <w:rsid w:val="384F79BE"/>
    <w:rsid w:val="385D6A11"/>
    <w:rsid w:val="386533AF"/>
    <w:rsid w:val="39737207"/>
    <w:rsid w:val="39B32E3A"/>
    <w:rsid w:val="39E07B75"/>
    <w:rsid w:val="3A1C6713"/>
    <w:rsid w:val="3A2B48EB"/>
    <w:rsid w:val="3A5008E2"/>
    <w:rsid w:val="3A9A057D"/>
    <w:rsid w:val="3AC52EBA"/>
    <w:rsid w:val="3ACA033D"/>
    <w:rsid w:val="3AF47A17"/>
    <w:rsid w:val="3AF77A09"/>
    <w:rsid w:val="3B0500A6"/>
    <w:rsid w:val="3B1217B9"/>
    <w:rsid w:val="3BC136BC"/>
    <w:rsid w:val="3BDA22C2"/>
    <w:rsid w:val="3C033CD5"/>
    <w:rsid w:val="3C3025F0"/>
    <w:rsid w:val="3C3976F6"/>
    <w:rsid w:val="3C432323"/>
    <w:rsid w:val="3C5928B0"/>
    <w:rsid w:val="3C8660E7"/>
    <w:rsid w:val="3CC813C5"/>
    <w:rsid w:val="3D034FD9"/>
    <w:rsid w:val="3D2708D9"/>
    <w:rsid w:val="3D964084"/>
    <w:rsid w:val="3DF80EEB"/>
    <w:rsid w:val="3E5C4A40"/>
    <w:rsid w:val="3E5F0F6A"/>
    <w:rsid w:val="3E682515"/>
    <w:rsid w:val="3F2226C4"/>
    <w:rsid w:val="3F373C95"/>
    <w:rsid w:val="3FD13644"/>
    <w:rsid w:val="3FF12C21"/>
    <w:rsid w:val="3FFC1167"/>
    <w:rsid w:val="3FFF47B3"/>
    <w:rsid w:val="401D732F"/>
    <w:rsid w:val="404716EC"/>
    <w:rsid w:val="40565930"/>
    <w:rsid w:val="40801FD2"/>
    <w:rsid w:val="40931A6D"/>
    <w:rsid w:val="40B660ED"/>
    <w:rsid w:val="40CA1BEA"/>
    <w:rsid w:val="40E57E4D"/>
    <w:rsid w:val="40E63D94"/>
    <w:rsid w:val="41AE11A5"/>
    <w:rsid w:val="41C317D4"/>
    <w:rsid w:val="41F06AA9"/>
    <w:rsid w:val="420E7D4A"/>
    <w:rsid w:val="4259700D"/>
    <w:rsid w:val="42A746D9"/>
    <w:rsid w:val="431421AB"/>
    <w:rsid w:val="43B753D5"/>
    <w:rsid w:val="441526D6"/>
    <w:rsid w:val="441B5933"/>
    <w:rsid w:val="444265B3"/>
    <w:rsid w:val="4446796B"/>
    <w:rsid w:val="446B4F27"/>
    <w:rsid w:val="446B5B00"/>
    <w:rsid w:val="44727C49"/>
    <w:rsid w:val="44A92F3F"/>
    <w:rsid w:val="44CC2054"/>
    <w:rsid w:val="450F36EA"/>
    <w:rsid w:val="4533775E"/>
    <w:rsid w:val="4549052D"/>
    <w:rsid w:val="45570BED"/>
    <w:rsid w:val="45840DA9"/>
    <w:rsid w:val="45A656D1"/>
    <w:rsid w:val="45C041D4"/>
    <w:rsid w:val="45F62A2E"/>
    <w:rsid w:val="45F823D0"/>
    <w:rsid w:val="46502789"/>
    <w:rsid w:val="46893028"/>
    <w:rsid w:val="470A75E8"/>
    <w:rsid w:val="47280A93"/>
    <w:rsid w:val="47484C91"/>
    <w:rsid w:val="478704A5"/>
    <w:rsid w:val="47AE7265"/>
    <w:rsid w:val="47AF3794"/>
    <w:rsid w:val="480E2480"/>
    <w:rsid w:val="482254E2"/>
    <w:rsid w:val="48236574"/>
    <w:rsid w:val="482D19BF"/>
    <w:rsid w:val="486D24D6"/>
    <w:rsid w:val="48A04659"/>
    <w:rsid w:val="48BA396D"/>
    <w:rsid w:val="49164517"/>
    <w:rsid w:val="491D1CBF"/>
    <w:rsid w:val="49210164"/>
    <w:rsid w:val="49770DAF"/>
    <w:rsid w:val="49863D09"/>
    <w:rsid w:val="49DF112C"/>
    <w:rsid w:val="49E2099E"/>
    <w:rsid w:val="4A084FAB"/>
    <w:rsid w:val="4A190B67"/>
    <w:rsid w:val="4A356245"/>
    <w:rsid w:val="4A940235"/>
    <w:rsid w:val="4B4B4D50"/>
    <w:rsid w:val="4BAF77E3"/>
    <w:rsid w:val="4BF74468"/>
    <w:rsid w:val="4C1F68C9"/>
    <w:rsid w:val="4C3E2B07"/>
    <w:rsid w:val="4C5E0AB3"/>
    <w:rsid w:val="4C871DB8"/>
    <w:rsid w:val="4C8F29A0"/>
    <w:rsid w:val="4CE849E2"/>
    <w:rsid w:val="4D05056F"/>
    <w:rsid w:val="4D5D0C62"/>
    <w:rsid w:val="4D6D377D"/>
    <w:rsid w:val="4DA32011"/>
    <w:rsid w:val="4DCB232F"/>
    <w:rsid w:val="4DE566F3"/>
    <w:rsid w:val="4E5C190D"/>
    <w:rsid w:val="4E5E123E"/>
    <w:rsid w:val="4EE51018"/>
    <w:rsid w:val="4EEA623B"/>
    <w:rsid w:val="4F367AC5"/>
    <w:rsid w:val="4F53497B"/>
    <w:rsid w:val="4FCC73F3"/>
    <w:rsid w:val="4FCF7562"/>
    <w:rsid w:val="4FEE4E74"/>
    <w:rsid w:val="50083210"/>
    <w:rsid w:val="50095BE1"/>
    <w:rsid w:val="50212524"/>
    <w:rsid w:val="502A762A"/>
    <w:rsid w:val="50414974"/>
    <w:rsid w:val="504A7CCC"/>
    <w:rsid w:val="50506965"/>
    <w:rsid w:val="506045A1"/>
    <w:rsid w:val="50DC0D48"/>
    <w:rsid w:val="51B734A5"/>
    <w:rsid w:val="51E7154B"/>
    <w:rsid w:val="522D3402"/>
    <w:rsid w:val="52841AC9"/>
    <w:rsid w:val="52875411"/>
    <w:rsid w:val="52B6651B"/>
    <w:rsid w:val="52C253C3"/>
    <w:rsid w:val="52C27015"/>
    <w:rsid w:val="53CC27A6"/>
    <w:rsid w:val="53D43F85"/>
    <w:rsid w:val="53DE2B70"/>
    <w:rsid w:val="54014B46"/>
    <w:rsid w:val="54212AF2"/>
    <w:rsid w:val="5459613F"/>
    <w:rsid w:val="54905ECA"/>
    <w:rsid w:val="54C75CD2"/>
    <w:rsid w:val="54FE7E42"/>
    <w:rsid w:val="55E95892"/>
    <w:rsid w:val="561346BC"/>
    <w:rsid w:val="565F5285"/>
    <w:rsid w:val="56810B43"/>
    <w:rsid w:val="56920EB1"/>
    <w:rsid w:val="570D1A54"/>
    <w:rsid w:val="57942791"/>
    <w:rsid w:val="579954F5"/>
    <w:rsid w:val="57F25E45"/>
    <w:rsid w:val="57F64296"/>
    <w:rsid w:val="58615BB3"/>
    <w:rsid w:val="58640EBA"/>
    <w:rsid w:val="586A1CF4"/>
    <w:rsid w:val="58BB1103"/>
    <w:rsid w:val="591C7D2C"/>
    <w:rsid w:val="59573918"/>
    <w:rsid w:val="59D94D98"/>
    <w:rsid w:val="59DF76D7"/>
    <w:rsid w:val="59F36282"/>
    <w:rsid w:val="59F564AD"/>
    <w:rsid w:val="5A1D002F"/>
    <w:rsid w:val="5A3F4A9C"/>
    <w:rsid w:val="5A581029"/>
    <w:rsid w:val="5A9870AD"/>
    <w:rsid w:val="5ABF6D03"/>
    <w:rsid w:val="5B490AD6"/>
    <w:rsid w:val="5B7E4CCE"/>
    <w:rsid w:val="5B8B1199"/>
    <w:rsid w:val="5B9F3F13"/>
    <w:rsid w:val="5BCD355F"/>
    <w:rsid w:val="5C593045"/>
    <w:rsid w:val="5C7F2AAC"/>
    <w:rsid w:val="5CD1185B"/>
    <w:rsid w:val="5DE27796"/>
    <w:rsid w:val="5E1B6804"/>
    <w:rsid w:val="5E291DB5"/>
    <w:rsid w:val="5E696B06"/>
    <w:rsid w:val="5E7A7C5D"/>
    <w:rsid w:val="5EEA72F8"/>
    <w:rsid w:val="5F026AF1"/>
    <w:rsid w:val="5F265461"/>
    <w:rsid w:val="5F2F2E7A"/>
    <w:rsid w:val="5F8F1018"/>
    <w:rsid w:val="5FB213EA"/>
    <w:rsid w:val="5FD0361E"/>
    <w:rsid w:val="5FE92E6B"/>
    <w:rsid w:val="60432529"/>
    <w:rsid w:val="606C4BDB"/>
    <w:rsid w:val="60C562EF"/>
    <w:rsid w:val="61291238"/>
    <w:rsid w:val="61895341"/>
    <w:rsid w:val="619B6500"/>
    <w:rsid w:val="61A5713A"/>
    <w:rsid w:val="624272DA"/>
    <w:rsid w:val="62456545"/>
    <w:rsid w:val="62A4243E"/>
    <w:rsid w:val="634A36E8"/>
    <w:rsid w:val="638E5CCA"/>
    <w:rsid w:val="63AE1B87"/>
    <w:rsid w:val="63C90AB0"/>
    <w:rsid w:val="63DD0CDE"/>
    <w:rsid w:val="63FC70D8"/>
    <w:rsid w:val="64005F33"/>
    <w:rsid w:val="64106A0E"/>
    <w:rsid w:val="648D45B2"/>
    <w:rsid w:val="64CF3B8C"/>
    <w:rsid w:val="64E5191A"/>
    <w:rsid w:val="64F2458B"/>
    <w:rsid w:val="65322E75"/>
    <w:rsid w:val="653B59DE"/>
    <w:rsid w:val="65BE2AA5"/>
    <w:rsid w:val="65D07CD0"/>
    <w:rsid w:val="65FC7344"/>
    <w:rsid w:val="66871F4B"/>
    <w:rsid w:val="66A35E0E"/>
    <w:rsid w:val="670818F0"/>
    <w:rsid w:val="67087B42"/>
    <w:rsid w:val="67206C39"/>
    <w:rsid w:val="6724506F"/>
    <w:rsid w:val="67A06958"/>
    <w:rsid w:val="68790F37"/>
    <w:rsid w:val="68C34233"/>
    <w:rsid w:val="694A1AEF"/>
    <w:rsid w:val="69761612"/>
    <w:rsid w:val="69A80F39"/>
    <w:rsid w:val="69C75A92"/>
    <w:rsid w:val="69DD66F3"/>
    <w:rsid w:val="6A0D369A"/>
    <w:rsid w:val="6A552E93"/>
    <w:rsid w:val="6A6D3117"/>
    <w:rsid w:val="6B0D0BBE"/>
    <w:rsid w:val="6B40098D"/>
    <w:rsid w:val="6B910106"/>
    <w:rsid w:val="6C117498"/>
    <w:rsid w:val="6C333B5C"/>
    <w:rsid w:val="6C7A7069"/>
    <w:rsid w:val="6D064B23"/>
    <w:rsid w:val="6D2453CF"/>
    <w:rsid w:val="6D54763D"/>
    <w:rsid w:val="6EB42D97"/>
    <w:rsid w:val="6EC46A44"/>
    <w:rsid w:val="6ED24445"/>
    <w:rsid w:val="6F6D2C38"/>
    <w:rsid w:val="6F977CB5"/>
    <w:rsid w:val="6FDD4CA3"/>
    <w:rsid w:val="70311EB7"/>
    <w:rsid w:val="70B328CC"/>
    <w:rsid w:val="70F33611"/>
    <w:rsid w:val="7146712D"/>
    <w:rsid w:val="71704C61"/>
    <w:rsid w:val="71AB132F"/>
    <w:rsid w:val="71BC17C6"/>
    <w:rsid w:val="71BC1C54"/>
    <w:rsid w:val="71DD3F80"/>
    <w:rsid w:val="7239253B"/>
    <w:rsid w:val="73785C20"/>
    <w:rsid w:val="73F959A5"/>
    <w:rsid w:val="74602D6B"/>
    <w:rsid w:val="747C235C"/>
    <w:rsid w:val="74AC4202"/>
    <w:rsid w:val="74B17B79"/>
    <w:rsid w:val="74B65081"/>
    <w:rsid w:val="74D252CE"/>
    <w:rsid w:val="74D95234"/>
    <w:rsid w:val="74F47EDD"/>
    <w:rsid w:val="75045DEC"/>
    <w:rsid w:val="75BA17BF"/>
    <w:rsid w:val="7654281B"/>
    <w:rsid w:val="76C97F21"/>
    <w:rsid w:val="76CD220E"/>
    <w:rsid w:val="77101B8D"/>
    <w:rsid w:val="772A140E"/>
    <w:rsid w:val="77756B2D"/>
    <w:rsid w:val="77A64F39"/>
    <w:rsid w:val="77B5517C"/>
    <w:rsid w:val="77B70EF4"/>
    <w:rsid w:val="78085BF3"/>
    <w:rsid w:val="781212C0"/>
    <w:rsid w:val="78E8332F"/>
    <w:rsid w:val="790A0589"/>
    <w:rsid w:val="792A3C52"/>
    <w:rsid w:val="795F1843"/>
    <w:rsid w:val="7A0F2BA3"/>
    <w:rsid w:val="7A1E16FE"/>
    <w:rsid w:val="7A5C507C"/>
    <w:rsid w:val="7AA0585A"/>
    <w:rsid w:val="7AB210C4"/>
    <w:rsid w:val="7AF13257"/>
    <w:rsid w:val="7B110F3C"/>
    <w:rsid w:val="7B4B7C01"/>
    <w:rsid w:val="7B9F23CB"/>
    <w:rsid w:val="7CB00608"/>
    <w:rsid w:val="7CD6006E"/>
    <w:rsid w:val="7CE338D3"/>
    <w:rsid w:val="7CFD1A9F"/>
    <w:rsid w:val="7D130FAD"/>
    <w:rsid w:val="7D6B398A"/>
    <w:rsid w:val="7D893EF3"/>
    <w:rsid w:val="7DB55ED6"/>
    <w:rsid w:val="7DB87774"/>
    <w:rsid w:val="7E8A55B4"/>
    <w:rsid w:val="7E996565"/>
    <w:rsid w:val="7EC02D84"/>
    <w:rsid w:val="7EF67AE6"/>
    <w:rsid w:val="7F111831"/>
    <w:rsid w:val="7F533BF8"/>
    <w:rsid w:val="7F78540D"/>
    <w:rsid w:val="7FED77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semiHidden="0"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9"/>
    <w:pPr>
      <w:keepNext/>
      <w:ind w:firstLine="425"/>
      <w:outlineLvl w:val="0"/>
    </w:pPr>
    <w:rPr>
      <w:b/>
      <w:bCs/>
      <w:i/>
      <w:iCs/>
      <w:sz w:val="52"/>
      <w:szCs w:val="20"/>
    </w:rPr>
  </w:style>
  <w:style w:type="paragraph" w:styleId="3">
    <w:name w:val="heading 2"/>
    <w:basedOn w:val="1"/>
    <w:next w:val="1"/>
    <w:link w:val="39"/>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53"/>
    <w:autoRedefine/>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4"/>
    <w:autoRedefine/>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6"/>
    <w:basedOn w:val="1"/>
    <w:next w:val="1"/>
    <w:autoRedefine/>
    <w:qFormat/>
    <w:uiPriority w:val="0"/>
    <w:pPr>
      <w:keepNext/>
      <w:keepLines/>
      <w:spacing w:before="240" w:beforeLines="0" w:after="64" w:afterLines="0" w:line="317" w:lineRule="auto"/>
      <w:outlineLvl w:val="5"/>
    </w:pPr>
    <w:rPr>
      <w:rFonts w:ascii="Cambria" w:hAnsi="Cambria"/>
      <w:b/>
      <w:bCs/>
      <w:sz w:val="24"/>
      <w:szCs w:val="24"/>
    </w:rPr>
  </w:style>
  <w:style w:type="character" w:default="1" w:styleId="26">
    <w:name w:val="Default Paragraph Font"/>
    <w:autoRedefine/>
    <w:semiHidden/>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link w:val="60"/>
    <w:autoRedefine/>
    <w:unhideWhenUsed/>
    <w:qFormat/>
    <w:uiPriority w:val="99"/>
    <w:pPr>
      <w:jc w:val="left"/>
    </w:pPr>
  </w:style>
  <w:style w:type="paragraph" w:styleId="9">
    <w:name w:val="Body Text"/>
    <w:basedOn w:val="1"/>
    <w:link w:val="43"/>
    <w:autoRedefine/>
    <w:qFormat/>
    <w:uiPriority w:val="0"/>
    <w:pPr>
      <w:autoSpaceDE w:val="0"/>
      <w:autoSpaceDN w:val="0"/>
      <w:spacing w:line="360" w:lineRule="auto"/>
    </w:pPr>
    <w:rPr>
      <w:rFonts w:ascii="宋体" w:hAnsi="Arial" w:cs="Arial"/>
      <w:snapToGrid w:val="0"/>
      <w:sz w:val="24"/>
      <w:szCs w:val="21"/>
      <w:lang w:val="zh-CN"/>
    </w:rPr>
  </w:style>
  <w:style w:type="paragraph" w:styleId="10">
    <w:name w:val="Body Text Indent"/>
    <w:basedOn w:val="1"/>
    <w:next w:val="1"/>
    <w:link w:val="40"/>
    <w:autoRedefine/>
    <w:qFormat/>
    <w:uiPriority w:val="0"/>
    <w:pPr>
      <w:spacing w:line="480" w:lineRule="exact"/>
      <w:ind w:firstLine="480" w:firstLineChars="200"/>
    </w:pPr>
    <w:rPr>
      <w:rFonts w:ascii="宋体" w:hAnsi="宋体"/>
      <w:sz w:val="24"/>
    </w:rPr>
  </w:style>
  <w:style w:type="paragraph" w:styleId="11">
    <w:name w:val="toc 3"/>
    <w:basedOn w:val="1"/>
    <w:next w:val="1"/>
    <w:autoRedefine/>
    <w:qFormat/>
    <w:uiPriority w:val="0"/>
    <w:pPr>
      <w:ind w:left="840" w:leftChars="400"/>
    </w:pPr>
    <w:rPr>
      <w:rFonts w:ascii="Times New Roman" w:hAnsi="Times New Roman"/>
    </w:rPr>
  </w:style>
  <w:style w:type="paragraph" w:styleId="12">
    <w:name w:val="Plain Text"/>
    <w:basedOn w:val="1"/>
    <w:next w:val="1"/>
    <w:link w:val="42"/>
    <w:autoRedefine/>
    <w:qFormat/>
    <w:uiPriority w:val="0"/>
    <w:rPr>
      <w:rFonts w:ascii="宋体" w:hAnsi="Courier New" w:cs="Arial"/>
      <w:snapToGrid w:val="0"/>
      <w:szCs w:val="21"/>
    </w:rPr>
  </w:style>
  <w:style w:type="paragraph" w:styleId="13">
    <w:name w:val="Date"/>
    <w:basedOn w:val="1"/>
    <w:next w:val="1"/>
    <w:link w:val="41"/>
    <w:autoRedefine/>
    <w:qFormat/>
    <w:uiPriority w:val="0"/>
    <w:pPr>
      <w:ind w:left="100" w:leftChars="2500"/>
    </w:pPr>
    <w:rPr>
      <w:rFonts w:ascii="宋体"/>
      <w:sz w:val="24"/>
      <w:szCs w:val="21"/>
      <w:lang w:val="zh-CN"/>
    </w:rPr>
  </w:style>
  <w:style w:type="paragraph" w:styleId="14">
    <w:name w:val="Balloon Text"/>
    <w:basedOn w:val="1"/>
    <w:link w:val="56"/>
    <w:autoRedefine/>
    <w:unhideWhenUsed/>
    <w:qFormat/>
    <w:uiPriority w:val="99"/>
    <w:rPr>
      <w:sz w:val="18"/>
      <w:szCs w:val="18"/>
    </w:rPr>
  </w:style>
  <w:style w:type="paragraph" w:styleId="15">
    <w:name w:val="footer"/>
    <w:basedOn w:val="1"/>
    <w:link w:val="38"/>
    <w:autoRedefine/>
    <w:unhideWhenUsed/>
    <w:qFormat/>
    <w:uiPriority w:val="99"/>
    <w:pPr>
      <w:tabs>
        <w:tab w:val="center" w:pos="4153"/>
        <w:tab w:val="right" w:pos="8306"/>
      </w:tabs>
      <w:snapToGrid w:val="0"/>
      <w:jc w:val="left"/>
    </w:pPr>
    <w:rPr>
      <w:sz w:val="18"/>
      <w:szCs w:val="18"/>
    </w:rPr>
  </w:style>
  <w:style w:type="paragraph" w:styleId="16">
    <w:name w:val="header"/>
    <w:basedOn w:val="1"/>
    <w:link w:val="3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18">
    <w:name w:val="toc 6"/>
    <w:basedOn w:val="1"/>
    <w:next w:val="1"/>
    <w:autoRedefine/>
    <w:qFormat/>
    <w:uiPriority w:val="39"/>
    <w:pPr>
      <w:ind w:left="1000" w:leftChars="1000"/>
    </w:pPr>
  </w:style>
  <w:style w:type="paragraph" w:styleId="19">
    <w:name w:val="HTML Preformatted"/>
    <w:basedOn w:val="1"/>
    <w:autoRedefine/>
    <w:qFormat/>
    <w:uiPriority w:val="0"/>
    <w:rPr>
      <w:rFonts w:ascii="Courier New" w:hAnsi="Courier New" w:eastAsia="仿宋_GB2312"/>
      <w:b/>
      <w:sz w:val="32"/>
      <w:szCs w:val="32"/>
      <w:lang w:val="en-GB"/>
    </w:rPr>
  </w:style>
  <w:style w:type="paragraph" w:styleId="20">
    <w:name w:val="Normal (Web)"/>
    <w:basedOn w:val="1"/>
    <w:autoRedefine/>
    <w:qFormat/>
    <w:uiPriority w:val="99"/>
    <w:pPr>
      <w:spacing w:before="100" w:beforeAutospacing="1" w:after="100" w:afterAutospacing="1"/>
      <w:ind w:left="0" w:right="0"/>
      <w:jc w:val="left"/>
    </w:pPr>
    <w:rPr>
      <w:kern w:val="0"/>
      <w:sz w:val="24"/>
      <w:lang w:val="en-US" w:eastAsia="zh-CN" w:bidi="ar"/>
    </w:rPr>
  </w:style>
  <w:style w:type="paragraph" w:styleId="21">
    <w:name w:val="annotation subject"/>
    <w:basedOn w:val="8"/>
    <w:next w:val="8"/>
    <w:link w:val="61"/>
    <w:autoRedefine/>
    <w:unhideWhenUsed/>
    <w:qFormat/>
    <w:uiPriority w:val="99"/>
    <w:rPr>
      <w:b/>
      <w:bCs/>
    </w:rPr>
  </w:style>
  <w:style w:type="paragraph" w:styleId="22">
    <w:name w:val="Body Text First Indent"/>
    <w:basedOn w:val="9"/>
    <w:next w:val="1"/>
    <w:autoRedefine/>
    <w:qFormat/>
    <w:uiPriority w:val="0"/>
    <w:pPr>
      <w:widowControl w:val="0"/>
      <w:autoSpaceDE w:val="0"/>
      <w:autoSpaceDN w:val="0"/>
      <w:adjustRightInd w:val="0"/>
    </w:pPr>
    <w:rPr>
      <w:rFonts w:ascii="Times New Roman" w:hAnsi="Times New Roman" w:eastAsia="宋体" w:cs="Times New Roman"/>
      <w:sz w:val="28"/>
      <w:lang w:val="en-US" w:eastAsia="zh-CN" w:bidi="ar-SA"/>
    </w:rPr>
  </w:style>
  <w:style w:type="paragraph" w:styleId="23">
    <w:name w:val="Body Text First Indent 2"/>
    <w:basedOn w:val="10"/>
    <w:next w:val="1"/>
    <w:autoRedefine/>
    <w:unhideWhenUsed/>
    <w:qFormat/>
    <w:uiPriority w:val="99"/>
    <w:pPr>
      <w:ind w:firstLine="420"/>
    </w:pPr>
  </w:style>
  <w:style w:type="table" w:styleId="25">
    <w:name w:val="Table Grid"/>
    <w:basedOn w:val="24"/>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autoRedefine/>
    <w:qFormat/>
    <w:uiPriority w:val="0"/>
    <w:rPr>
      <w:rFonts w:ascii="Arial" w:hAnsi="Arial" w:eastAsia="黑体" w:cs="Arial"/>
      <w:snapToGrid w:val="0"/>
      <w:kern w:val="0"/>
      <w:szCs w:val="21"/>
    </w:rPr>
  </w:style>
  <w:style w:type="character" w:styleId="28">
    <w:name w:val="FollowedHyperlink"/>
    <w:basedOn w:val="26"/>
    <w:autoRedefine/>
    <w:semiHidden/>
    <w:unhideWhenUsed/>
    <w:qFormat/>
    <w:uiPriority w:val="99"/>
    <w:rPr>
      <w:color w:val="800080"/>
      <w:u w:val="none"/>
    </w:rPr>
  </w:style>
  <w:style w:type="character" w:styleId="29">
    <w:name w:val="Hyperlink"/>
    <w:autoRedefine/>
    <w:qFormat/>
    <w:uiPriority w:val="99"/>
    <w:rPr>
      <w:rFonts w:ascii="Arial" w:hAnsi="Arial" w:eastAsia="黑体" w:cs="Arial"/>
      <w:snapToGrid w:val="0"/>
      <w:color w:val="000000"/>
      <w:kern w:val="0"/>
      <w:sz w:val="18"/>
      <w:szCs w:val="18"/>
      <w:u w:val="none"/>
    </w:rPr>
  </w:style>
  <w:style w:type="character" w:styleId="30">
    <w:name w:val="annotation reference"/>
    <w:basedOn w:val="26"/>
    <w:autoRedefine/>
    <w:unhideWhenUsed/>
    <w:qFormat/>
    <w:uiPriority w:val="99"/>
    <w:rPr>
      <w:sz w:val="21"/>
      <w:szCs w:val="21"/>
    </w:rPr>
  </w:style>
  <w:style w:type="paragraph" w:customStyle="1" w:styleId="31">
    <w:name w:val="_Style 3"/>
    <w:basedOn w:val="1"/>
    <w:autoRedefine/>
    <w:qFormat/>
    <w:uiPriority w:val="0"/>
    <w:pPr>
      <w:ind w:firstLine="420" w:firstLineChars="200"/>
    </w:pPr>
    <w:rPr>
      <w:rFonts w:eastAsia="仿宋_GB2312"/>
      <w:sz w:val="28"/>
    </w:rPr>
  </w:style>
  <w:style w:type="paragraph" w:customStyle="1" w:styleId="32">
    <w:name w:val="List Paragraph"/>
    <w:basedOn w:val="1"/>
    <w:autoRedefine/>
    <w:qFormat/>
    <w:uiPriority w:val="0"/>
    <w:pPr>
      <w:ind w:firstLine="420" w:firstLineChars="200"/>
    </w:pPr>
    <w:rPr>
      <w:rFonts w:ascii="Calibri" w:hAnsi="Calibri"/>
      <w:szCs w:val="22"/>
    </w:rPr>
  </w:style>
  <w:style w:type="paragraph" w:customStyle="1" w:styleId="33">
    <w:name w:val="BodyText"/>
    <w:basedOn w:val="1"/>
    <w:next w:val="1"/>
    <w:autoRedefine/>
    <w:qFormat/>
    <w:uiPriority w:val="0"/>
    <w:pPr>
      <w:spacing w:before="100" w:beforeAutospacing="1" w:after="120"/>
      <w:jc w:val="both"/>
      <w:textAlignment w:val="baseline"/>
    </w:pPr>
    <w:rPr>
      <w:kern w:val="0"/>
      <w:sz w:val="20"/>
      <w:szCs w:val="21"/>
      <w:lang w:val="en-US" w:eastAsia="zh-CN" w:bidi="ar-SA"/>
    </w:rPr>
  </w:style>
  <w:style w:type="paragraph" w:customStyle="1" w:styleId="34">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rPr>
  </w:style>
  <w:style w:type="paragraph" w:customStyle="1" w:styleId="35">
    <w:name w:val="列出段落1"/>
    <w:basedOn w:val="1"/>
    <w:link w:val="57"/>
    <w:autoRedefine/>
    <w:qFormat/>
    <w:uiPriority w:val="0"/>
    <w:pPr>
      <w:ind w:firstLine="420" w:firstLineChars="200"/>
    </w:pPr>
    <w:rPr>
      <w:rFonts w:ascii="Times New Roman" w:hAnsi="Times New Roman" w:eastAsiaTheme="minorEastAsia" w:cstheme="minorBidi"/>
    </w:rPr>
  </w:style>
  <w:style w:type="paragraph" w:customStyle="1" w:styleId="36">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7">
    <w:name w:val="页眉 字符"/>
    <w:basedOn w:val="26"/>
    <w:link w:val="16"/>
    <w:autoRedefine/>
    <w:qFormat/>
    <w:uiPriority w:val="99"/>
    <w:rPr>
      <w:sz w:val="18"/>
      <w:szCs w:val="18"/>
    </w:rPr>
  </w:style>
  <w:style w:type="character" w:customStyle="1" w:styleId="38">
    <w:name w:val="页脚 字符"/>
    <w:basedOn w:val="26"/>
    <w:link w:val="15"/>
    <w:autoRedefine/>
    <w:qFormat/>
    <w:uiPriority w:val="99"/>
    <w:rPr>
      <w:sz w:val="18"/>
      <w:szCs w:val="18"/>
    </w:rPr>
  </w:style>
  <w:style w:type="character" w:customStyle="1" w:styleId="39">
    <w:name w:val="标题 2 字符"/>
    <w:basedOn w:val="26"/>
    <w:link w:val="3"/>
    <w:autoRedefine/>
    <w:qFormat/>
    <w:uiPriority w:val="0"/>
    <w:rPr>
      <w:rFonts w:ascii="仿宋_GB2312" w:hAnsi="仿宋" w:eastAsia="仿宋_GB2312" w:cs="Times New Roman"/>
      <w:b/>
      <w:bCs/>
      <w:sz w:val="32"/>
      <w:szCs w:val="32"/>
      <w:lang w:val="zh-CN"/>
    </w:rPr>
  </w:style>
  <w:style w:type="character" w:customStyle="1" w:styleId="40">
    <w:name w:val="正文文本缩进 字符"/>
    <w:basedOn w:val="26"/>
    <w:link w:val="10"/>
    <w:autoRedefine/>
    <w:qFormat/>
    <w:uiPriority w:val="0"/>
    <w:rPr>
      <w:rFonts w:ascii="宋体" w:hAnsi="宋体" w:eastAsia="宋体" w:cs="Times New Roman"/>
      <w:sz w:val="24"/>
      <w:szCs w:val="24"/>
    </w:rPr>
  </w:style>
  <w:style w:type="character" w:customStyle="1" w:styleId="41">
    <w:name w:val="日期 字符"/>
    <w:basedOn w:val="26"/>
    <w:link w:val="13"/>
    <w:autoRedefine/>
    <w:qFormat/>
    <w:uiPriority w:val="0"/>
    <w:rPr>
      <w:rFonts w:ascii="宋体" w:hAnsi="Calibri" w:eastAsia="宋体" w:cs="Times New Roman"/>
      <w:sz w:val="24"/>
      <w:szCs w:val="21"/>
      <w:lang w:val="zh-CN"/>
    </w:rPr>
  </w:style>
  <w:style w:type="character" w:customStyle="1" w:styleId="42">
    <w:name w:val="纯文本 字符"/>
    <w:basedOn w:val="26"/>
    <w:link w:val="12"/>
    <w:autoRedefine/>
    <w:qFormat/>
    <w:uiPriority w:val="0"/>
    <w:rPr>
      <w:rFonts w:ascii="宋体" w:hAnsi="Courier New" w:eastAsia="宋体" w:cs="Arial"/>
      <w:snapToGrid w:val="0"/>
      <w:szCs w:val="21"/>
    </w:rPr>
  </w:style>
  <w:style w:type="character" w:customStyle="1" w:styleId="43">
    <w:name w:val="正文文本 字符"/>
    <w:basedOn w:val="26"/>
    <w:link w:val="9"/>
    <w:autoRedefine/>
    <w:qFormat/>
    <w:uiPriority w:val="0"/>
    <w:rPr>
      <w:rFonts w:ascii="宋体" w:hAnsi="Arial" w:eastAsia="宋体" w:cs="Arial"/>
      <w:snapToGrid w:val="0"/>
      <w:sz w:val="24"/>
      <w:szCs w:val="21"/>
      <w:lang w:val="zh-CN"/>
    </w:rPr>
  </w:style>
  <w:style w:type="paragraph" w:customStyle="1" w:styleId="44">
    <w:name w:val="索引 11"/>
    <w:basedOn w:val="1"/>
    <w:next w:val="1"/>
    <w:autoRedefine/>
    <w:qFormat/>
    <w:uiPriority w:val="99"/>
    <w:pPr>
      <w:spacing w:line="360" w:lineRule="auto"/>
    </w:pPr>
    <w:rPr>
      <w:rFonts w:ascii="仿宋_GB2312" w:eastAsia="仿宋_GB2312"/>
      <w:sz w:val="24"/>
      <w:szCs w:val="20"/>
    </w:rPr>
  </w:style>
  <w:style w:type="paragraph" w:customStyle="1" w:styleId="4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
    <w:name w:val="text-tag"/>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customStyle="1" w:styleId="48">
    <w:name w:val="纯文本1"/>
    <w:basedOn w:val="1"/>
    <w:autoRedefine/>
    <w:qFormat/>
    <w:uiPriority w:val="0"/>
    <w:rPr>
      <w:rFonts w:ascii="宋体" w:hAnsi="Courier New"/>
      <w:kern w:val="0"/>
      <w:sz w:val="20"/>
      <w:szCs w:val="20"/>
    </w:rPr>
  </w:style>
  <w:style w:type="paragraph" w:customStyle="1" w:styleId="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0_0"/>
    <w:basedOn w:val="49"/>
    <w:autoRedefine/>
    <w:qFormat/>
    <w:uiPriority w:val="0"/>
    <w:rPr>
      <w:rFonts w:ascii="宋体" w:hAnsi="Courier New"/>
      <w:szCs w:val="21"/>
    </w:rPr>
  </w:style>
  <w:style w:type="paragraph" w:customStyle="1" w:styleId="51">
    <w:name w:val="正文2"/>
    <w:basedOn w:val="1"/>
    <w:autoRedefine/>
    <w:qFormat/>
    <w:uiPriority w:val="0"/>
    <w:pPr>
      <w:spacing w:before="156" w:line="360" w:lineRule="auto"/>
      <w:ind w:firstLine="510" w:firstLineChars="200"/>
    </w:pPr>
    <w:rPr>
      <w:sz w:val="24"/>
      <w:szCs w:val="20"/>
    </w:rPr>
  </w:style>
  <w:style w:type="paragraph" w:customStyle="1" w:styleId="52">
    <w:name w:val="正文缩进1"/>
    <w:basedOn w:val="1"/>
    <w:next w:val="10"/>
    <w:autoRedefine/>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3">
    <w:name w:val="标题 3 字符"/>
    <w:basedOn w:val="26"/>
    <w:link w:val="4"/>
    <w:autoRedefine/>
    <w:semiHidden/>
    <w:qFormat/>
    <w:uiPriority w:val="9"/>
    <w:rPr>
      <w:rFonts w:ascii="Calibri" w:hAnsi="Calibri" w:eastAsia="宋体" w:cs="Times New Roman"/>
      <w:b/>
      <w:bCs/>
      <w:sz w:val="32"/>
      <w:szCs w:val="32"/>
    </w:rPr>
  </w:style>
  <w:style w:type="character" w:customStyle="1" w:styleId="54">
    <w:name w:val="标题 4 字符"/>
    <w:basedOn w:val="26"/>
    <w:link w:val="5"/>
    <w:autoRedefine/>
    <w:semiHidden/>
    <w:qFormat/>
    <w:uiPriority w:val="9"/>
    <w:rPr>
      <w:rFonts w:asciiTheme="majorHAnsi" w:hAnsiTheme="majorHAnsi" w:eastAsiaTheme="majorEastAsia" w:cstheme="majorBidi"/>
      <w:b/>
      <w:bCs/>
      <w:sz w:val="28"/>
      <w:szCs w:val="28"/>
    </w:rPr>
  </w:style>
  <w:style w:type="paragraph" w:customStyle="1" w:styleId="55">
    <w:name w:val="标题4"/>
    <w:basedOn w:val="1"/>
    <w:autoRedefine/>
    <w:qFormat/>
    <w:uiPriority w:val="0"/>
    <w:rPr>
      <w:rFonts w:ascii="Times New Roman" w:hAnsi="Times New Roman" w:eastAsia="仿宋_GB2312"/>
      <w:sz w:val="32"/>
      <w:szCs w:val="20"/>
    </w:rPr>
  </w:style>
  <w:style w:type="character" w:customStyle="1" w:styleId="56">
    <w:name w:val="批注框文本 字符"/>
    <w:basedOn w:val="26"/>
    <w:link w:val="14"/>
    <w:autoRedefine/>
    <w:semiHidden/>
    <w:qFormat/>
    <w:uiPriority w:val="99"/>
    <w:rPr>
      <w:rFonts w:ascii="Calibri" w:hAnsi="Calibri" w:eastAsia="宋体" w:cs="Times New Roman"/>
      <w:sz w:val="18"/>
      <w:szCs w:val="18"/>
    </w:rPr>
  </w:style>
  <w:style w:type="character" w:customStyle="1" w:styleId="57">
    <w:name w:val="List Paragraph Char"/>
    <w:link w:val="35"/>
    <w:autoRedefine/>
    <w:qFormat/>
    <w:locked/>
    <w:uiPriority w:val="0"/>
    <w:rPr>
      <w:rFonts w:ascii="Times New Roman" w:hAnsi="Times New Roman"/>
      <w:szCs w:val="24"/>
    </w:rPr>
  </w:style>
  <w:style w:type="paragraph" w:customStyle="1" w:styleId="58">
    <w:name w:val="列表段落1"/>
    <w:basedOn w:val="1"/>
    <w:autoRedefine/>
    <w:qFormat/>
    <w:uiPriority w:val="99"/>
    <w:pPr>
      <w:ind w:firstLine="420" w:firstLineChars="200"/>
    </w:pPr>
  </w:style>
  <w:style w:type="paragraph" w:customStyle="1" w:styleId="59">
    <w:name w:val="修订1"/>
    <w:autoRedefine/>
    <w:hidden/>
    <w:semiHidden/>
    <w:qFormat/>
    <w:uiPriority w:val="99"/>
    <w:rPr>
      <w:rFonts w:ascii="Calibri" w:hAnsi="Calibri" w:eastAsia="宋体" w:cs="Times New Roman"/>
      <w:kern w:val="2"/>
      <w:sz w:val="21"/>
      <w:szCs w:val="24"/>
      <w:lang w:val="en-US" w:eastAsia="zh-CN" w:bidi="ar-SA"/>
    </w:rPr>
  </w:style>
  <w:style w:type="character" w:customStyle="1" w:styleId="60">
    <w:name w:val="批注文字 字符"/>
    <w:basedOn w:val="26"/>
    <w:link w:val="8"/>
    <w:autoRedefine/>
    <w:semiHidden/>
    <w:qFormat/>
    <w:uiPriority w:val="99"/>
    <w:rPr>
      <w:rFonts w:ascii="Calibri" w:hAnsi="Calibri"/>
      <w:kern w:val="2"/>
      <w:sz w:val="21"/>
      <w:szCs w:val="24"/>
    </w:rPr>
  </w:style>
  <w:style w:type="character" w:customStyle="1" w:styleId="61">
    <w:name w:val="批注主题 字符"/>
    <w:basedOn w:val="60"/>
    <w:link w:val="21"/>
    <w:autoRedefine/>
    <w:semiHidden/>
    <w:qFormat/>
    <w:uiPriority w:val="99"/>
    <w:rPr>
      <w:rFonts w:ascii="Calibri" w:hAnsi="Calibri"/>
      <w:b/>
      <w:bCs/>
      <w:kern w:val="2"/>
      <w:sz w:val="21"/>
      <w:szCs w:val="24"/>
    </w:rPr>
  </w:style>
  <w:style w:type="paragraph" w:customStyle="1" w:styleId="62">
    <w:name w:val="修订2"/>
    <w:autoRedefine/>
    <w:hidden/>
    <w:semiHidden/>
    <w:qFormat/>
    <w:uiPriority w:val="99"/>
    <w:rPr>
      <w:rFonts w:ascii="Calibri" w:hAnsi="Calibri" w:eastAsia="宋体" w:cs="Times New Roman"/>
      <w:kern w:val="2"/>
      <w:sz w:val="21"/>
      <w:szCs w:val="24"/>
      <w:lang w:val="en-US" w:eastAsia="zh-CN" w:bidi="ar-SA"/>
    </w:rPr>
  </w:style>
  <w:style w:type="paragraph" w:customStyle="1" w:styleId="63">
    <w:name w:val="修订3"/>
    <w:autoRedefine/>
    <w:hidden/>
    <w:semiHidden/>
    <w:qFormat/>
    <w:uiPriority w:val="99"/>
    <w:rPr>
      <w:rFonts w:ascii="Calibri" w:hAnsi="Calibri" w:eastAsia="宋体" w:cs="Times New Roman"/>
      <w:kern w:val="2"/>
      <w:sz w:val="21"/>
      <w:szCs w:val="24"/>
      <w:lang w:val="en-US" w:eastAsia="zh-CN" w:bidi="ar-SA"/>
    </w:rPr>
  </w:style>
  <w:style w:type="character" w:customStyle="1" w:styleId="64">
    <w:name w:val="textcolor1"/>
    <w:basedOn w:val="26"/>
    <w:autoRedefine/>
    <w:qFormat/>
    <w:uiPriority w:val="0"/>
    <w:rPr>
      <w:color w:val="FF6600"/>
    </w:rPr>
  </w:style>
  <w:style w:type="table" w:customStyle="1" w:styleId="65">
    <w:name w:val="Table Normal"/>
    <w:autoRedefine/>
    <w:semiHidden/>
    <w:unhideWhenUsed/>
    <w:qFormat/>
    <w:uiPriority w:val="0"/>
    <w:tblPr>
      <w:tblCellMar>
        <w:top w:w="0" w:type="dxa"/>
        <w:left w:w="0" w:type="dxa"/>
        <w:bottom w:w="0" w:type="dxa"/>
        <w:right w:w="0" w:type="dxa"/>
      </w:tblCellMar>
    </w:tblPr>
  </w:style>
  <w:style w:type="paragraph" w:customStyle="1" w:styleId="66">
    <w:name w:val="公告正文"/>
    <w:basedOn w:val="1"/>
    <w:autoRedefine/>
    <w:qFormat/>
    <w:uiPriority w:val="0"/>
    <w:pPr>
      <w:spacing w:line="400" w:lineRule="atLeast"/>
      <w:ind w:firstLine="437"/>
    </w:pPr>
    <w:rPr>
      <w:rFonts w:ascii="宋体" w:hAnsi="宋体"/>
      <w:kern w:val="0"/>
      <w:sz w:val="24"/>
    </w:rPr>
  </w:style>
  <w:style w:type="paragraph" w:customStyle="1" w:styleId="67">
    <w:name w:val="须知二级小标题"/>
    <w:basedOn w:val="1"/>
    <w:autoRedefine/>
    <w:qFormat/>
    <w:uiPriority w:val="0"/>
    <w:pPr>
      <w:spacing w:line="500" w:lineRule="exact"/>
    </w:pPr>
    <w:rPr>
      <w:rFonts w:ascii="宋体"/>
      <w:b/>
      <w:sz w:val="24"/>
    </w:rPr>
  </w:style>
  <w:style w:type="paragraph" w:customStyle="1" w:styleId="68">
    <w:name w:val="Plain Text"/>
    <w:basedOn w:val="1"/>
    <w:autoRedefine/>
    <w:qFormat/>
    <w:uiPriority w:val="0"/>
    <w:rPr>
      <w:rFonts w:ascii="宋体" w:hAnsi="Courier New" w:eastAsia="Times New Roman"/>
      <w:kern w:val="0"/>
      <w:sz w:val="20"/>
      <w:szCs w:val="20"/>
    </w:rPr>
  </w:style>
  <w:style w:type="character" w:customStyle="1" w:styleId="69">
    <w:name w:val="cur"/>
    <w:basedOn w:val="26"/>
    <w:autoRedefine/>
    <w:qFormat/>
    <w:uiPriority w:val="0"/>
  </w:style>
  <w:style w:type="character" w:customStyle="1" w:styleId="70">
    <w:name w:val="layui-laypage-curr"/>
    <w:basedOn w:val="26"/>
    <w:autoRedefine/>
    <w:qFormat/>
    <w:uiPriority w:val="0"/>
  </w:style>
  <w:style w:type="paragraph" w:customStyle="1" w:styleId="71">
    <w:name w:val="样式 首行缩进:  2 字符"/>
    <w:basedOn w:val="1"/>
    <w:qFormat/>
    <w:uiPriority w:val="0"/>
    <w:pPr>
      <w:spacing w:line="360" w:lineRule="auto"/>
      <w:ind w:firstLine="480" w:firstLineChars="200"/>
    </w:pPr>
    <w:rPr>
      <w:rFonts w:eastAsia="新宋体" w:cs="宋体"/>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74</Pages>
  <Words>3866</Words>
  <Characters>4509</Characters>
  <Lines>245</Lines>
  <Paragraphs>69</Paragraphs>
  <TotalTime>1</TotalTime>
  <ScaleCrop>false</ScaleCrop>
  <LinksUpToDate>false</LinksUpToDate>
  <CharactersWithSpaces>4709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2023-02-04T21:06:00Z</dcterms:created>
  <dc:creator>Microsoft</dc:creator>
  <cp:lastModifiedBy>小怪</cp:lastModifiedBy>
  <cp:lastPrinted>2024-12-30T07:24:00Z</cp:lastPrinted>
  <dcterms:modified xsi:type="dcterms:W3CDTF">2025-04-01T06:46:07Z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8B5B27000FE445D087EE802C81AAB260_13</vt:lpwstr>
  </property>
  <property fmtid="{D5CDD505-2E9C-101B-9397-08002B2CF9AE}" pid="4" name="KSOTemplateDocerSaveRecord">
    <vt:lpwstr>eyJoZGlkIjoiOTE0YTY5YmI0YzFjZTI2YmI4Y2RiYTQzYjMwOTVmM2MiLCJ1c2VySWQiOiI0MzI4MDYzODgifQ==</vt:lpwstr>
  </property>
</Properties>
</file>