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70"/>
        </w:tabs>
        <w:spacing w:before="240" w:beforeLines="100" w:after="100" w:afterAutospacing="1" w:line="360" w:lineRule="auto"/>
        <w:ind w:right="-107" w:rightChars="-51"/>
        <w:jc w:val="center"/>
        <w:rPr>
          <w:rFonts w:hint="eastAsia" w:ascii="黑体" w:hAnsi="黑体" w:eastAsia="黑体" w:cs="宋体"/>
          <w:b/>
          <w:color w:val="auto"/>
          <w:sz w:val="52"/>
          <w:szCs w:val="52"/>
          <w:highlight w:val="none"/>
          <w:lang w:eastAsia="zh-CN"/>
        </w:rPr>
      </w:pPr>
    </w:p>
    <w:p>
      <w:pPr>
        <w:tabs>
          <w:tab w:val="left" w:pos="1470"/>
        </w:tabs>
        <w:spacing w:before="240" w:beforeLines="100" w:after="100" w:afterAutospacing="1" w:line="360" w:lineRule="auto"/>
        <w:ind w:right="-107" w:rightChars="-51"/>
        <w:jc w:val="center"/>
        <w:rPr>
          <w:rFonts w:hint="eastAsia" w:ascii="黑体" w:hAnsi="黑体" w:eastAsia="黑体" w:cs="宋体"/>
          <w:b/>
          <w:color w:val="auto"/>
          <w:sz w:val="52"/>
          <w:szCs w:val="52"/>
          <w:highlight w:val="none"/>
          <w:lang w:eastAsia="zh-CN"/>
        </w:rPr>
      </w:pPr>
      <w:r>
        <w:rPr>
          <w:rFonts w:hint="eastAsia" w:ascii="黑体" w:hAnsi="黑体" w:eastAsia="黑体" w:cs="宋体"/>
          <w:b/>
          <w:color w:val="auto"/>
          <w:sz w:val="52"/>
          <w:szCs w:val="52"/>
          <w:highlight w:val="none"/>
          <w:lang w:eastAsia="zh-CN"/>
        </w:rPr>
        <w:t>乐派芯园一期物业开办物资采购项目</w:t>
      </w:r>
    </w:p>
    <w:p>
      <w:pPr>
        <w:spacing w:before="240" w:beforeLines="100" w:after="100" w:afterAutospacing="1" w:line="500" w:lineRule="exact"/>
        <w:ind w:right="-107" w:rightChars="-51"/>
        <w:jc w:val="center"/>
        <w:rPr>
          <w:rFonts w:hint="eastAsia" w:ascii="宋体" w:hAnsi="宋体" w:eastAsia="宋体"/>
          <w:b/>
          <w:color w:val="auto"/>
          <w:spacing w:val="40"/>
          <w:sz w:val="40"/>
          <w:szCs w:val="40"/>
          <w:highlight w:val="none"/>
          <w:lang w:eastAsia="zh-CN"/>
        </w:rPr>
      </w:pPr>
    </w:p>
    <w:p>
      <w:pPr>
        <w:spacing w:before="240" w:beforeLines="100" w:after="100" w:afterAutospacing="1" w:line="1060" w:lineRule="exact"/>
        <w:ind w:right="-107" w:rightChars="-51"/>
        <w:jc w:val="center"/>
        <w:rPr>
          <w:rFonts w:hint="eastAsia" w:ascii="黑体" w:hAnsi="黑体" w:eastAsia="黑体" w:cs="宋体"/>
          <w:b/>
          <w:color w:val="auto"/>
          <w:spacing w:val="16"/>
          <w:szCs w:val="21"/>
          <w:highlight w:val="none"/>
        </w:rPr>
      </w:pPr>
    </w:p>
    <w:p>
      <w:pPr>
        <w:pStyle w:val="49"/>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pStyle w:val="49"/>
        <w:rPr>
          <w:rFonts w:hint="eastAsia"/>
          <w:color w:val="auto"/>
          <w:highlight w:val="none"/>
        </w:rPr>
      </w:pPr>
    </w:p>
    <w:p>
      <w:pPr>
        <w:widowControl/>
        <w:jc w:val="center"/>
        <w:textAlignment w:val="center"/>
        <w:rPr>
          <w:rFonts w:hint="eastAsia" w:ascii="宋体" w:hAnsi="宋体"/>
          <w:b/>
          <w:color w:val="auto"/>
          <w:spacing w:val="100"/>
          <w:sz w:val="84"/>
          <w:szCs w:val="84"/>
          <w:highlight w:val="none"/>
        </w:rPr>
      </w:pPr>
      <w:r>
        <w:rPr>
          <w:rFonts w:hint="eastAsia" w:ascii="宋体" w:hAnsi="宋体" w:cs="宋体"/>
          <w:b/>
          <w:color w:val="auto"/>
          <w:spacing w:val="16"/>
          <w:sz w:val="90"/>
          <w:szCs w:val="90"/>
          <w:highlight w:val="none"/>
        </w:rPr>
        <w:t>招  标  文  件</w:t>
      </w:r>
    </w:p>
    <w:p>
      <w:pPr>
        <w:spacing w:before="240" w:beforeLines="100" w:after="100" w:afterAutospacing="1" w:line="800" w:lineRule="exact"/>
        <w:ind w:right="-107" w:rightChars="-51"/>
        <w:jc w:val="center"/>
        <w:rPr>
          <w:rFonts w:ascii="宋体" w:hAnsi="宋体"/>
          <w:b/>
          <w:color w:val="auto"/>
          <w:spacing w:val="40"/>
          <w:sz w:val="84"/>
          <w:szCs w:val="84"/>
          <w:highlight w:val="none"/>
        </w:rPr>
      </w:pPr>
    </w:p>
    <w:p>
      <w:pPr>
        <w:spacing w:line="360" w:lineRule="auto"/>
        <w:ind w:right="531" w:rightChars="253"/>
        <w:rPr>
          <w:rFonts w:hint="eastAsia" w:ascii="宋体" w:hAnsi="宋体"/>
          <w:color w:val="auto"/>
          <w:sz w:val="32"/>
          <w:szCs w:val="32"/>
          <w:highlight w:val="none"/>
        </w:rPr>
      </w:pPr>
    </w:p>
    <w:p>
      <w:pPr>
        <w:pStyle w:val="35"/>
        <w:rPr>
          <w:rFonts w:hint="eastAsia" w:ascii="宋体" w:hAnsi="宋体"/>
          <w:color w:val="auto"/>
          <w:sz w:val="32"/>
          <w:szCs w:val="32"/>
          <w:highlight w:val="none"/>
        </w:rPr>
      </w:pPr>
    </w:p>
    <w:p>
      <w:pPr>
        <w:rPr>
          <w:rFonts w:hint="eastAsia"/>
          <w:color w:val="auto"/>
          <w:highlight w:val="none"/>
        </w:rPr>
      </w:pPr>
    </w:p>
    <w:p>
      <w:pPr>
        <w:spacing w:line="360" w:lineRule="auto"/>
        <w:ind w:right="531" w:rightChars="253" w:firstLine="800" w:firstLineChars="25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HNZCCG20241001</w:t>
      </w:r>
    </w:p>
    <w:p>
      <w:pPr>
        <w:spacing w:line="360" w:lineRule="auto"/>
        <w:ind w:left="2085" w:leftChars="380" w:right="531" w:rightChars="253" w:hanging="1287" w:hangingChars="450"/>
        <w:rPr>
          <w:rFonts w:hint="eastAsia" w:eastAsia="宋体"/>
          <w:color w:val="auto"/>
          <w:spacing w:val="-17"/>
          <w:sz w:val="32"/>
          <w:szCs w:val="32"/>
          <w:highlight w:val="none"/>
          <w:lang w:eastAsia="zh-CN"/>
        </w:rPr>
      </w:pPr>
      <w:r>
        <w:rPr>
          <w:rFonts w:hint="eastAsia" w:ascii="宋体" w:hAnsi="宋体"/>
          <w:color w:val="auto"/>
          <w:spacing w:val="-17"/>
          <w:sz w:val="32"/>
          <w:szCs w:val="32"/>
          <w:highlight w:val="none"/>
        </w:rPr>
        <w:t>项目名称：</w:t>
      </w:r>
      <w:r>
        <w:rPr>
          <w:rFonts w:hint="eastAsia" w:ascii="宋体" w:hAnsi="宋体"/>
          <w:color w:val="auto"/>
          <w:spacing w:val="-51"/>
          <w:sz w:val="32"/>
          <w:szCs w:val="32"/>
          <w:highlight w:val="none"/>
          <w:lang w:eastAsia="zh-CN"/>
        </w:rPr>
        <w:t>乐派芯园一期物业开办物资采购项目</w:t>
      </w:r>
    </w:p>
    <w:p>
      <w:pPr>
        <w:spacing w:line="360" w:lineRule="auto"/>
        <w:ind w:right="531" w:rightChars="253" w:firstLine="800" w:firstLineChars="250"/>
        <w:rPr>
          <w:rFonts w:hint="eastAsia" w:ascii="宋体" w:hAnsi="宋体"/>
          <w:color w:val="auto"/>
          <w:sz w:val="32"/>
          <w:szCs w:val="32"/>
          <w:highlight w:val="none"/>
        </w:rPr>
      </w:pPr>
      <w:r>
        <w:rPr>
          <w:rFonts w:hint="eastAsia" w:ascii="宋体" w:hAnsi="宋体"/>
          <w:color w:val="auto"/>
          <w:sz w:val="32"/>
          <w:szCs w:val="32"/>
          <w:highlight w:val="none"/>
        </w:rPr>
        <w:t>招标方式：公开招标</w:t>
      </w:r>
    </w:p>
    <w:p>
      <w:pPr>
        <w:spacing w:line="360" w:lineRule="auto"/>
        <w:ind w:right="531" w:rightChars="253" w:firstLine="800" w:firstLineChars="25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采 购 人：</w:t>
      </w:r>
      <w:r>
        <w:rPr>
          <w:rFonts w:hint="eastAsia" w:ascii="宋体" w:hAnsi="宋体"/>
          <w:color w:val="auto"/>
          <w:sz w:val="32"/>
          <w:szCs w:val="32"/>
          <w:highlight w:val="none"/>
          <w:lang w:eastAsia="zh-CN"/>
        </w:rPr>
        <w:t>海宁乐派芯园科技有限公司</w:t>
      </w:r>
    </w:p>
    <w:p>
      <w:pPr>
        <w:spacing w:line="360" w:lineRule="auto"/>
        <w:ind w:right="531" w:rightChars="253" w:firstLine="800" w:firstLineChars="250"/>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代理机构：</w:t>
      </w:r>
      <w:r>
        <w:rPr>
          <w:rFonts w:hint="eastAsia" w:ascii="宋体" w:hAnsi="宋体"/>
          <w:color w:val="auto"/>
          <w:sz w:val="32"/>
          <w:szCs w:val="32"/>
          <w:highlight w:val="none"/>
          <w:lang w:eastAsia="zh-CN"/>
        </w:rPr>
        <w:t>嘉兴市中诚建设咨询有限公司</w:t>
      </w:r>
    </w:p>
    <w:p>
      <w:pPr>
        <w:ind w:firstLine="800" w:firstLineChars="250"/>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rPr>
        <w:t xml:space="preserve">时 </w:t>
      </w:r>
      <w:r>
        <w:rPr>
          <w:rFonts w:ascii="宋体" w:hAnsi="宋体"/>
          <w:color w:val="auto"/>
          <w:sz w:val="32"/>
          <w:szCs w:val="32"/>
          <w:highlight w:val="none"/>
        </w:rPr>
        <w:t xml:space="preserve">   </w:t>
      </w:r>
      <w:r>
        <w:rPr>
          <w:rFonts w:hint="eastAsia" w:ascii="宋体" w:hAnsi="宋体"/>
          <w:color w:val="auto"/>
          <w:sz w:val="32"/>
          <w:szCs w:val="32"/>
          <w:highlight w:val="none"/>
        </w:rPr>
        <w:t>间：</w:t>
      </w:r>
      <w:r>
        <w:rPr>
          <w:rFonts w:hint="eastAsia" w:ascii="宋体" w:hAnsi="宋体"/>
          <w:color w:val="auto"/>
          <w:sz w:val="32"/>
          <w:szCs w:val="32"/>
          <w:highlight w:val="none"/>
        </w:rPr>
        <w:t>二〇二</w:t>
      </w:r>
      <w:r>
        <w:rPr>
          <w:rFonts w:hint="eastAsia" w:ascii="宋体" w:hAnsi="宋体"/>
          <w:color w:val="auto"/>
          <w:sz w:val="32"/>
          <w:szCs w:val="32"/>
          <w:highlight w:val="none"/>
          <w:lang w:val="en-US" w:eastAsia="zh-CN"/>
        </w:rPr>
        <w:t>四</w:t>
      </w:r>
      <w:r>
        <w:rPr>
          <w:rFonts w:hint="eastAsia" w:ascii="宋体" w:hAnsi="宋体"/>
          <w:color w:val="auto"/>
          <w:sz w:val="32"/>
          <w:szCs w:val="32"/>
          <w:highlight w:val="none"/>
        </w:rPr>
        <w:t>年</w:t>
      </w:r>
      <w:r>
        <w:rPr>
          <w:rFonts w:hint="eastAsia" w:ascii="宋体" w:hAnsi="宋体"/>
          <w:color w:val="auto"/>
          <w:sz w:val="32"/>
          <w:szCs w:val="32"/>
          <w:highlight w:val="none"/>
          <w:lang w:val="en-US" w:eastAsia="zh-CN"/>
        </w:rPr>
        <w:t>十月</w:t>
      </w:r>
    </w:p>
    <w:p>
      <w:pPr>
        <w:rPr>
          <w:rFonts w:ascii="宋体" w:hAnsi="宋体"/>
          <w:color w:val="auto"/>
          <w:sz w:val="32"/>
          <w:szCs w:val="32"/>
          <w:highlight w:val="none"/>
        </w:rPr>
        <w:sectPr>
          <w:headerReference r:id="rId5" w:type="first"/>
          <w:headerReference r:id="rId3" w:type="default"/>
          <w:headerReference r:id="rId4" w:type="even"/>
          <w:footerReference r:id="rId6" w:type="even"/>
          <w:pgSz w:w="11907" w:h="16840"/>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p>
    <w:p>
      <w:pPr>
        <w:pStyle w:val="3"/>
        <w:spacing w:before="120" w:beforeLines="50" w:after="120" w:afterLines="50" w:line="360" w:lineRule="auto"/>
        <w:jc w:val="center"/>
        <w:rPr>
          <w:rFonts w:hint="eastAsia" w:ascii="仿宋_GB2312" w:eastAsia="仿宋_GB2312"/>
          <w:b w:val="0"/>
          <w:color w:val="auto"/>
          <w:highlight w:val="none"/>
        </w:rPr>
      </w:pPr>
      <w:bookmarkStart w:id="0" w:name="_Toc4262"/>
      <w:bookmarkStart w:id="1" w:name="_Toc9954"/>
      <w:r>
        <w:rPr>
          <w:rFonts w:hint="eastAsia" w:eastAsia="楷体_GB2312"/>
          <w:bCs w:val="0"/>
          <w:color w:val="auto"/>
          <w:kern w:val="2"/>
          <w:sz w:val="48"/>
          <w:szCs w:val="48"/>
          <w:highlight w:val="none"/>
        </w:rPr>
        <w:t>目        录</w:t>
      </w:r>
      <w:bookmarkEnd w:id="0"/>
      <w:bookmarkEnd w:id="1"/>
    </w:p>
    <w:p>
      <w:pPr>
        <w:pStyle w:val="2"/>
        <w:tabs>
          <w:tab w:val="right" w:leader="dot" w:pos="9639"/>
          <w:tab w:val="clear" w:pos="9629"/>
        </w:tabs>
        <w:rPr>
          <w:color w:val="auto"/>
          <w:highlight w:val="none"/>
        </w:rPr>
      </w:pPr>
      <w:r>
        <w:rPr>
          <w:rFonts w:hint="eastAsia" w:ascii="楷体_GB2312" w:hAnsi="宋体" w:cs="Arial"/>
          <w:iCs/>
          <w:color w:val="auto"/>
          <w:spacing w:val="20"/>
          <w:sz w:val="21"/>
          <w:szCs w:val="21"/>
          <w:highlight w:val="none"/>
        </w:rPr>
        <w:fldChar w:fldCharType="begin"/>
      </w:r>
      <w:r>
        <w:rPr>
          <w:rFonts w:hint="eastAsia" w:ascii="楷体_GB2312" w:hAnsi="宋体" w:cs="Arial"/>
          <w:iCs/>
          <w:color w:val="auto"/>
          <w:spacing w:val="20"/>
          <w:sz w:val="21"/>
          <w:szCs w:val="21"/>
          <w:highlight w:val="none"/>
        </w:rPr>
        <w:instrText xml:space="preserve"> TOC \o "1-2" \h \z \u </w:instrText>
      </w:r>
      <w:r>
        <w:rPr>
          <w:rFonts w:hint="eastAsia" w:ascii="楷体_GB2312" w:hAnsi="宋体" w:cs="Arial"/>
          <w:iCs/>
          <w:color w:val="auto"/>
          <w:spacing w:val="20"/>
          <w:sz w:val="21"/>
          <w:szCs w:val="21"/>
          <w:highlight w:val="none"/>
        </w:rPr>
        <w:fldChar w:fldCharType="separate"/>
      </w: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_Toc20099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_Toc20099 \h </w:instrText>
      </w:r>
      <w:r>
        <w:rPr>
          <w:color w:val="auto"/>
          <w:highlight w:val="none"/>
        </w:rPr>
        <w:fldChar w:fldCharType="separate"/>
      </w:r>
      <w:r>
        <w:rPr>
          <w:color w:val="auto"/>
          <w:highlight w:val="none"/>
        </w:rPr>
        <w:t>3</w:t>
      </w:r>
      <w:r>
        <w:rPr>
          <w:color w:val="auto"/>
          <w:highlight w:val="none"/>
        </w:rPr>
        <w:fldChar w:fldCharType="end"/>
      </w:r>
      <w:r>
        <w:rPr>
          <w:rFonts w:hint="eastAsia" w:ascii="楷体_GB2312" w:cs="Arial"/>
          <w:iCs/>
          <w:caps/>
          <w:color w:val="auto"/>
          <w:spacing w:val="20"/>
          <w:highlight w:val="none"/>
        </w:rPr>
        <w:fldChar w:fldCharType="end"/>
      </w:r>
    </w:p>
    <w:p>
      <w:pPr>
        <w:pStyle w:val="2"/>
        <w:tabs>
          <w:tab w:val="right" w:leader="dot" w:pos="9639"/>
          <w:tab w:val="clear" w:pos="9629"/>
        </w:tabs>
        <w:rPr>
          <w:color w:val="auto"/>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_Toc7955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_Toc7955 \h </w:instrText>
      </w:r>
      <w:r>
        <w:rPr>
          <w:color w:val="auto"/>
          <w:highlight w:val="none"/>
        </w:rPr>
        <w:fldChar w:fldCharType="separate"/>
      </w:r>
      <w:r>
        <w:rPr>
          <w:color w:val="auto"/>
          <w:highlight w:val="none"/>
        </w:rPr>
        <w:t>6</w:t>
      </w:r>
      <w:r>
        <w:rPr>
          <w:color w:val="auto"/>
          <w:highlight w:val="none"/>
        </w:rPr>
        <w:fldChar w:fldCharType="end"/>
      </w:r>
      <w:r>
        <w:rPr>
          <w:rFonts w:hint="eastAsia" w:ascii="楷体_GB2312" w:cs="Arial"/>
          <w:iCs/>
          <w:caps/>
          <w:color w:val="auto"/>
          <w:spacing w:val="20"/>
          <w:highlight w:val="none"/>
        </w:rPr>
        <w:fldChar w:fldCharType="end"/>
      </w:r>
    </w:p>
    <w:p>
      <w:pPr>
        <w:pStyle w:val="2"/>
        <w:tabs>
          <w:tab w:val="right" w:leader="dot" w:pos="9639"/>
          <w:tab w:val="clear" w:pos="9629"/>
        </w:tabs>
        <w:rPr>
          <w:color w:val="auto"/>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_Toc26059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第三章  投标人须知</w:t>
      </w:r>
      <w:r>
        <w:rPr>
          <w:color w:val="auto"/>
          <w:highlight w:val="none"/>
        </w:rPr>
        <w:tab/>
      </w:r>
      <w:r>
        <w:rPr>
          <w:rFonts w:hint="eastAsia"/>
          <w:color w:val="auto"/>
          <w:highlight w:val="none"/>
          <w:lang w:val="en-US" w:eastAsia="zh-CN"/>
        </w:rPr>
        <w:t>9</w:t>
      </w:r>
      <w:r>
        <w:rPr>
          <w:rFonts w:hint="eastAsia" w:ascii="楷体_GB2312" w:cs="Arial"/>
          <w:iCs/>
          <w:caps/>
          <w:color w:val="auto"/>
          <w:spacing w:val="20"/>
          <w:highlight w:val="none"/>
        </w:rPr>
        <w:fldChar w:fldCharType="end"/>
      </w:r>
    </w:p>
    <w:p>
      <w:pPr>
        <w:pStyle w:val="2"/>
        <w:tabs>
          <w:tab w:val="right" w:leader="dot" w:pos="9639"/>
          <w:tab w:val="clear" w:pos="9629"/>
        </w:tabs>
        <w:rPr>
          <w:color w:val="auto"/>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_Toc27074 </w:instrText>
      </w:r>
      <w:r>
        <w:rPr>
          <w:rFonts w:hint="eastAsia" w:ascii="楷体_GB2312" w:cs="Arial"/>
          <w:iCs/>
          <w:caps/>
          <w:color w:val="auto"/>
          <w:spacing w:val="20"/>
          <w:highlight w:val="none"/>
        </w:rPr>
        <w:fldChar w:fldCharType="separate"/>
      </w:r>
      <w:r>
        <w:rPr>
          <w:rFonts w:hint="eastAsia" w:eastAsia="楷体_GB2312"/>
          <w:color w:val="auto"/>
          <w:highlight w:val="none"/>
        </w:rPr>
        <w:t xml:space="preserve">第四章 </w:t>
      </w:r>
      <w:r>
        <w:rPr>
          <w:rFonts w:hint="eastAsia"/>
          <w:color w:val="auto"/>
          <w:highlight w:val="none"/>
          <w:lang w:val="en-US" w:eastAsia="zh-CN"/>
        </w:rPr>
        <w:t xml:space="preserve"> </w:t>
      </w:r>
      <w:r>
        <w:rPr>
          <w:rFonts w:hint="eastAsia" w:eastAsia="楷体_GB2312"/>
          <w:color w:val="auto"/>
          <w:highlight w:val="none"/>
        </w:rPr>
        <w:t>评标办法及评分标准</w:t>
      </w:r>
      <w:r>
        <w:rPr>
          <w:color w:val="auto"/>
          <w:highlight w:val="none"/>
        </w:rPr>
        <w:tab/>
      </w:r>
      <w:r>
        <w:rPr>
          <w:color w:val="auto"/>
          <w:highlight w:val="none"/>
        </w:rPr>
        <w:fldChar w:fldCharType="begin"/>
      </w:r>
      <w:r>
        <w:rPr>
          <w:color w:val="auto"/>
          <w:highlight w:val="none"/>
        </w:rPr>
        <w:instrText xml:space="preserve"> PAGEREF _Toc27074 \h </w:instrText>
      </w:r>
      <w:r>
        <w:rPr>
          <w:color w:val="auto"/>
          <w:highlight w:val="none"/>
        </w:rPr>
        <w:fldChar w:fldCharType="separate"/>
      </w:r>
      <w:r>
        <w:rPr>
          <w:color w:val="auto"/>
          <w:highlight w:val="none"/>
        </w:rPr>
        <w:t>30</w:t>
      </w:r>
      <w:r>
        <w:rPr>
          <w:color w:val="auto"/>
          <w:highlight w:val="none"/>
        </w:rPr>
        <w:fldChar w:fldCharType="end"/>
      </w:r>
      <w:r>
        <w:rPr>
          <w:rFonts w:hint="eastAsia" w:ascii="楷体_GB2312" w:cs="Arial"/>
          <w:iCs/>
          <w:caps/>
          <w:color w:val="auto"/>
          <w:spacing w:val="20"/>
          <w:highlight w:val="none"/>
        </w:rPr>
        <w:fldChar w:fldCharType="end"/>
      </w:r>
    </w:p>
    <w:p>
      <w:pPr>
        <w:pStyle w:val="2"/>
        <w:tabs>
          <w:tab w:val="right" w:leader="dot" w:pos="9639"/>
          <w:tab w:val="clear" w:pos="9629"/>
        </w:tabs>
        <w:rPr>
          <w:color w:val="auto"/>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_Toc242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第五章  采购合同（指引）</w:t>
      </w:r>
      <w:r>
        <w:rPr>
          <w:color w:val="auto"/>
          <w:highlight w:val="none"/>
        </w:rPr>
        <w:tab/>
      </w:r>
      <w:r>
        <w:rPr>
          <w:color w:val="auto"/>
          <w:highlight w:val="none"/>
        </w:rPr>
        <w:fldChar w:fldCharType="begin"/>
      </w:r>
      <w:r>
        <w:rPr>
          <w:color w:val="auto"/>
          <w:highlight w:val="none"/>
        </w:rPr>
        <w:instrText xml:space="preserve"> PAGEREF _Toc242 \h </w:instrText>
      </w:r>
      <w:r>
        <w:rPr>
          <w:color w:val="auto"/>
          <w:highlight w:val="none"/>
        </w:rPr>
        <w:fldChar w:fldCharType="separate"/>
      </w:r>
      <w:r>
        <w:rPr>
          <w:color w:val="auto"/>
          <w:highlight w:val="none"/>
        </w:rPr>
        <w:t>32</w:t>
      </w:r>
      <w:r>
        <w:rPr>
          <w:color w:val="auto"/>
          <w:highlight w:val="none"/>
        </w:rPr>
        <w:fldChar w:fldCharType="end"/>
      </w:r>
      <w:r>
        <w:rPr>
          <w:rFonts w:hint="eastAsia" w:ascii="楷体_GB2312" w:cs="Arial"/>
          <w:iCs/>
          <w:caps/>
          <w:color w:val="auto"/>
          <w:spacing w:val="20"/>
          <w:highlight w:val="none"/>
        </w:rPr>
        <w:fldChar w:fldCharType="end"/>
      </w:r>
    </w:p>
    <w:p>
      <w:pPr>
        <w:pStyle w:val="2"/>
        <w:tabs>
          <w:tab w:val="right" w:leader="dot" w:pos="9639"/>
          <w:tab w:val="clear" w:pos="9629"/>
        </w:tabs>
        <w:rPr>
          <w:rFonts w:hint="eastAsia" w:ascii="楷体_GB2312" w:cs="Arial"/>
          <w:b/>
          <w:iCs/>
          <w:caps/>
          <w:color w:val="auto"/>
          <w:spacing w:val="20"/>
          <w:highlight w:val="none"/>
        </w:rPr>
      </w:pPr>
      <w:r>
        <w:rPr>
          <w:rFonts w:hint="eastAsia" w:ascii="楷体_GB2312" w:cs="Arial"/>
          <w:iCs/>
          <w:caps/>
          <w:color w:val="auto"/>
          <w:spacing w:val="20"/>
          <w:highlight w:val="none"/>
        </w:rPr>
        <w:fldChar w:fldCharType="begin"/>
      </w:r>
      <w:r>
        <w:rPr>
          <w:rFonts w:hint="eastAsia" w:ascii="楷体_GB2312" w:cs="Arial"/>
          <w:iCs/>
          <w:caps/>
          <w:color w:val="auto"/>
          <w:spacing w:val="20"/>
          <w:highlight w:val="none"/>
        </w:rPr>
        <w:instrText xml:space="preserve"> HYPERLINK \l _Toc4167 </w:instrText>
      </w:r>
      <w:r>
        <w:rPr>
          <w:rFonts w:hint="eastAsia" w:ascii="楷体_GB2312" w:cs="Arial"/>
          <w:iCs/>
          <w:caps/>
          <w:color w:val="auto"/>
          <w:spacing w:val="20"/>
          <w:highlight w:val="none"/>
        </w:rPr>
        <w:fldChar w:fldCharType="separate"/>
      </w:r>
      <w:r>
        <w:rPr>
          <w:rFonts w:hint="eastAsia" w:eastAsia="楷体_GB2312"/>
          <w:bCs w:val="0"/>
          <w:color w:val="auto"/>
          <w:kern w:val="2"/>
          <w:szCs w:val="32"/>
          <w:highlight w:val="none"/>
        </w:rPr>
        <w:t>第六章  投标格式及要求</w:t>
      </w:r>
      <w:r>
        <w:rPr>
          <w:color w:val="auto"/>
          <w:highlight w:val="none"/>
        </w:rPr>
        <w:tab/>
      </w:r>
      <w:r>
        <w:rPr>
          <w:color w:val="auto"/>
          <w:highlight w:val="none"/>
        </w:rPr>
        <w:fldChar w:fldCharType="begin"/>
      </w:r>
      <w:r>
        <w:rPr>
          <w:color w:val="auto"/>
          <w:highlight w:val="none"/>
        </w:rPr>
        <w:instrText xml:space="preserve"> PAGEREF _Toc4167 \h </w:instrText>
      </w:r>
      <w:r>
        <w:rPr>
          <w:color w:val="auto"/>
          <w:highlight w:val="none"/>
        </w:rPr>
        <w:fldChar w:fldCharType="separate"/>
      </w:r>
      <w:r>
        <w:rPr>
          <w:color w:val="auto"/>
          <w:highlight w:val="none"/>
        </w:rPr>
        <w:t>40</w:t>
      </w:r>
      <w:r>
        <w:rPr>
          <w:color w:val="auto"/>
          <w:highlight w:val="none"/>
        </w:rPr>
        <w:fldChar w:fldCharType="end"/>
      </w:r>
      <w:r>
        <w:rPr>
          <w:rFonts w:hint="eastAsia" w:ascii="楷体_GB2312" w:cs="Arial"/>
          <w:iCs/>
          <w:caps/>
          <w:color w:val="auto"/>
          <w:spacing w:val="20"/>
          <w:highlight w:val="none"/>
        </w:rPr>
        <w:fldChar w:fldCharType="end"/>
      </w:r>
      <w:r>
        <w:rPr>
          <w:rFonts w:hint="eastAsia" w:ascii="楷体_GB2312" w:cs="Arial"/>
          <w:iCs/>
          <w:caps/>
          <w:color w:val="auto"/>
          <w:spacing w:val="20"/>
          <w:highlight w:val="none"/>
        </w:rPr>
        <w:fldChar w:fldCharType="end"/>
      </w:r>
      <w:bookmarkStart w:id="2" w:name="_Toc87670362"/>
      <w:bookmarkStart w:id="3" w:name="_Toc178668979"/>
    </w:p>
    <w:p>
      <w:pPr>
        <w:spacing w:line="480" w:lineRule="auto"/>
        <w:rPr>
          <w:rFonts w:hint="eastAsia" w:ascii="楷体_GB2312" w:cs="Arial"/>
          <w:b/>
          <w:iCs/>
          <w:caps/>
          <w:color w:val="auto"/>
          <w:spacing w:val="20"/>
          <w:highlight w:val="none"/>
        </w:rPr>
      </w:pPr>
    </w:p>
    <w:p>
      <w:pPr>
        <w:tabs>
          <w:tab w:val="left" w:pos="9002"/>
        </w:tabs>
        <w:spacing w:line="480" w:lineRule="auto"/>
        <w:rPr>
          <w:rFonts w:hint="eastAsia" w:ascii="楷体_GB2312" w:cs="Arial"/>
          <w:b/>
          <w:iCs/>
          <w:caps/>
          <w:color w:val="auto"/>
          <w:spacing w:val="20"/>
          <w:highlight w:val="none"/>
        </w:rPr>
      </w:pPr>
      <w:r>
        <w:rPr>
          <w:rFonts w:hint="eastAsia" w:ascii="楷体_GB2312" w:cs="Arial"/>
          <w:b/>
          <w:iCs/>
          <w:caps/>
          <w:color w:val="auto"/>
          <w:spacing w:val="20"/>
          <w:highlight w:val="none"/>
        </w:rPr>
        <w:tab/>
      </w:r>
    </w:p>
    <w:p>
      <w:pPr>
        <w:pStyle w:val="3"/>
        <w:spacing w:before="120" w:beforeLines="50" w:after="120" w:afterLines="50" w:line="360" w:lineRule="auto"/>
        <w:jc w:val="center"/>
        <w:rPr>
          <w:rFonts w:hint="eastAsia" w:eastAsia="楷体_GB2312"/>
          <w:bCs w:val="0"/>
          <w:color w:val="auto"/>
          <w:kern w:val="2"/>
          <w:sz w:val="32"/>
          <w:szCs w:val="32"/>
          <w:highlight w:val="none"/>
        </w:rPr>
      </w:pPr>
      <w:r>
        <w:rPr>
          <w:rFonts w:eastAsia="楷体_GB2312"/>
          <w:bCs w:val="0"/>
          <w:color w:val="auto"/>
          <w:kern w:val="2"/>
          <w:sz w:val="28"/>
          <w:szCs w:val="20"/>
          <w:highlight w:val="none"/>
        </w:rPr>
        <w:br w:type="page"/>
      </w:r>
      <w:bookmarkStart w:id="4" w:name="_Toc20099"/>
      <w:r>
        <w:rPr>
          <w:rFonts w:hint="eastAsia" w:eastAsia="楷体_GB2312"/>
          <w:bCs w:val="0"/>
          <w:color w:val="auto"/>
          <w:kern w:val="2"/>
          <w:sz w:val="32"/>
          <w:szCs w:val="32"/>
          <w:highlight w:val="none"/>
        </w:rPr>
        <w:t>第一章  公开招标采购公告</w:t>
      </w:r>
      <w:bookmarkEnd w:id="2"/>
      <w:bookmarkEnd w:id="3"/>
      <w:bookmarkEnd w:id="4"/>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shd w:val="clear" w:color="auto" w:fill="auto"/>
        </w:rPr>
      </w:pPr>
      <w:bookmarkStart w:id="5" w:name="_Toc87670364"/>
      <w:bookmarkStart w:id="6" w:name="_Toc69286125"/>
      <w:bookmarkStart w:id="7" w:name="_Toc178668980"/>
      <w:bookmarkStart w:id="8" w:name="_Toc69286635"/>
      <w:bookmarkStart w:id="9" w:name="_Toc69702133"/>
      <w:r>
        <w:rPr>
          <w:rFonts w:hint="eastAsia" w:ascii="宋体" w:hAnsi="宋体" w:eastAsia="宋体" w:cs="宋体"/>
          <w:color w:val="auto"/>
          <w:szCs w:val="21"/>
          <w:highlight w:val="none"/>
          <w:shd w:val="clear" w:color="auto" w:fill="auto"/>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宋体"/>
          <w:color w:val="auto"/>
          <w:szCs w:val="21"/>
          <w:highlight w:val="none"/>
          <w:u w:val="single"/>
          <w:shd w:val="clear" w:color="auto" w:fill="auto"/>
          <w:lang w:eastAsia="zh-CN"/>
        </w:rPr>
        <w:t>乐派芯园一期物业开办物资采购项目</w:t>
      </w:r>
      <w:r>
        <w:rPr>
          <w:rFonts w:hint="eastAsia" w:ascii="宋体" w:hAnsi="宋体" w:eastAsia="宋体" w:cs="宋体"/>
          <w:color w:val="auto"/>
          <w:szCs w:val="21"/>
          <w:highlight w:val="none"/>
          <w:shd w:val="clear" w:color="auto" w:fill="auto"/>
        </w:rPr>
        <w:t>招标项目的潜在投标人应在</w:t>
      </w:r>
      <w:r>
        <w:rPr>
          <w:rFonts w:hint="eastAsia" w:ascii="宋体" w:hAnsi="宋体" w:cs="宋体"/>
          <w:color w:val="auto"/>
          <w:szCs w:val="21"/>
          <w:highlight w:val="none"/>
          <w:u w:val="single"/>
          <w:shd w:val="clear" w:color="auto" w:fill="auto"/>
          <w:lang w:val="en-US" w:eastAsia="zh-CN"/>
        </w:rPr>
        <w:t>乐</w:t>
      </w:r>
      <w:r>
        <w:rPr>
          <w:rFonts w:hint="eastAsia" w:ascii="宋体" w:hAnsi="宋体" w:eastAsia="宋体" w:cs="宋体"/>
          <w:color w:val="auto"/>
          <w:szCs w:val="21"/>
          <w:highlight w:val="none"/>
          <w:u w:val="single"/>
          <w:shd w:val="clear" w:color="auto" w:fill="auto"/>
        </w:rPr>
        <w:t>采云平台（http://</w:t>
      </w:r>
      <w:r>
        <w:rPr>
          <w:rFonts w:hint="eastAsia" w:ascii="宋体" w:hAnsi="宋体" w:cs="宋体"/>
          <w:color w:val="auto"/>
          <w:szCs w:val="21"/>
          <w:highlight w:val="none"/>
          <w:u w:val="single"/>
          <w:shd w:val="clear" w:color="auto" w:fill="auto"/>
          <w:lang w:eastAsia="zh-CN"/>
        </w:rPr>
        <w:t>www.lecaiyun.com</w:t>
      </w:r>
      <w:r>
        <w:rPr>
          <w:rFonts w:hint="eastAsia" w:ascii="宋体" w:hAnsi="宋体" w:eastAsia="宋体" w:cs="宋体"/>
          <w:color w:val="auto"/>
          <w:szCs w:val="21"/>
          <w:highlight w:val="none"/>
          <w:u w:val="single"/>
          <w:shd w:val="clear" w:color="auto" w:fill="auto"/>
        </w:rPr>
        <w:t>）</w:t>
      </w:r>
      <w:r>
        <w:rPr>
          <w:rFonts w:hint="eastAsia" w:ascii="宋体" w:hAnsi="宋体" w:eastAsia="宋体" w:cs="宋体"/>
          <w:color w:val="auto"/>
          <w:szCs w:val="21"/>
          <w:highlight w:val="none"/>
          <w:shd w:val="clear" w:color="auto" w:fill="auto"/>
        </w:rPr>
        <w:t>获取（下载）招标文件，并于</w:t>
      </w:r>
      <w:r>
        <w:rPr>
          <w:rFonts w:hint="eastAsia" w:ascii="宋体" w:hAnsi="宋体" w:cs="Arial"/>
          <w:color w:val="auto"/>
          <w:szCs w:val="21"/>
          <w:highlight w:val="none"/>
          <w:u w:val="single"/>
          <w:lang w:eastAsia="zh-CN"/>
        </w:rPr>
        <w:t>2024年10月30日9时00分</w:t>
      </w:r>
      <w:r>
        <w:rPr>
          <w:rFonts w:hint="eastAsia" w:ascii="宋体" w:hAnsi="宋体" w:eastAsia="宋体" w:cs="宋体"/>
          <w:bCs/>
          <w:color w:val="auto"/>
          <w:szCs w:val="21"/>
          <w:highlight w:val="none"/>
          <w:shd w:val="clear" w:color="auto" w:fill="auto"/>
        </w:rPr>
        <w:t>（北京时间）前递交（上传）投标文件</w:t>
      </w:r>
      <w:r>
        <w:rPr>
          <w:rFonts w:hint="eastAsia" w:ascii="宋体" w:hAnsi="宋体" w:eastAsia="宋体" w:cs="宋体"/>
          <w:color w:val="auto"/>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Arial"/>
          <w:b/>
          <w:bCs/>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一、项目基本情况：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项目编号：</w:t>
      </w:r>
      <w:r>
        <w:rPr>
          <w:rFonts w:hint="eastAsia" w:ascii="宋体" w:hAnsi="宋体" w:cs="Arial"/>
          <w:color w:val="auto"/>
          <w:kern w:val="2"/>
          <w:sz w:val="21"/>
          <w:szCs w:val="21"/>
          <w:highlight w:val="none"/>
          <w:lang w:val="en-US" w:eastAsia="zh-CN" w:bidi="ar-SA"/>
        </w:rPr>
        <w:t>HNZCCG20241001</w:t>
      </w:r>
      <w:r>
        <w:rPr>
          <w:rFonts w:hint="eastAsia" w:ascii="宋体" w:hAnsi="宋体" w:eastAsia="宋体" w:cs="Arial"/>
          <w:color w:val="auto"/>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采购组织类型：分散采购委托代理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项目名称：</w:t>
      </w:r>
      <w:r>
        <w:rPr>
          <w:rFonts w:hint="eastAsia" w:ascii="宋体" w:hAnsi="宋体" w:cs="Arial"/>
          <w:color w:val="auto"/>
          <w:kern w:val="2"/>
          <w:sz w:val="21"/>
          <w:szCs w:val="21"/>
          <w:highlight w:val="none"/>
          <w:lang w:val="en-US" w:eastAsia="zh-CN" w:bidi="ar-SA"/>
        </w:rPr>
        <w:t>乐派芯园一期物业开办物资采购项目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采购方式：公开招标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预算金额</w:t>
      </w:r>
      <w:r>
        <w:rPr>
          <w:rFonts w:hint="eastAsia" w:ascii="宋体" w:hAnsi="宋体" w:cs="Arial"/>
          <w:color w:val="auto"/>
          <w:kern w:val="2"/>
          <w:sz w:val="21"/>
          <w:szCs w:val="21"/>
          <w:highlight w:val="none"/>
          <w:lang w:val="en-US" w:eastAsia="zh-CN" w:bidi="ar-SA"/>
        </w:rPr>
        <w:t>（最高限价）</w:t>
      </w:r>
      <w:r>
        <w:rPr>
          <w:rFonts w:hint="eastAsia" w:ascii="宋体" w:hAnsi="宋体" w:eastAsia="宋体" w:cs="Arial"/>
          <w:color w:val="auto"/>
          <w:kern w:val="2"/>
          <w:sz w:val="21"/>
          <w:szCs w:val="21"/>
          <w:highlight w:val="none"/>
          <w:lang w:val="en-US" w:eastAsia="zh-CN" w:bidi="ar-SA"/>
        </w:rPr>
        <w:t>：</w:t>
      </w:r>
      <w:r>
        <w:rPr>
          <w:rFonts w:hint="eastAsia" w:ascii="宋体" w:hAnsi="宋体" w:cs="Arial"/>
          <w:color w:val="auto"/>
          <w:kern w:val="2"/>
          <w:sz w:val="21"/>
          <w:szCs w:val="21"/>
          <w:highlight w:val="none"/>
          <w:lang w:val="en-US" w:eastAsia="zh-CN" w:bidi="ar-SA"/>
        </w:rPr>
        <w:t>38万</w:t>
      </w:r>
      <w:r>
        <w:rPr>
          <w:rFonts w:hint="eastAsia" w:ascii="宋体" w:hAnsi="宋体" w:eastAsia="宋体" w:cs="Arial"/>
          <w:color w:val="auto"/>
          <w:kern w:val="2"/>
          <w:sz w:val="21"/>
          <w:szCs w:val="21"/>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采购需求：</w:t>
      </w:r>
      <w:r>
        <w:rPr>
          <w:rFonts w:hint="eastAsia" w:ascii="宋体" w:hAnsi="宋体" w:cs="Arial"/>
          <w:color w:val="auto"/>
          <w:kern w:val="2"/>
          <w:sz w:val="21"/>
          <w:szCs w:val="21"/>
          <w:highlight w:val="none"/>
          <w:lang w:val="en-US" w:eastAsia="zh-CN" w:bidi="ar-SA"/>
        </w:rPr>
        <w:t>乐派芯园一期物业开办物资采购项目</w:t>
      </w:r>
      <w:r>
        <w:rPr>
          <w:rFonts w:hint="eastAsia" w:ascii="宋体" w:hAnsi="宋体" w:eastAsia="宋体" w:cs="Arial"/>
          <w:color w:val="auto"/>
          <w:kern w:val="2"/>
          <w:sz w:val="21"/>
          <w:szCs w:val="21"/>
          <w:highlight w:val="none"/>
          <w:lang w:val="en-US" w:eastAsia="zh-CN" w:bidi="ar-SA"/>
        </w:rPr>
        <w:t>1项，共一个标项，招标需求详见公告所附招标文件。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合同履行期限：分批配送，接到采购人供货通知30日历天内交付安装完成并通过验收。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本项目</w:t>
      </w:r>
      <w:r>
        <w:rPr>
          <w:rFonts w:hint="eastAsia" w:ascii="宋体" w:hAnsi="宋体" w:cs="Arial"/>
          <w:color w:val="auto"/>
          <w:kern w:val="2"/>
          <w:sz w:val="21"/>
          <w:szCs w:val="21"/>
          <w:highlight w:val="none"/>
          <w:lang w:val="en-US" w:eastAsia="zh-CN" w:bidi="ar-SA"/>
        </w:rPr>
        <w:t>不</w:t>
      </w:r>
      <w:r>
        <w:rPr>
          <w:rFonts w:hint="eastAsia" w:ascii="宋体" w:hAnsi="宋体" w:eastAsia="宋体" w:cs="Arial"/>
          <w:color w:val="auto"/>
          <w:kern w:val="2"/>
          <w:sz w:val="21"/>
          <w:szCs w:val="21"/>
          <w:highlight w:val="none"/>
          <w:lang w:val="en-US" w:eastAsia="zh-CN" w:bidi="ar-SA"/>
        </w:rPr>
        <w:t>接受联合体投标。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满足《中华人民共和国政府采购法》第二十二条（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之供应商资格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2</w:t>
      </w:r>
      <w:r>
        <w:rPr>
          <w:rFonts w:hint="eastAsia" w:ascii="宋体" w:hAnsi="宋体" w:eastAsia="宋体" w:cs="Arial"/>
          <w:color w:val="auto"/>
          <w:kern w:val="2"/>
          <w:sz w:val="21"/>
          <w:szCs w:val="21"/>
          <w:highlight w:val="none"/>
          <w:lang w:val="en-US" w:eastAsia="zh-CN" w:bidi="ar-SA"/>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r>
        <w:rPr>
          <w:rFonts w:hint="eastAsia" w:ascii="宋体" w:hAnsi="宋体" w:cs="Arial"/>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color w:val="auto"/>
          <w:kern w:val="2"/>
          <w:sz w:val="21"/>
          <w:szCs w:val="21"/>
          <w:highlight w:val="none"/>
          <w:lang w:val="en-US" w:eastAsia="zh-CN" w:bidi="ar-SA"/>
        </w:rPr>
        <w:t>3</w:t>
      </w:r>
      <w:r>
        <w:rPr>
          <w:rFonts w:hint="eastAsia" w:ascii="宋体" w:hAnsi="宋体" w:eastAsia="宋体" w:cs="Arial"/>
          <w:color w:val="auto"/>
          <w:kern w:val="2"/>
          <w:sz w:val="21"/>
          <w:szCs w:val="21"/>
          <w:highlight w:val="none"/>
          <w:lang w:val="en-US" w:eastAsia="zh-CN" w:bidi="ar-SA"/>
        </w:rPr>
        <w:t>.本项目的特定资格要求：无。</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三、获取（下载）招标文件：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1.国企采购供应商注册网址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乐采云供应商入驻：https://middle-lcy.lecaiyun.com/settle-front/#/enter/newsettle?entranceType=150&amp;settleCategory=1</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2.招标文件的获取地点（网址）：乐采云平台（www.lecaiyun.com）线上获取；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3.招标文件的获取方式：采购公告发布后，在乐采云平台已完成注册的供应商登录系统，申请获取招标文件，待审核通过后，可下载招标文件。如果“已申请”标签页显示状态为“审核通过”即为成功。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路径：用户中心——项目采购——获取采购文件管理。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 xml:space="preserve">招标文件免费获取。                                         </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Arial"/>
          <w:b/>
          <w:bCs/>
          <w:color w:val="auto"/>
          <w:kern w:val="2"/>
          <w:sz w:val="21"/>
          <w:szCs w:val="21"/>
          <w:highlight w:val="none"/>
          <w:lang w:val="en-US" w:eastAsia="zh-CN" w:bidi="ar-SA"/>
        </w:rPr>
      </w:pPr>
      <w:r>
        <w:rPr>
          <w:rFonts w:hint="eastAsia" w:ascii="宋体" w:hAnsi="宋体" w:eastAsia="宋体" w:cs="Arial"/>
          <w:b/>
          <w:bCs/>
          <w:color w:val="auto"/>
          <w:kern w:val="2"/>
          <w:sz w:val="21"/>
          <w:szCs w:val="21"/>
          <w:highlight w:val="none"/>
          <w:lang w:val="en-US" w:eastAsia="zh-CN" w:bidi="ar-SA"/>
        </w:rPr>
        <w:t>四、提交投标文件截止时间、开标时间和地点：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提交投标文件截止时间：</w:t>
      </w:r>
      <w:r>
        <w:rPr>
          <w:rFonts w:hint="eastAsia" w:ascii="宋体" w:hAnsi="宋体" w:cs="Arial"/>
          <w:color w:val="auto"/>
          <w:szCs w:val="21"/>
          <w:highlight w:val="none"/>
          <w:lang w:eastAsia="zh-CN"/>
        </w:rPr>
        <w:t>2024年10月30日9时00分</w:t>
      </w:r>
      <w:r>
        <w:rPr>
          <w:rFonts w:hint="eastAsia" w:ascii="宋体" w:hAnsi="宋体" w:eastAsia="宋体" w:cs="Arial"/>
          <w:color w:val="auto"/>
          <w:kern w:val="2"/>
          <w:sz w:val="21"/>
          <w:szCs w:val="21"/>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投标地点（网址）：请登录乐采云投标客户端投标，客户端下载地址https://sitecdn.zcycdn.com/zcy-client/bidding-client-new/official/lcy/LeCaiYunSetup.latest.exe。安装后在线递交、开启。</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开标时间：</w:t>
      </w:r>
      <w:r>
        <w:rPr>
          <w:rFonts w:hint="eastAsia" w:ascii="宋体" w:hAnsi="宋体" w:cs="Arial"/>
          <w:color w:val="auto"/>
          <w:szCs w:val="21"/>
          <w:highlight w:val="none"/>
          <w:lang w:eastAsia="zh-CN"/>
        </w:rPr>
        <w:t>2024年10月30日9时00分</w:t>
      </w:r>
      <w:r>
        <w:rPr>
          <w:rFonts w:hint="eastAsia" w:ascii="宋体" w:hAnsi="宋体" w:eastAsia="宋体" w:cs="Arial"/>
          <w:color w:val="auto"/>
          <w:kern w:val="2"/>
          <w:sz w:val="21"/>
          <w:szCs w:val="21"/>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开标地点（网址）：</w:t>
      </w:r>
      <w:r>
        <w:rPr>
          <w:rFonts w:hint="eastAsia" w:ascii="宋体" w:hAnsi="宋体" w:cs="宋体"/>
          <w:color w:val="auto"/>
          <w:kern w:val="2"/>
          <w:sz w:val="21"/>
          <w:szCs w:val="21"/>
          <w:highlight w:val="none"/>
        </w:rPr>
        <w:t>乐采云平台（www.lecaiyun.com），海宁市文苑南路138号浙江江南要素交易中心</w:t>
      </w:r>
      <w:r>
        <w:rPr>
          <w:rFonts w:hint="eastAsia" w:ascii="宋体" w:hAnsi="宋体" w:eastAsia="宋体" w:cs="Arial"/>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cs="Arial"/>
          <w:b/>
          <w:bCs/>
          <w:color w:val="auto"/>
          <w:kern w:val="2"/>
          <w:sz w:val="21"/>
          <w:szCs w:val="21"/>
          <w:highlight w:val="none"/>
          <w:lang w:val="en-US" w:eastAsia="zh-CN" w:bidi="ar-SA"/>
        </w:rPr>
        <w:t>五、</w:t>
      </w:r>
      <w:r>
        <w:rPr>
          <w:rFonts w:hint="eastAsia" w:ascii="宋体" w:hAnsi="宋体" w:eastAsia="宋体" w:cs="Arial"/>
          <w:b/>
          <w:bCs/>
          <w:color w:val="auto"/>
          <w:kern w:val="2"/>
          <w:sz w:val="21"/>
          <w:szCs w:val="21"/>
          <w:highlight w:val="none"/>
          <w:lang w:val="en-US" w:eastAsia="zh-CN" w:bidi="ar-SA"/>
        </w:rPr>
        <w:t>公告期限：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自本公告发布之日起5个工作日。</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Arial"/>
          <w:b/>
          <w:bCs/>
          <w:color w:val="auto"/>
          <w:kern w:val="2"/>
          <w:sz w:val="21"/>
          <w:szCs w:val="21"/>
          <w:highlight w:val="none"/>
          <w:lang w:val="en-US" w:eastAsia="zh-CN" w:bidi="ar-SA"/>
        </w:rPr>
      </w:pPr>
      <w:bookmarkStart w:id="10" w:name="_Toc179361638"/>
      <w:bookmarkStart w:id="11" w:name="_Toc173596811"/>
      <w:bookmarkStart w:id="12" w:name="_Toc176335012"/>
      <w:bookmarkStart w:id="13" w:name="_Toc29819"/>
      <w:bookmarkStart w:id="14" w:name="_Toc176335145"/>
      <w:bookmarkStart w:id="15" w:name="_Toc173596644"/>
      <w:bookmarkStart w:id="16" w:name="_Toc173596518"/>
      <w:bookmarkStart w:id="17" w:name="_Toc177563690"/>
      <w:bookmarkStart w:id="18" w:name="_Toc173596248"/>
      <w:r>
        <w:rPr>
          <w:rFonts w:hint="eastAsia" w:ascii="宋体" w:hAnsi="宋体" w:cs="Arial"/>
          <w:b/>
          <w:bCs/>
          <w:color w:val="auto"/>
          <w:kern w:val="2"/>
          <w:sz w:val="21"/>
          <w:szCs w:val="21"/>
          <w:highlight w:val="none"/>
          <w:lang w:val="en-US" w:eastAsia="zh-CN" w:bidi="ar-SA"/>
        </w:rPr>
        <w:t>六</w:t>
      </w:r>
      <w:r>
        <w:rPr>
          <w:rFonts w:hint="eastAsia" w:ascii="宋体" w:hAnsi="宋体" w:eastAsia="宋体" w:cs="Arial"/>
          <w:b/>
          <w:bCs/>
          <w:color w:val="auto"/>
          <w:kern w:val="2"/>
          <w:sz w:val="21"/>
          <w:szCs w:val="21"/>
          <w:highlight w:val="none"/>
          <w:lang w:val="en-US" w:eastAsia="zh-CN" w:bidi="ar-SA"/>
        </w:rPr>
        <w:t>、其他补充事宜：</w:t>
      </w:r>
      <w:bookmarkEnd w:id="10"/>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1.投标文件制作注意事项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1.1投标人将</w:t>
      </w:r>
      <w:r>
        <w:rPr>
          <w:rFonts w:hint="eastAsia" w:ascii="宋体" w:hAnsi="宋体" w:cs="Arial"/>
          <w:color w:val="auto"/>
          <w:kern w:val="2"/>
          <w:sz w:val="21"/>
          <w:szCs w:val="21"/>
          <w:highlight w:val="none"/>
          <w:lang w:val="en-US" w:eastAsia="zh-CN" w:bidi="ar-SA"/>
        </w:rPr>
        <w:t>乐</w:t>
      </w:r>
      <w:r>
        <w:rPr>
          <w:rFonts w:hint="eastAsia" w:ascii="宋体" w:hAnsi="宋体" w:eastAsia="宋体" w:cs="Arial"/>
          <w:color w:val="auto"/>
          <w:kern w:val="2"/>
          <w:sz w:val="21"/>
          <w:szCs w:val="21"/>
          <w:highlight w:val="none"/>
          <w:lang w:val="en-US" w:eastAsia="zh-CN" w:bidi="ar-SA"/>
        </w:rPr>
        <w:t>采云电子交易客户端下载、安装完成后，可通过账号密码或CA登录客户端进行投标文件制作。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注：投标人先要申领CA，拿到CA后需要在政采云平台进行绑定，CA相关操作可参考“申领CA证书”（https://lecaiyun.com/helpcenter/document/#/document/detail?siteCode=lecaiyun&amp;manualId=6045&amp;topicId=12851）和“绑定CA证书”（https://lecaiyun.com/helpcenter/document/#/document/detail?siteCode=lecaiyun&amp;manualId=6045&amp;topicId=4085）。</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2.投标文件提交注意事项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2.1投标人进行电子投标应安装客户端软件，并按照招标文件和电子交易平台的要求编制并加密投标文件。投标人未按规定加密的投标文件，分散采购机构应当拒收。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2.2投标人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2.3为确保采购项目顺利实施，避免因解密失败导致投标无效，投标人在电子交易平台传输提交投标文件后，将</w:t>
      </w:r>
      <w:r>
        <w:rPr>
          <w:rFonts w:hint="eastAsia" w:ascii="宋体" w:hAnsi="宋体" w:cs="Arial"/>
          <w:color w:val="auto"/>
          <w:kern w:val="2"/>
          <w:sz w:val="21"/>
          <w:szCs w:val="21"/>
          <w:highlight w:val="none"/>
          <w:lang w:val="en-US" w:eastAsia="zh-CN" w:bidi="ar-SA"/>
        </w:rPr>
        <w:t>乐</w:t>
      </w:r>
      <w:r>
        <w:rPr>
          <w:rFonts w:hint="eastAsia" w:ascii="宋体" w:hAnsi="宋体" w:eastAsia="宋体" w:cs="Arial"/>
          <w:color w:val="auto"/>
          <w:kern w:val="2"/>
          <w:sz w:val="21"/>
          <w:szCs w:val="21"/>
          <w:highlight w:val="none"/>
          <w:lang w:val="en-US" w:eastAsia="zh-CN" w:bidi="ar-SA"/>
        </w:rPr>
        <w:t>采云平台上最后生成的具备电子签章的备份电子投标文件1份下载，可以在投标截止时间前发送至398838266@qq.com。</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2.4备份电子投标文件制作为非强制性，但如遇因投标人电子投标文件解密失败等情况造成投标无效，后果由投标人自负。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3.本项目投标人无需到开标现场，但须准时在线参加，直至评审结束。开标时间起30分钟内投标人可登录“乐采云”平台，在“项目采购-开标评标”模块对投标文件进行在线解密。若在规定时间内投标文件无法解密或解密失败且备份文件读取失败（含未提交），则投标无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4.若对项目采购电子交易系统操作有疑问，可登录乐采云平台（www.lecaiyun.com），点击右侧咨询小采，获取采小蜜智能服务管家帮助，或拨打</w:t>
      </w:r>
      <w:r>
        <w:rPr>
          <w:rFonts w:hint="eastAsia" w:ascii="宋体" w:hAnsi="宋体" w:cs="Arial"/>
          <w:color w:val="auto"/>
          <w:kern w:val="2"/>
          <w:sz w:val="21"/>
          <w:szCs w:val="21"/>
          <w:highlight w:val="none"/>
          <w:lang w:val="en-US" w:eastAsia="zh-CN" w:bidi="ar-SA"/>
        </w:rPr>
        <w:t>乐</w:t>
      </w:r>
      <w:r>
        <w:rPr>
          <w:rFonts w:hint="eastAsia" w:ascii="宋体" w:hAnsi="宋体" w:eastAsia="宋体" w:cs="Arial"/>
          <w:color w:val="auto"/>
          <w:kern w:val="2"/>
          <w:sz w:val="21"/>
          <w:szCs w:val="21"/>
          <w:highlight w:val="none"/>
          <w:lang w:val="en-US" w:eastAsia="zh-CN" w:bidi="ar-SA"/>
        </w:rPr>
        <w:t>采云服务热线（95763）获取热线服务帮助，或自行加入乐采云qq群（659975799）咨询。</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CA问题联系电话（人工）：详见“联系CA公司”（https://lecaiyun.com/helpcenter/document/#/document/detail?siteCode=lecaiyun&amp;manualId=6045&amp;topicId=2405）。</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Arial"/>
          <w:b/>
          <w:bCs/>
          <w:color w:val="auto"/>
          <w:kern w:val="2"/>
          <w:sz w:val="21"/>
          <w:szCs w:val="21"/>
          <w:highlight w:val="none"/>
          <w:lang w:val="en-US" w:eastAsia="zh-CN" w:bidi="ar-SA"/>
        </w:rPr>
      </w:pPr>
      <w:r>
        <w:rPr>
          <w:rFonts w:hint="eastAsia" w:ascii="宋体" w:hAnsi="宋体" w:cs="Arial"/>
          <w:b/>
          <w:bCs/>
          <w:color w:val="auto"/>
          <w:kern w:val="2"/>
          <w:sz w:val="21"/>
          <w:szCs w:val="21"/>
          <w:highlight w:val="none"/>
          <w:lang w:val="en-US" w:eastAsia="zh-CN" w:bidi="ar-SA"/>
        </w:rPr>
        <w:t>七</w:t>
      </w:r>
      <w:r>
        <w:rPr>
          <w:rFonts w:hint="eastAsia" w:ascii="宋体" w:hAnsi="宋体" w:eastAsia="宋体" w:cs="Arial"/>
          <w:b/>
          <w:bCs/>
          <w:color w:val="auto"/>
          <w:kern w:val="2"/>
          <w:sz w:val="21"/>
          <w:szCs w:val="21"/>
          <w:highlight w:val="none"/>
          <w:lang w:val="en-US" w:eastAsia="zh-CN" w:bidi="ar-SA"/>
        </w:rPr>
        <w:t>、对本次采购提出询问、质疑、投诉，请按以下方式联系：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名称：海宁乐派芯园科技有限公司</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地址：海宁经济开发区芯中路8号1幢405室</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项目联系人：姚先生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联系电话：0573-87018888</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名称：嘉兴市中诚建设咨询有限公司</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地址：海宁市海洲街道新月路1号海城大厦9楼</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项目联系人：胡女士</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 xml:space="preserve">联系电话：15167386937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right"/>
        <w:textAlignment w:val="auto"/>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2024年10月</w:t>
      </w:r>
      <w:r>
        <w:rPr>
          <w:rFonts w:hint="eastAsia" w:ascii="宋体" w:hAnsi="宋体" w:cs="Arial"/>
          <w:color w:val="auto"/>
          <w:kern w:val="2"/>
          <w:sz w:val="21"/>
          <w:szCs w:val="21"/>
          <w:highlight w:val="none"/>
          <w:lang w:val="en-US" w:eastAsia="zh-CN" w:bidi="ar-SA"/>
        </w:rPr>
        <w:t>18</w:t>
      </w:r>
      <w:r>
        <w:rPr>
          <w:rFonts w:hint="eastAsia" w:ascii="宋体" w:hAnsi="宋体" w:eastAsia="宋体" w:cs="Arial"/>
          <w:color w:val="auto"/>
          <w:kern w:val="2"/>
          <w:sz w:val="21"/>
          <w:szCs w:val="21"/>
          <w:highlight w:val="none"/>
          <w:lang w:val="en-US" w:eastAsia="zh-CN" w:bidi="ar-SA"/>
        </w:rPr>
        <w:t>日</w:t>
      </w:r>
    </w:p>
    <w:p>
      <w:pPr>
        <w:pStyle w:val="3"/>
        <w:spacing w:before="120" w:beforeLines="50" w:after="120" w:afterLines="50" w:line="360" w:lineRule="auto"/>
        <w:jc w:val="center"/>
        <w:rPr>
          <w:rFonts w:hint="eastAsia" w:eastAsia="楷体_GB2312"/>
          <w:bCs w:val="0"/>
          <w:color w:val="auto"/>
          <w:kern w:val="2"/>
          <w:sz w:val="32"/>
          <w:szCs w:val="32"/>
          <w:highlight w:val="none"/>
        </w:rPr>
      </w:pPr>
      <w:bookmarkStart w:id="19" w:name="_Toc7955"/>
      <w:bookmarkStart w:id="20" w:name="_Toc406402982"/>
    </w:p>
    <w:p>
      <w:pPr>
        <w:pStyle w:val="3"/>
        <w:spacing w:before="120" w:beforeLines="50" w:after="120" w:afterLines="50" w:line="360" w:lineRule="auto"/>
        <w:jc w:val="center"/>
        <w:rPr>
          <w:rFonts w:hint="eastAsia" w:eastAsia="楷体_GB2312"/>
          <w:bCs w:val="0"/>
          <w:color w:val="auto"/>
          <w:kern w:val="2"/>
          <w:sz w:val="32"/>
          <w:szCs w:val="32"/>
          <w:highlight w:val="none"/>
        </w:rPr>
      </w:pPr>
    </w:p>
    <w:p>
      <w:pPr>
        <w:pStyle w:val="3"/>
        <w:spacing w:before="120" w:beforeLines="50" w:after="120" w:afterLines="50" w:line="360" w:lineRule="auto"/>
        <w:jc w:val="center"/>
        <w:rPr>
          <w:rFonts w:hint="eastAsia" w:eastAsia="楷体_GB2312"/>
          <w:bCs w:val="0"/>
          <w:color w:val="auto"/>
          <w:kern w:val="2"/>
          <w:sz w:val="32"/>
          <w:szCs w:val="32"/>
          <w:highlight w:val="none"/>
        </w:rPr>
      </w:pPr>
    </w:p>
    <w:p>
      <w:pPr>
        <w:rPr>
          <w:rFonts w:hint="eastAsia" w:eastAsia="楷体_GB2312"/>
          <w:bCs w:val="0"/>
          <w:color w:val="auto"/>
          <w:kern w:val="2"/>
          <w:sz w:val="32"/>
          <w:szCs w:val="32"/>
          <w:highlight w:val="none"/>
        </w:rPr>
      </w:pPr>
    </w:p>
    <w:p>
      <w:pPr>
        <w:pStyle w:val="47"/>
        <w:rPr>
          <w:rFonts w:hint="eastAsia" w:eastAsia="楷体_GB2312"/>
          <w:bCs w:val="0"/>
          <w:color w:val="auto"/>
          <w:kern w:val="2"/>
          <w:sz w:val="32"/>
          <w:szCs w:val="32"/>
          <w:highlight w:val="none"/>
        </w:rPr>
      </w:pPr>
    </w:p>
    <w:p>
      <w:pPr>
        <w:pStyle w:val="47"/>
        <w:rPr>
          <w:rFonts w:hint="eastAsia" w:eastAsia="楷体_GB2312"/>
          <w:bCs w:val="0"/>
          <w:color w:val="auto"/>
          <w:kern w:val="2"/>
          <w:sz w:val="32"/>
          <w:szCs w:val="32"/>
          <w:highlight w:val="none"/>
        </w:rPr>
      </w:pPr>
    </w:p>
    <w:p>
      <w:pPr>
        <w:pStyle w:val="3"/>
        <w:spacing w:before="120" w:beforeLines="50" w:after="120" w:afterLines="50" w:line="360" w:lineRule="auto"/>
        <w:jc w:val="center"/>
        <w:rPr>
          <w:rFonts w:hint="eastAsia" w:eastAsia="楷体_GB2312"/>
          <w:bCs w:val="0"/>
          <w:color w:val="auto"/>
          <w:kern w:val="2"/>
          <w:sz w:val="32"/>
          <w:szCs w:val="32"/>
          <w:highlight w:val="none"/>
        </w:rPr>
      </w:pPr>
    </w:p>
    <w:p>
      <w:pPr>
        <w:pStyle w:val="3"/>
        <w:spacing w:before="120" w:beforeLines="50" w:after="120" w:afterLines="50" w:line="360" w:lineRule="auto"/>
        <w:jc w:val="center"/>
        <w:rPr>
          <w:rFonts w:hint="eastAsia" w:eastAsia="楷体_GB2312"/>
          <w:bCs w:val="0"/>
          <w:color w:val="auto"/>
          <w:kern w:val="2"/>
          <w:sz w:val="32"/>
          <w:szCs w:val="32"/>
          <w:highlight w:val="none"/>
        </w:rPr>
      </w:pPr>
    </w:p>
    <w:p>
      <w:pPr>
        <w:rPr>
          <w:rFonts w:hint="eastAsia" w:eastAsia="楷体_GB2312"/>
          <w:bCs w:val="0"/>
          <w:color w:val="auto"/>
          <w:kern w:val="2"/>
          <w:sz w:val="32"/>
          <w:szCs w:val="32"/>
          <w:highlight w:val="none"/>
        </w:rPr>
      </w:pPr>
    </w:p>
    <w:p>
      <w:pPr>
        <w:pStyle w:val="47"/>
        <w:rPr>
          <w:rFonts w:hint="eastAsia" w:eastAsia="楷体_GB2312"/>
          <w:bCs w:val="0"/>
          <w:color w:val="auto"/>
          <w:kern w:val="2"/>
          <w:sz w:val="32"/>
          <w:szCs w:val="32"/>
          <w:highlight w:val="none"/>
        </w:rPr>
      </w:pPr>
    </w:p>
    <w:p>
      <w:pPr>
        <w:pStyle w:val="47"/>
        <w:rPr>
          <w:rFonts w:hint="eastAsia" w:eastAsia="楷体_GB2312"/>
          <w:bCs w:val="0"/>
          <w:color w:val="auto"/>
          <w:kern w:val="2"/>
          <w:sz w:val="32"/>
          <w:szCs w:val="32"/>
          <w:highlight w:val="none"/>
        </w:rPr>
      </w:pPr>
    </w:p>
    <w:p>
      <w:pPr>
        <w:pStyle w:val="47"/>
        <w:ind w:left="0" w:leftChars="0" w:firstLine="0" w:firstLineChars="0"/>
        <w:rPr>
          <w:rFonts w:hint="eastAsia" w:eastAsia="楷体_GB2312"/>
          <w:bCs w:val="0"/>
          <w:color w:val="auto"/>
          <w:kern w:val="2"/>
          <w:sz w:val="32"/>
          <w:szCs w:val="32"/>
          <w:highlight w:val="none"/>
        </w:rPr>
      </w:pPr>
    </w:p>
    <w:p>
      <w:pPr>
        <w:pStyle w:val="3"/>
        <w:spacing w:before="120" w:beforeLines="50" w:after="120" w:afterLines="50" w:line="360" w:lineRule="auto"/>
        <w:jc w:val="center"/>
        <w:rPr>
          <w:rFonts w:hint="eastAsia" w:eastAsia="楷体_GB2312"/>
          <w:bCs w:val="0"/>
          <w:color w:val="auto"/>
          <w:kern w:val="2"/>
          <w:sz w:val="32"/>
          <w:szCs w:val="32"/>
          <w:highlight w:val="none"/>
        </w:rPr>
      </w:pPr>
      <w:r>
        <w:rPr>
          <w:rFonts w:hint="eastAsia" w:eastAsia="楷体_GB2312"/>
          <w:bCs w:val="0"/>
          <w:color w:val="auto"/>
          <w:kern w:val="2"/>
          <w:sz w:val="32"/>
          <w:szCs w:val="32"/>
          <w:highlight w:val="none"/>
        </w:rPr>
        <w:t>第二章  招标需求</w:t>
      </w:r>
      <w:bookmarkEnd w:id="19"/>
      <w:bookmarkEnd w:id="20"/>
    </w:p>
    <w:p>
      <w:pPr>
        <w:spacing w:line="480" w:lineRule="auto"/>
        <w:ind w:firstLine="413" w:firstLineChars="196"/>
        <w:rPr>
          <w:rFonts w:hint="eastAsia"/>
          <w:b/>
          <w:color w:val="auto"/>
          <w:highlight w:val="none"/>
        </w:rPr>
      </w:pPr>
      <w:bookmarkStart w:id="21" w:name="_Toc11026"/>
      <w:r>
        <w:rPr>
          <w:rFonts w:hint="eastAsia"/>
          <w:b/>
          <w:color w:val="auto"/>
          <w:highlight w:val="none"/>
        </w:rPr>
        <w:t>一、项目概况</w:t>
      </w:r>
    </w:p>
    <w:p>
      <w:pPr>
        <w:spacing w:line="480" w:lineRule="auto"/>
        <w:ind w:firstLine="420" w:firstLineChars="200"/>
        <w:jc w:val="left"/>
        <w:rPr>
          <w:rFonts w:hint="eastAsia" w:ascii="宋体" w:hAnsi="宋体" w:eastAsia="宋体" w:cs="宋体"/>
          <w:b/>
          <w:color w:val="auto"/>
          <w:szCs w:val="21"/>
          <w:highlight w:val="none"/>
          <w:lang w:eastAsia="zh-CN"/>
        </w:rPr>
      </w:pPr>
      <w:r>
        <w:rPr>
          <w:rFonts w:hint="eastAsia" w:ascii="宋体" w:hAnsi="宋体" w:cs="Arial"/>
          <w:color w:val="auto"/>
          <w:szCs w:val="21"/>
          <w:highlight w:val="none"/>
          <w:lang w:eastAsia="zh-CN"/>
        </w:rPr>
        <w:t>乐派芯园一期物业开办物资采购项目</w:t>
      </w:r>
      <w:r>
        <w:rPr>
          <w:rFonts w:hint="eastAsia" w:ascii="宋体" w:hAnsi="宋体" w:cs="Arial"/>
          <w:color w:val="auto"/>
          <w:szCs w:val="21"/>
          <w:highlight w:val="none"/>
        </w:rPr>
        <w:t>，共一个标项。</w:t>
      </w:r>
    </w:p>
    <w:p>
      <w:pPr>
        <w:numPr>
          <w:ilvl w:val="0"/>
          <w:numId w:val="0"/>
        </w:numPr>
        <w:tabs>
          <w:tab w:val="left" w:pos="360"/>
        </w:tabs>
        <w:snapToGrid w:val="0"/>
        <w:spacing w:line="440" w:lineRule="exact"/>
        <w:ind w:firstLine="422" w:firstLineChars="200"/>
        <w:jc w:val="left"/>
        <w:outlineLvl w:val="1"/>
        <w:rPr>
          <w:rFonts w:hint="eastAsia" w:ascii="宋体" w:hAnsi="宋体" w:cs="宋体"/>
          <w:b/>
          <w:color w:val="auto"/>
          <w:szCs w:val="21"/>
          <w:highlight w:val="none"/>
          <w:lang w:val="en-US" w:eastAsia="zh-CN"/>
        </w:rPr>
      </w:pPr>
      <w:bookmarkStart w:id="22" w:name="_Toc17483"/>
      <w:bookmarkStart w:id="23" w:name="_Toc17459"/>
      <w:bookmarkStart w:id="24" w:name="_Toc7807"/>
      <w:r>
        <w:rPr>
          <w:rFonts w:hint="eastAsia" w:ascii="宋体" w:hAnsi="宋体" w:cs="宋体"/>
          <w:b/>
          <w:color w:val="auto"/>
          <w:szCs w:val="21"/>
          <w:highlight w:val="none"/>
          <w:lang w:val="en-US" w:eastAsia="zh-CN"/>
        </w:rPr>
        <w:t>二、开办物品清单及</w:t>
      </w:r>
      <w:r>
        <w:rPr>
          <w:rFonts w:hint="eastAsia" w:ascii="宋体" w:hAnsi="宋体" w:cs="宋体"/>
          <w:b/>
          <w:color w:val="auto"/>
          <w:szCs w:val="21"/>
          <w:highlight w:val="none"/>
        </w:rPr>
        <w:t>参数</w:t>
      </w:r>
      <w:r>
        <w:rPr>
          <w:rFonts w:hint="eastAsia" w:ascii="宋体" w:hAnsi="宋体" w:cs="宋体"/>
          <w:b/>
          <w:color w:val="auto"/>
          <w:szCs w:val="21"/>
          <w:highlight w:val="none"/>
          <w:lang w:val="en-US" w:eastAsia="zh-CN"/>
        </w:rPr>
        <w:t>要求</w:t>
      </w:r>
    </w:p>
    <w:tbl>
      <w:tblPr>
        <w:tblStyle w:val="36"/>
        <w:tblW w:w="1014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19"/>
        <w:gridCol w:w="426"/>
        <w:gridCol w:w="2055"/>
        <w:gridCol w:w="3600"/>
        <w:gridCol w:w="602"/>
        <w:gridCol w:w="459"/>
        <w:gridCol w:w="25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41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类别</w:t>
            </w: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物资名称</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技术参数</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单位</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数量</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推荐品牌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restart"/>
            <w:tcBorders>
              <w:tl2br w:val="nil"/>
              <w:tr2bl w:val="nil"/>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工程类</w:t>
            </w: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铝合金人字梯</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3米加厚型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镁多力，高升，奥鹏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铝合金人字梯</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2米加厚型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镁多力，高升，奥鹏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铝合金升缩人字梯</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5米加厚型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w:t>
            </w:r>
          </w:p>
        </w:tc>
        <w:tc>
          <w:tcPr>
            <w:tcW w:w="4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镁多力，高升，奥鹏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铝合金人字伸缩梯</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人字梯3.1米</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w:t>
            </w:r>
          </w:p>
        </w:tc>
        <w:tc>
          <w:tcPr>
            <w:tcW w:w="4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镁多力，高升，奥鹏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插线板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10A、8位、10米</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德力西，公牛，西门子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移动线盘</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50米（2.5平方线）</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德力西，公牛，西门子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移动线盘</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30米（2.5平方线）</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德力西，公牛，西门子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406"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20V充电电锤冲击钻</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电池：20V/4.0Ah/双电</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最大输出功率：5000W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冲击能量：3.8J</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钻孔直径：混凝土28MM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最佳转钻范围10-14MM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868"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220V电镐</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最大输出功率：1100W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冲击能量：3.5J</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冲击频率：1-5000/min</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123"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充电角磨机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电池：20V/6.0Ah/双电</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砂轮规格：外径100MM孔径16MM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额定转速：85rpm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主轴螺纹：M10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角磨机木锯片</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外径100MM孔径16MM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角磨机金属切割片</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外径100MM孔径16MM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角磨机混凝土切割片</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外径100MM孔径16MM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14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充电手电钻</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电池：20V/2.0Ah/双电</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最大输出功率：350W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最大夹持能力：13MM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冲击频率：0-27000/min</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868"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马刀锯手持充电式锂电往复锯</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电池：20V/4.0Ah/双电</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最大输出功率：450W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冲程：22MM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马刀锯条往复锯条金属</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钢用锯片</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马刀锯条往复锯条木材</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木用锯片</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激光测距仪</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工作原理：激光，距离：100M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世达，史丹利，德力西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棘轮网线钳</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4P 6P 8P</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世达，史丹利，德力西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PPR熔接器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模头规格20mm,25mm,32mm/1000w</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伟星，德力西，得力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拉铆枪</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双把，适用于4.8mm以下铆钉</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世达，史丹利，东成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0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304不锈钢抽芯铆钉圆头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5*8/5*10/5*13/5*16/5*20/5*25(各50)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固万基，沪心，琪玛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自攻螺丝</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M4*20/M4*25/M4*35/M4*40/M5*20/M5*25/M5*35/M5*40(各50)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固万基，沪心，琪玛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麻花钻一套</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3MM~13MM常规各一包（5支装/包）</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圆25*350mm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圆22*350mm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圆20*350mm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圆18*350mm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圆16*350mm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六角</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【整盒10支】十/一字65两用【2x6.35x65】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【整盒10支】强力磁圈定位批头2×6.35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整盒10支】双十字100【2x6.35x100】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整盒10支】双十字65平【2x6.35x65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金属开孔器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16MM~32MM各1只</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世达，东成,德力西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木工开孔器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25~55MM常规各1支</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世达，东成,德力西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老虎钳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钢丝钳8"/200mm</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尖嘴钳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6寸</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斜口钳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6寸</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全不锈钢污水泵220V</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750W-2寸（不小于6米扬程+5吨/时）</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大元，威乐，凯泉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6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数显电笔</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功能：通断检测，零火识别，断电检测，电压显示，漏电检测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检测范围DC12/36/55V  AC70-250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博世，世达，德力西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氖泡测电笔</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检测范围：≦500C/AC</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博世，世达，德力西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英制内六角加长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1/16,5/64,3/32,7/64,1/8,9/64,5/32,3/16,7/32，1/4,5/16,3/8</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公制折叠内六角</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1.5mm/2mm/2.5mm/3mm/4mm/5mm/6mm/8mm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0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内六角扳手加长套装</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1.5mm/2mm/2.5mm/3mm/4mm/5mm/6mm/8mm/10mm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扳手</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小6寸</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扳手</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12寸</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纤维柄羊角锤子</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0.5kg纤维柄羊角锤</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插地皮尺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100米*12.5mm】塑壳架势钢卷尺</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不锈钢卷尺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双制动/5米×19mm(长×宽)</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大力钳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大力钳10"/254mm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穿心十字螺丝刀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杆径6MM十字【#2x150mm】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穿心一字螺丝刀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杆径6MM一字【6x150mm】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十字螺丝刀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杆径6MM【十字】#2x150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十字螺丝刀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杆径5MM【十字】#1x100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一字螺丝刀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杆径6MM【一字】6x150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一字螺丝刀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杆径5MM【一字】5x100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微型螺丝刀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一字/十字/梅花型规格(mm)：1.0*40/2.0*50/3.0*50/3.5*50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美工刀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刀片宽18MM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LED小手电</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金属外壳加干电池</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菲尼克斯，神火，双童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玻璃胶枪</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15寸旋转式压胶枪/袋装胶</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玻璃胶枪</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10寸旋转式压胶枪/筒装胶</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世达，东成，得力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机油壶长嘴高压</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高压金属款180ml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世达，东成，得力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工具箱</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抗摔型工具箱18寸</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世达，东成，得力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工具包</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绿色双层工具包16寸</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世达，东成，得力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棘轮套筒扳手</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5MM-24MM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两用板手开口+梅花</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两用扳手6MM-32MM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活动扳手</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18寸</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活动扳手</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10寸</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管子钳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管钳14寸/350mm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管子钳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管钳18寸/450mm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多功能剥线钳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7.5寸 弯柄剥线钳</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锉刀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中齿平锉</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26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锉刀什锦锉</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规格：5*180MM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类型：平头扁锉，尖头半圆锉，尖头方锉，尖头等边三角锉，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尖头圆锉，尖头双边圆扁锉，尖头刀型锉，尖头单面三角锉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，尖头扁圆锉，尖头椭圆锉</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PVC管子割刀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强光灯</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300W  续航7-16小时</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菲尼克斯，神火，双童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纤维柄圆头锤子</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纤维柄圆头锤2磅</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锤子</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【钢管橡塑锤0.68kg】</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大锤子</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14磅八角锤</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洋镐</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十字镐</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数显调温焊台</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75瓦 温控范围80-500度</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德力西、正泰、世达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电烙铁+配0.5焊丝1卷</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60瓦</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鹰嘴断线钳钢筋剪钳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36寸断线钳</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344"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万用表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直流电压：400mV-1000V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交流电压：4V-1000V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直流电流：40mA-400mA/4A-20A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交流电流：40mA-400mA/4A-20A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电阻：400Ω/4KΩ/40KΩ/400KΩ/4MΩ/40MΩ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频率：10Hz-1MHz/10MHz</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电容：40nF/400nF/4μF/40μF/400μF</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短路蜂鸣，相对模式测试，数据保持，背光，自动关机</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福禄克，世达，胜利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钳形万用表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直流电压：400.0MV-600V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交流电压：4.000V-600V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直流电流：40.00A-600A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交流电流：40.00A-600A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电阻：400.0Ω-40.00MΩ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电容：40.00nF-100μF</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频率：9.999Hz-200KHz</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最大钳口：32mm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福禄克，世达，胜利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21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机械万用表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直流电流：0-0.05mA-0.5mA-5mA-50mA-500mA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直流电压：0-0.25V-1V-2.5V-10V-50V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交流电压：0-10V-50V-250V-500V-1000V-2500V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交流电流：500mA/10A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电阻：0.025-0.5-5-50-500-5K-20K-50K-200K-1M-2.25M-4.5M-9M-22.5M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短路蜂鸣</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海克斯康，温泽，天宇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848"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寻线仪</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适用网线 CAT5/CAT6</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接口耐压 60V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充电方式 Type-C充电</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发射器 对线测试功能 对线接口 RJ45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对线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线序与故障测试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线屏蔽/非屏蔽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短路提示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寻线测试功能 普通/抗干扰寻线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音频发射频率 455KHz</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音频发射距离 RJ45 300m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端口闪烁功能 全双工和半双工 自动识别</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自协商和非自协商 自动识别</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10m/100m/1000m 自动识别</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长度测试功能 620M+/-1.6M,20M~100M+F 2.4M,&gt;100M+/-3.2M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POE测试功能 标准和非标准 自动识别</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末端跨接/中间跨接/8芯供电</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POE供电 电压值检测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红光测试试功 10mw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光功率计功能 850/1300/1310/1490/1550/1625(波长</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压线测试功能 RJ45-8艺，识别最短长度&gt;10cm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低电压提示功能 低于3.5V±0.1V电源指示灯闪烁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供电方式 37V1500mAh聚合物锂电池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发射器尺寸 148X70X32 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接收器 灵敏度调节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带载/非带载非屏蔽网线寻线 300m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寻线方式 普通/抗干扰寻线</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寻线工作电流 5300mA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对线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NCV检测功能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LED 照明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低电压提示 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供电方式 3.7V 1500mAh聚合物锂电池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接收器尺寸 198x50x 28mm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精明鼠，德力西，泰斯达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插座检测器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额定电流 10A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额定电压 250V~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额定功率 2500W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 外观 46mmx52mmx21.5mm(长x宽*厚)</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公牛，德力西，胜利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1296"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兆欧表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测量范围: 精确度(级):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0-2500 20级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额定电压: 刻度弧长约: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2500V 80mm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产品材质: 摇表额定转速: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铝壳(L)玻璃钢(H) 150转/分 </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德力西，金川，天宇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水平尺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防摔水平尺【测量范围600mm】【测量精度0.5mm/m】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水平尺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防摔水平尺【测量范围800mm】【测量精度0.5mm/m】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47"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红外测温仪</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彩屏款【-40℃~600℃】九点测温-DL333600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世达，东成，史丹利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不锈钢平板车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四轮静音75*50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辆</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得力，德力西，东成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雨衣雨裤</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长款</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备美，正雨，全燕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男士雨鞋</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高筒42码</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备美，正雨，全燕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塑料扎带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400MM长7.6MM宽/500根</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CHWF，宗意，凡客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塑料扎带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2.8MM宽150MM长/500根</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CHWF，宗意，凡客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塑料扎带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3.6MM宽350MM长/500根</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CHWF，宗意，凡客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自锁式不锈钢扎带304</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7.9MM宽600MM长/500根</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固泰，一通，春和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自锁式不锈钢扎带304</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4.6MM宽450MM长/500根</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固泰，一通，春和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撬棍</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19x1000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德东，史丹利，银犀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撬棍</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25x1500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德东，史丹利，银犀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铁锹</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平头</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德东，史丹利，银犀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铁锹</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尖头</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德东，史丹利，银犀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猪毛刷</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3寸塑料柄</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保联，世心，旺得利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羊毛刷</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5寸塑料柄</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保联，世心，旺得利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水砂纸</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飞轮240目</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首力，云雀，美克拉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铁砂纸</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飞轮180目</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首力，云雀，美克拉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铁砂纸</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飞轮320目</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首力，云雀，美克拉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酸性瓷白</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三棵树，立邦，瓦克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酸性透明</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三棵树，立邦，瓦克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免钉胶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1支300ml/瓶</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三棵树，立邦，瓦克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发泡剂</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简易900G</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罐</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三棵树，保联，古乐居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松锈剂</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450ML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罐</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得力，卫斯理，鑫三木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润滑油</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4L-20W-40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美孚，统一，昆仑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润滑脂</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润滑脂</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美孚，统一，昆仑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单芯电源线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BV2.5红色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公牛，德力西，正泰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单芯电源线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BV2.5蓝色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公牛，德力西，正泰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两芯护套线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RV2.5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公牛，德力西，正泰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消防信号线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RVS1.5蓝红</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公牛，德力西，正泰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网络水晶头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安普RJ45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安普，绿联，腾达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电话水晶头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安普RJ11</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安普，绿联，腾达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电工绝缘胶布</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3M-1600五色各1封</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封</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公牛，德力西，得力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防水胶布</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3M-J20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公牛，德力西，得力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生料带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加厚</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保联，得力，首力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安全帽</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蓝色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首盾，乔治巴顿，多安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护目镜</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PV材质</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得力，朋意，世达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安全绳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五点背带式/双大钩缓冲1.8M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瑞阳，瑞太，安硕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户外安全绳钢丝芯高空作业绳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直径16MM长度150M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安惠，安硕，风江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铝合金玻璃吸盘</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三爪</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鹏博，立昌，绿林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盒装“注意安全”100米可伸缩</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首力，保联，巨晶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折叠式安全围档</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100CM*75CM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首力，保联，巨晶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不锈钢火钳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60CM方卡</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朋意，长河，立锦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不锈钢井盖钩 </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长680mm*直径12mm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朋意，长河，立锦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垂直把漏勺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直径15CM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朋意，长河，立锦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劳保手套</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纱线</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星宇，佳护，恒耐达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黄油抢</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工作压力2900，出油量0.5 oz./40次按压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世达，得力，史丹利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五金耗材</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4~10螺丝、螺帽、垫片、膨胀管等</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批</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固万基，沪心，琪玛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仓储货架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加厚120*50*180五层蓝色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组</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三箭，苏美特，广宏力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小型多功能台钻</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型号Z4113/电压220V</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金鼎，绿林，科迈斯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台式老虎钳</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5寸双钳口</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沪鼎，绿林，美科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重型钳工台</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150*80*80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世达，鸿飞，百鸿兴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管道疏通机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GQ-75型220V/1200W</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巧通，海吉，先通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疏通机弹簧</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直径12MM*3M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巧通，海吉，先通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方形零件盒</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245MM*170MM蓝色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永丰双华，福尔达，百德塑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标签机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充电接口:Type-c   打印速度:30-60mm/s 有效打印宽度:12mm 24mm 电池容量:1200mAh </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得力，晨光，兄弟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木工电刨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220V，710W</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博士，德力西，东成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148</w:t>
            </w:r>
          </w:p>
        </w:tc>
        <w:tc>
          <w:tcPr>
            <w:tcW w:w="20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角磨机</w:t>
            </w:r>
          </w:p>
        </w:tc>
        <w:tc>
          <w:tcPr>
            <w:tcW w:w="36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220V，710W</w:t>
            </w:r>
          </w:p>
        </w:tc>
        <w:tc>
          <w:tcPr>
            <w:tcW w:w="602"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博士，德力西，东成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149</w:t>
            </w:r>
          </w:p>
        </w:tc>
        <w:tc>
          <w:tcPr>
            <w:tcW w:w="20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手电钻</w:t>
            </w:r>
          </w:p>
        </w:tc>
        <w:tc>
          <w:tcPr>
            <w:tcW w:w="36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220V，750W</w:t>
            </w:r>
          </w:p>
        </w:tc>
        <w:tc>
          <w:tcPr>
            <w:tcW w:w="602"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博士，德力西，东成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150</w:t>
            </w:r>
          </w:p>
        </w:tc>
        <w:tc>
          <w:tcPr>
            <w:tcW w:w="20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云石切割机</w:t>
            </w:r>
          </w:p>
        </w:tc>
        <w:tc>
          <w:tcPr>
            <w:tcW w:w="36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手持式220V 1200W</w:t>
            </w:r>
          </w:p>
        </w:tc>
        <w:tc>
          <w:tcPr>
            <w:tcW w:w="602"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博士，德力西，东成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吸锡器</w:t>
            </w:r>
          </w:p>
        </w:tc>
        <w:tc>
          <w:tcPr>
            <w:tcW w:w="36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防滑半铝强力吸锡器</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德力西，绿林，宝工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热风枪</w:t>
            </w:r>
          </w:p>
        </w:tc>
        <w:tc>
          <w:tcPr>
            <w:tcW w:w="36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数显调温，2500W</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德力西，绿林，宝工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示波表</w:t>
            </w:r>
          </w:p>
        </w:tc>
        <w:tc>
          <w:tcPr>
            <w:tcW w:w="3600" w:type="dxa"/>
            <w:tcBorders>
              <w:tl2br w:val="nil"/>
              <w:tr2bl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双通道，2*10MHz，ARM + FPGA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ADC，防烧功能，智能32KB存储</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福禄克，胜利，世达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头灯</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LED 头戴式，功率不小于5W</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飞利浦，硕森，锐尼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19" w:type="dxa"/>
            <w:vMerge w:val="restart"/>
            <w:tcBorders>
              <w:tl2br w:val="nil"/>
              <w:tr2bl w:val="nil"/>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环境类</w:t>
            </w: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外围扫地车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4刷清扫宽度2100mm/水箱容量100L/续航6-8小时/尘箱容量220L/工作效率13500m²/电机功率＞2000W</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辆</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荣事达/史沃斯/杨子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洗地机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驾驶式，不小于120L污水箱和清水箱，24V，电机功率650W以上，续航＞4H</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杨子/史沃斯/荣事达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吸水吸尘器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2200W以上,移动筒式/70L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美的/洁霸/海尔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吸水吸尘器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2200W,移动筒式/50L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美的/荣事达/洁霸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8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三合一地毯清洗机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清洗，除尘，吸油，去污一体，功率不小于2000W，手推式，水箱35L以上</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杨子/史沃斯/威洁师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吹地机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功率1000W,有效风距20M，最高风速20M/S，工作电压220-240V，电源线长5M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洁霸/白云/杰诺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单擦机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功率&amp;转速1200W&amp;175rpm </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 xml:space="preserve">底盘直径17寸 </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 xml:space="preserve">工作电压220-240V </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电源线长12M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洁霸/白云/史沃斯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高压水枪</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推车式（220V）</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德力西/指南车/黑猫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多功能保洁车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推车式（塑料）</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辆</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金易洁/白云/斯图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保洁垃圾运送车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电动三轮，挡板式4桶</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辆</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正洁/超威/天能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塑料扫把套装</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软毛刷</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妙洁/美丽雅/家必洁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竹扫把</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偏软</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利临/卫洋/竹环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毛巾（红、黄、棕、蓝、绿)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超细纤维30*60</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妙洁/美丽雅/家必洁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110cm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尘推罩</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90cm </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尘推罩</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110cm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平板拖</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平板拖</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乳胶手套</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长款</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小心地滑防风告示牌</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塑料黄色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正在作业告示牌</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塑料黄色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四色挂架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红、黄、蓝、绿</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四色喷壶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600ml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除尘掸</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万里龙/妙洁/好媳妇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伸缩杆</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伸缩杆</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伸缩杆</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腰包</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牛津纺加长款五个兜,材质牛津纺布、防水、四兜二袋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户外涂水器蓝色</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室内涂水器白色</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旋钮玻璃刮</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橡胶胶条</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105cm/条</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胶棉地刮</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55cm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胶棉地刮</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75cm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涤棉地拖</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红、黄、蓝、绿</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不锈钢垃圾夹</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1米</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长柄木头刷</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硬毛</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马桶刷</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软毛</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马桶刷</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硬毛</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垃圾袋</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50*60(加厚）</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垃圾袋</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60*80(加厚）</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垃圾袋</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80*100(加厚）</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垃圾袋</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100*120(加厚）</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金易洁/妙洁/好媳妇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快消消毒水</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5L/桶</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壹嘉樂/白云/泰华施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玻璃清洁剂</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5L/桶</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壹嘉樂/白云/泰华施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不锈钢保养清洁剂</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3.8L/桶</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壹嘉樂/白云/泰华施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204</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皂液盒</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壁挂、按压式</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蓝月亮/舒肤佳/威露士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洗手液</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5L/桶</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蓝月亮/舒肤佳/威露士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静电除尘液</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5L/桶</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壹嘉樂/白云/泰华施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自动除味机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干电池，香芯可替换</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壹嘉樂/白云/泰华施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消泡剂</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3.8L/桶</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壹嘉樂/白云/泰华施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洗洁精</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3.8L/桶</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壹嘉樂/白云/泰华施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灰，240L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科力邦/Cleapon/美丽雅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211</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红，240L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科力邦/Cleapon/美丽雅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212</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绿，240L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科力邦/Cleapon/美丽雅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蓝，240L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科力邦/Cleapon/美丽雅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restart"/>
            <w:tcBorders>
              <w:tl2br w:val="nil"/>
              <w:tr2bl w:val="nil"/>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安保类</w:t>
            </w: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214</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消防水枪</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QZ3.5/7.5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215</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消防水带</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里衬10-65-25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盘</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216</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消火栓扳手</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通用型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217</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干粉灭火器（4kg）</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ABC干粉（4KG）</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218</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强光手电筒</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SYT-01消防头盔上配置</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神火/探路峰/天火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219</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疏散荧光棒</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60CM/充电式</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多功能水枪</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QZ3.5/7.5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221</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消防斧、腰斧</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20款3C</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222</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消防员灭火防护服</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20款3C</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浙江威能/浙江星浙安/中正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223</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消防员灭火防护靴</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20款3C</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浙江威能/浙江星浙安/中正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224</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消防安全腰带</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20款3C</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浙江威能/浙江星浙安/中正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225</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消防手套</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20款3C</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浙江威能/浙江星浙安/中正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消防过滤式综合防毒面具</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TZL30型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227</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消防头盔</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半盔式黄色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浙江威能/浙江星浙安/中正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228</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手持扬声器</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充电、录音款（中型）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229</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反光背心</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无袖款</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强光手电</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可充电SYT-01</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神火/探路峰/天火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231</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柜体</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900*1800*400（红色微型消防站专用柜）</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浙江威能/浙江星浙安/国泰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232</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防刺服</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FCF-F-LA</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233</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防护头盔</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GA296-QWK</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234</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警用防割手套</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FG2018-ⅠⅡⅢ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付</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235</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伸缩警棍</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SSG600-A-C-YT</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236</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防暴自卫喷射器</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35*110毫升</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瓶</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237</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伸缩制暴钢叉</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216CM（不锈钢制）</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238</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多功能约束式抓捕器</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JC-LA</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239</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防暴盾牌</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长方形防爆盾</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240</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警用多功能腰带</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241</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警戒带</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反光警示</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盘</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242</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防爆柜</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900 *1800 *400（蓝色防爆专用柜）</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财喜来/神铠/弘安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243</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钥匙箱</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壁挂式，72位(密码锁）</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得力/震迪/京耀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244</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防汛挡板</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佳航/易航/伟光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245</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安全警示锥</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塑胶黄黑反光</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克鲁尼/爱架宝/欧汉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246</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门岗服务台</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不锈钢原色尺寸不小于：高1150*（底座530*350）*（讲台600*425），单位mm.</w:t>
            </w:r>
          </w:p>
        </w:tc>
        <w:tc>
          <w:tcPr>
            <w:tcW w:w="6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微洛尔/欧希雷/羽驰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防汛沙袋</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30*70（防汛专用沙袋）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东消/腾驰/万众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248</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门岗遮阳伞</w:t>
            </w:r>
          </w:p>
        </w:tc>
        <w:tc>
          <w:tcPr>
            <w:tcW w:w="36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2.5米+160斤水箱</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野人谷/藤朝/都格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700" w:hRule="atLeast"/>
        </w:trPr>
        <w:tc>
          <w:tcPr>
            <w:tcW w:w="419" w:type="dxa"/>
            <w:vMerge w:val="restart"/>
            <w:tcBorders>
              <w:tl2br w:val="nil"/>
              <w:tr2bl w:val="nil"/>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行政办公类</w:t>
            </w: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249</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台式电脑</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1、CPU要求英特尔14代i5处理器以上</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2、内存16G频率为DDR4 3200M以上</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3、硬盘要求ssd固态硬盘，容量1TB以上，</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4、安装正版Windows11系统</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5、显示器分辨率1080p以上，刷新频率60hz以上，带护眼模式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6、显示器尺寸23寸以上，与主机品牌相同</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7、附带无线鼠标键盘</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联想/惠普/EDLL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69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250</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笔记本电脑</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1、内存16G，固态硬盘1TB；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2、CPU为12代i7 13700H以上；</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3、屏幕分辨率2.2K以上，刷新率120HZ；</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4、屏幕14寸以上；</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5、颜色推荐为黑色或银灰色。</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华为/惠普/联想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7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251</w:t>
            </w:r>
          </w:p>
        </w:tc>
        <w:tc>
          <w:tcPr>
            <w:tcW w:w="205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办公桌+柜</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人造板，F型单人工位1500*1400*1100，配柜子</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cs="宋体"/>
                <w:i w:val="0"/>
                <w:color w:val="auto"/>
                <w:sz w:val="20"/>
                <w:szCs w:val="20"/>
                <w:highlight w:val="none"/>
                <w:u w:val="none"/>
                <w:lang w:eastAsia="zh-CN"/>
              </w:rPr>
              <w:t>套</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6</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其他家/方浩/悦美妙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474"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252</w:t>
            </w:r>
          </w:p>
        </w:tc>
        <w:tc>
          <w:tcPr>
            <w:tcW w:w="205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休闲办公桌椅</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木制，蓝皮，一桌四椅。桌面直径90cm，高度75cm，椅子78*55*42</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套</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4</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其他家/方浩/悦美妙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0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253</w:t>
            </w:r>
          </w:p>
        </w:tc>
        <w:tc>
          <w:tcPr>
            <w:tcW w:w="205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职员桌+柜</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人造板板，F型单工位1260*630*1100</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配柜子</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cs="宋体"/>
                <w:i w:val="0"/>
                <w:color w:val="auto"/>
                <w:sz w:val="20"/>
                <w:szCs w:val="20"/>
                <w:highlight w:val="none"/>
                <w:u w:val="none"/>
                <w:lang w:eastAsia="zh-CN"/>
              </w:rPr>
              <w:t>套</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其他家/方浩/悦美妙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254</w:t>
            </w:r>
          </w:p>
        </w:tc>
        <w:tc>
          <w:tcPr>
            <w:tcW w:w="205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szCs w:val="20"/>
                <w:highlight w:val="none"/>
                <w:lang w:eastAsia="zh-CN" w:bidi="ar"/>
              </w:rPr>
            </w:pPr>
            <w:r>
              <w:rPr>
                <w:rFonts w:hint="eastAsia" w:ascii="宋体" w:hAnsi="宋体" w:cs="宋体"/>
                <w:color w:val="auto"/>
                <w:kern w:val="0"/>
                <w:sz w:val="20"/>
                <w:szCs w:val="20"/>
                <w:highlight w:val="none"/>
                <w:lang w:eastAsia="zh-CN" w:bidi="ar"/>
              </w:rPr>
              <w:t>办公椅</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eastAsia="zh-CN" w:bidi="ar"/>
              </w:rPr>
              <w:t>优质进口网布，</w:t>
            </w:r>
            <w:r>
              <w:rPr>
                <w:rFonts w:hint="eastAsia" w:ascii="宋体" w:hAnsi="宋体" w:cs="宋体"/>
                <w:color w:val="auto"/>
                <w:kern w:val="0"/>
                <w:sz w:val="20"/>
                <w:szCs w:val="20"/>
                <w:highlight w:val="none"/>
                <w:lang w:val="en-US" w:eastAsia="zh-CN" w:bidi="ar"/>
              </w:rPr>
              <w:t>18mm厚单层分体弯板，采用定型海绵，25管1.8厚五星爪脚</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31</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其他家/方浩/悦美妙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val="en-US" w:eastAsia="zh-CN" w:bidi="ar"/>
              </w:rPr>
              <w:t>55</w:t>
            </w:r>
          </w:p>
        </w:tc>
        <w:tc>
          <w:tcPr>
            <w:tcW w:w="205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打印复印一体机</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A3/A4彩色，自动双面，支持无线网络，打印、扫描、复印一体</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台</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震旦/爱普生/佳能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256</w:t>
            </w:r>
          </w:p>
        </w:tc>
        <w:tc>
          <w:tcPr>
            <w:tcW w:w="205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文件柜</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金属，白色喷涂，中二斗1800*850*390厚0.5</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组</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10</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亿家达/苏美特/欧奈斯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257</w:t>
            </w:r>
          </w:p>
        </w:tc>
        <w:tc>
          <w:tcPr>
            <w:tcW w:w="20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钥匙箱</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800位/密码锁钥匙柜</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常有家/金隆兴/金昊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258</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保险柜</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电子+指纹密码（450mm*320mm*380mm)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虎牌/双宝塔/得力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cs="宋体"/>
                <w:color w:val="auto"/>
                <w:kern w:val="0"/>
                <w:sz w:val="20"/>
                <w:szCs w:val="20"/>
                <w:highlight w:val="none"/>
                <w:lang w:bidi="ar"/>
              </w:rPr>
              <w:t>259</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饮水机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下置式茶吧机，即热型</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美的/九阳/奥克斯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2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cs="宋体"/>
                <w:color w:val="auto"/>
                <w:kern w:val="0"/>
                <w:sz w:val="20"/>
                <w:szCs w:val="20"/>
                <w:highlight w:val="none"/>
                <w:lang w:bidi="ar"/>
              </w:rPr>
              <w:t>260</w:t>
            </w:r>
          </w:p>
        </w:tc>
        <w:tc>
          <w:tcPr>
            <w:tcW w:w="205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更衣柜</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金属，白色喷涂，1800*900*420 六门</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个</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10</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亿家达/苏美特/欧奈斯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261</w:t>
            </w:r>
          </w:p>
        </w:tc>
        <w:tc>
          <w:tcPr>
            <w:tcW w:w="205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仓储货架</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金属，可拆卸，单层承重100-200KG,120*50*200五层白色</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组</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15</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震旦/歌德利/佳鸿鑫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1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262</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水性笔</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红色0.5芯</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263</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水性笔</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黑色0.5芯</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264</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记号笔</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油性黑</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265</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钉书机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130*60*41mm(弹簧式）</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266</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美工刀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25MM大号</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267</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剪纸刀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不锈钢材质</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268</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回形针</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50mm钢芯</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269</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A4文件袋</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斜纹混色塑料</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270</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燕尾夹</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彩色19MM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271</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木质文件架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木制多层，28cm*48.5cm*24.5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272</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A4文件夹</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背宽7.5cm</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5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273</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A4档案盒</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插页100页</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274</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A4板夹</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塑料-HDJ</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块</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275</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透明胶带</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1.5CM宽</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276</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固体胶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21克/装</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277</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双面胶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1.5CM宽</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278</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A4纸</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A4粉</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箱</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279</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A4纸</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A4白</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箱</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280</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塑封机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A3/A4塑封</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得力/晨光/惠普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281</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裁纸刀</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钢质A5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282</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塑封膜</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A3塑料膜</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283</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塑封膜</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A4塑料膜</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284</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笔记本</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A5</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得力/晨光/齐心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285</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碎纸机</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保密四级、碎纸箱21-30L</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得力/晨光/惠普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286</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药箱</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12寸配常备药</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其他家/银猫/佳帮手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287</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雨伞</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长柄</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得力/晨光/咔巴熊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288</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雨伞架</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10头</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others/好乐佳/冠腾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2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cs="宋体"/>
                <w:color w:val="auto"/>
                <w:kern w:val="0"/>
                <w:sz w:val="20"/>
                <w:szCs w:val="20"/>
                <w:highlight w:val="none"/>
                <w:lang w:bidi="ar"/>
              </w:rPr>
              <w:t>289</w:t>
            </w:r>
          </w:p>
        </w:tc>
        <w:tc>
          <w:tcPr>
            <w:tcW w:w="20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插线板</w:t>
            </w:r>
          </w:p>
        </w:tc>
        <w:tc>
          <w:tcPr>
            <w:tcW w:w="36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8位3米</w:t>
            </w:r>
          </w:p>
        </w:tc>
        <w:tc>
          <w:tcPr>
            <w:tcW w:w="60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45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258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公牛/德力西/飞利浦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i w:val="0"/>
                <w:color w:val="auto"/>
                <w:sz w:val="20"/>
                <w:szCs w:val="20"/>
                <w:highlight w:val="none"/>
                <w:u w:val="none"/>
                <w:lang w:val="en-US" w:eastAsia="zh-CN"/>
              </w:rPr>
            </w:pPr>
            <w:r>
              <w:rPr>
                <w:rFonts w:hint="eastAsia"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val="en-US" w:eastAsia="zh-CN" w:bidi="ar"/>
              </w:rPr>
              <w:t>90</w:t>
            </w:r>
          </w:p>
        </w:tc>
        <w:tc>
          <w:tcPr>
            <w:tcW w:w="205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微波炉</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微烤一体机，功率不小于800W，容量23L，侧拉门，机械按键</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台</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cs="宋体"/>
                <w:color w:val="auto"/>
                <w:kern w:val="0"/>
                <w:sz w:val="20"/>
                <w:szCs w:val="20"/>
                <w:highlight w:val="none"/>
                <w:lang w:val="en-US" w:eastAsia="zh-CN" w:bidi="ar"/>
              </w:rPr>
              <w:t>2</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美的/格兰仕/松下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419"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42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cs="宋体"/>
                <w:color w:val="auto"/>
                <w:kern w:val="0"/>
                <w:sz w:val="20"/>
                <w:szCs w:val="20"/>
                <w:highlight w:val="none"/>
                <w:lang w:bidi="ar"/>
              </w:rPr>
              <w:t>29</w:t>
            </w:r>
            <w:r>
              <w:rPr>
                <w:rFonts w:hint="eastAsia" w:ascii="宋体" w:hAnsi="宋体" w:cs="宋体"/>
                <w:color w:val="auto"/>
                <w:kern w:val="0"/>
                <w:sz w:val="20"/>
                <w:szCs w:val="20"/>
                <w:highlight w:val="none"/>
                <w:lang w:val="en-US" w:eastAsia="zh-CN" w:bidi="ar"/>
              </w:rPr>
              <w:t>1</w:t>
            </w:r>
          </w:p>
        </w:tc>
        <w:tc>
          <w:tcPr>
            <w:tcW w:w="205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冰箱</w:t>
            </w:r>
          </w:p>
        </w:tc>
        <w:tc>
          <w:tcPr>
            <w:tcW w:w="360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双开门，总容积不小于480L，一级能耗，冷冻能力7KG/12h,钢质面板，体积不小于</w:t>
            </w:r>
            <w:r>
              <w:rPr>
                <w:rFonts w:ascii="宋体" w:hAnsi="宋体" w:cs="宋体"/>
                <w:color w:val="auto"/>
                <w:kern w:val="0"/>
                <w:sz w:val="20"/>
                <w:szCs w:val="20"/>
                <w:highlight w:val="none"/>
                <w:lang w:bidi="ar"/>
              </w:rPr>
              <w:t>8</w:t>
            </w:r>
            <w:r>
              <w:rPr>
                <w:rFonts w:hint="eastAsia" w:ascii="宋体" w:hAnsi="宋体" w:cs="宋体"/>
                <w:color w:val="auto"/>
                <w:kern w:val="0"/>
                <w:sz w:val="20"/>
                <w:szCs w:val="20"/>
                <w:highlight w:val="none"/>
                <w:lang w:bidi="ar"/>
              </w:rPr>
              <w:t>50</w:t>
            </w:r>
            <w:r>
              <w:rPr>
                <w:rFonts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bidi="ar"/>
              </w:rPr>
              <w:t>700</w:t>
            </w:r>
            <w:r>
              <w:rPr>
                <w:rFonts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bidi="ar"/>
              </w:rPr>
              <w:t>1800</w:t>
            </w:r>
          </w:p>
        </w:tc>
        <w:tc>
          <w:tcPr>
            <w:tcW w:w="602"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台</w:t>
            </w:r>
          </w:p>
        </w:tc>
        <w:tc>
          <w:tcPr>
            <w:tcW w:w="45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w:t>
            </w:r>
          </w:p>
        </w:tc>
        <w:tc>
          <w:tcPr>
            <w:tcW w:w="25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海尔/美的/松下</w:t>
            </w:r>
          </w:p>
        </w:tc>
      </w:tr>
      <w:bookmarkEnd w:id="21"/>
      <w:bookmarkEnd w:id="22"/>
      <w:bookmarkEnd w:id="23"/>
      <w:bookmarkEnd w:id="24"/>
    </w:tbl>
    <w:p>
      <w:pPr>
        <w:adjustRightInd w:val="0"/>
        <w:snapToGrid w:val="0"/>
        <w:spacing w:line="360" w:lineRule="auto"/>
        <w:outlineLvl w:val="1"/>
        <w:rPr>
          <w:rFonts w:hint="eastAsia" w:ascii="宋体" w:hAnsi="宋体" w:cs="Arial"/>
          <w:b/>
          <w:bCs/>
          <w:color w:val="auto"/>
          <w:szCs w:val="21"/>
          <w:highlight w:val="none"/>
          <w:lang w:val="en-US" w:eastAsia="zh-CN"/>
        </w:rPr>
      </w:pPr>
      <w:bookmarkStart w:id="25" w:name="_Toc15438"/>
      <w:bookmarkStart w:id="26" w:name="_Toc9295"/>
      <w:bookmarkStart w:id="27" w:name="_Toc253"/>
      <w:bookmarkStart w:id="28" w:name="_Toc25299"/>
      <w:bookmarkStart w:id="29" w:name="_Toc18497"/>
    </w:p>
    <w:p>
      <w:pPr>
        <w:adjustRightInd w:val="0"/>
        <w:snapToGrid w:val="0"/>
        <w:spacing w:line="360" w:lineRule="auto"/>
        <w:ind w:firstLine="422" w:firstLineChars="200"/>
        <w:outlineLvl w:val="1"/>
        <w:rPr>
          <w:rFonts w:hint="eastAsia" w:ascii="宋体" w:hAnsi="宋体" w:cs="Arial"/>
          <w:b/>
          <w:bCs/>
          <w:color w:val="auto"/>
          <w:szCs w:val="21"/>
          <w:highlight w:val="none"/>
        </w:rPr>
      </w:pPr>
      <w:r>
        <w:rPr>
          <w:rFonts w:hint="eastAsia" w:ascii="宋体" w:hAnsi="宋体" w:cs="Arial"/>
          <w:b/>
          <w:bCs/>
          <w:color w:val="auto"/>
          <w:szCs w:val="21"/>
          <w:highlight w:val="none"/>
          <w:lang w:val="en-US" w:eastAsia="zh-CN"/>
        </w:rPr>
        <w:t>三</w:t>
      </w:r>
      <w:r>
        <w:rPr>
          <w:rFonts w:hint="eastAsia" w:ascii="宋体" w:hAnsi="宋体" w:cs="Arial"/>
          <w:b/>
          <w:bCs/>
          <w:color w:val="auto"/>
          <w:szCs w:val="21"/>
          <w:highlight w:val="none"/>
        </w:rPr>
        <w:t>、其他要求</w:t>
      </w:r>
      <w:bookmarkEnd w:id="25"/>
      <w:bookmarkEnd w:id="26"/>
      <w:bookmarkEnd w:id="27"/>
      <w:bookmarkEnd w:id="28"/>
      <w:bookmarkEnd w:id="29"/>
    </w:p>
    <w:p>
      <w:pPr>
        <w:adjustRightInd w:val="0"/>
        <w:snapToGrid w:val="0"/>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1.投标人应根据招标文件所提出的设备技术规格和服务要求，综合考虑设备的适应性，选择具有最佳性能价格比的设备前来投标。希望投标人以精良的设备、优良的服务和优惠的价格，充分显示竞争实力。</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.投标人应提供设备的安装、调试、试运行、培训等全部服务，配套管线等安装辅助材料</w:t>
      </w:r>
      <w:r>
        <w:rPr>
          <w:rFonts w:hint="eastAsia" w:ascii="宋体" w:hAnsi="宋体" w:cs="Arial"/>
          <w:color w:val="auto"/>
          <w:szCs w:val="21"/>
          <w:highlight w:val="none"/>
          <w:lang w:eastAsia="zh-CN"/>
        </w:rPr>
        <w:t>，</w:t>
      </w:r>
      <w:r>
        <w:rPr>
          <w:rFonts w:hint="eastAsia" w:ascii="宋体" w:hAnsi="宋体" w:cs="Arial"/>
          <w:color w:val="auto"/>
          <w:szCs w:val="21"/>
          <w:highlight w:val="none"/>
        </w:rPr>
        <w:t>投标人承担上述服务的全部费用。</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投标人</w:t>
      </w:r>
      <w:r>
        <w:rPr>
          <w:rFonts w:hint="eastAsia" w:ascii="宋体" w:hAnsi="宋体" w:cs="Arial"/>
          <w:color w:val="auto"/>
          <w:szCs w:val="21"/>
          <w:highlight w:val="none"/>
        </w:rPr>
        <w:t>必须保证所供产品全新、正宗、原包装（须按要求新生产的货物），并符合国家强制性标准，至用户手中时不拆封。提供货物时必须提供制造商出具的保修卡、中文说明书以及产品特约维修处（特殊情况除外）。</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.产品（材料）及其辅助装置铭牌、使用指示、警告指示应以中文来表示；应准确无误的表明货物之型号、规格、制造厂及生产或出厂日期。</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.所有设备在开箱检验时必须完好，无破损，配置与装箱单相符。数量、质量及性能不低于本招标文件提出的要求。设备的设计、技术规格和制造均应符合国家（或国际）最新颁布的有关标准/规范要求。</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投标人所投设备及主要部件的名称、品牌、型号、技术参数、性能、制造商、质保期等应对照采购内容及技术要求列表对应进行说明，在投标文件的相应部分明确，对招标文件的技术条款及其它要求应予以实质性响应，如有偏离须在偏离表中注明。</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.本采购文件的技术要求不得被认为是详尽无遗的，无论规定与否，投标人应提供所有并包含采购文件没有规定但须完成此项目必要或必须的设备、材料、辅件等的详细清单。</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.项目设备必须通过国家第三方权威部门的检测和校准，在交货时提供相应的检测、校准报告或证书，有关检测费用在分项报价表中详细列明。</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.质保期内所有备品备件或工具等由供应商提供，确保整个系统正常运作</w:t>
      </w:r>
      <w:r>
        <w:rPr>
          <w:rFonts w:hint="eastAsia" w:ascii="宋体" w:hAnsi="宋体" w:cs="Arial"/>
          <w:color w:val="auto"/>
          <w:szCs w:val="21"/>
          <w:highlight w:val="none"/>
          <w:lang w:eastAsia="zh-CN"/>
        </w:rPr>
        <w:t>，</w:t>
      </w:r>
      <w:r>
        <w:rPr>
          <w:rFonts w:hint="eastAsia" w:ascii="宋体" w:hAnsi="宋体" w:cs="Arial"/>
          <w:color w:val="auto"/>
          <w:szCs w:val="21"/>
          <w:highlight w:val="none"/>
        </w:rPr>
        <w:t>该费用计入投标总价。</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0</w:t>
      </w:r>
      <w:r>
        <w:rPr>
          <w:rFonts w:hint="eastAsia" w:ascii="宋体" w:hAnsi="宋体" w:cs="Arial"/>
          <w:color w:val="auto"/>
          <w:szCs w:val="21"/>
          <w:highlight w:val="none"/>
        </w:rPr>
        <w:t>.中标工作人员在工作期间造成第三方人身安全事故或因工作失误所带来的商品或财产损失而发生的赔偿，均由中标人负全责。</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11.中标人安装时造成对墙面、地面等破损的，墙面、地面等修补复原由中标人负责，费用由中标人承担，安装完毕后中标人负责做好地面清洁工作，产生的垃圾自行处理。</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.所有货物由供应商安装到位，</w:t>
      </w:r>
      <w:r>
        <w:rPr>
          <w:rFonts w:hint="eastAsia" w:ascii="宋体" w:hAnsi="宋体" w:cs="Arial"/>
          <w:color w:val="auto"/>
          <w:szCs w:val="21"/>
          <w:highlight w:val="none"/>
          <w:lang w:val="en-US" w:eastAsia="zh-CN"/>
        </w:rPr>
        <w:t>安装位置由采购人指定，</w:t>
      </w:r>
      <w:r>
        <w:rPr>
          <w:rFonts w:hint="eastAsia" w:ascii="宋体" w:hAnsi="宋体" w:cs="Arial"/>
          <w:color w:val="auto"/>
          <w:szCs w:val="21"/>
          <w:highlight w:val="none"/>
        </w:rPr>
        <w:t>安装方式由中标人自行考虑，如安装方式特殊等原因发生额外的费用，由中标人承担。</w:t>
      </w:r>
    </w:p>
    <w:p>
      <w:pPr>
        <w:adjustRightInd w:val="0"/>
        <w:snapToGrid w:val="0"/>
        <w:spacing w:line="360" w:lineRule="auto"/>
        <w:ind w:firstLine="420" w:firstLineChars="200"/>
        <w:rPr>
          <w:rFonts w:hint="eastAsia" w:ascii="宋体" w:hAnsi="宋体" w:eastAsia="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中标人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造成任何质量或损坏问题，中标人应负责更换，并妥善处理直</w:t>
      </w:r>
      <w:r>
        <w:rPr>
          <w:rFonts w:hint="eastAsia" w:ascii="宋体" w:hAnsi="宋体" w:eastAsia="宋体" w:cs="Arial"/>
          <w:color w:val="auto"/>
          <w:szCs w:val="21"/>
          <w:highlight w:val="none"/>
        </w:rPr>
        <w:t>至采购人满意，由此造成的一切费用均由中标人承担。</w:t>
      </w:r>
    </w:p>
    <w:p>
      <w:pPr>
        <w:adjustRightInd w:val="0"/>
        <w:snapToGrid w:val="0"/>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1</w:t>
      </w:r>
      <w:r>
        <w:rPr>
          <w:rFonts w:hint="eastAsia" w:ascii="宋体" w:hAnsi="宋体" w:cs="Arial"/>
          <w:color w:val="auto"/>
          <w:szCs w:val="21"/>
          <w:highlight w:val="none"/>
          <w:lang w:val="en-US" w:eastAsia="zh-CN"/>
        </w:rPr>
        <w:t>4</w:t>
      </w:r>
      <w:r>
        <w:rPr>
          <w:rFonts w:hint="eastAsia" w:ascii="宋体" w:hAnsi="宋体" w:eastAsia="宋体" w:cs="Arial"/>
          <w:color w:val="auto"/>
          <w:szCs w:val="21"/>
          <w:highlight w:val="none"/>
        </w:rPr>
        <w:t>.投标供应商在国内应有维修中心，配备专职的维修工程师，有充足数量的备品、备件库</w:t>
      </w:r>
      <w:r>
        <w:rPr>
          <w:rFonts w:hint="eastAsia" w:ascii="宋体" w:hAnsi="宋体" w:eastAsia="宋体" w:cs="Arial"/>
          <w:color w:val="auto"/>
          <w:szCs w:val="21"/>
          <w:highlight w:val="none"/>
          <w:lang w:eastAsia="zh-CN"/>
        </w:rPr>
        <w:t>。</w:t>
      </w:r>
    </w:p>
    <w:p>
      <w:pPr>
        <w:adjustRightInd w:val="0"/>
        <w:snapToGrid w:val="0"/>
        <w:spacing w:line="360" w:lineRule="auto"/>
        <w:ind w:firstLine="420" w:firstLineChars="200"/>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w:t>
      </w:r>
      <w:r>
        <w:rPr>
          <w:rFonts w:hint="eastAsia" w:ascii="宋体" w:hAnsi="宋体" w:cs="Arial"/>
          <w:color w:val="auto"/>
          <w:szCs w:val="21"/>
          <w:highlight w:val="none"/>
          <w:lang w:val="en-US" w:eastAsia="zh-CN"/>
        </w:rPr>
        <w:t>5</w:t>
      </w:r>
      <w:r>
        <w:rPr>
          <w:rFonts w:hint="eastAsia" w:ascii="宋体" w:hAnsi="宋体" w:eastAsia="宋体" w:cs="Arial"/>
          <w:color w:val="auto"/>
          <w:szCs w:val="21"/>
          <w:highlight w:val="none"/>
        </w:rPr>
        <w:t>.在本招标文件中未予计及而在实际安装、运行和使用中又必不可少的设备、部件或软件，投标人须在投标文件中单独列出、明确报价、计入总价。</w:t>
      </w:r>
      <w:bookmarkStart w:id="30" w:name="_Toc12138"/>
      <w:bookmarkStart w:id="31" w:name="_Toc30913"/>
      <w:bookmarkStart w:id="32" w:name="_Toc25772"/>
    </w:p>
    <w:p>
      <w:pPr>
        <w:adjustRightInd w:val="0"/>
        <w:snapToGrid w:val="0"/>
        <w:spacing w:line="360" w:lineRule="auto"/>
        <w:ind w:firstLine="420" w:firstLineChars="200"/>
        <w:rPr>
          <w:rFonts w:hint="eastAsia" w:ascii="宋体" w:hAnsi="宋体" w:eastAsia="宋体" w:cs="Arial"/>
          <w:color w:val="auto"/>
          <w:szCs w:val="21"/>
          <w:highlight w:val="none"/>
        </w:rPr>
      </w:pPr>
      <w:r>
        <w:rPr>
          <w:rFonts w:hint="eastAsia" w:ascii="宋体" w:hAnsi="宋体" w:cs="Arial"/>
          <w:color w:val="auto"/>
          <w:szCs w:val="21"/>
          <w:highlight w:val="none"/>
          <w:lang w:val="en-US" w:eastAsia="zh-CN"/>
        </w:rPr>
        <w:t>16</w:t>
      </w:r>
      <w:r>
        <w:rPr>
          <w:rFonts w:hint="eastAsia" w:ascii="宋体" w:hAnsi="宋体" w:eastAsia="宋体" w:cs="Arial"/>
          <w:color w:val="auto"/>
          <w:szCs w:val="21"/>
          <w:highlight w:val="none"/>
        </w:rPr>
        <w:t>.投标人需要提供合理的项目整体实施方案，能按照项目分解节点并可跟踪实施。</w:t>
      </w:r>
    </w:p>
    <w:p>
      <w:pPr>
        <w:adjustRightInd w:val="0"/>
        <w:snapToGrid w:val="0"/>
        <w:spacing w:line="360" w:lineRule="auto"/>
        <w:ind w:firstLine="420" w:firstLineChars="200"/>
        <w:rPr>
          <w:rFonts w:hint="eastAsia" w:ascii="宋体" w:hAnsi="宋体" w:eastAsia="宋体" w:cs="Arial"/>
          <w:color w:val="auto"/>
          <w:szCs w:val="21"/>
          <w:highlight w:val="none"/>
        </w:rPr>
      </w:pPr>
      <w:r>
        <w:rPr>
          <w:rFonts w:hint="eastAsia" w:ascii="宋体" w:hAnsi="宋体" w:cs="Arial"/>
          <w:color w:val="auto"/>
          <w:szCs w:val="21"/>
          <w:highlight w:val="none"/>
          <w:lang w:val="en-US" w:eastAsia="zh-CN"/>
        </w:rPr>
        <w:t>17</w:t>
      </w:r>
      <w:r>
        <w:rPr>
          <w:rFonts w:hint="eastAsia" w:ascii="宋体" w:hAnsi="宋体" w:eastAsia="宋体" w:cs="Arial"/>
          <w:color w:val="auto"/>
          <w:szCs w:val="21"/>
          <w:highlight w:val="none"/>
        </w:rPr>
        <w:t>.投标人需要提供生产实施方案，包括原材料采购、加工制作等各个环节的实施方案，在规定的时间内有计划的完成项目需求产品的生产和装配。</w:t>
      </w:r>
    </w:p>
    <w:p>
      <w:pPr>
        <w:adjustRightInd w:val="0"/>
        <w:snapToGrid w:val="0"/>
        <w:spacing w:line="360" w:lineRule="auto"/>
        <w:ind w:firstLine="420" w:firstLineChars="200"/>
        <w:rPr>
          <w:rFonts w:hint="eastAsia" w:ascii="宋体" w:hAnsi="宋体" w:eastAsia="宋体" w:cs="Arial"/>
          <w:color w:val="auto"/>
          <w:szCs w:val="21"/>
          <w:highlight w:val="none"/>
        </w:rPr>
      </w:pPr>
      <w:r>
        <w:rPr>
          <w:rFonts w:hint="eastAsia" w:ascii="宋体" w:hAnsi="宋体" w:cs="Arial"/>
          <w:color w:val="auto"/>
          <w:szCs w:val="21"/>
          <w:highlight w:val="none"/>
          <w:lang w:val="en-US" w:eastAsia="zh-CN"/>
        </w:rPr>
        <w:t>18</w:t>
      </w:r>
      <w:r>
        <w:rPr>
          <w:rFonts w:hint="eastAsia" w:ascii="宋体" w:hAnsi="宋体" w:eastAsia="宋体" w:cs="Arial"/>
          <w:color w:val="auto"/>
          <w:szCs w:val="21"/>
          <w:highlight w:val="none"/>
        </w:rPr>
        <w:t>.投标人需要提供品控管理方案，对产品品质有管理管控过程，有独立品管部门和专门品管人员，确保产品生产过程中的质量控制完善。</w:t>
      </w:r>
    </w:p>
    <w:p>
      <w:pPr>
        <w:adjustRightInd w:val="0"/>
        <w:snapToGrid w:val="0"/>
        <w:spacing w:line="360" w:lineRule="auto"/>
        <w:ind w:firstLine="420" w:firstLineChars="200"/>
        <w:rPr>
          <w:rFonts w:hint="eastAsia" w:ascii="宋体" w:hAnsi="宋体" w:eastAsia="宋体" w:cs="Arial"/>
          <w:color w:val="auto"/>
          <w:szCs w:val="21"/>
          <w:highlight w:val="none"/>
        </w:rPr>
      </w:pPr>
      <w:r>
        <w:rPr>
          <w:rFonts w:hint="eastAsia" w:ascii="宋体" w:hAnsi="宋体" w:cs="Arial"/>
          <w:color w:val="auto"/>
          <w:szCs w:val="21"/>
          <w:highlight w:val="none"/>
          <w:lang w:val="en-US" w:eastAsia="zh-CN"/>
        </w:rPr>
        <w:t>19</w:t>
      </w:r>
      <w:r>
        <w:rPr>
          <w:rFonts w:hint="eastAsia" w:ascii="宋体" w:hAnsi="宋体" w:eastAsia="宋体" w:cs="Arial"/>
          <w:color w:val="auto"/>
          <w:szCs w:val="21"/>
          <w:highlight w:val="none"/>
        </w:rPr>
        <w:t>.投标人需要提供安装服务实施方案，根据货物交付时间节点，落实送货安装时间和人员安排，确保按期交付使用。</w:t>
      </w:r>
    </w:p>
    <w:p>
      <w:pPr>
        <w:adjustRightInd w:val="0"/>
        <w:snapToGrid w:val="0"/>
        <w:spacing w:line="360" w:lineRule="auto"/>
        <w:ind w:firstLine="420" w:firstLineChars="200"/>
        <w:rPr>
          <w:rFonts w:hint="eastAsia" w:ascii="宋体" w:hAnsi="宋体" w:eastAsia="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eastAsia="宋体" w:cs="Arial"/>
          <w:color w:val="auto"/>
          <w:szCs w:val="21"/>
          <w:highlight w:val="none"/>
        </w:rPr>
        <w:t>.本项目装饰施工基本完成，可能给</w:t>
      </w:r>
      <w:r>
        <w:rPr>
          <w:rFonts w:hint="eastAsia" w:ascii="宋体" w:hAnsi="宋体" w:cs="Arial"/>
          <w:color w:val="auto"/>
          <w:szCs w:val="21"/>
          <w:highlight w:val="none"/>
          <w:lang w:eastAsia="zh-CN"/>
        </w:rPr>
        <w:t>家具等</w:t>
      </w:r>
      <w:r>
        <w:rPr>
          <w:rFonts w:hint="eastAsia" w:ascii="宋体" w:hAnsi="宋体" w:eastAsia="宋体" w:cs="Arial"/>
          <w:color w:val="auto"/>
          <w:szCs w:val="21"/>
          <w:highlight w:val="none"/>
        </w:rPr>
        <w:t>的成品搬运带来难度，因此而发生的现场安装甚至现场制作（含己完成面的保护、卫生保洁等），由投标人根据实际情况自行决定，其采取的相关措施费用己包含在投标报价中，采购人不再另行支付。</w:t>
      </w:r>
    </w:p>
    <w:p>
      <w:pPr>
        <w:adjustRightInd w:val="0"/>
        <w:snapToGrid w:val="0"/>
        <w:spacing w:line="360" w:lineRule="auto"/>
        <w:ind w:firstLine="422" w:firstLineChars="200"/>
        <w:outlineLvl w:val="1"/>
        <w:rPr>
          <w:rFonts w:hint="eastAsia" w:ascii="宋体" w:hAnsi="宋体" w:cs="Arial"/>
          <w:b/>
          <w:bCs/>
          <w:color w:val="auto"/>
          <w:szCs w:val="21"/>
          <w:highlight w:val="none"/>
          <w:lang w:val="en-US" w:eastAsia="zh-CN"/>
        </w:rPr>
      </w:pPr>
    </w:p>
    <w:p>
      <w:pPr>
        <w:adjustRightInd w:val="0"/>
        <w:snapToGrid w:val="0"/>
        <w:spacing w:line="360" w:lineRule="auto"/>
        <w:ind w:firstLine="422" w:firstLineChars="200"/>
        <w:outlineLvl w:val="1"/>
        <w:rPr>
          <w:rFonts w:hint="eastAsia" w:ascii="宋体" w:hAnsi="宋体" w:cs="Arial"/>
          <w:b/>
          <w:bCs/>
          <w:color w:val="auto"/>
          <w:szCs w:val="21"/>
          <w:highlight w:val="none"/>
        </w:rPr>
      </w:pPr>
      <w:r>
        <w:rPr>
          <w:rFonts w:hint="eastAsia" w:ascii="宋体" w:hAnsi="宋体" w:cs="Arial"/>
          <w:b/>
          <w:bCs/>
          <w:color w:val="auto"/>
          <w:szCs w:val="21"/>
          <w:highlight w:val="none"/>
          <w:lang w:val="en-US" w:eastAsia="zh-CN"/>
        </w:rPr>
        <w:t>四</w:t>
      </w:r>
      <w:r>
        <w:rPr>
          <w:rFonts w:hint="eastAsia" w:ascii="宋体" w:hAnsi="宋体" w:cs="Arial"/>
          <w:b/>
          <w:bCs/>
          <w:color w:val="auto"/>
          <w:szCs w:val="21"/>
          <w:highlight w:val="none"/>
        </w:rPr>
        <w:t>、成果提交</w:t>
      </w:r>
      <w:bookmarkEnd w:id="30"/>
      <w:bookmarkEnd w:id="31"/>
      <w:bookmarkEnd w:id="32"/>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1.中标人提供的所有资料文件费用包括在投标总价中。</w:t>
      </w:r>
    </w:p>
    <w:p>
      <w:pPr>
        <w:adjustRightInd w:val="0"/>
        <w:snapToGrid w:val="0"/>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2.合同货物交货时，中标人应提供中文版资料名目如下：产品安装说明书；产品使用说明书；产品主要技术参数</w:t>
      </w:r>
      <w:r>
        <w:rPr>
          <w:rFonts w:hint="eastAsia" w:ascii="宋体" w:hAnsi="宋体" w:cs="Arial"/>
          <w:color w:val="auto"/>
          <w:szCs w:val="21"/>
          <w:highlight w:val="none"/>
          <w:lang w:eastAsia="zh-CN"/>
        </w:rPr>
        <w:t>。</w:t>
      </w:r>
    </w:p>
    <w:p>
      <w:pPr>
        <w:adjustRightInd w:val="0"/>
        <w:snapToGrid w:val="0"/>
        <w:spacing w:line="360" w:lineRule="auto"/>
        <w:ind w:firstLine="422" w:firstLineChars="200"/>
        <w:outlineLvl w:val="1"/>
        <w:rPr>
          <w:rFonts w:hint="eastAsia" w:ascii="宋体" w:hAnsi="宋体" w:cs="Arial"/>
          <w:b/>
          <w:bCs/>
          <w:color w:val="auto"/>
          <w:szCs w:val="21"/>
          <w:highlight w:val="none"/>
          <w:lang w:val="en-US" w:eastAsia="zh-CN"/>
        </w:rPr>
      </w:pPr>
      <w:bookmarkStart w:id="33" w:name="_Toc7664"/>
      <w:bookmarkStart w:id="34" w:name="_Toc25351"/>
      <w:bookmarkStart w:id="35" w:name="_Toc21870"/>
      <w:bookmarkStart w:id="36" w:name="_Toc21514"/>
      <w:bookmarkStart w:id="37" w:name="_Toc8926"/>
    </w:p>
    <w:p>
      <w:pPr>
        <w:adjustRightInd w:val="0"/>
        <w:snapToGrid w:val="0"/>
        <w:spacing w:line="360" w:lineRule="auto"/>
        <w:ind w:firstLine="422" w:firstLineChars="200"/>
        <w:outlineLvl w:val="1"/>
        <w:rPr>
          <w:rFonts w:ascii="宋体" w:hAnsi="宋体" w:cs="Arial"/>
          <w:b/>
          <w:bCs/>
          <w:color w:val="auto"/>
          <w:szCs w:val="21"/>
          <w:highlight w:val="none"/>
        </w:rPr>
      </w:pPr>
      <w:r>
        <w:rPr>
          <w:rFonts w:hint="eastAsia" w:ascii="宋体" w:hAnsi="宋体" w:cs="Arial"/>
          <w:b/>
          <w:bCs/>
          <w:color w:val="auto"/>
          <w:szCs w:val="21"/>
          <w:highlight w:val="none"/>
          <w:lang w:val="en-US" w:eastAsia="zh-CN"/>
        </w:rPr>
        <w:t>五</w:t>
      </w:r>
      <w:r>
        <w:rPr>
          <w:rFonts w:hint="eastAsia" w:ascii="宋体" w:hAnsi="宋体" w:cs="Arial"/>
          <w:b/>
          <w:bCs/>
          <w:color w:val="auto"/>
          <w:szCs w:val="21"/>
          <w:highlight w:val="none"/>
        </w:rPr>
        <w:t>、验收标准</w:t>
      </w:r>
      <w:bookmarkEnd w:id="33"/>
      <w:bookmarkEnd w:id="34"/>
      <w:bookmarkEnd w:id="35"/>
      <w:bookmarkEnd w:id="36"/>
      <w:bookmarkEnd w:id="37"/>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中标人须将原包装货物送到采购人指定地点，在采购人监督下拆箱并经采购人验收并确认、安装、调试后，对货物安装进行检查验收，如果发现数量不足或有质量、技术等问题，中标人应负责按照采购机构的要求采取补足或更换等处理措施，并承担由此发生的一切损失和费用。</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2.货物安装完毕后，由采购单位组织专业人员验收。在设备完全正常运转和</w:t>
      </w:r>
      <w:r>
        <w:rPr>
          <w:rFonts w:hint="eastAsia" w:ascii="宋体" w:hAnsi="宋体" w:cs="Arial"/>
          <w:color w:val="auto"/>
          <w:szCs w:val="21"/>
          <w:highlight w:val="none"/>
          <w:lang w:val="en-US" w:eastAsia="zh-CN"/>
        </w:rPr>
        <w:t>组织验收</w:t>
      </w:r>
      <w:r>
        <w:rPr>
          <w:rFonts w:hint="eastAsia" w:ascii="宋体" w:hAnsi="宋体" w:cs="Arial"/>
          <w:color w:val="auto"/>
          <w:szCs w:val="21"/>
          <w:highlight w:val="none"/>
        </w:rPr>
        <w:t>人员确认后，设备的安装工作才能认为已全部完成</w:t>
      </w:r>
      <w:r>
        <w:rPr>
          <w:rFonts w:hint="eastAsia" w:ascii="宋体" w:hAnsi="宋体" w:cs="Arial"/>
          <w:color w:val="auto"/>
          <w:szCs w:val="21"/>
          <w:highlight w:val="none"/>
          <w:lang w:eastAsia="zh-CN"/>
        </w:rPr>
        <w:t>。</w:t>
      </w:r>
      <w:r>
        <w:rPr>
          <w:rFonts w:hint="eastAsia" w:ascii="宋体" w:hAnsi="宋体" w:cs="Arial"/>
          <w:color w:val="auto"/>
          <w:szCs w:val="21"/>
          <w:highlight w:val="none"/>
        </w:rPr>
        <w:t>如不符要求，一律返工，直到符合要求为止，否则拒付货款。验收费用（包括解体的货物和检测费）由中标人承担。验收指标在安装完成1个月内无法通过，采购人有权要求无条件退货，由此产生的一切责任和后果由中标供应商承担。</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.设备的拆除、安装、通电、调试等各项工作由中标人负责，在实际实施前必须先经采购人同意方可进行。</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.所有的招标设备应按照国家有关技术标准在制造厂检查和试验合格，以表明其运行性能、安全性能以及设备材料和结构在电气、机械上的完整性。</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5.如为进口产品，</w:t>
      </w:r>
      <w:r>
        <w:rPr>
          <w:rFonts w:hint="eastAsia" w:ascii="宋体" w:hAnsi="宋体" w:cs="Arial"/>
          <w:color w:val="auto"/>
          <w:szCs w:val="21"/>
          <w:highlight w:val="none"/>
        </w:rPr>
        <w:t>开箱验收时中标供应商应提供设备的有效检验文件：1、海关报关单（进口产品）；2、随机原始装箱单；3、随机说明书；4、随机原始合格证；5、保修凭证；6、安装报告（进口产品须提供前述3-6项中英文各一份）。验收依据中标供应商提供的配置与技术规格、合同和标书及询标澄清、国家强制性标准。如属于国家强制论证目录则必须提供CCC论证码，采购人可对设备进行复检和性能测试，中标供应商应派出技术熟练且具有响应技术资质的人员完成此项工作，采购人对设备验收合格后，签署《项目验收单》。</w:t>
      </w:r>
    </w:p>
    <w:p>
      <w:pPr>
        <w:adjustRightInd w:val="0"/>
        <w:snapToGrid w:val="0"/>
        <w:spacing w:line="360" w:lineRule="auto"/>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中标供应商保证其所提供的货物应具有行政主管部门颁发的资质证书或国家质量监督部门的产品《检验报告》、《校准报告》或相关检验、校准报告。若无法出具的，由采购人委托第三方检测机构检测，所产生的费用由中标供应商承担。设备到货验收时，还必须提供设备的产品合格证、质量保证文件。中标后，必须按合同规定完成设备的安装（除非另有约定），并达到验收标准。如发生所供商品与合同不符，采购人有权拒收或退货，由此产生的一切责任和后果由中标供应商承担。</w:t>
      </w:r>
    </w:p>
    <w:p>
      <w:pPr>
        <w:adjustRightInd w:val="0"/>
        <w:snapToGrid w:val="0"/>
        <w:spacing w:line="360" w:lineRule="auto"/>
        <w:ind w:firstLine="422" w:firstLineChars="200"/>
        <w:outlineLvl w:val="1"/>
        <w:rPr>
          <w:rFonts w:hint="eastAsia" w:ascii="宋体"/>
          <w:b/>
          <w:bCs/>
          <w:color w:val="auto"/>
          <w:szCs w:val="21"/>
          <w:highlight w:val="none"/>
          <w:lang w:val="en-US" w:eastAsia="zh-CN"/>
        </w:rPr>
      </w:pPr>
      <w:bookmarkStart w:id="38" w:name="_Toc20073"/>
      <w:bookmarkStart w:id="39" w:name="_Toc16254"/>
      <w:bookmarkStart w:id="40" w:name="_Toc18079"/>
      <w:bookmarkStart w:id="41" w:name="_Toc11377"/>
      <w:bookmarkStart w:id="42" w:name="_Toc27929"/>
    </w:p>
    <w:p>
      <w:pPr>
        <w:adjustRightInd w:val="0"/>
        <w:snapToGrid w:val="0"/>
        <w:spacing w:line="360" w:lineRule="auto"/>
        <w:ind w:firstLine="422" w:firstLineChars="200"/>
        <w:outlineLvl w:val="1"/>
        <w:rPr>
          <w:rFonts w:hint="eastAsia" w:ascii="宋体"/>
          <w:b/>
          <w:bCs/>
          <w:color w:val="auto"/>
          <w:szCs w:val="21"/>
          <w:highlight w:val="none"/>
        </w:rPr>
      </w:pPr>
      <w:r>
        <w:rPr>
          <w:rFonts w:hint="eastAsia" w:ascii="宋体"/>
          <w:b/>
          <w:bCs/>
          <w:color w:val="auto"/>
          <w:szCs w:val="21"/>
          <w:highlight w:val="none"/>
          <w:lang w:val="en-US" w:eastAsia="zh-CN"/>
        </w:rPr>
        <w:t>六</w:t>
      </w:r>
      <w:r>
        <w:rPr>
          <w:rFonts w:hint="eastAsia" w:ascii="宋体"/>
          <w:b/>
          <w:bCs/>
          <w:color w:val="auto"/>
          <w:szCs w:val="21"/>
          <w:highlight w:val="none"/>
        </w:rPr>
        <w:t>、</w:t>
      </w:r>
      <w:r>
        <w:rPr>
          <w:rFonts w:ascii="宋体"/>
          <w:b/>
          <w:bCs/>
          <w:color w:val="auto"/>
          <w:szCs w:val="21"/>
          <w:highlight w:val="none"/>
        </w:rPr>
        <w:t>商务要求</w:t>
      </w:r>
      <w:r>
        <w:rPr>
          <w:rFonts w:hint="eastAsia" w:ascii="宋体"/>
          <w:b/>
          <w:bCs/>
          <w:color w:val="auto"/>
          <w:szCs w:val="21"/>
          <w:highlight w:val="none"/>
        </w:rPr>
        <w:t>表</w:t>
      </w:r>
      <w:bookmarkEnd w:id="38"/>
      <w:bookmarkEnd w:id="39"/>
      <w:bookmarkEnd w:id="40"/>
      <w:bookmarkEnd w:id="41"/>
      <w:bookmarkEnd w:id="42"/>
    </w:p>
    <w:tbl>
      <w:tblPr>
        <w:tblStyle w:val="36"/>
        <w:tblW w:w="930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09"/>
        <w:gridCol w:w="75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91" w:hRule="atLeast"/>
          <w:jc w:val="center"/>
        </w:trPr>
        <w:tc>
          <w:tcPr>
            <w:tcW w:w="170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质保期</w:t>
            </w:r>
          </w:p>
        </w:tc>
        <w:tc>
          <w:tcPr>
            <w:tcW w:w="7597" w:type="dxa"/>
            <w:vAlign w:val="center"/>
          </w:tcPr>
          <w:p>
            <w:pPr>
              <w:rPr>
                <w:rFonts w:hint="eastAsia" w:ascii="宋体"/>
                <w:color w:val="auto"/>
                <w:kern w:val="0"/>
                <w:sz w:val="24"/>
                <w:highlight w:val="none"/>
              </w:rPr>
            </w:pPr>
            <w:r>
              <w:rPr>
                <w:rFonts w:hint="eastAsia" w:ascii="宋体" w:hAnsi="宋体"/>
                <w:color w:val="auto"/>
                <w:szCs w:val="21"/>
                <w:highlight w:val="none"/>
                <w:lang w:eastAsia="zh-CN"/>
              </w:rPr>
              <w:t>设备通过最终验收之日起不少于3年</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10" w:hRule="atLeast"/>
          <w:jc w:val="center"/>
        </w:trPr>
        <w:tc>
          <w:tcPr>
            <w:tcW w:w="170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售后（技术）服务要求</w:t>
            </w:r>
          </w:p>
        </w:tc>
        <w:tc>
          <w:tcPr>
            <w:tcW w:w="7597" w:type="dxa"/>
            <w:vAlign w:val="center"/>
          </w:tcPr>
          <w:p>
            <w:pPr>
              <w:spacing w:line="400" w:lineRule="exact"/>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1.质保期内非人为因素出现的质量问题，须按国家有关规定和要求（如无国家规定和要求的，按承诺和厂方“三包”规定）立即进行免费维修、免费更换有缺陷的零部件、直至免费更换新货物。</w:t>
            </w:r>
          </w:p>
          <w:p>
            <w:pPr>
              <w:spacing w:line="400" w:lineRule="exact"/>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2.在接到故障报修后，中标人须在60分钟内响应，</w:t>
            </w:r>
            <w:r>
              <w:rPr>
                <w:rFonts w:hint="eastAsia" w:ascii="宋体" w:cs="Times New Roman"/>
                <w:color w:val="auto"/>
                <w:kern w:val="0"/>
                <w:szCs w:val="21"/>
                <w:highlight w:val="none"/>
                <w:lang w:eastAsia="zh-CN"/>
              </w:rPr>
              <w:t>技术工程师在24小时内到达现场</w:t>
            </w:r>
            <w:r>
              <w:rPr>
                <w:rFonts w:hint="eastAsia" w:ascii="宋体" w:hAnsi="Times New Roman" w:cs="Times New Roman"/>
                <w:color w:val="auto"/>
                <w:kern w:val="0"/>
                <w:szCs w:val="21"/>
                <w:highlight w:val="none"/>
              </w:rPr>
              <w:t>。到达现场后2小时内排除设备故障（遇到自然灾害等不可抗拒事故除外）。因货物本身问题在24小时之内仍不能排除的故障，应提供与原货物相同或不低于原货物性能的备用货物，以保证使用单位的正常工作。故障排除后应出具书面故障诊断报告备案。</w:t>
            </w:r>
          </w:p>
          <w:p>
            <w:pPr>
              <w:spacing w:line="400" w:lineRule="exact"/>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3.出现故障后，中标人如未按上述要求进行响应，采购人可以采取必要的补救措施，由此产生的风险和费用将由中标人承担。</w:t>
            </w:r>
          </w:p>
          <w:p>
            <w:pPr>
              <w:spacing w:line="400" w:lineRule="exact"/>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4.中标人为售后服务及维修的第一责任人。</w:t>
            </w:r>
          </w:p>
          <w:p>
            <w:pPr>
              <w:spacing w:line="400" w:lineRule="exact"/>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5.质保期内的维修费用（包括材料）全部由中标供应商负责。</w:t>
            </w:r>
          </w:p>
          <w:p>
            <w:pPr>
              <w:spacing w:line="400" w:lineRule="exact"/>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lang w:val="en-US" w:eastAsia="zh-CN"/>
              </w:rPr>
              <w:t>6</w:t>
            </w:r>
            <w:r>
              <w:rPr>
                <w:rFonts w:hint="eastAsia" w:ascii="宋体" w:hAnsi="Times New Roman" w:cs="Times New Roman"/>
                <w:color w:val="auto"/>
                <w:kern w:val="0"/>
                <w:szCs w:val="21"/>
                <w:highlight w:val="none"/>
              </w:rPr>
              <w:t>.质保期外维修：修理及维护只收成本费，中标人应对所供货物实行终身维修维护服务并负责售后服务。</w:t>
            </w:r>
          </w:p>
          <w:p>
            <w:pPr>
              <w:spacing w:line="400" w:lineRule="exact"/>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lang w:val="en-US" w:eastAsia="zh-CN"/>
              </w:rPr>
              <w:t>7</w:t>
            </w:r>
            <w:r>
              <w:rPr>
                <w:rFonts w:hint="eastAsia" w:ascii="宋体" w:hAnsi="Times New Roman" w:cs="Times New Roman"/>
                <w:color w:val="auto"/>
                <w:kern w:val="0"/>
                <w:szCs w:val="21"/>
                <w:highlight w:val="none"/>
              </w:rPr>
              <w:t>.投标人应提供相应的培训计划。中标人就产品的操作、使用、维护免费对使用单位人员进行</w:t>
            </w:r>
            <w:r>
              <w:rPr>
                <w:rFonts w:hint="eastAsia" w:ascii="宋体" w:hAnsi="Times New Roman" w:cs="Times New Roman"/>
                <w:color w:val="auto"/>
                <w:kern w:val="0"/>
                <w:szCs w:val="21"/>
                <w:highlight w:val="none"/>
                <w:lang w:val="en-US" w:eastAsia="zh-CN"/>
              </w:rPr>
              <w:t>现场</w:t>
            </w:r>
            <w:r>
              <w:rPr>
                <w:rFonts w:hint="eastAsia" w:ascii="宋体" w:hAnsi="Times New Roman" w:cs="Times New Roman"/>
                <w:color w:val="auto"/>
                <w:kern w:val="0"/>
                <w:szCs w:val="21"/>
                <w:highlight w:val="none"/>
              </w:rPr>
              <w:t>培训或指导。</w:t>
            </w:r>
          </w:p>
          <w:p>
            <w:pPr>
              <w:spacing w:line="400" w:lineRule="exact"/>
              <w:rPr>
                <w:rFonts w:hint="default" w:ascii="宋体" w:hAnsi="Times New Roman" w:cs="Times New Roman"/>
                <w:color w:val="auto"/>
                <w:kern w:val="0"/>
                <w:szCs w:val="21"/>
                <w:highlight w:val="none"/>
                <w:lang w:val="en-US" w:eastAsia="zh-CN"/>
              </w:rPr>
            </w:pPr>
            <w:r>
              <w:rPr>
                <w:rFonts w:hint="eastAsia" w:ascii="宋体" w:hAnsi="Times New Roman" w:cs="Times New Roman"/>
                <w:color w:val="auto"/>
                <w:kern w:val="0"/>
                <w:szCs w:val="21"/>
                <w:highlight w:val="none"/>
                <w:lang w:val="en-US" w:eastAsia="zh-CN"/>
              </w:rPr>
              <w:t>8.</w:t>
            </w:r>
            <w:r>
              <w:rPr>
                <w:rFonts w:hint="eastAsia" w:ascii="宋体" w:hAnsi="Times New Roman" w:cs="Times New Roman"/>
                <w:color w:val="auto"/>
                <w:kern w:val="0"/>
                <w:szCs w:val="21"/>
                <w:highlight w:val="none"/>
              </w:rPr>
              <w:t>在验收通过后，中标供应商应提供设备详细的中文操作手册、维修手册，进口产品还须提供英文操作手册、维修手册，手册中应详细说明操作运行，预防性维护，故障检修的技术要求和方法，并附有</w:t>
            </w:r>
            <w:r>
              <w:rPr>
                <w:rFonts w:hint="eastAsia" w:ascii="宋体" w:hAnsi="Times New Roman" w:cs="Times New Roman"/>
                <w:color w:val="auto"/>
                <w:kern w:val="0"/>
                <w:szCs w:val="21"/>
                <w:highlight w:val="none"/>
                <w:lang w:val="en-US" w:eastAsia="zh-CN"/>
              </w:rPr>
              <w:t>相应</w:t>
            </w:r>
            <w:r>
              <w:rPr>
                <w:rFonts w:hint="eastAsia" w:ascii="宋体" w:hAnsi="Times New Roman" w:cs="Times New Roman"/>
                <w:color w:val="auto"/>
                <w:kern w:val="0"/>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22" w:hRule="atLeast"/>
          <w:jc w:val="center"/>
        </w:trPr>
        <w:tc>
          <w:tcPr>
            <w:tcW w:w="1709" w:type="dxa"/>
            <w:vAlign w:val="center"/>
          </w:tcPr>
          <w:p>
            <w:pPr>
              <w:rPr>
                <w:rFonts w:hint="eastAsia" w:ascii="宋体" w:hAnsi="宋体"/>
                <w:color w:val="auto"/>
                <w:szCs w:val="21"/>
                <w:highlight w:val="none"/>
              </w:rPr>
            </w:pPr>
            <w:r>
              <w:rPr>
                <w:rFonts w:hint="eastAsia" w:ascii="宋体" w:hAnsi="宋体"/>
                <w:color w:val="auto"/>
                <w:szCs w:val="21"/>
                <w:highlight w:val="none"/>
              </w:rPr>
              <w:t>交货（服务）时间及地点</w:t>
            </w:r>
          </w:p>
        </w:tc>
        <w:tc>
          <w:tcPr>
            <w:tcW w:w="7597" w:type="dxa"/>
            <w:vAlign w:val="center"/>
          </w:tcPr>
          <w:p>
            <w:pPr>
              <w:spacing w:line="400" w:lineRule="exact"/>
              <w:rPr>
                <w:rFonts w:hint="eastAsia" w:ascii="宋体" w:hAnsi="Times New Roman" w:cs="Times New Roman"/>
                <w:color w:val="auto"/>
                <w:kern w:val="0"/>
                <w:szCs w:val="21"/>
                <w:highlight w:val="none"/>
                <w:lang w:eastAsia="zh-CN"/>
              </w:rPr>
            </w:pPr>
            <w:r>
              <w:rPr>
                <w:rFonts w:hint="eastAsia" w:ascii="宋体" w:hAnsi="Times New Roman" w:cs="Times New Roman"/>
                <w:color w:val="auto"/>
                <w:kern w:val="0"/>
                <w:szCs w:val="21"/>
                <w:highlight w:val="none"/>
              </w:rPr>
              <w:t>时间：</w:t>
            </w:r>
            <w:r>
              <w:rPr>
                <w:rFonts w:hint="eastAsia" w:ascii="宋体" w:cs="Times New Roman"/>
                <w:color w:val="auto"/>
                <w:kern w:val="0"/>
                <w:szCs w:val="21"/>
                <w:highlight w:val="none"/>
                <w:lang w:eastAsia="zh-CN"/>
              </w:rPr>
              <w:t>分批配送，接到采购人供货通知30日历天内交付安装完成并通过验收。</w:t>
            </w:r>
          </w:p>
          <w:p>
            <w:pPr>
              <w:spacing w:line="400" w:lineRule="exact"/>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地点：采购人指定地点。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5" w:hRule="atLeast"/>
          <w:jc w:val="center"/>
        </w:trPr>
        <w:tc>
          <w:tcPr>
            <w:tcW w:w="1709" w:type="dxa"/>
            <w:vAlign w:val="center"/>
          </w:tcPr>
          <w:p>
            <w:pPr>
              <w:jc w:val="center"/>
              <w:rPr>
                <w:rFonts w:hint="eastAsia" w:ascii="宋体"/>
                <w:color w:val="auto"/>
                <w:szCs w:val="21"/>
                <w:highlight w:val="none"/>
              </w:rPr>
            </w:pPr>
            <w:r>
              <w:rPr>
                <w:rFonts w:hint="eastAsia" w:ascii="宋体"/>
                <w:color w:val="auto"/>
                <w:szCs w:val="21"/>
                <w:highlight w:val="none"/>
              </w:rPr>
              <w:t>付款条件</w:t>
            </w:r>
          </w:p>
        </w:tc>
        <w:tc>
          <w:tcPr>
            <w:tcW w:w="7597" w:type="dxa"/>
            <w:vAlign w:val="center"/>
          </w:tcPr>
          <w:p>
            <w:pPr>
              <w:jc w:val="left"/>
              <w:rPr>
                <w:rFonts w:hint="default" w:ascii="宋体"/>
                <w:color w:val="auto"/>
                <w:szCs w:val="21"/>
                <w:highlight w:val="none"/>
                <w:lang w:val="en-US" w:eastAsia="zh-CN"/>
              </w:rPr>
            </w:pPr>
            <w:r>
              <w:rPr>
                <w:rFonts w:hint="eastAsia" w:ascii="宋体"/>
                <w:color w:val="auto"/>
                <w:szCs w:val="21"/>
                <w:highlight w:val="none"/>
                <w:lang w:val="en-US" w:eastAsia="zh-CN"/>
              </w:rPr>
              <w:t>详见第五章采购合同。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870" w:hRule="atLeast"/>
          <w:jc w:val="center"/>
        </w:trPr>
        <w:tc>
          <w:tcPr>
            <w:tcW w:w="1709" w:type="dxa"/>
            <w:vAlign w:val="center"/>
          </w:tcPr>
          <w:p>
            <w:pPr>
              <w:spacing w:line="400" w:lineRule="exact"/>
              <w:jc w:val="center"/>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安全问题</w:t>
            </w:r>
          </w:p>
        </w:tc>
        <w:tc>
          <w:tcPr>
            <w:tcW w:w="7597" w:type="dxa"/>
            <w:vAlign w:val="center"/>
          </w:tcPr>
          <w:p>
            <w:pPr>
              <w:spacing w:line="400" w:lineRule="exact"/>
              <w:rPr>
                <w:rFonts w:hint="eastAsia" w:ascii="宋体" w:hAnsi="Times New Roman" w:cs="Times New Roman"/>
                <w:color w:val="auto"/>
                <w:kern w:val="0"/>
                <w:szCs w:val="21"/>
                <w:highlight w:val="none"/>
              </w:rPr>
            </w:pPr>
            <w:r>
              <w:rPr>
                <w:rFonts w:hint="eastAsia" w:ascii="宋体" w:hAnsi="宋体" w:cs="Arial"/>
                <w:color w:val="auto"/>
                <w:szCs w:val="21"/>
                <w:highlight w:val="none"/>
                <w:lang w:val="en-US" w:eastAsia="zh-CN"/>
              </w:rPr>
              <w:t>中标人</w:t>
            </w:r>
            <w:r>
              <w:rPr>
                <w:rFonts w:hint="eastAsia" w:ascii="宋体" w:hAnsi="宋体" w:cs="Arial"/>
                <w:color w:val="auto"/>
                <w:szCs w:val="21"/>
                <w:highlight w:val="none"/>
              </w:rPr>
              <w:t>在项目实施过程中应注意自身安全，参加工伤和意外伤害险，加强对职工人员的安全教育，在整个服务期内，发生的一切意外事故（包括车祸），均由</w:t>
            </w:r>
            <w:r>
              <w:rPr>
                <w:rFonts w:hint="eastAsia" w:ascii="宋体" w:hAnsi="宋体" w:cs="Arial"/>
                <w:color w:val="auto"/>
                <w:szCs w:val="21"/>
                <w:highlight w:val="none"/>
                <w:lang w:val="en-US" w:eastAsia="zh-CN"/>
              </w:rPr>
              <w:t>中标人</w:t>
            </w:r>
            <w:r>
              <w:rPr>
                <w:rFonts w:hint="eastAsia" w:ascii="宋体" w:hAnsi="宋体" w:cs="Arial"/>
                <w:color w:val="auto"/>
                <w:szCs w:val="21"/>
                <w:highlight w:val="none"/>
              </w:rPr>
              <w:t>负全责。</w:t>
            </w:r>
            <w:r>
              <w:rPr>
                <w:rFonts w:hint="eastAsia" w:ascii="宋体" w:hAnsi="宋体" w:cs="Arial"/>
                <w:color w:val="auto"/>
                <w:szCs w:val="21"/>
                <w:highlight w:val="none"/>
                <w:lang w:val="en-US" w:eastAsia="zh-CN"/>
              </w:rPr>
              <w:t>中标人</w:t>
            </w:r>
            <w:r>
              <w:rPr>
                <w:rFonts w:hint="eastAsia" w:ascii="宋体" w:hAnsi="宋体" w:cs="Arial"/>
                <w:color w:val="auto"/>
                <w:szCs w:val="21"/>
                <w:highlight w:val="none"/>
              </w:rPr>
              <w:t>工作人员在工作期间造成第三方人身安全事故或因工作失误所带来的商品或财产损失而发生的赔偿，均由</w:t>
            </w:r>
            <w:r>
              <w:rPr>
                <w:rFonts w:hint="eastAsia" w:ascii="宋体" w:hAnsi="宋体" w:cs="Arial"/>
                <w:color w:val="auto"/>
                <w:szCs w:val="21"/>
                <w:highlight w:val="none"/>
                <w:lang w:val="en-US" w:eastAsia="zh-CN"/>
              </w:rPr>
              <w:t>中标人</w:t>
            </w:r>
            <w:r>
              <w:rPr>
                <w:rFonts w:hint="eastAsia" w:ascii="宋体" w:hAnsi="宋体" w:cs="Arial"/>
                <w:color w:val="auto"/>
                <w:szCs w:val="21"/>
                <w:highlight w:val="none"/>
              </w:rPr>
              <w:t>负全责。</w:t>
            </w:r>
          </w:p>
        </w:tc>
      </w:tr>
    </w:tbl>
    <w:p>
      <w:pPr>
        <w:adjustRightInd w:val="0"/>
        <w:snapToGrid w:val="0"/>
        <w:spacing w:line="360" w:lineRule="auto"/>
        <w:ind w:firstLine="422" w:firstLineChars="200"/>
        <w:outlineLvl w:val="1"/>
        <w:rPr>
          <w:rFonts w:hint="eastAsia" w:ascii="宋体" w:hAnsi="宋体" w:cs="Arial"/>
          <w:b/>
          <w:bCs/>
          <w:color w:val="auto"/>
          <w:szCs w:val="21"/>
          <w:highlight w:val="none"/>
          <w:lang w:val="en-US" w:eastAsia="zh-CN"/>
        </w:rPr>
      </w:pPr>
      <w:bookmarkStart w:id="43" w:name="_Toc11742"/>
      <w:bookmarkStart w:id="44" w:name="_Toc12200"/>
      <w:bookmarkStart w:id="45" w:name="_Toc7356"/>
      <w:bookmarkStart w:id="46" w:name="_Toc26017"/>
      <w:bookmarkStart w:id="47" w:name="_Toc1063"/>
    </w:p>
    <w:p>
      <w:pPr>
        <w:adjustRightInd w:val="0"/>
        <w:snapToGrid w:val="0"/>
        <w:spacing w:line="360" w:lineRule="auto"/>
        <w:ind w:firstLine="422" w:firstLineChars="200"/>
        <w:outlineLvl w:val="1"/>
        <w:rPr>
          <w:rFonts w:hint="eastAsia" w:ascii="宋体" w:hAnsi="宋体" w:cs="Arial"/>
          <w:b/>
          <w:bCs/>
          <w:color w:val="auto"/>
          <w:szCs w:val="21"/>
          <w:highlight w:val="none"/>
        </w:rPr>
      </w:pPr>
      <w:r>
        <w:rPr>
          <w:rFonts w:hint="eastAsia" w:ascii="宋体" w:hAnsi="宋体" w:cs="Arial"/>
          <w:b/>
          <w:bCs/>
          <w:color w:val="auto"/>
          <w:szCs w:val="21"/>
          <w:highlight w:val="none"/>
          <w:lang w:val="en-US" w:eastAsia="zh-CN"/>
        </w:rPr>
        <w:t>七</w:t>
      </w:r>
      <w:r>
        <w:rPr>
          <w:rFonts w:hint="eastAsia" w:ascii="宋体" w:hAnsi="宋体" w:cs="Arial"/>
          <w:b/>
          <w:bCs/>
          <w:color w:val="auto"/>
          <w:szCs w:val="21"/>
          <w:highlight w:val="none"/>
        </w:rPr>
        <w:t>、资信要求表</w:t>
      </w:r>
      <w:bookmarkEnd w:id="43"/>
      <w:bookmarkEnd w:id="44"/>
      <w:bookmarkEnd w:id="45"/>
      <w:bookmarkEnd w:id="46"/>
      <w:bookmarkEnd w:id="47"/>
    </w:p>
    <w:tbl>
      <w:tblPr>
        <w:tblStyle w:val="36"/>
        <w:tblW w:w="929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7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748" w:type="dxa"/>
            <w:vAlign w:val="center"/>
          </w:tcPr>
          <w:p>
            <w:pPr>
              <w:jc w:val="center"/>
              <w:rPr>
                <w:rFonts w:ascii="宋体" w:hAnsi="宋体"/>
                <w:color w:val="auto"/>
                <w:szCs w:val="21"/>
                <w:highlight w:val="none"/>
              </w:rPr>
            </w:pPr>
            <w:r>
              <w:rPr>
                <w:rFonts w:hint="eastAsia" w:ascii="宋体" w:hAnsi="宋体"/>
                <w:color w:val="auto"/>
                <w:szCs w:val="21"/>
                <w:highlight w:val="none"/>
              </w:rPr>
              <w:t>企业信用要求</w:t>
            </w:r>
          </w:p>
        </w:tc>
        <w:tc>
          <w:tcPr>
            <w:tcW w:w="7547" w:type="dxa"/>
            <w:vAlign w:val="center"/>
          </w:tcPr>
          <w:p>
            <w:pPr>
              <w:pStyle w:val="20"/>
              <w:snapToGrid w:val="0"/>
              <w:rPr>
                <w:rFonts w:hAnsi="宋体"/>
                <w:color w:val="auto"/>
                <w:szCs w:val="21"/>
                <w:highlight w:val="none"/>
              </w:rPr>
            </w:pPr>
            <w:r>
              <w:rPr>
                <w:rFonts w:hint="eastAsia" w:ascii="宋体" w:hAnsi="Times New Roman" w:eastAsia="宋体" w:cs="Times New Roman"/>
                <w:color w:val="auto"/>
                <w:kern w:val="0"/>
                <w:sz w:val="21"/>
                <w:szCs w:val="21"/>
                <w:highlight w:val="none"/>
                <w:lang w:val="en-US" w:eastAsia="zh-CN" w:bidi="ar-SA"/>
              </w:rPr>
              <w:t>未被“信用中国”（www.creditchina.gov.cn）、中国政府采购网（www.ccgp.gov.cn）列入失信被执行人、重大税收违法案件当事人名单、政府采购严重违法失信行为记录名单。</w:t>
            </w:r>
          </w:p>
        </w:tc>
      </w:tr>
    </w:tbl>
    <w:p>
      <w:pPr>
        <w:adjustRightInd w:val="0"/>
        <w:snapToGrid w:val="0"/>
        <w:spacing w:line="360" w:lineRule="auto"/>
        <w:ind w:firstLine="422" w:firstLineChars="200"/>
        <w:outlineLvl w:val="1"/>
        <w:rPr>
          <w:rFonts w:hint="eastAsia" w:ascii="宋体"/>
          <w:b/>
          <w:bCs/>
          <w:color w:val="auto"/>
          <w:szCs w:val="21"/>
          <w:highlight w:val="none"/>
          <w:lang w:val="en-US" w:eastAsia="zh-CN"/>
        </w:rPr>
      </w:pPr>
      <w:bookmarkStart w:id="48" w:name="_Toc16171"/>
      <w:bookmarkStart w:id="49" w:name="_Toc19437"/>
      <w:bookmarkStart w:id="50" w:name="_Toc12598"/>
      <w:bookmarkStart w:id="51" w:name="_Toc27144"/>
      <w:bookmarkStart w:id="52" w:name="_Toc4590"/>
    </w:p>
    <w:p>
      <w:pPr>
        <w:adjustRightInd w:val="0"/>
        <w:snapToGrid w:val="0"/>
        <w:spacing w:line="360" w:lineRule="auto"/>
        <w:ind w:firstLine="422" w:firstLineChars="200"/>
        <w:outlineLvl w:val="1"/>
        <w:rPr>
          <w:rFonts w:hint="eastAsia" w:ascii="宋体"/>
          <w:b/>
          <w:bCs/>
          <w:color w:val="auto"/>
          <w:szCs w:val="21"/>
          <w:highlight w:val="none"/>
        </w:rPr>
      </w:pPr>
      <w:r>
        <w:rPr>
          <w:rFonts w:hint="eastAsia" w:ascii="宋体"/>
          <w:b/>
          <w:bCs/>
          <w:color w:val="auto"/>
          <w:szCs w:val="21"/>
          <w:highlight w:val="none"/>
          <w:lang w:val="en-US" w:eastAsia="zh-CN"/>
        </w:rPr>
        <w:t>八</w:t>
      </w:r>
      <w:r>
        <w:rPr>
          <w:rFonts w:hint="eastAsia" w:ascii="宋体"/>
          <w:b/>
          <w:bCs/>
          <w:color w:val="auto"/>
          <w:szCs w:val="21"/>
          <w:highlight w:val="none"/>
        </w:rPr>
        <w:t>、转包与分包</w:t>
      </w:r>
      <w:r>
        <w:rPr>
          <w:rFonts w:hint="eastAsia" w:ascii="宋体"/>
          <w:b w:val="0"/>
          <w:bCs w:val="0"/>
          <w:color w:val="auto"/>
          <w:szCs w:val="21"/>
          <w:highlight w:val="none"/>
        </w:rPr>
        <w:t>：</w:t>
      </w:r>
      <w:bookmarkEnd w:id="48"/>
      <w:bookmarkEnd w:id="49"/>
      <w:bookmarkEnd w:id="50"/>
      <w:bookmarkEnd w:id="51"/>
      <w:bookmarkEnd w:id="52"/>
      <w:r>
        <w:rPr>
          <w:rFonts w:hint="eastAsia"/>
          <w:b/>
          <w:bCs/>
          <w:color w:val="auto"/>
          <w:szCs w:val="21"/>
          <w:highlight w:val="none"/>
        </w:rPr>
        <w:t>本项目不允许转包</w:t>
      </w:r>
      <w:r>
        <w:rPr>
          <w:rFonts w:hint="eastAsia"/>
          <w:b/>
          <w:bCs/>
          <w:color w:val="auto"/>
          <w:szCs w:val="21"/>
          <w:highlight w:val="none"/>
          <w:lang w:eastAsia="zh-CN"/>
        </w:rPr>
        <w:t>，</w:t>
      </w:r>
      <w:r>
        <w:rPr>
          <w:rFonts w:hint="eastAsia"/>
          <w:b/>
          <w:bCs/>
          <w:color w:val="auto"/>
          <w:szCs w:val="21"/>
          <w:highlight w:val="none"/>
        </w:rPr>
        <w:t>乙方部分需分包的应经过甲方书面同意。</w:t>
      </w:r>
    </w:p>
    <w:p>
      <w:pPr>
        <w:spacing w:before="120" w:beforeLines="50" w:after="120" w:afterLines="50" w:line="360" w:lineRule="auto"/>
        <w:jc w:val="center"/>
        <w:rPr>
          <w:rFonts w:hint="eastAsia" w:eastAsia="楷体_GB2312"/>
          <w:b w:val="0"/>
          <w:bCs w:val="0"/>
          <w:color w:val="auto"/>
          <w:sz w:val="32"/>
          <w:szCs w:val="32"/>
          <w:highlight w:val="none"/>
        </w:rPr>
        <w:sectPr>
          <w:footerReference r:id="rId7" w:type="default"/>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3"/>
        <w:spacing w:before="120" w:beforeLines="50" w:after="120" w:afterLines="50" w:line="360" w:lineRule="auto"/>
        <w:jc w:val="center"/>
        <w:rPr>
          <w:rFonts w:hint="eastAsia" w:eastAsia="楷体_GB2312"/>
          <w:bCs w:val="0"/>
          <w:color w:val="auto"/>
          <w:kern w:val="2"/>
          <w:sz w:val="32"/>
          <w:szCs w:val="32"/>
          <w:highlight w:val="none"/>
        </w:rPr>
      </w:pPr>
      <w:bookmarkStart w:id="53" w:name="_Toc26059"/>
      <w:r>
        <w:rPr>
          <w:rFonts w:hint="eastAsia" w:eastAsia="楷体_GB2312"/>
          <w:bCs w:val="0"/>
          <w:color w:val="auto"/>
          <w:kern w:val="2"/>
          <w:sz w:val="32"/>
          <w:szCs w:val="32"/>
          <w:highlight w:val="none"/>
        </w:rPr>
        <w:t>第三章  投标人须知</w:t>
      </w:r>
      <w:bookmarkEnd w:id="5"/>
      <w:bookmarkEnd w:id="6"/>
      <w:bookmarkEnd w:id="7"/>
      <w:bookmarkEnd w:id="8"/>
      <w:bookmarkEnd w:id="9"/>
      <w:bookmarkEnd w:id="53"/>
    </w:p>
    <w:p>
      <w:pPr>
        <w:ind w:firstLine="482" w:firstLineChars="200"/>
        <w:jc w:val="left"/>
        <w:outlineLvl w:val="1"/>
        <w:rPr>
          <w:rFonts w:hint="eastAsia" w:ascii="宋体" w:hAnsi="宋体"/>
          <w:b/>
          <w:color w:val="auto"/>
          <w:sz w:val="24"/>
          <w:szCs w:val="24"/>
          <w:highlight w:val="none"/>
        </w:rPr>
      </w:pPr>
      <w:bookmarkStart w:id="54" w:name="_Toc16230"/>
      <w:bookmarkStart w:id="55" w:name="_Toc20989"/>
      <w:bookmarkStart w:id="56" w:name="_Toc25925"/>
      <w:bookmarkStart w:id="57" w:name="_Toc10216"/>
      <w:bookmarkStart w:id="58" w:name="_Toc642"/>
      <w:r>
        <w:rPr>
          <w:rFonts w:hint="eastAsia" w:ascii="宋体" w:hAnsi="宋体"/>
          <w:b/>
          <w:color w:val="auto"/>
          <w:sz w:val="24"/>
          <w:szCs w:val="24"/>
          <w:highlight w:val="none"/>
        </w:rPr>
        <w:t>前 附 表</w:t>
      </w:r>
      <w:bookmarkEnd w:id="54"/>
      <w:bookmarkEnd w:id="55"/>
      <w:bookmarkEnd w:id="56"/>
      <w:bookmarkEnd w:id="57"/>
      <w:bookmarkEnd w:id="58"/>
    </w:p>
    <w:tbl>
      <w:tblPr>
        <w:tblStyle w:val="36"/>
        <w:tblW w:w="9368" w:type="dxa"/>
        <w:tblInd w:w="5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33"/>
        <w:gridCol w:w="65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002" w:type="dxa"/>
            <w:vAlign w:val="center"/>
          </w:tcPr>
          <w:p>
            <w:pPr>
              <w:jc w:val="center"/>
              <w:rPr>
                <w:rFonts w:hint="eastAsia"/>
                <w:b/>
                <w:color w:val="auto"/>
                <w:highlight w:val="none"/>
              </w:rPr>
            </w:pPr>
            <w:r>
              <w:rPr>
                <w:rFonts w:hint="eastAsia"/>
                <w:b/>
                <w:color w:val="auto"/>
                <w:highlight w:val="none"/>
              </w:rPr>
              <w:t>序号</w:t>
            </w:r>
          </w:p>
        </w:tc>
        <w:tc>
          <w:tcPr>
            <w:tcW w:w="1833" w:type="dxa"/>
            <w:vAlign w:val="center"/>
          </w:tcPr>
          <w:p>
            <w:pPr>
              <w:jc w:val="center"/>
              <w:rPr>
                <w:rFonts w:hint="eastAsia"/>
                <w:b/>
                <w:color w:val="auto"/>
                <w:highlight w:val="none"/>
              </w:rPr>
            </w:pPr>
            <w:r>
              <w:rPr>
                <w:rFonts w:hint="eastAsia"/>
                <w:b/>
                <w:color w:val="auto"/>
                <w:highlight w:val="none"/>
              </w:rPr>
              <w:t>名   称</w:t>
            </w:r>
          </w:p>
        </w:tc>
        <w:tc>
          <w:tcPr>
            <w:tcW w:w="6533" w:type="dxa"/>
            <w:vAlign w:val="center"/>
          </w:tcPr>
          <w:p>
            <w:pPr>
              <w:jc w:val="center"/>
              <w:rPr>
                <w:rFonts w:hint="eastAsia"/>
                <w:b/>
                <w:color w:val="auto"/>
                <w:highlight w:val="none"/>
              </w:rPr>
            </w:pPr>
            <w:r>
              <w:rPr>
                <w:rFonts w:hint="eastAsia"/>
                <w:b/>
                <w:color w:val="auto"/>
                <w:highlight w:val="none"/>
              </w:rPr>
              <w:t xml:space="preserve">内  </w:t>
            </w:r>
            <w:r>
              <w:rPr>
                <w:rFonts w:hint="eastAsia"/>
                <w:b/>
                <w:color w:val="auto"/>
                <w:highlight w:val="none"/>
                <w:lang w:val="en-US" w:eastAsia="zh-CN"/>
              </w:rPr>
              <w:t xml:space="preserve"> </w:t>
            </w:r>
            <w:r>
              <w:rPr>
                <w:rFonts w:hint="eastAsia"/>
                <w:b/>
                <w:color w:val="auto"/>
                <w:highlight w:val="none"/>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002" w:type="dxa"/>
            <w:vAlign w:val="center"/>
          </w:tcPr>
          <w:p>
            <w:pPr>
              <w:jc w:val="center"/>
              <w:rPr>
                <w:rFonts w:hint="eastAsia" w:ascii="宋体" w:hAnsi="宋体"/>
                <w:color w:val="auto"/>
                <w:highlight w:val="none"/>
              </w:rPr>
            </w:pPr>
            <w:r>
              <w:rPr>
                <w:rFonts w:hint="eastAsia" w:ascii="宋体" w:hAnsi="宋体"/>
                <w:color w:val="auto"/>
                <w:highlight w:val="none"/>
              </w:rPr>
              <w:t>1</w:t>
            </w:r>
          </w:p>
        </w:tc>
        <w:tc>
          <w:tcPr>
            <w:tcW w:w="1833" w:type="dxa"/>
            <w:vAlign w:val="center"/>
          </w:tcPr>
          <w:p>
            <w:pPr>
              <w:jc w:val="center"/>
              <w:rPr>
                <w:rFonts w:hint="eastAsia"/>
                <w:color w:val="auto"/>
                <w:highlight w:val="none"/>
              </w:rPr>
            </w:pPr>
            <w:r>
              <w:rPr>
                <w:rFonts w:hint="eastAsia"/>
                <w:color w:val="auto"/>
                <w:highlight w:val="none"/>
              </w:rPr>
              <w:t>采购人</w:t>
            </w:r>
          </w:p>
        </w:tc>
        <w:tc>
          <w:tcPr>
            <w:tcW w:w="6533" w:type="dxa"/>
            <w:vAlign w:val="center"/>
          </w:tcPr>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名称：</w:t>
            </w:r>
            <w:r>
              <w:rPr>
                <w:rFonts w:hint="eastAsia" w:cs="Times New Roman"/>
                <w:color w:val="auto"/>
                <w:highlight w:val="none"/>
                <w:lang w:eastAsia="zh-CN"/>
              </w:rPr>
              <w:t>海宁乐派芯园科技有限公司</w:t>
            </w:r>
          </w:p>
          <w:p>
            <w:pP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地址：</w:t>
            </w:r>
            <w:r>
              <w:rPr>
                <w:rFonts w:hint="eastAsia" w:cs="Times New Roman"/>
                <w:color w:val="auto"/>
                <w:highlight w:val="none"/>
                <w:lang w:eastAsia="zh-CN"/>
              </w:rPr>
              <w:t>海宁经济开发区芯中路8号1幢405室</w:t>
            </w:r>
          </w:p>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联系人：</w:t>
            </w:r>
            <w:r>
              <w:rPr>
                <w:rFonts w:hint="eastAsia" w:cs="Times New Roman"/>
                <w:color w:val="auto"/>
                <w:highlight w:val="none"/>
                <w:lang w:eastAsia="zh-CN"/>
              </w:rPr>
              <w:t>姚先生</w:t>
            </w:r>
            <w:r>
              <w:rPr>
                <w:rFonts w:hint="eastAsia" w:ascii="Times New Roman" w:hAnsi="Times New Roman" w:eastAsia="宋体" w:cs="Times New Roman"/>
                <w:color w:val="auto"/>
                <w:highlight w:val="none"/>
                <w:lang w:eastAsia="zh-CN"/>
              </w:rPr>
              <w:t xml:space="preserve">     </w:t>
            </w:r>
          </w:p>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联系电话：</w:t>
            </w:r>
            <w:r>
              <w:rPr>
                <w:rFonts w:hint="eastAsia" w:cs="Times New Roman"/>
                <w:color w:val="auto"/>
                <w:highlight w:val="none"/>
                <w:lang w:eastAsia="zh-CN"/>
              </w:rPr>
              <w:t>0573-89238951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002" w:type="dxa"/>
            <w:vAlign w:val="center"/>
          </w:tcPr>
          <w:p>
            <w:pPr>
              <w:jc w:val="center"/>
              <w:rPr>
                <w:rFonts w:hint="eastAsia" w:ascii="宋体" w:hAnsi="宋体"/>
                <w:color w:val="auto"/>
                <w:highlight w:val="none"/>
              </w:rPr>
            </w:pPr>
            <w:r>
              <w:rPr>
                <w:rFonts w:hint="eastAsia" w:ascii="宋体" w:hAnsi="宋体"/>
                <w:color w:val="auto"/>
                <w:highlight w:val="none"/>
              </w:rPr>
              <w:t>2</w:t>
            </w:r>
          </w:p>
        </w:tc>
        <w:tc>
          <w:tcPr>
            <w:tcW w:w="1833" w:type="dxa"/>
            <w:vAlign w:val="center"/>
          </w:tcPr>
          <w:p>
            <w:pPr>
              <w:jc w:val="center"/>
              <w:rPr>
                <w:rFonts w:hint="eastAsia"/>
                <w:color w:val="auto"/>
                <w:highlight w:val="none"/>
              </w:rPr>
            </w:pPr>
            <w:r>
              <w:rPr>
                <w:rFonts w:hint="eastAsia"/>
                <w:color w:val="auto"/>
                <w:highlight w:val="none"/>
              </w:rPr>
              <w:t>采购代理机构</w:t>
            </w:r>
          </w:p>
        </w:tc>
        <w:tc>
          <w:tcPr>
            <w:tcW w:w="6533" w:type="dxa"/>
            <w:vAlign w:val="center"/>
          </w:tcPr>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名称：嘉兴市中诚建设咨询有限公司</w:t>
            </w:r>
          </w:p>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地址：海宁市海洲街道新月路1号海城大厦9楼</w:t>
            </w:r>
          </w:p>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联系人：胡女士       </w:t>
            </w:r>
          </w:p>
          <w:p>
            <w:pP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 联系电话：</w:t>
            </w:r>
            <w:r>
              <w:rPr>
                <w:rFonts w:hint="eastAsia" w:cs="Times New Roman"/>
                <w:color w:val="auto"/>
                <w:highlight w:val="none"/>
                <w:lang w:eastAsia="zh-CN"/>
              </w:rPr>
              <w:t>0573-87228051</w:t>
            </w:r>
          </w:p>
        </w:tc>
      </w:tr>
      <w:tr>
        <w:tblPrEx>
          <w:tblLayout w:type="fixed"/>
          <w:tblCellMar>
            <w:top w:w="0" w:type="dxa"/>
            <w:left w:w="108" w:type="dxa"/>
            <w:bottom w:w="0" w:type="dxa"/>
            <w:right w:w="108" w:type="dxa"/>
          </w:tblCellMar>
        </w:tblPrEx>
        <w:trPr>
          <w:trHeight w:val="491" w:hRule="atLeast"/>
        </w:trPr>
        <w:tc>
          <w:tcPr>
            <w:tcW w:w="1002" w:type="dxa"/>
            <w:vAlign w:val="center"/>
          </w:tcPr>
          <w:p>
            <w:pPr>
              <w:jc w:val="center"/>
              <w:rPr>
                <w:rFonts w:hint="eastAsia" w:ascii="宋体" w:hAnsi="宋体"/>
                <w:color w:val="auto"/>
                <w:highlight w:val="none"/>
              </w:rPr>
            </w:pPr>
            <w:r>
              <w:rPr>
                <w:rFonts w:hint="eastAsia" w:ascii="宋体" w:hAnsi="宋体"/>
                <w:color w:val="auto"/>
                <w:highlight w:val="none"/>
              </w:rPr>
              <w:t>3</w:t>
            </w:r>
          </w:p>
        </w:tc>
        <w:tc>
          <w:tcPr>
            <w:tcW w:w="1833" w:type="dxa"/>
            <w:vAlign w:val="center"/>
          </w:tcPr>
          <w:p>
            <w:pPr>
              <w:jc w:val="center"/>
              <w:rPr>
                <w:rFonts w:hint="eastAsia" w:ascii="宋体" w:hAnsi="宋体" w:cs="宋体"/>
                <w:color w:val="auto"/>
                <w:highlight w:val="none"/>
              </w:rPr>
            </w:pPr>
            <w:r>
              <w:rPr>
                <w:rFonts w:hint="eastAsia" w:ascii="宋体" w:hAnsi="宋体" w:cs="宋体"/>
                <w:color w:val="auto"/>
                <w:highlight w:val="none"/>
              </w:rPr>
              <w:t>项目名称及编号</w:t>
            </w:r>
          </w:p>
        </w:tc>
        <w:tc>
          <w:tcPr>
            <w:tcW w:w="6533" w:type="dxa"/>
            <w:vAlign w:val="center"/>
          </w:tcPr>
          <w:p>
            <w:pPr>
              <w:jc w:val="left"/>
              <w:rPr>
                <w:rFonts w:hint="eastAsia" w:ascii="宋体" w:hAnsi="宋体" w:cs="宋体"/>
                <w:color w:val="auto"/>
                <w:highlight w:val="none"/>
              </w:rPr>
            </w:pPr>
            <w:r>
              <w:rPr>
                <w:rFonts w:hint="eastAsia" w:ascii="宋体" w:hAnsi="宋体" w:cs="宋体"/>
                <w:color w:val="auto"/>
                <w:szCs w:val="21"/>
                <w:highlight w:val="none"/>
                <w:lang w:eastAsia="zh-CN"/>
              </w:rPr>
              <w:t>乐派芯园一期物业开办物资采购项目</w:t>
            </w:r>
            <w:r>
              <w:rPr>
                <w:rFonts w:hint="eastAsia" w:ascii="宋体" w:hAnsi="宋体" w:cs="宋体"/>
                <w:color w:val="auto"/>
                <w:highlight w:val="none"/>
              </w:rPr>
              <w:t>（项目编号</w:t>
            </w:r>
            <w:r>
              <w:rPr>
                <w:rFonts w:hint="eastAsia" w:ascii="宋体" w:hAnsi="宋体" w:cs="宋体"/>
                <w:color w:val="auto"/>
                <w:highlight w:val="none"/>
                <w:lang w:eastAsia="zh-CN"/>
              </w:rPr>
              <w:t>HNZCCG20241001</w:t>
            </w:r>
            <w:r>
              <w:rPr>
                <w:rFonts w:hint="eastAsia" w:ascii="宋体" w:hAnsi="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002" w:type="dxa"/>
            <w:vAlign w:val="center"/>
          </w:tcPr>
          <w:p>
            <w:pPr>
              <w:jc w:val="center"/>
              <w:rPr>
                <w:rFonts w:hint="eastAsia" w:ascii="宋体" w:hAnsi="宋体"/>
                <w:color w:val="auto"/>
                <w:highlight w:val="none"/>
              </w:rPr>
            </w:pPr>
            <w:r>
              <w:rPr>
                <w:rFonts w:hint="eastAsia" w:ascii="宋体" w:hAnsi="宋体"/>
                <w:color w:val="auto"/>
                <w:highlight w:val="none"/>
              </w:rPr>
              <w:t>4</w:t>
            </w:r>
          </w:p>
        </w:tc>
        <w:tc>
          <w:tcPr>
            <w:tcW w:w="1833" w:type="dxa"/>
            <w:vAlign w:val="center"/>
          </w:tcPr>
          <w:p>
            <w:pPr>
              <w:jc w:val="center"/>
              <w:rPr>
                <w:rFonts w:hint="eastAsia"/>
                <w:color w:val="auto"/>
                <w:highlight w:val="none"/>
              </w:rPr>
            </w:pPr>
            <w:r>
              <w:rPr>
                <w:rFonts w:hint="eastAsia" w:ascii="宋体" w:hAnsi="宋体" w:cs="宋体"/>
                <w:color w:val="auto"/>
                <w:highlight w:val="none"/>
              </w:rPr>
              <w:t>预算金</w:t>
            </w:r>
            <w:r>
              <w:rPr>
                <w:rFonts w:hint="eastAsia"/>
                <w:color w:val="auto"/>
                <w:highlight w:val="none"/>
              </w:rPr>
              <w:t>额</w:t>
            </w:r>
          </w:p>
        </w:tc>
        <w:tc>
          <w:tcPr>
            <w:tcW w:w="6533" w:type="dxa"/>
            <w:vAlign w:val="center"/>
          </w:tcPr>
          <w:p>
            <w:pPr>
              <w:rPr>
                <w:b/>
                <w:color w:val="auto"/>
                <w:highlight w:val="none"/>
              </w:rPr>
            </w:pPr>
            <w:r>
              <w:rPr>
                <w:rFonts w:hint="eastAsia" w:ascii="宋体" w:hAnsi="宋体" w:cs="Arial"/>
                <w:color w:val="auto"/>
                <w:szCs w:val="21"/>
                <w:highlight w:val="none"/>
                <w:lang w:val="en-US" w:eastAsia="zh-CN"/>
              </w:rPr>
              <w:t>38万</w:t>
            </w:r>
            <w:r>
              <w:rPr>
                <w:rFonts w:hint="eastAsia" w:ascii="宋体" w:hAnsi="宋体" w:cs="Arial"/>
                <w:color w:val="auto"/>
                <w:szCs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1833" w:type="dxa"/>
            <w:vAlign w:val="center"/>
          </w:tcPr>
          <w:p>
            <w:pPr>
              <w:jc w:val="center"/>
              <w:rPr>
                <w:color w:val="auto"/>
                <w:highlight w:val="none"/>
              </w:rPr>
            </w:pPr>
            <w:r>
              <w:rPr>
                <w:rFonts w:hint="eastAsia"/>
                <w:color w:val="auto"/>
                <w:highlight w:val="none"/>
              </w:rPr>
              <w:t>交付时间</w:t>
            </w:r>
          </w:p>
        </w:tc>
        <w:tc>
          <w:tcPr>
            <w:tcW w:w="6533" w:type="dxa"/>
            <w:vAlign w:val="center"/>
          </w:tcPr>
          <w:p>
            <w:pPr>
              <w:spacing w:line="300" w:lineRule="exact"/>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分批配送，接到采购人供货通知30日历天内交付安装完成并通过验收。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6</w:t>
            </w:r>
          </w:p>
        </w:tc>
        <w:tc>
          <w:tcPr>
            <w:tcW w:w="1833" w:type="dxa"/>
            <w:vAlign w:val="center"/>
          </w:tcPr>
          <w:p>
            <w:pPr>
              <w:jc w:val="center"/>
              <w:rPr>
                <w:rFonts w:hint="eastAsia"/>
                <w:color w:val="auto"/>
                <w:highlight w:val="none"/>
              </w:rPr>
            </w:pPr>
            <w:r>
              <w:rPr>
                <w:rFonts w:hint="eastAsia"/>
                <w:color w:val="auto"/>
                <w:highlight w:val="none"/>
              </w:rPr>
              <w:t>是否接受联合体</w:t>
            </w:r>
          </w:p>
        </w:tc>
        <w:tc>
          <w:tcPr>
            <w:tcW w:w="6533" w:type="dxa"/>
            <w:vAlign w:val="center"/>
          </w:tcPr>
          <w:p>
            <w:pPr>
              <w:spacing w:line="300" w:lineRule="exact"/>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0"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1833" w:type="dxa"/>
            <w:vAlign w:val="center"/>
          </w:tcPr>
          <w:p>
            <w:pPr>
              <w:jc w:val="center"/>
              <w:rPr>
                <w:rFonts w:hint="eastAsia"/>
                <w:color w:val="auto"/>
                <w:highlight w:val="none"/>
                <w:lang w:eastAsia="zh-CN"/>
              </w:rPr>
            </w:pPr>
            <w:r>
              <w:rPr>
                <w:rFonts w:hint="eastAsia"/>
                <w:color w:val="auto"/>
                <w:highlight w:val="none"/>
                <w:lang w:eastAsia="zh-CN"/>
              </w:rPr>
              <w:t>现场踏勘</w:t>
            </w:r>
          </w:p>
        </w:tc>
        <w:tc>
          <w:tcPr>
            <w:tcW w:w="6533" w:type="dxa"/>
            <w:vAlign w:val="center"/>
          </w:tcPr>
          <w:p>
            <w:pPr>
              <w:spacing w:line="300" w:lineRule="exact"/>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本项目如需踏勘现场的，投标人需要自行组织对现场及周围环境进行踏勘，以便投标人获取须自己负责的有关编制投标文件和签署合同所需的所有资料。踏勘现场所发生的费用由投标人自己承担。</w:t>
            </w:r>
          </w:p>
          <w:p>
            <w:pPr>
              <w:spacing w:line="300" w:lineRule="exact"/>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采购人（或采购代理机构）向投标人提供的有关现场的资料数据，是采购人（或采购代理机构）现有的能使投标人利用的资料。采购人（或采购代理机构）对投标人由此而做出的推论、理解和结论概不负责。</w:t>
            </w:r>
          </w:p>
          <w:p>
            <w:pPr>
              <w:spacing w:line="300" w:lineRule="exact"/>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投标人及其人员经过采购人（或采购代理机构）的允许，可为踏勘目的进入现场，但投标人及其人员不得因此使采购人及其人员承担有关的责任和蒙受损失。投标人应对由此次踏勘现场而造成的包括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1833" w:type="dxa"/>
            <w:vAlign w:val="center"/>
          </w:tcPr>
          <w:p>
            <w:pPr>
              <w:jc w:val="center"/>
              <w:rPr>
                <w:rFonts w:hint="eastAsia"/>
                <w:color w:val="auto"/>
                <w:highlight w:val="none"/>
              </w:rPr>
            </w:pPr>
            <w:r>
              <w:rPr>
                <w:rFonts w:hint="eastAsia"/>
                <w:color w:val="auto"/>
                <w:highlight w:val="none"/>
              </w:rPr>
              <w:t>投标截止时间和开标时间</w:t>
            </w:r>
          </w:p>
        </w:tc>
        <w:tc>
          <w:tcPr>
            <w:tcW w:w="6533" w:type="dxa"/>
            <w:vAlign w:val="center"/>
          </w:tcPr>
          <w:p>
            <w:pPr>
              <w:rPr>
                <w:rFonts w:hint="eastAsia"/>
                <w:color w:val="auto"/>
                <w:highlight w:val="none"/>
              </w:rPr>
            </w:pPr>
            <w:r>
              <w:rPr>
                <w:rFonts w:hint="eastAsia" w:ascii="宋体" w:hAnsi="宋体" w:cs="Arial"/>
                <w:color w:val="auto"/>
                <w:szCs w:val="21"/>
                <w:highlight w:val="none"/>
                <w:lang w:eastAsia="zh-CN"/>
              </w:rPr>
              <w:t>2024年10月30日9时00分</w:t>
            </w:r>
            <w:r>
              <w:rPr>
                <w:rFonts w:hint="eastAsia" w:ascii="宋体" w:hAnsi="宋体" w:cs="宋体"/>
                <w:color w:val="auto"/>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9</w:t>
            </w:r>
          </w:p>
        </w:tc>
        <w:tc>
          <w:tcPr>
            <w:tcW w:w="1833" w:type="dxa"/>
            <w:vAlign w:val="center"/>
          </w:tcPr>
          <w:p>
            <w:pPr>
              <w:jc w:val="center"/>
              <w:rPr>
                <w:rFonts w:hint="eastAsia"/>
                <w:color w:val="auto"/>
                <w:highlight w:val="none"/>
              </w:rPr>
            </w:pPr>
            <w:r>
              <w:rPr>
                <w:rFonts w:hint="eastAsia"/>
                <w:color w:val="auto"/>
                <w:highlight w:val="none"/>
              </w:rPr>
              <w:t>递交投标文件和开标地点</w:t>
            </w:r>
          </w:p>
        </w:tc>
        <w:tc>
          <w:tcPr>
            <w:tcW w:w="6533" w:type="dxa"/>
            <w:vAlign w:val="center"/>
          </w:tcPr>
          <w:p>
            <w:pPr>
              <w:rPr>
                <w:rFonts w:hint="eastAsia" w:ascii="宋体" w:hAnsi="宋体" w:eastAsia="宋体" w:cs="Arial"/>
                <w:b/>
                <w:color w:val="auto"/>
                <w:szCs w:val="21"/>
                <w:highlight w:val="none"/>
                <w:lang w:eastAsia="zh-CN"/>
              </w:rPr>
            </w:pPr>
            <w:r>
              <w:rPr>
                <w:rFonts w:hint="eastAsia"/>
                <w:b w:val="0"/>
                <w:bCs w:val="0"/>
                <w:color w:val="auto"/>
                <w:szCs w:val="21"/>
                <w:highlight w:val="none"/>
                <w:lang w:eastAsia="zh-CN"/>
              </w:rPr>
              <w:t>乐彩云平台（http://www.lecaiyun.com），</w:t>
            </w:r>
            <w:r>
              <w:rPr>
                <w:rFonts w:hint="eastAsia" w:ascii="Times New Roman" w:hAnsi="Times New Roman" w:cs="Times New Roman"/>
                <w:b w:val="0"/>
                <w:bCs w:val="0"/>
                <w:color w:val="auto"/>
                <w:szCs w:val="21"/>
                <w:highlight w:val="none"/>
                <w:lang w:eastAsia="zh-CN"/>
              </w:rPr>
              <w:t>浙江江南要素交易中心（海宁市文苑南路138号）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002" w:type="dxa"/>
            <w:vAlign w:val="center"/>
          </w:tcPr>
          <w:p>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0</w:t>
            </w:r>
          </w:p>
        </w:tc>
        <w:tc>
          <w:tcPr>
            <w:tcW w:w="1833" w:type="dxa"/>
            <w:vAlign w:val="center"/>
          </w:tcPr>
          <w:p>
            <w:pPr>
              <w:jc w:val="center"/>
              <w:rPr>
                <w:rFonts w:hint="eastAsia"/>
                <w:color w:val="auto"/>
                <w:highlight w:val="none"/>
              </w:rPr>
            </w:pPr>
            <w:r>
              <w:rPr>
                <w:rFonts w:hint="eastAsia"/>
                <w:color w:val="auto"/>
                <w:highlight w:val="none"/>
              </w:rPr>
              <w:t>投标保证金额</w:t>
            </w:r>
          </w:p>
        </w:tc>
        <w:tc>
          <w:tcPr>
            <w:tcW w:w="6533" w:type="dxa"/>
            <w:vAlign w:val="center"/>
          </w:tcPr>
          <w:p>
            <w:pPr>
              <w:rPr>
                <w:color w:val="auto"/>
                <w:highlight w:val="none"/>
              </w:rPr>
            </w:pPr>
            <w:r>
              <w:rPr>
                <w:rFonts w:hint="eastAsia" w:ascii="宋体" w:hAnsi="宋体" w:cs="Arial"/>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1002" w:type="dxa"/>
            <w:vAlign w:val="center"/>
          </w:tcPr>
          <w:p>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1</w:t>
            </w:r>
          </w:p>
        </w:tc>
        <w:tc>
          <w:tcPr>
            <w:tcW w:w="1833" w:type="dxa"/>
            <w:vAlign w:val="center"/>
          </w:tcPr>
          <w:p>
            <w:pPr>
              <w:jc w:val="center"/>
              <w:rPr>
                <w:rFonts w:hint="eastAsia"/>
                <w:color w:val="auto"/>
                <w:highlight w:val="none"/>
              </w:rPr>
            </w:pPr>
            <w:r>
              <w:rPr>
                <w:rFonts w:hint="eastAsia" w:ascii="Times New Roman" w:hAnsi="Times New Roman" w:cs="Times New Roman"/>
                <w:color w:val="auto"/>
                <w:highlight w:val="none"/>
              </w:rPr>
              <w:t>电子投标文件的制作、加密、传输递交</w:t>
            </w:r>
          </w:p>
        </w:tc>
        <w:tc>
          <w:tcPr>
            <w:tcW w:w="6533" w:type="dxa"/>
            <w:vAlign w:val="center"/>
          </w:tcPr>
          <w:p>
            <w:pPr>
              <w:pStyle w:val="49"/>
              <w:jc w:val="both"/>
              <w:rPr>
                <w:rFonts w:hint="eastAsia" w:ascii="宋体" w:hAnsi="宋体"/>
                <w:color w:val="auto"/>
                <w:szCs w:val="21"/>
                <w:highlight w:val="none"/>
              </w:rPr>
            </w:pPr>
            <w:r>
              <w:rPr>
                <w:rFonts w:hint="eastAsia" w:ascii="宋体" w:hAnsi="宋体" w:eastAsia="宋体" w:cs="Arial"/>
                <w:color w:val="auto"/>
                <w:kern w:val="2"/>
                <w:sz w:val="21"/>
                <w:szCs w:val="21"/>
                <w:highlight w:val="none"/>
                <w:lang w:val="en-US" w:eastAsia="zh-CN" w:bidi="ar-SA"/>
              </w:rPr>
              <w:t>按本招标文件要求制作、加密，电子投标文件中所须加盖公章部分均采用CA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002"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12</w:t>
            </w:r>
          </w:p>
        </w:tc>
        <w:tc>
          <w:tcPr>
            <w:tcW w:w="1833" w:type="dxa"/>
            <w:vAlign w:val="center"/>
          </w:tcPr>
          <w:p>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备份投标文件的制作、份数、包装和盖章签字</w:t>
            </w:r>
          </w:p>
        </w:tc>
        <w:tc>
          <w:tcPr>
            <w:tcW w:w="6533" w:type="dxa"/>
            <w:vAlign w:val="center"/>
          </w:tcPr>
          <w:p>
            <w:pPr>
              <w:pStyle w:val="49"/>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备份投标文件：电子备份投标文件。</w:t>
            </w:r>
          </w:p>
          <w:p>
            <w:pPr>
              <w:pStyle w:val="49"/>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电子备份投标文件在投标截止时间前发送至</w:t>
            </w:r>
            <w:r>
              <w:rPr>
                <w:rFonts w:hint="eastAsia" w:ascii="宋体" w:hAnsi="宋体" w:cs="Times New Roman"/>
                <w:color w:val="auto"/>
                <w:kern w:val="2"/>
                <w:sz w:val="21"/>
                <w:szCs w:val="21"/>
                <w:highlight w:val="none"/>
                <w:lang w:val="en-US" w:eastAsia="zh-CN" w:bidi="ar-SA"/>
              </w:rPr>
              <w:t>398838266@qq.com</w:t>
            </w:r>
            <w:r>
              <w:rPr>
                <w:rFonts w:hint="eastAsia" w:ascii="宋体" w:hAnsi="宋体" w:eastAsia="宋体" w:cs="Times New Roman"/>
                <w:color w:val="auto"/>
                <w:kern w:val="2"/>
                <w:sz w:val="21"/>
                <w:szCs w:val="21"/>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02"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13</w:t>
            </w:r>
          </w:p>
        </w:tc>
        <w:tc>
          <w:tcPr>
            <w:tcW w:w="1833" w:type="dxa"/>
            <w:vAlign w:val="center"/>
          </w:tcPr>
          <w:p>
            <w:pPr>
              <w:jc w:val="center"/>
              <w:rPr>
                <w:rFonts w:hint="eastAsia"/>
                <w:color w:val="auto"/>
                <w:highlight w:val="none"/>
              </w:rPr>
            </w:pPr>
            <w:r>
              <w:rPr>
                <w:rFonts w:hint="eastAsia"/>
                <w:color w:val="auto"/>
                <w:highlight w:val="none"/>
              </w:rPr>
              <w:t>投标有效期</w:t>
            </w:r>
          </w:p>
        </w:tc>
        <w:tc>
          <w:tcPr>
            <w:tcW w:w="6533" w:type="dxa"/>
            <w:vAlign w:val="center"/>
          </w:tcPr>
          <w:p>
            <w:pPr>
              <w:rPr>
                <w:rFonts w:hint="eastAsia" w:eastAsia="宋体"/>
                <w:color w:val="auto"/>
                <w:highlight w:val="none"/>
                <w:lang w:eastAsia="zh-CN"/>
              </w:rPr>
            </w:pPr>
            <w:r>
              <w:rPr>
                <w:rFonts w:ascii="宋体" w:hAnsi="宋体"/>
                <w:color w:val="auto"/>
                <w:szCs w:val="21"/>
                <w:highlight w:val="none"/>
              </w:rPr>
              <w:t>自投标截止日起</w:t>
            </w:r>
            <w:r>
              <w:rPr>
                <w:rFonts w:hint="eastAsia"/>
                <w:color w:val="auto"/>
                <w:highlight w:val="none"/>
              </w:rPr>
              <w:t>90日历天</w:t>
            </w:r>
            <w:r>
              <w:rPr>
                <w:rFonts w:hint="eastAsia"/>
                <w:color w:val="auto"/>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02" w:type="dxa"/>
            <w:vAlign w:val="center"/>
          </w:tcPr>
          <w:p>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4</w:t>
            </w:r>
          </w:p>
        </w:tc>
        <w:tc>
          <w:tcPr>
            <w:tcW w:w="1833" w:type="dxa"/>
            <w:vAlign w:val="center"/>
          </w:tcPr>
          <w:p>
            <w:pPr>
              <w:jc w:val="center"/>
              <w:rPr>
                <w:color w:val="auto"/>
                <w:highlight w:val="none"/>
              </w:rPr>
            </w:pPr>
            <w:r>
              <w:rPr>
                <w:rFonts w:hint="eastAsia"/>
                <w:color w:val="auto"/>
                <w:highlight w:val="none"/>
              </w:rPr>
              <w:t>现场讲解</w:t>
            </w:r>
          </w:p>
        </w:tc>
        <w:tc>
          <w:tcPr>
            <w:tcW w:w="6533" w:type="dxa"/>
            <w:vAlign w:val="center"/>
          </w:tcPr>
          <w:p>
            <w:pPr>
              <w:rPr>
                <w:rFonts w:hint="eastAsia" w:ascii="宋体" w:hAnsi="宋体"/>
                <w:color w:val="auto"/>
                <w:szCs w:val="21"/>
                <w:highlight w:val="none"/>
              </w:rPr>
            </w:pPr>
            <w:r>
              <w:rPr>
                <w:rFonts w:hint="eastAsia" w:ascii="宋体" w:hAnsi="宋体"/>
                <w:color w:val="auto"/>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5</w:t>
            </w:r>
          </w:p>
        </w:tc>
        <w:tc>
          <w:tcPr>
            <w:tcW w:w="1833" w:type="dxa"/>
            <w:vAlign w:val="center"/>
          </w:tcPr>
          <w:p>
            <w:pPr>
              <w:jc w:val="center"/>
              <w:rPr>
                <w:rFonts w:hint="eastAsia"/>
                <w:color w:val="auto"/>
                <w:highlight w:val="none"/>
              </w:rPr>
            </w:pPr>
            <w:r>
              <w:rPr>
                <w:rFonts w:hint="eastAsia"/>
                <w:color w:val="auto"/>
                <w:highlight w:val="none"/>
              </w:rPr>
              <w:t>参加开标人员和携带资料</w:t>
            </w:r>
          </w:p>
        </w:tc>
        <w:tc>
          <w:tcPr>
            <w:tcW w:w="6533" w:type="dxa"/>
            <w:vAlign w:val="center"/>
          </w:tcPr>
          <w:p>
            <w:pPr>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投标人代表无须参加现场开标。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6</w:t>
            </w:r>
          </w:p>
        </w:tc>
        <w:tc>
          <w:tcPr>
            <w:tcW w:w="1833" w:type="dxa"/>
            <w:vAlign w:val="center"/>
          </w:tcPr>
          <w:p>
            <w:pPr>
              <w:jc w:val="center"/>
              <w:rPr>
                <w:rFonts w:hint="eastAsia"/>
                <w:color w:val="auto"/>
                <w:highlight w:val="none"/>
              </w:rPr>
            </w:pPr>
            <w:r>
              <w:rPr>
                <w:rFonts w:hint="eastAsia"/>
                <w:color w:val="auto"/>
                <w:highlight w:val="none"/>
              </w:rPr>
              <w:t>评标办法及评分标准</w:t>
            </w:r>
          </w:p>
        </w:tc>
        <w:tc>
          <w:tcPr>
            <w:tcW w:w="6533" w:type="dxa"/>
            <w:vAlign w:val="center"/>
          </w:tcPr>
          <w:p>
            <w:pPr>
              <w:rPr>
                <w:rFonts w:hint="eastAsia" w:ascii="宋体" w:hAnsi="宋体" w:cs="Times New Roman"/>
                <w:color w:val="auto"/>
                <w:szCs w:val="21"/>
                <w:highlight w:val="none"/>
              </w:rPr>
            </w:pPr>
            <w:r>
              <w:rPr>
                <w:rFonts w:hint="eastAsia" w:ascii="宋体" w:hAnsi="宋体" w:cs="Times New Roman"/>
                <w:color w:val="auto"/>
                <w:szCs w:val="21"/>
                <w:highlight w:val="none"/>
              </w:rPr>
              <w:t>综合评分法，详见第四章。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7</w:t>
            </w:r>
          </w:p>
        </w:tc>
        <w:tc>
          <w:tcPr>
            <w:tcW w:w="1833" w:type="dxa"/>
            <w:vAlign w:val="center"/>
          </w:tcPr>
          <w:p>
            <w:pPr>
              <w:jc w:val="center"/>
              <w:rPr>
                <w:rFonts w:hint="default" w:eastAsia="宋体"/>
                <w:color w:val="auto"/>
                <w:highlight w:val="none"/>
                <w:lang w:val="en-US" w:eastAsia="zh-CN"/>
              </w:rPr>
            </w:pPr>
            <w:r>
              <w:rPr>
                <w:rFonts w:hint="eastAsia"/>
                <w:color w:val="auto"/>
                <w:highlight w:val="none"/>
              </w:rPr>
              <w:t>履约保证金</w:t>
            </w:r>
            <w:r>
              <w:rPr>
                <w:rFonts w:hint="eastAsia"/>
                <w:color w:val="auto"/>
                <w:highlight w:val="none"/>
                <w:lang w:val="en-US" w:eastAsia="zh-CN"/>
              </w:rPr>
              <w:t>和质量保证金</w:t>
            </w:r>
          </w:p>
        </w:tc>
        <w:tc>
          <w:tcPr>
            <w:tcW w:w="6533" w:type="dxa"/>
            <w:vAlign w:val="center"/>
          </w:tcPr>
          <w:p>
            <w:pPr>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履约保证金为</w:t>
            </w:r>
            <w:r>
              <w:rPr>
                <w:rFonts w:hint="eastAsia" w:ascii="宋体" w:hAnsi="宋体" w:cs="Times New Roman"/>
                <w:color w:val="auto"/>
                <w:szCs w:val="21"/>
                <w:highlight w:val="none"/>
              </w:rPr>
              <w:t>中标金额的</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%，履约保证金在合同约定交货验收合格后自行转为质量保证金。</w:t>
            </w:r>
          </w:p>
          <w:p>
            <w:pPr>
              <w:rPr>
                <w:rFonts w:hint="eastAsia" w:ascii="宋体" w:hAnsi="宋体" w:cs="Times New Roman"/>
                <w:color w:val="auto"/>
                <w:szCs w:val="21"/>
                <w:highlight w:val="none"/>
                <w:lang w:eastAsia="zh-CN"/>
              </w:rPr>
            </w:pPr>
            <w:r>
              <w:rPr>
                <w:rFonts w:hint="eastAsia" w:ascii="宋体" w:hAnsi="宋体" w:cs="Times New Roman"/>
                <w:color w:val="auto"/>
                <w:szCs w:val="21"/>
                <w:highlight w:val="none"/>
              </w:rPr>
              <w:t>本项目</w:t>
            </w:r>
            <w:r>
              <w:rPr>
                <w:rFonts w:hint="eastAsia" w:ascii="宋体" w:hAnsi="宋体" w:cs="Times New Roman"/>
                <w:color w:val="auto"/>
                <w:szCs w:val="21"/>
                <w:highlight w:val="none"/>
                <w:lang w:val="en-US" w:eastAsia="zh-CN"/>
              </w:rPr>
              <w:t>质保期满后</w:t>
            </w:r>
            <w:r>
              <w:rPr>
                <w:rFonts w:hint="eastAsia" w:ascii="宋体" w:hAnsi="宋体" w:cs="Times New Roman"/>
                <w:color w:val="auto"/>
                <w:szCs w:val="21"/>
                <w:highlight w:val="none"/>
              </w:rPr>
              <w:t>，无质量和售后服务问题的，由采购人凭中标人的合法收据不计息退还质量保证金</w:t>
            </w:r>
            <w:r>
              <w:rPr>
                <w:rFonts w:hint="eastAsia" w:ascii="宋体" w:hAnsi="宋体" w:cs="Times New Roman"/>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1002" w:type="dxa"/>
            <w:vAlign w:val="center"/>
          </w:tcPr>
          <w:p>
            <w:pPr>
              <w:jc w:val="center"/>
              <w:rPr>
                <w:rFonts w:hint="eastAsia" w:ascii="宋体" w:hAnsi="宋体" w:eastAsia="宋体"/>
                <w:color w:val="auto"/>
                <w:highlight w:val="none"/>
                <w:lang w:val="en-US" w:eastAsia="zh-CN"/>
              </w:rPr>
            </w:pPr>
            <w:r>
              <w:rPr>
                <w:rFonts w:ascii="宋体" w:hAnsi="宋体"/>
                <w:color w:val="auto"/>
                <w:highlight w:val="none"/>
              </w:rPr>
              <w:t>1</w:t>
            </w:r>
            <w:r>
              <w:rPr>
                <w:rFonts w:hint="eastAsia" w:ascii="宋体" w:hAnsi="宋体"/>
                <w:color w:val="auto"/>
                <w:highlight w:val="none"/>
                <w:lang w:val="en-US" w:eastAsia="zh-CN"/>
              </w:rPr>
              <w:t>8</w:t>
            </w:r>
          </w:p>
        </w:tc>
        <w:tc>
          <w:tcPr>
            <w:tcW w:w="1833" w:type="dxa"/>
            <w:vAlign w:val="center"/>
          </w:tcPr>
          <w:p>
            <w:pPr>
              <w:jc w:val="center"/>
              <w:rPr>
                <w:rFonts w:hint="eastAsia"/>
                <w:color w:val="auto"/>
                <w:highlight w:val="none"/>
              </w:rPr>
            </w:pPr>
            <w:r>
              <w:rPr>
                <w:rFonts w:hint="eastAsia" w:ascii="宋体" w:hAnsi="宋体"/>
                <w:color w:val="auto"/>
                <w:szCs w:val="21"/>
                <w:highlight w:val="none"/>
              </w:rPr>
              <w:t>采购信息</w:t>
            </w:r>
            <w:r>
              <w:rPr>
                <w:rFonts w:hint="eastAsia"/>
                <w:color w:val="auto"/>
                <w:highlight w:val="none"/>
              </w:rPr>
              <w:t>发布</w:t>
            </w:r>
          </w:p>
          <w:p>
            <w:pPr>
              <w:jc w:val="center"/>
              <w:rPr>
                <w:rFonts w:hint="eastAsia"/>
                <w:color w:val="auto"/>
                <w:highlight w:val="none"/>
              </w:rPr>
            </w:pPr>
            <w:r>
              <w:rPr>
                <w:rFonts w:hint="eastAsia"/>
                <w:color w:val="auto"/>
                <w:highlight w:val="none"/>
              </w:rPr>
              <w:t>媒体</w:t>
            </w:r>
          </w:p>
        </w:tc>
        <w:tc>
          <w:tcPr>
            <w:tcW w:w="6533" w:type="dxa"/>
            <w:vAlign w:val="center"/>
          </w:tcPr>
          <w:p>
            <w:pPr>
              <w:rPr>
                <w:rFonts w:hint="eastAsia" w:ascii="宋体" w:hAnsi="宋体"/>
                <w:color w:val="auto"/>
                <w:szCs w:val="21"/>
                <w:highlight w:val="none"/>
              </w:rPr>
            </w:pPr>
            <w:r>
              <w:rPr>
                <w:rFonts w:hint="eastAsia" w:ascii="宋体" w:hAnsi="宋体" w:cs="宋体"/>
                <w:color w:val="auto"/>
                <w:szCs w:val="21"/>
                <w:highlight w:val="none"/>
              </w:rPr>
              <w:t>浙江政府采购网(https://</w:t>
            </w:r>
            <w:r>
              <w:rPr>
                <w:rFonts w:hint="eastAsia" w:ascii="宋体" w:hAnsi="宋体" w:cs="宋体"/>
                <w:color w:val="auto"/>
                <w:szCs w:val="21"/>
                <w:highlight w:val="none"/>
                <w:lang w:eastAsia="zh-CN"/>
              </w:rPr>
              <w:t>www.lecaiyun.com</w:t>
            </w:r>
            <w:r>
              <w:rPr>
                <w:rFonts w:hint="eastAsia" w:ascii="宋体" w:hAnsi="宋体" w:cs="宋体"/>
                <w:color w:val="auto"/>
                <w:szCs w:val="21"/>
                <w:highlight w:val="none"/>
              </w:rPr>
              <w:t xml:space="preserve">/)和浙江江南要素交易中心网站（https://jxszwsjb.jiaxing.gov.cn/col/col1229743950/index.html) </w:t>
            </w:r>
            <w:r>
              <w:rPr>
                <w:rFonts w:hint="eastAsia" w:ascii="宋体" w:hAnsi="宋体"/>
                <w:color w:val="auto"/>
                <w:szCs w:val="21"/>
                <w:highlight w:val="none"/>
              </w:rPr>
              <w:t>（如有变更公告，请及时了解和变更）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002" w:type="dxa"/>
            <w:vAlign w:val="center"/>
          </w:tcPr>
          <w:p>
            <w:pPr>
              <w:jc w:val="center"/>
              <w:rPr>
                <w:rFonts w:ascii="宋体" w:hAnsi="宋体"/>
                <w:color w:val="auto"/>
                <w:highlight w:val="none"/>
              </w:rPr>
            </w:pPr>
            <w:r>
              <w:rPr>
                <w:rFonts w:hint="eastAsia" w:ascii="宋体" w:hAnsi="宋体"/>
                <w:color w:val="auto"/>
                <w:highlight w:val="none"/>
                <w:lang w:val="en-US" w:eastAsia="zh-CN"/>
              </w:rPr>
              <w:t>19</w:t>
            </w:r>
          </w:p>
        </w:tc>
        <w:tc>
          <w:tcPr>
            <w:tcW w:w="1833" w:type="dxa"/>
            <w:vAlign w:val="center"/>
          </w:tcPr>
          <w:p>
            <w:pPr>
              <w:jc w:val="center"/>
              <w:rPr>
                <w:rFonts w:hint="default" w:eastAsia="宋体"/>
                <w:color w:val="auto"/>
                <w:highlight w:val="none"/>
                <w:lang w:val="en-US" w:eastAsia="zh-CN"/>
              </w:rPr>
            </w:pPr>
            <w:r>
              <w:rPr>
                <w:rFonts w:hint="eastAsia"/>
                <w:color w:val="auto"/>
                <w:highlight w:val="none"/>
                <w:lang w:val="en-US" w:eastAsia="zh-CN"/>
              </w:rPr>
              <w:t>是否提供样品</w:t>
            </w:r>
          </w:p>
        </w:tc>
        <w:tc>
          <w:tcPr>
            <w:tcW w:w="6533" w:type="dxa"/>
            <w:vAlign w:val="center"/>
          </w:tcPr>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002" w:type="dxa"/>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rPr>
              <w:t>2</w:t>
            </w:r>
            <w:r>
              <w:rPr>
                <w:rFonts w:hint="eastAsia" w:ascii="宋体" w:hAnsi="宋体"/>
                <w:color w:val="auto"/>
                <w:highlight w:val="none"/>
                <w:lang w:val="en-US" w:eastAsia="zh-CN"/>
              </w:rPr>
              <w:t>0</w:t>
            </w:r>
          </w:p>
        </w:tc>
        <w:tc>
          <w:tcPr>
            <w:tcW w:w="183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付款手续和付款时间</w:t>
            </w:r>
          </w:p>
        </w:tc>
        <w:tc>
          <w:tcPr>
            <w:tcW w:w="6533" w:type="dxa"/>
            <w:vAlign w:val="center"/>
          </w:tcPr>
          <w:p>
            <w:pPr>
              <w:rPr>
                <w:rFonts w:hint="eastAsia" w:ascii="宋体" w:hAnsi="宋体"/>
                <w:color w:val="auto"/>
                <w:szCs w:val="21"/>
                <w:highlight w:val="none"/>
              </w:rPr>
            </w:pPr>
            <w:r>
              <w:rPr>
                <w:rFonts w:hint="eastAsia" w:ascii="宋体" w:hAnsi="宋体"/>
                <w:color w:val="auto"/>
                <w:szCs w:val="21"/>
                <w:highlight w:val="none"/>
              </w:rPr>
              <w:t>详见第五章。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trPr>
        <w:tc>
          <w:tcPr>
            <w:tcW w:w="1002"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21</w:t>
            </w:r>
          </w:p>
        </w:tc>
        <w:tc>
          <w:tcPr>
            <w:tcW w:w="1833" w:type="dxa"/>
            <w:vAlign w:val="center"/>
          </w:tcPr>
          <w:p>
            <w:pPr>
              <w:jc w:val="center"/>
              <w:rPr>
                <w:rFonts w:hint="eastAsia" w:ascii="宋体" w:hAnsi="宋体"/>
                <w:color w:val="auto"/>
                <w:szCs w:val="21"/>
                <w:highlight w:val="none"/>
              </w:rPr>
            </w:pPr>
            <w:r>
              <w:rPr>
                <w:rFonts w:hint="eastAsia" w:ascii="宋体" w:hAnsi="宋体"/>
                <w:color w:val="auto"/>
                <w:highlight w:val="none"/>
              </w:rPr>
              <w:t>信用记录</w:t>
            </w:r>
          </w:p>
        </w:tc>
        <w:tc>
          <w:tcPr>
            <w:tcW w:w="6533" w:type="dxa"/>
            <w:vAlign w:val="center"/>
          </w:tcPr>
          <w:p>
            <w:pPr>
              <w:autoSpaceDE w:val="0"/>
              <w:autoSpaceDN w:val="0"/>
              <w:textAlignment w:val="bottom"/>
              <w:rPr>
                <w:rFonts w:hint="eastAsia" w:ascii="宋体" w:hAnsi="宋体"/>
                <w:color w:val="auto"/>
                <w:highlight w:val="none"/>
              </w:rPr>
            </w:pPr>
            <w:r>
              <w:rPr>
                <w:rFonts w:hint="eastAsia" w:ascii="宋体" w:hAnsi="宋体"/>
                <w:color w:val="auto"/>
                <w:highlight w:val="none"/>
              </w:rPr>
              <w:t>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002" w:type="dxa"/>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22</w:t>
            </w:r>
          </w:p>
        </w:tc>
        <w:tc>
          <w:tcPr>
            <w:tcW w:w="183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招标文件解释权</w:t>
            </w:r>
          </w:p>
        </w:tc>
        <w:tc>
          <w:tcPr>
            <w:tcW w:w="6533" w:type="dxa"/>
            <w:vAlign w:val="center"/>
          </w:tcPr>
          <w:p>
            <w:pPr>
              <w:rPr>
                <w:rFonts w:hint="eastAsia" w:ascii="宋体" w:hAnsi="宋体"/>
                <w:color w:val="auto"/>
                <w:szCs w:val="21"/>
                <w:highlight w:val="none"/>
              </w:rPr>
            </w:pPr>
            <w:r>
              <w:rPr>
                <w:rFonts w:hint="eastAsia" w:ascii="宋体" w:hAnsi="宋体"/>
                <w:color w:val="auto"/>
                <w:highlight w:val="none"/>
              </w:rPr>
              <w:t>属于采购人和</w:t>
            </w:r>
            <w:r>
              <w:rPr>
                <w:rFonts w:hint="eastAsia" w:ascii="宋体" w:hAnsi="宋体"/>
                <w:color w:val="auto"/>
                <w:highlight w:val="none"/>
                <w:lang w:eastAsia="zh-CN"/>
              </w:rPr>
              <w:t>嘉兴市中诚建设咨询有限公司</w:t>
            </w:r>
            <w:r>
              <w:rPr>
                <w:rFonts w:hint="eastAsia" w:ascii="宋体" w:hAnsi="宋体"/>
                <w:color w:val="auto"/>
                <w:highlight w:val="none"/>
              </w:rPr>
              <w:t>。</w:t>
            </w:r>
          </w:p>
        </w:tc>
      </w:tr>
    </w:tbl>
    <w:p>
      <w:pPr>
        <w:pStyle w:val="20"/>
        <w:snapToGrid w:val="0"/>
        <w:spacing w:line="360" w:lineRule="auto"/>
        <w:ind w:firstLine="562" w:firstLineChars="200"/>
        <w:jc w:val="center"/>
        <w:rPr>
          <w:rFonts w:ascii="Times New Roman" w:hAnsi="Times New Roman"/>
          <w:b/>
          <w:color w:val="auto"/>
          <w:sz w:val="28"/>
          <w:szCs w:val="28"/>
          <w:highlight w:val="none"/>
        </w:rPr>
      </w:pPr>
    </w:p>
    <w:p>
      <w:pPr>
        <w:pStyle w:val="20"/>
        <w:snapToGrid w:val="0"/>
        <w:spacing w:line="360" w:lineRule="auto"/>
        <w:ind w:firstLine="562" w:firstLineChars="200"/>
        <w:jc w:val="center"/>
        <w:outlineLvl w:val="1"/>
        <w:rPr>
          <w:rFonts w:ascii="Times New Roman" w:hAnsi="Times New Roman"/>
          <w:b/>
          <w:color w:val="auto"/>
          <w:sz w:val="28"/>
          <w:szCs w:val="28"/>
          <w:highlight w:val="none"/>
        </w:rPr>
      </w:pPr>
      <w:bookmarkStart w:id="59" w:name="_Toc12925"/>
      <w:bookmarkStart w:id="60" w:name="_Toc11351"/>
      <w:bookmarkStart w:id="61" w:name="_Toc27662"/>
      <w:bookmarkStart w:id="62" w:name="_Toc28284"/>
      <w:bookmarkStart w:id="63" w:name="_Toc8923"/>
      <w:r>
        <w:rPr>
          <w:rFonts w:ascii="Times New Roman" w:hAnsi="Times New Roman"/>
          <w:b/>
          <w:color w:val="auto"/>
          <w:sz w:val="28"/>
          <w:szCs w:val="28"/>
          <w:highlight w:val="none"/>
        </w:rPr>
        <w:t>一、总  则</w:t>
      </w:r>
      <w:bookmarkEnd w:id="59"/>
      <w:bookmarkEnd w:id="60"/>
      <w:bookmarkEnd w:id="61"/>
      <w:bookmarkEnd w:id="62"/>
      <w:bookmarkEnd w:id="63"/>
    </w:p>
    <w:p>
      <w:pPr>
        <w:pStyle w:val="20"/>
        <w:snapToGrid w:val="0"/>
        <w:spacing w:line="380" w:lineRule="exact"/>
        <w:ind w:firstLine="422" w:firstLineChars="200"/>
        <w:outlineLvl w:val="2"/>
        <w:rPr>
          <w:rFonts w:ascii="Times New Roman" w:hAnsi="Times New Roman"/>
          <w:b/>
          <w:color w:val="auto"/>
          <w:szCs w:val="21"/>
          <w:highlight w:val="none"/>
        </w:rPr>
      </w:pPr>
      <w:bookmarkStart w:id="64" w:name="_Toc406402943"/>
      <w:bookmarkStart w:id="65" w:name="_Toc406402987"/>
      <w:r>
        <w:rPr>
          <w:rFonts w:ascii="Times New Roman" w:hAnsi="Times New Roman"/>
          <w:b/>
          <w:color w:val="auto"/>
          <w:szCs w:val="21"/>
          <w:highlight w:val="none"/>
        </w:rPr>
        <w:t>（一） 适用范围</w:t>
      </w:r>
    </w:p>
    <w:p>
      <w:pPr>
        <w:snapToGrid w:val="0"/>
        <w:spacing w:line="380" w:lineRule="exact"/>
        <w:ind w:firstLine="420" w:firstLineChars="200"/>
        <w:jc w:val="left"/>
        <w:rPr>
          <w:color w:val="auto"/>
          <w:szCs w:val="21"/>
          <w:highlight w:val="none"/>
        </w:rPr>
      </w:pPr>
      <w:r>
        <w:rPr>
          <w:color w:val="auto"/>
          <w:szCs w:val="21"/>
          <w:highlight w:val="none"/>
        </w:rPr>
        <w:t>本招标文件适用于该项目的招标、投标、评标、定标、验收、合同履约、付款等行为（法律、法规另有规定的，从其规定）。</w:t>
      </w:r>
    </w:p>
    <w:p>
      <w:pPr>
        <w:spacing w:line="380" w:lineRule="exact"/>
        <w:ind w:firstLine="422" w:firstLineChars="200"/>
        <w:outlineLvl w:val="2"/>
        <w:rPr>
          <w:b/>
          <w:color w:val="auto"/>
          <w:szCs w:val="21"/>
          <w:highlight w:val="none"/>
        </w:rPr>
      </w:pPr>
      <w:r>
        <w:rPr>
          <w:b/>
          <w:color w:val="auto"/>
          <w:szCs w:val="21"/>
          <w:highlight w:val="none"/>
        </w:rPr>
        <w:t>（二）定义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1.“招标人”指组织本次招标活动的</w:t>
      </w:r>
      <w:r>
        <w:rPr>
          <w:rFonts w:hint="eastAsia" w:ascii="宋体" w:hAnsi="宋体" w:cs="宋体"/>
          <w:color w:val="auto"/>
          <w:szCs w:val="21"/>
          <w:highlight w:val="none"/>
          <w:lang w:eastAsia="zh-CN"/>
        </w:rPr>
        <w:t>海宁乐派芯园科技有限公司</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2.“采购人”指</w:t>
      </w:r>
      <w:r>
        <w:rPr>
          <w:rFonts w:hint="eastAsia" w:ascii="宋体" w:hAnsi="宋体" w:cs="宋体"/>
          <w:color w:val="auto"/>
          <w:szCs w:val="21"/>
          <w:highlight w:val="none"/>
          <w:lang w:eastAsia="zh-CN"/>
        </w:rPr>
        <w:t>海宁乐派芯园科技有限公司</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3.“投标人”系指向招标方提交投标文件的单位或个人。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4.“产品”系指招标文件规定投标人须向采购人提供的一切材料、设备、机械、仪器仪表、工具及其它有关技术资料和文字材料。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5.“服务”系指招标文件规定投标人须承担的劳务以及其他类似的义务。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6.“项目”系指投标人按招标文件规定向采购人提供的需求总称。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7.“书面形式”包括信函、传真、电报等。</w:t>
      </w:r>
    </w:p>
    <w:p>
      <w:pPr>
        <w:spacing w:line="380" w:lineRule="exact"/>
        <w:ind w:firstLine="422" w:firstLineChars="200"/>
        <w:outlineLvl w:val="2"/>
        <w:rPr>
          <w:color w:val="auto"/>
          <w:szCs w:val="21"/>
          <w:highlight w:val="none"/>
        </w:rPr>
      </w:pPr>
      <w:r>
        <w:rPr>
          <w:b/>
          <w:color w:val="auto"/>
          <w:szCs w:val="21"/>
          <w:highlight w:val="none"/>
        </w:rPr>
        <w:t>（三）招标方式</w:t>
      </w:r>
    </w:p>
    <w:p>
      <w:pPr>
        <w:spacing w:line="380" w:lineRule="exact"/>
        <w:ind w:firstLine="420" w:firstLineChars="200"/>
        <w:rPr>
          <w:color w:val="auto"/>
          <w:szCs w:val="21"/>
          <w:highlight w:val="none"/>
        </w:rPr>
      </w:pPr>
      <w:r>
        <w:rPr>
          <w:color w:val="auto"/>
          <w:szCs w:val="21"/>
          <w:highlight w:val="none"/>
        </w:rPr>
        <w:t>本次招标采用公开招标方式进行。</w:t>
      </w:r>
    </w:p>
    <w:p>
      <w:pPr>
        <w:spacing w:line="380" w:lineRule="exact"/>
        <w:ind w:firstLine="422" w:firstLineChars="200"/>
        <w:outlineLvl w:val="2"/>
        <w:rPr>
          <w:b/>
          <w:color w:val="auto"/>
          <w:szCs w:val="21"/>
          <w:highlight w:val="none"/>
        </w:rPr>
      </w:pPr>
      <w:r>
        <w:rPr>
          <w:b/>
          <w:color w:val="auto"/>
          <w:szCs w:val="21"/>
          <w:highlight w:val="none"/>
        </w:rPr>
        <w:t>（四）投标委托</w:t>
      </w:r>
    </w:p>
    <w:p>
      <w:pPr>
        <w:spacing w:line="38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无。</w:t>
      </w:r>
    </w:p>
    <w:p>
      <w:pPr>
        <w:spacing w:line="380" w:lineRule="exact"/>
        <w:ind w:firstLine="422" w:firstLineChars="200"/>
        <w:outlineLvl w:val="2"/>
        <w:rPr>
          <w:b/>
          <w:color w:val="auto"/>
          <w:szCs w:val="21"/>
          <w:highlight w:val="none"/>
        </w:rPr>
      </w:pPr>
      <w:r>
        <w:rPr>
          <w:b/>
          <w:color w:val="auto"/>
          <w:szCs w:val="21"/>
          <w:highlight w:val="none"/>
        </w:rPr>
        <w:t>（五）投标费用</w:t>
      </w:r>
    </w:p>
    <w:p>
      <w:pPr>
        <w:spacing w:line="380" w:lineRule="exact"/>
        <w:ind w:firstLine="420" w:firstLineChars="200"/>
        <w:rPr>
          <w:color w:val="auto"/>
          <w:szCs w:val="21"/>
          <w:highlight w:val="none"/>
        </w:rPr>
      </w:pPr>
      <w:r>
        <w:rPr>
          <w:rFonts w:hint="eastAsia"/>
          <w:color w:val="auto"/>
          <w:szCs w:val="21"/>
          <w:highlight w:val="none"/>
          <w:lang w:val="en-US" w:eastAsia="zh-CN"/>
        </w:rPr>
        <w:t>无</w:t>
      </w:r>
      <w:r>
        <w:rPr>
          <w:color w:val="auto"/>
          <w:szCs w:val="21"/>
          <w:highlight w:val="none"/>
        </w:rPr>
        <w:t>。</w:t>
      </w:r>
    </w:p>
    <w:p>
      <w:pPr>
        <w:spacing w:line="380" w:lineRule="exact"/>
        <w:ind w:firstLine="422" w:firstLineChars="200"/>
        <w:outlineLvl w:val="2"/>
        <w:rPr>
          <w:b/>
          <w:color w:val="auto"/>
          <w:szCs w:val="21"/>
          <w:highlight w:val="none"/>
        </w:rPr>
      </w:pPr>
      <w:r>
        <w:rPr>
          <w:b/>
          <w:color w:val="auto"/>
          <w:szCs w:val="21"/>
          <w:highlight w:val="none"/>
        </w:rPr>
        <w:t>（六）联合体投标</w:t>
      </w:r>
    </w:p>
    <w:p>
      <w:pPr>
        <w:spacing w:line="380" w:lineRule="exact"/>
        <w:ind w:firstLine="420" w:firstLineChars="200"/>
        <w:rPr>
          <w:color w:val="auto"/>
          <w:szCs w:val="21"/>
          <w:highlight w:val="none"/>
        </w:rPr>
      </w:pPr>
      <w:r>
        <w:rPr>
          <w:color w:val="auto"/>
          <w:szCs w:val="21"/>
          <w:highlight w:val="none"/>
        </w:rPr>
        <w:t>本项目不接受联合体投标。</w:t>
      </w:r>
    </w:p>
    <w:p>
      <w:pPr>
        <w:spacing w:line="380" w:lineRule="exact"/>
        <w:ind w:firstLine="422" w:firstLineChars="200"/>
        <w:outlineLvl w:val="2"/>
        <w:rPr>
          <w:b/>
          <w:color w:val="auto"/>
          <w:szCs w:val="21"/>
          <w:highlight w:val="none"/>
        </w:rPr>
      </w:pPr>
      <w:r>
        <w:rPr>
          <w:b/>
          <w:color w:val="auto"/>
          <w:szCs w:val="21"/>
          <w:highlight w:val="none"/>
        </w:rPr>
        <w:t>（七）转包与分包</w:t>
      </w:r>
    </w:p>
    <w:p>
      <w:pPr>
        <w:spacing w:line="380" w:lineRule="exact"/>
        <w:ind w:firstLine="420" w:firstLineChars="200"/>
        <w:outlineLvl w:val="2"/>
        <w:rPr>
          <w:rFonts w:hint="eastAsia" w:ascii="宋体"/>
          <w:b/>
          <w:bCs/>
          <w:color w:val="auto"/>
          <w:szCs w:val="21"/>
          <w:highlight w:val="none"/>
        </w:rPr>
      </w:pPr>
      <w:r>
        <w:rPr>
          <w:rFonts w:hint="eastAsia"/>
          <w:color w:val="auto"/>
          <w:szCs w:val="21"/>
          <w:highlight w:val="none"/>
        </w:rPr>
        <w:t>本项目不允许转包</w:t>
      </w:r>
      <w:r>
        <w:rPr>
          <w:rFonts w:hint="eastAsia"/>
          <w:color w:val="auto"/>
          <w:szCs w:val="21"/>
          <w:highlight w:val="none"/>
          <w:lang w:eastAsia="zh-CN"/>
        </w:rPr>
        <w:t>，</w:t>
      </w:r>
      <w:r>
        <w:rPr>
          <w:rFonts w:hint="eastAsia"/>
          <w:color w:val="auto"/>
          <w:szCs w:val="21"/>
          <w:highlight w:val="none"/>
        </w:rPr>
        <w:t>乙方部分需分包的应经过甲方书面同意。</w:t>
      </w:r>
    </w:p>
    <w:p>
      <w:pPr>
        <w:spacing w:line="380" w:lineRule="exact"/>
        <w:ind w:firstLine="422" w:firstLineChars="200"/>
        <w:outlineLvl w:val="2"/>
        <w:rPr>
          <w:rFonts w:hint="eastAsia" w:ascii="宋体" w:hAnsi="宋体" w:eastAsia="宋体" w:cs="宋体"/>
          <w:color w:val="auto"/>
          <w:szCs w:val="21"/>
          <w:highlight w:val="none"/>
          <w:lang w:eastAsia="zh-CN"/>
        </w:rPr>
      </w:pPr>
      <w:r>
        <w:rPr>
          <w:b/>
          <w:color w:val="auto"/>
          <w:szCs w:val="21"/>
          <w:highlight w:val="none"/>
        </w:rPr>
        <w:t>（八）特别说明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单位负责人为同一人或者存在直接控股、管理关系的不同投标人，不得参加同一合同项下的政府采 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.投标人应仔细阅读招标文件的所有内容，按照招标文件的要求提交投标文件，并对所提供的全部资 料的真实性承担法律责任。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.投标人在投标活动中提供任何虚假材料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其投标无效，并报监管部门查处；中标后发现的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中标人须依照《中华人民共和国消费者权益保护法》第49条之规定双倍赔偿采购人，且民事赔偿并不免除违法投</w:t>
      </w:r>
      <w:r>
        <w:rPr>
          <w:rFonts w:hint="eastAsia" w:ascii="宋体" w:hAnsi="宋体" w:cs="宋体"/>
          <w:color w:val="auto"/>
          <w:szCs w:val="21"/>
          <w:highlight w:val="none"/>
          <w:lang w:val="en-US" w:eastAsia="zh-CN"/>
        </w:rPr>
        <w:t>标</w:t>
      </w:r>
      <w:r>
        <w:rPr>
          <w:rFonts w:hint="eastAsia" w:ascii="宋体" w:hAnsi="宋体" w:cs="宋体"/>
          <w:color w:val="auto"/>
          <w:szCs w:val="21"/>
          <w:highlight w:val="none"/>
        </w:rPr>
        <w:t>人的行政与刑事责任。</w:t>
      </w:r>
    </w:p>
    <w:p>
      <w:pPr>
        <w:spacing w:line="380" w:lineRule="exact"/>
        <w:ind w:firstLine="422" w:firstLineChars="200"/>
        <w:outlineLvl w:val="2"/>
        <w:rPr>
          <w:b/>
          <w:color w:val="auto"/>
          <w:szCs w:val="21"/>
          <w:highlight w:val="none"/>
        </w:rPr>
      </w:pPr>
      <w:r>
        <w:rPr>
          <w:b/>
          <w:color w:val="auto"/>
          <w:szCs w:val="21"/>
          <w:highlight w:val="none"/>
        </w:rPr>
        <w:t>（九）质疑和投诉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1.投标人认为招标文件、招标过程或中标结果使自己的合法权益受到损害的，应当在知道或者应知其权益受到损害之日起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个工作日内</w:t>
      </w:r>
      <w:r>
        <w:rPr>
          <w:rFonts w:hint="eastAsia" w:ascii="宋体" w:hAnsi="宋体" w:cs="宋体"/>
          <w:color w:val="auto"/>
          <w:szCs w:val="21"/>
          <w:highlight w:val="none"/>
        </w:rPr>
        <w:t>，以书面形式向采购人、招标人提出质疑。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2.质疑应当以书面形式提出，格式</w:t>
      </w:r>
      <w:r>
        <w:rPr>
          <w:rFonts w:hint="eastAsia" w:ascii="宋体" w:hAnsi="宋体" w:eastAsia="宋体" w:cs="宋体"/>
          <w:color w:val="auto"/>
          <w:szCs w:val="21"/>
          <w:highlight w:val="none"/>
          <w:lang w:val="en-US" w:eastAsia="zh-CN"/>
        </w:rPr>
        <w:t>参照</w:t>
      </w:r>
      <w:r>
        <w:rPr>
          <w:rFonts w:hint="eastAsia" w:ascii="宋体" w:hAnsi="宋体" w:eastAsia="宋体" w:cs="宋体"/>
          <w:color w:val="auto"/>
          <w:szCs w:val="21"/>
          <w:highlight w:val="none"/>
        </w:rPr>
        <w:t>见《政府采购质疑和投诉办法》（财政部令第94号）附件范本，下载网址：浙江政府采购网(http://zfcg.czt.zj.gov.cn/)，位置：“首页-下载专区-质疑投诉模板”。投标人提出质疑应当提交质疑函和必要的证明材料。投标人应当在法定质疑期内一次性提出针对同一采购程序环节的质疑。</w:t>
      </w:r>
    </w:p>
    <w:p>
      <w:pPr>
        <w:spacing w:line="380" w:lineRule="exact"/>
        <w:ind w:firstLine="422" w:firstLineChars="200"/>
        <w:outlineLvl w:val="2"/>
        <w:rPr>
          <w:b/>
          <w:color w:val="auto"/>
          <w:szCs w:val="21"/>
          <w:highlight w:val="none"/>
        </w:rPr>
      </w:pPr>
      <w:r>
        <w:rPr>
          <w:b/>
          <w:color w:val="auto"/>
          <w:szCs w:val="21"/>
          <w:highlight w:val="none"/>
        </w:rPr>
        <w:t>（十）踏勘现场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详见前附表。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（十一）招标代理服务费</w:t>
      </w:r>
      <w:r>
        <w:rPr>
          <w:rFonts w:hint="eastAsia" w:ascii="宋体" w:hAnsi="宋体" w:cs="宋体"/>
          <w:b/>
          <w:bCs/>
          <w:color w:val="auto"/>
          <w:szCs w:val="21"/>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bookmarkStart w:id="66" w:name="_Toc13809"/>
      <w:bookmarkStart w:id="67" w:name="_Toc19564"/>
      <w:bookmarkStart w:id="68" w:name="_Toc10077"/>
      <w:bookmarkStart w:id="69" w:name="_Toc8154"/>
      <w:bookmarkStart w:id="70" w:name="_Toc8828"/>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招标代理服务费：本项目招标代理服务费由中标供应商支付。中标供应商应在收取《</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》时向采购代理机构交纳招标代理服务费。费用结算按照“计价格[2002]1980号”文件标准打</w:t>
      </w:r>
      <w:r>
        <w:rPr>
          <w:rFonts w:hint="eastAsia" w:ascii="宋体" w:hAnsi="宋体" w:cs="宋体"/>
          <w:color w:val="auto"/>
          <w:szCs w:val="21"/>
          <w:highlight w:val="none"/>
          <w:lang w:val="en-US" w:eastAsia="zh-CN"/>
        </w:rPr>
        <w:t>6.5</w:t>
      </w:r>
      <w:r>
        <w:rPr>
          <w:rFonts w:hint="eastAsia" w:ascii="宋体" w:hAnsi="宋体" w:cs="宋体"/>
          <w:color w:val="auto"/>
          <w:szCs w:val="21"/>
          <w:highlight w:val="none"/>
        </w:rPr>
        <w:t>折计算，基数为中标金额</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招标代理费不足</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000元按</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000元收取。</w:t>
      </w:r>
    </w:p>
    <w:tbl>
      <w:tblPr>
        <w:tblStyle w:val="36"/>
        <w:tblW w:w="919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928"/>
        <w:gridCol w:w="1931"/>
        <w:gridCol w:w="1740"/>
        <w:gridCol w:w="1800"/>
        <w:gridCol w:w="18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0" w:hRule="atLeast"/>
          <w:jc w:val="center"/>
        </w:trPr>
        <w:tc>
          <w:tcPr>
            <w:tcW w:w="1928" w:type="dxa"/>
            <w:shd w:val="clear" w:color="auto" w:fill="FFFFFF"/>
            <w:noWrap w:val="0"/>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中标金额（万元）</w:t>
            </w:r>
          </w:p>
        </w:tc>
        <w:tc>
          <w:tcPr>
            <w:tcW w:w="1931" w:type="dxa"/>
            <w:shd w:val="clear" w:color="auto" w:fill="FFFFFF"/>
            <w:noWrap w:val="0"/>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100以下</w:t>
            </w:r>
          </w:p>
        </w:tc>
        <w:tc>
          <w:tcPr>
            <w:tcW w:w="1740" w:type="dxa"/>
            <w:shd w:val="clear" w:color="auto" w:fill="FFFFFF"/>
            <w:noWrap w:val="0"/>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100-500</w:t>
            </w:r>
          </w:p>
        </w:tc>
        <w:tc>
          <w:tcPr>
            <w:tcW w:w="1800" w:type="dxa"/>
            <w:shd w:val="clear" w:color="auto" w:fill="FFFFFF"/>
            <w:noWrap w:val="0"/>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500-1000</w:t>
            </w:r>
          </w:p>
        </w:tc>
        <w:tc>
          <w:tcPr>
            <w:tcW w:w="1800" w:type="dxa"/>
            <w:shd w:val="clear" w:color="auto" w:fill="FFFFFF"/>
            <w:noWrap w:val="0"/>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1000-5000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50" w:hRule="atLeast"/>
          <w:jc w:val="center"/>
        </w:trPr>
        <w:tc>
          <w:tcPr>
            <w:tcW w:w="1928" w:type="dxa"/>
            <w:shd w:val="clear" w:color="auto" w:fill="FFFFFF"/>
            <w:noWrap w:val="0"/>
            <w:vAlign w:val="center"/>
          </w:tcPr>
          <w:p>
            <w:pPr>
              <w:spacing w:line="276"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费率</w:t>
            </w:r>
          </w:p>
        </w:tc>
        <w:tc>
          <w:tcPr>
            <w:tcW w:w="1931" w:type="dxa"/>
            <w:shd w:val="clear" w:color="auto" w:fill="FFFFFF"/>
            <w:noWrap w:val="0"/>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1.5％</w:t>
            </w:r>
          </w:p>
        </w:tc>
        <w:tc>
          <w:tcPr>
            <w:tcW w:w="1740" w:type="dxa"/>
            <w:shd w:val="clear" w:color="auto" w:fill="FFFFFF"/>
            <w:noWrap w:val="0"/>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1.1％</w:t>
            </w:r>
          </w:p>
        </w:tc>
        <w:tc>
          <w:tcPr>
            <w:tcW w:w="1800" w:type="dxa"/>
            <w:shd w:val="clear" w:color="auto" w:fill="FFFFFF"/>
            <w:noWrap w:val="0"/>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0.8％</w:t>
            </w:r>
          </w:p>
        </w:tc>
        <w:tc>
          <w:tcPr>
            <w:tcW w:w="1800" w:type="dxa"/>
            <w:shd w:val="clear" w:color="auto" w:fill="FFFFFF"/>
            <w:noWrap w:val="0"/>
            <w:vAlign w:val="center"/>
          </w:tcPr>
          <w:p>
            <w:pPr>
              <w:spacing w:line="276" w:lineRule="auto"/>
              <w:jc w:val="center"/>
              <w:rPr>
                <w:rFonts w:hint="eastAsia" w:ascii="宋体" w:hAnsi="宋体"/>
                <w:color w:val="auto"/>
                <w:szCs w:val="21"/>
                <w:highlight w:val="none"/>
              </w:rPr>
            </w:pPr>
            <w:r>
              <w:rPr>
                <w:rFonts w:hint="eastAsia" w:ascii="宋体" w:hAnsi="宋体"/>
                <w:color w:val="auto"/>
                <w:szCs w:val="21"/>
                <w:highlight w:val="none"/>
              </w:rPr>
              <w:t>0.5％</w:t>
            </w: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2.交易服务费</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交易服务</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500元</w:t>
      </w:r>
      <w:r>
        <w:rPr>
          <w:rFonts w:hint="eastAsia" w:ascii="宋体" w:hAnsi="宋体" w:cs="宋体"/>
          <w:color w:val="auto"/>
          <w:szCs w:val="21"/>
          <w:highlight w:val="none"/>
        </w:rPr>
        <w:t>由中标供应商支付。中标供应商应在收取《</w:t>
      </w:r>
      <w:r>
        <w:rPr>
          <w:rFonts w:hint="eastAsia" w:ascii="宋体" w:hAnsi="宋体" w:cs="宋体"/>
          <w:color w:val="auto"/>
          <w:szCs w:val="21"/>
          <w:highlight w:val="none"/>
          <w:lang w:eastAsia="zh-CN"/>
        </w:rPr>
        <w:t>成交通知书</w:t>
      </w:r>
      <w:r>
        <w:rPr>
          <w:rFonts w:hint="eastAsia" w:ascii="宋体" w:hAnsi="宋体" w:cs="宋体"/>
          <w:color w:val="auto"/>
          <w:szCs w:val="21"/>
          <w:highlight w:val="none"/>
        </w:rPr>
        <w:t>》时向采购代理机构交纳</w:t>
      </w:r>
      <w:r>
        <w:rPr>
          <w:rFonts w:hint="eastAsia" w:ascii="宋体" w:hAnsi="宋体" w:cs="宋体"/>
          <w:color w:val="auto"/>
          <w:szCs w:val="21"/>
          <w:highlight w:val="none"/>
          <w:lang w:val="en-US" w:eastAsia="zh-CN"/>
        </w:rPr>
        <w:t>交易服务</w:t>
      </w:r>
      <w:r>
        <w:rPr>
          <w:rFonts w:hint="eastAsia" w:ascii="宋体" w:hAnsi="宋体" w:cs="宋体"/>
          <w:color w:val="auto"/>
          <w:szCs w:val="21"/>
          <w:highlight w:val="none"/>
        </w:rPr>
        <w:t>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代理服务费</w:t>
      </w:r>
      <w:r>
        <w:rPr>
          <w:rFonts w:hint="eastAsia" w:ascii="宋体" w:hAnsi="宋体" w:cs="宋体"/>
          <w:color w:val="auto"/>
          <w:szCs w:val="21"/>
          <w:highlight w:val="none"/>
          <w:lang w:val="en-US" w:eastAsia="zh-CN"/>
        </w:rPr>
        <w:t>和交易服务费</w:t>
      </w:r>
      <w:r>
        <w:rPr>
          <w:rFonts w:hint="eastAsia" w:ascii="宋体" w:hAnsi="宋体" w:cs="宋体"/>
          <w:color w:val="auto"/>
          <w:szCs w:val="21"/>
          <w:highlight w:val="none"/>
        </w:rPr>
        <w:t>的货币为人民币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不在投标报价中单列。</w:t>
      </w:r>
    </w:p>
    <w:p>
      <w:pPr>
        <w:pStyle w:val="20"/>
        <w:snapToGrid w:val="0"/>
        <w:spacing w:line="380" w:lineRule="exact"/>
        <w:ind w:firstLine="562" w:firstLineChars="200"/>
        <w:jc w:val="center"/>
        <w:outlineLvl w:val="1"/>
        <w:rPr>
          <w:rFonts w:ascii="Times New Roman" w:hAnsi="Times New Roman"/>
          <w:b/>
          <w:color w:val="auto"/>
          <w:sz w:val="28"/>
          <w:szCs w:val="28"/>
          <w:highlight w:val="none"/>
        </w:rPr>
      </w:pPr>
    </w:p>
    <w:p>
      <w:pPr>
        <w:pStyle w:val="20"/>
        <w:snapToGrid w:val="0"/>
        <w:spacing w:line="380" w:lineRule="exact"/>
        <w:ind w:firstLine="562" w:firstLineChars="200"/>
        <w:jc w:val="center"/>
        <w:outlineLvl w:val="1"/>
        <w:rPr>
          <w:rFonts w:ascii="Times New Roman" w:hAnsi="Times New Roman"/>
          <w:b/>
          <w:color w:val="auto"/>
          <w:sz w:val="28"/>
          <w:szCs w:val="28"/>
          <w:highlight w:val="none"/>
        </w:rPr>
      </w:pPr>
      <w:r>
        <w:rPr>
          <w:rFonts w:ascii="Times New Roman" w:hAnsi="Times New Roman"/>
          <w:b/>
          <w:color w:val="auto"/>
          <w:sz w:val="28"/>
          <w:szCs w:val="28"/>
          <w:highlight w:val="none"/>
        </w:rPr>
        <w:t>二、招标文件</w:t>
      </w:r>
      <w:bookmarkEnd w:id="64"/>
      <w:bookmarkEnd w:id="65"/>
      <w:bookmarkEnd w:id="66"/>
      <w:bookmarkEnd w:id="67"/>
      <w:bookmarkEnd w:id="68"/>
      <w:bookmarkEnd w:id="69"/>
      <w:bookmarkEnd w:id="70"/>
    </w:p>
    <w:p>
      <w:pPr>
        <w:spacing w:line="380" w:lineRule="exact"/>
        <w:ind w:firstLine="422" w:firstLineChars="200"/>
        <w:outlineLvl w:val="2"/>
        <w:rPr>
          <w:rFonts w:hint="eastAsia" w:eastAsia="宋体"/>
          <w:b/>
          <w:color w:val="auto"/>
          <w:szCs w:val="21"/>
          <w:highlight w:val="none"/>
          <w:lang w:eastAsia="zh-CN"/>
        </w:rPr>
      </w:pPr>
      <w:r>
        <w:rPr>
          <w:b/>
          <w:color w:val="auto"/>
          <w:szCs w:val="21"/>
          <w:highlight w:val="none"/>
        </w:rPr>
        <w:t>（一）招标文件的构成。本招标文件由以下部份组成</w:t>
      </w:r>
      <w:r>
        <w:rPr>
          <w:rFonts w:hint="eastAsia"/>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1.招标公告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2.招标需求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3.投标人须知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4.评标办法及标准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5.合同主要条款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7.本项目招标文件的澄清、答复、修改、补充的内容</w:t>
      </w:r>
    </w:p>
    <w:p>
      <w:pPr>
        <w:spacing w:line="380" w:lineRule="exact"/>
        <w:ind w:firstLine="422" w:firstLineChars="200"/>
        <w:outlineLvl w:val="2"/>
        <w:rPr>
          <w:b/>
          <w:color w:val="auto"/>
          <w:szCs w:val="21"/>
          <w:highlight w:val="none"/>
        </w:rPr>
      </w:pPr>
      <w:r>
        <w:rPr>
          <w:b/>
          <w:color w:val="auto"/>
          <w:szCs w:val="21"/>
          <w:highlight w:val="none"/>
        </w:rPr>
        <w:t>（二）投标人的风险</w:t>
      </w:r>
    </w:p>
    <w:p>
      <w:pPr>
        <w:spacing w:line="380" w:lineRule="exact"/>
        <w:ind w:firstLine="420" w:firstLineChars="200"/>
        <w:rPr>
          <w:color w:val="auto"/>
          <w:szCs w:val="21"/>
          <w:highlight w:val="none"/>
        </w:rPr>
      </w:pPr>
      <w:r>
        <w:rPr>
          <w:color w:val="auto"/>
          <w:szCs w:val="21"/>
          <w:highlight w:val="none"/>
        </w:rPr>
        <w:t>投标人没有按照招标文件要求提供全部资料，或者投标人没有对招标文件在各方面作出实质性响应是投标人的风险，并可能导致其投标为无效标。</w:t>
      </w:r>
    </w:p>
    <w:p>
      <w:pPr>
        <w:spacing w:line="380" w:lineRule="exact"/>
        <w:ind w:firstLine="422" w:firstLineChars="200"/>
        <w:outlineLvl w:val="2"/>
        <w:rPr>
          <w:b/>
          <w:color w:val="auto"/>
          <w:szCs w:val="21"/>
          <w:highlight w:val="none"/>
        </w:rPr>
      </w:pPr>
      <w:r>
        <w:rPr>
          <w:b/>
          <w:color w:val="auto"/>
          <w:szCs w:val="21"/>
          <w:highlight w:val="none"/>
        </w:rPr>
        <w:t xml:space="preserve">（三）招标文件的澄清与修改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1.投标人应认真阅读本招标文件，发现其中有误或有不合理要求的，请以书面形式（盖单位公章）在投标文件提交截止时间五日前通知</w:t>
      </w:r>
      <w:r>
        <w:rPr>
          <w:rFonts w:hint="eastAsia" w:ascii="宋体" w:hAnsi="宋体" w:cs="宋体"/>
          <w:color w:val="auto"/>
          <w:szCs w:val="21"/>
          <w:highlight w:val="none"/>
          <w:lang w:eastAsia="zh-CN"/>
        </w:rPr>
        <w:t>嘉兴市中诚建设咨询有限公司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嘉兴市中诚建设咨询有限公司</w:t>
      </w:r>
      <w:r>
        <w:rPr>
          <w:rFonts w:hint="eastAsia" w:ascii="宋体" w:hAnsi="宋体" w:cs="宋体"/>
          <w:color w:val="auto"/>
          <w:szCs w:val="21"/>
          <w:highlight w:val="none"/>
        </w:rPr>
        <w:t>将视情况做统一答复，招标文件澄清和招标文件修改均在相关媒体上发布更正公告，该公告作为书面形式通知所有投标人。投标人未在规定时间内提出疑问的，则视为对招标文件无异议。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2.招标文件澄清或者修改的内容为招标文件的组成部分。当招标文件与澄清或者修改就同一内容的表述不一致时，以最后发出的公告为准。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3.对招标文件的澄清、答复、修改或补充都应该通过招标人以法定形式发布，采购人非通过招标人，不得擅自澄清、答复、修改或补充招标文件。</w:t>
      </w:r>
    </w:p>
    <w:p>
      <w:pPr>
        <w:pStyle w:val="20"/>
        <w:snapToGrid w:val="0"/>
        <w:spacing w:line="380" w:lineRule="exact"/>
        <w:jc w:val="both"/>
        <w:rPr>
          <w:rFonts w:ascii="Times New Roman" w:hAnsi="Times New Roman"/>
          <w:b/>
          <w:color w:val="auto"/>
          <w:sz w:val="28"/>
          <w:szCs w:val="28"/>
          <w:highlight w:val="none"/>
        </w:rPr>
      </w:pPr>
      <w:bookmarkStart w:id="71" w:name="_Toc10132"/>
      <w:bookmarkStart w:id="72" w:name="_Toc5229"/>
    </w:p>
    <w:p>
      <w:pPr>
        <w:pStyle w:val="20"/>
        <w:snapToGrid w:val="0"/>
        <w:spacing w:line="380" w:lineRule="exact"/>
        <w:ind w:firstLine="562" w:firstLineChars="200"/>
        <w:jc w:val="center"/>
        <w:outlineLvl w:val="1"/>
        <w:rPr>
          <w:rFonts w:ascii="Times New Roman" w:hAnsi="Times New Roman"/>
          <w:b/>
          <w:color w:val="auto"/>
          <w:sz w:val="28"/>
          <w:szCs w:val="28"/>
          <w:highlight w:val="none"/>
        </w:rPr>
      </w:pPr>
      <w:bookmarkStart w:id="73" w:name="_Toc11091"/>
      <w:bookmarkStart w:id="74" w:name="_Toc9217"/>
      <w:bookmarkStart w:id="75" w:name="_Toc28870"/>
      <w:r>
        <w:rPr>
          <w:rFonts w:ascii="Times New Roman" w:hAnsi="Times New Roman"/>
          <w:b/>
          <w:color w:val="auto"/>
          <w:sz w:val="28"/>
          <w:szCs w:val="28"/>
          <w:highlight w:val="none"/>
        </w:rPr>
        <w:t>三、投标文件的编制</w:t>
      </w:r>
      <w:bookmarkEnd w:id="71"/>
      <w:bookmarkEnd w:id="72"/>
      <w:bookmarkEnd w:id="73"/>
      <w:bookmarkEnd w:id="74"/>
      <w:bookmarkEnd w:id="75"/>
    </w:p>
    <w:p>
      <w:pPr>
        <w:spacing w:line="380" w:lineRule="exact"/>
        <w:ind w:firstLine="422" w:firstLineChars="200"/>
        <w:rPr>
          <w:rFonts w:hint="eastAsia" w:eastAsia="宋体"/>
          <w:b/>
          <w:color w:val="auto"/>
          <w:szCs w:val="21"/>
          <w:highlight w:val="none"/>
          <w:lang w:eastAsia="zh-CN"/>
        </w:rPr>
      </w:pPr>
      <w:r>
        <w:rPr>
          <w:b/>
          <w:color w:val="auto"/>
          <w:szCs w:val="21"/>
          <w:highlight w:val="none"/>
        </w:rPr>
        <w:t>本项目所涉投标文件格式请详见第六章，未给出的格式请自拟。资格文件、技术</w:t>
      </w:r>
      <w:r>
        <w:rPr>
          <w:rFonts w:hint="eastAsia"/>
          <w:b/>
          <w:color w:val="auto"/>
          <w:szCs w:val="21"/>
          <w:highlight w:val="none"/>
          <w:lang w:val="en-US" w:eastAsia="zh-CN"/>
        </w:rPr>
        <w:t>商务</w:t>
      </w:r>
      <w:r>
        <w:rPr>
          <w:b/>
          <w:color w:val="auto"/>
          <w:szCs w:val="21"/>
          <w:highlight w:val="none"/>
        </w:rPr>
        <w:t>标文件中不得出现报价，否则投标文件将被视为无效</w:t>
      </w:r>
      <w:r>
        <w:rPr>
          <w:rFonts w:hint="eastAsia"/>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b/>
          <w:color w:val="auto"/>
          <w:szCs w:val="21"/>
          <w:highlight w:val="none"/>
        </w:rPr>
      </w:pPr>
      <w:bookmarkStart w:id="76" w:name="_Toc406402988"/>
      <w:bookmarkStart w:id="77" w:name="_Toc406402944"/>
      <w:r>
        <w:rPr>
          <w:b/>
          <w:color w:val="auto"/>
          <w:szCs w:val="21"/>
          <w:highlight w:val="none"/>
        </w:rPr>
        <w:t>（一）投标文件的组成</w:t>
      </w:r>
      <w:bookmarkEnd w:id="76"/>
      <w:bookmarkEnd w:id="7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Cs w:val="21"/>
          <w:highlight w:val="none"/>
        </w:rPr>
      </w:pPr>
      <w:r>
        <w:rPr>
          <w:color w:val="auto"/>
          <w:szCs w:val="21"/>
          <w:highlight w:val="none"/>
        </w:rPr>
        <w:t>投标文件由资格文件、技术商务文件、报价文件</w:t>
      </w:r>
      <w:r>
        <w:rPr>
          <w:rFonts w:hint="eastAsia"/>
          <w:color w:val="auto"/>
          <w:szCs w:val="21"/>
          <w:highlight w:val="none"/>
          <w:lang w:val="en-US" w:eastAsia="zh-CN"/>
        </w:rPr>
        <w:t>三</w:t>
      </w:r>
      <w:r>
        <w:rPr>
          <w:color w:val="auto"/>
          <w:szCs w:val="21"/>
          <w:highlight w:val="none"/>
        </w:rPr>
        <w:t>部份组成。</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2"/>
        <w:rPr>
          <w:b/>
          <w:color w:val="auto"/>
          <w:szCs w:val="21"/>
          <w:highlight w:val="none"/>
        </w:rPr>
      </w:pPr>
      <w:r>
        <w:rPr>
          <w:b/>
          <w:color w:val="auto"/>
          <w:szCs w:val="21"/>
          <w:highlight w:val="none"/>
        </w:rPr>
        <w:t>1.资格文件：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1.1资格文件封面及目录（附件1）；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1.2投标人声明书（附件2）；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1.3营业(经营)执照正本或副本复印件（盖单位公章）；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1.4法定</w:t>
      </w:r>
      <w:bookmarkStart w:id="302" w:name="_GoBack"/>
      <w:bookmarkEnd w:id="302"/>
      <w:r>
        <w:rPr>
          <w:rFonts w:hint="eastAsia" w:ascii="宋体" w:hAnsi="宋体" w:cs="宋体"/>
          <w:color w:val="auto"/>
          <w:szCs w:val="21"/>
          <w:highlight w:val="none"/>
        </w:rPr>
        <w:t>代表人有效身份证件复印件；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1.5法定代表人授权委托书（附件3）及授权代表有效身份证件复印件（授权代表参加开标的须提供）；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1.6提供最近一个季度内依法缴纳税收的证明（税费凭证复印件,如依法免缴税费的提供加盖单位公章的零申报申报表）；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1.7提供最近一个季度内依法缴纳社会保障资金证明（缴纳凭证或人社部门出具的证明）；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提供未被“信用中国”（www.creditchina.gov.cn）、中国政府采购网（www.ccgp.gov.cn）列入失信被执行人、重大税收违法案件当事人名单、政府采购严重违法失信行为记录名单的网页打印证明（开标前一周内页面查询结果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color w:val="auto"/>
          <w:szCs w:val="21"/>
          <w:highlight w:val="none"/>
        </w:rPr>
        <w:t>投标供应商认为需要说明的资料。</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color w:val="auto"/>
          <w:szCs w:val="21"/>
          <w:highlight w:val="none"/>
        </w:rPr>
      </w:pPr>
      <w:r>
        <w:rPr>
          <w:rFonts w:hint="eastAsia"/>
          <w:b/>
          <w:color w:val="auto"/>
          <w:szCs w:val="21"/>
          <w:highlight w:val="none"/>
        </w:rPr>
        <w:t>2.</w:t>
      </w:r>
      <w:r>
        <w:rPr>
          <w:b/>
          <w:color w:val="auto"/>
          <w:szCs w:val="21"/>
          <w:highlight w:val="none"/>
        </w:rPr>
        <w:t>技术商务文件：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技术商务文件封面及目录（附件</w:t>
      </w:r>
      <w:r>
        <w:rPr>
          <w:rFonts w:ascii="宋体" w:hAnsi="宋体"/>
          <w:color w:val="auto"/>
          <w:szCs w:val="21"/>
          <w:highlight w:val="none"/>
        </w:rPr>
        <w:t>4</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评分对应表（附件</w:t>
      </w:r>
      <w:r>
        <w:rPr>
          <w:rFonts w:ascii="宋体" w:hAnsi="宋体"/>
          <w:color w:val="auto"/>
          <w:szCs w:val="21"/>
          <w:highlight w:val="none"/>
        </w:rPr>
        <w:t>5</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ascii="宋体" w:hAnsi="宋体"/>
          <w:color w:val="auto"/>
          <w:szCs w:val="21"/>
          <w:highlight w:val="none"/>
        </w:rPr>
        <w:t>2.3</w:t>
      </w:r>
      <w:r>
        <w:rPr>
          <w:rFonts w:hint="eastAsia" w:ascii="宋体" w:hAnsi="宋体"/>
          <w:color w:val="auto"/>
          <w:szCs w:val="21"/>
          <w:highlight w:val="none"/>
        </w:rPr>
        <w:t>投标人基本情况表（附件</w:t>
      </w:r>
      <w:r>
        <w:rPr>
          <w:rFonts w:ascii="宋体" w:hAnsi="宋体"/>
          <w:color w:val="auto"/>
          <w:szCs w:val="21"/>
          <w:highlight w:val="none"/>
        </w:rPr>
        <w:t>6</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技术响应表（附件7）； </w:t>
      </w:r>
    </w:p>
    <w:p>
      <w:pPr>
        <w:spacing w:line="40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本项目技术力量配备表（附件</w:t>
      </w:r>
      <w:r>
        <w:rPr>
          <w:rFonts w:hint="eastAsia" w:ascii="宋体"/>
          <w:color w:val="auto"/>
          <w:szCs w:val="21"/>
          <w:highlight w:val="none"/>
          <w:lang w:val="en-US" w:eastAsia="zh-CN"/>
        </w:rPr>
        <w:t>8</w:t>
      </w:r>
      <w:r>
        <w:rPr>
          <w:rFonts w:hint="eastAsia" w:asci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6</w:t>
      </w:r>
      <w:r>
        <w:rPr>
          <w:rFonts w:hint="eastAsia" w:ascii="宋体"/>
          <w:color w:val="auto"/>
          <w:szCs w:val="21"/>
          <w:highlight w:val="none"/>
          <w:lang w:eastAsia="zh-CN"/>
        </w:rPr>
        <w:t>项目方案</w:t>
      </w:r>
      <w:r>
        <w:rPr>
          <w:rFonts w:hint="eastAsia" w:asci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7</w:t>
      </w:r>
      <w:r>
        <w:rPr>
          <w:rFonts w:hint="eastAsia" w:ascii="宋体" w:hAnsi="宋体"/>
          <w:color w:val="auto"/>
          <w:szCs w:val="21"/>
          <w:highlight w:val="none"/>
        </w:rPr>
        <w:t>商务响应表（附件</w:t>
      </w:r>
      <w:r>
        <w:rPr>
          <w:rFonts w:hint="eastAsia" w:ascii="宋体" w:hAnsi="宋体"/>
          <w:color w:val="auto"/>
          <w:szCs w:val="21"/>
          <w:highlight w:val="none"/>
          <w:lang w:val="en-US" w:eastAsia="zh-CN"/>
        </w:rPr>
        <w:t>9</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8</w:t>
      </w:r>
      <w:r>
        <w:rPr>
          <w:rFonts w:hint="eastAsia" w:ascii="宋体"/>
          <w:color w:val="auto"/>
          <w:szCs w:val="21"/>
          <w:highlight w:val="none"/>
        </w:rPr>
        <w:t>服务承诺（附件1</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hAnsi="宋体"/>
          <w:color w:val="auto"/>
          <w:szCs w:val="21"/>
          <w:highlight w:val="none"/>
        </w:rPr>
        <w:t>；</w:t>
      </w:r>
    </w:p>
    <w:p>
      <w:pPr>
        <w:keepNext w:val="0"/>
        <w:keepLines w:val="0"/>
        <w:pageBreakBefore w:val="0"/>
        <w:widowControl w:val="0"/>
        <w:tabs>
          <w:tab w:val="left" w:pos="286"/>
        </w:tabs>
        <w:kinsoku/>
        <w:wordWrap/>
        <w:overflowPunct/>
        <w:topLinePunct w:val="0"/>
        <w:autoSpaceDE/>
        <w:autoSpaceDN/>
        <w:bidi w:val="0"/>
        <w:adjustRightInd/>
        <w:snapToGrid/>
        <w:spacing w:line="400" w:lineRule="exact"/>
        <w:ind w:firstLine="420" w:firstLineChars="200"/>
        <w:textAlignment w:val="auto"/>
        <w:rPr>
          <w:rFonts w:ascii="宋体" w:hAnsi="宋体"/>
          <w:b/>
          <w:bCs/>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未尽事宜请各投标人按评分细则制作此部分，未提供格式的均自拟。</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color w:val="auto"/>
          <w:szCs w:val="21"/>
          <w:highlight w:val="none"/>
        </w:rPr>
      </w:pPr>
      <w:r>
        <w:rPr>
          <w:b/>
          <w:color w:val="auto"/>
          <w:szCs w:val="21"/>
          <w:highlight w:val="none"/>
        </w:rPr>
        <w:t>3</w:t>
      </w:r>
      <w:r>
        <w:rPr>
          <w:rFonts w:hint="eastAsia"/>
          <w:b/>
          <w:color w:val="auto"/>
          <w:szCs w:val="21"/>
          <w:highlight w:val="none"/>
        </w:rPr>
        <w:t>.</w:t>
      </w:r>
      <w:r>
        <w:rPr>
          <w:b/>
          <w:color w:val="auto"/>
          <w:szCs w:val="21"/>
          <w:highlight w:val="none"/>
        </w:rPr>
        <w:t>报价文件：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3.1报价文件封面及目录（附件1</w:t>
      </w:r>
      <w:r>
        <w:rPr>
          <w:rFonts w:hint="eastAsia" w:ascii="宋体" w:hAnsi="宋体"/>
          <w:color w:val="auto"/>
          <w:szCs w:val="21"/>
          <w:highlight w:val="none"/>
          <w:lang w:val="en-US" w:eastAsia="zh-CN"/>
        </w:rPr>
        <w:t>1</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3.2报价一览表（附件1</w:t>
      </w:r>
      <w:r>
        <w:rPr>
          <w:rFonts w:hint="eastAsia" w:ascii="宋体" w:hAnsi="宋体"/>
          <w:color w:val="auto"/>
          <w:szCs w:val="21"/>
          <w:highlight w:val="none"/>
          <w:lang w:val="en-US" w:eastAsia="zh-CN"/>
        </w:rPr>
        <w:t>2</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3</w:t>
      </w:r>
      <w:r>
        <w:rPr>
          <w:rFonts w:hint="eastAsia" w:ascii="宋体" w:hAnsi="宋体"/>
          <w:color w:val="auto"/>
          <w:szCs w:val="21"/>
          <w:highlight w:val="none"/>
        </w:rPr>
        <w:t>报价</w:t>
      </w:r>
      <w:r>
        <w:rPr>
          <w:rFonts w:hint="eastAsia" w:ascii="宋体" w:hAnsi="宋体"/>
          <w:color w:val="auto"/>
          <w:szCs w:val="21"/>
          <w:highlight w:val="none"/>
          <w:lang w:val="en-US" w:eastAsia="zh-CN"/>
        </w:rPr>
        <w:t>明细</w:t>
      </w:r>
      <w:r>
        <w:rPr>
          <w:rFonts w:hint="eastAsia" w:ascii="宋体" w:hAnsi="宋体"/>
          <w:color w:val="auto"/>
          <w:szCs w:val="21"/>
          <w:highlight w:val="none"/>
        </w:rPr>
        <w:t>表（附件</w:t>
      </w:r>
      <w:r>
        <w:rPr>
          <w:rFonts w:hint="eastAsia" w:ascii="宋体" w:hAnsi="宋体"/>
          <w:color w:val="auto"/>
          <w:szCs w:val="21"/>
          <w:highlight w:val="none"/>
          <w:lang w:val="en-US" w:eastAsia="zh-CN"/>
        </w:rPr>
        <w:t>13</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投标人针对报价需要说明的其他文件和说明。</w:t>
      </w:r>
    </w:p>
    <w:p>
      <w:pPr>
        <w:spacing w:line="380" w:lineRule="exact"/>
        <w:ind w:firstLine="422" w:firstLineChars="200"/>
        <w:outlineLvl w:val="2"/>
        <w:rPr>
          <w:b/>
          <w:color w:val="auto"/>
          <w:szCs w:val="21"/>
          <w:highlight w:val="none"/>
        </w:rPr>
      </w:pPr>
      <w:bookmarkStart w:id="78" w:name="_Toc385854146"/>
      <w:bookmarkStart w:id="79" w:name="_Toc402963117"/>
      <w:bookmarkStart w:id="80" w:name="_Toc385854100"/>
      <w:bookmarkStart w:id="81" w:name="_Toc406402946"/>
      <w:bookmarkStart w:id="82" w:name="_Toc402963084"/>
      <w:bookmarkStart w:id="83" w:name="_Toc406402990"/>
      <w:r>
        <w:rPr>
          <w:b/>
          <w:color w:val="auto"/>
          <w:szCs w:val="21"/>
          <w:highlight w:val="none"/>
        </w:rPr>
        <w:t>（二）投标文件的语言及计量</w:t>
      </w:r>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1.投标文件以及投标人与招标人就有关投标事宜的所有来往函电，均应以中文汉语书写。除签名、盖章、专用名称等特殊情形外，以中文汉语以外的文字表述的投标文件视同未提供。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pacing w:line="380" w:lineRule="exact"/>
        <w:ind w:firstLine="422" w:firstLineChars="200"/>
        <w:outlineLvl w:val="2"/>
        <w:rPr>
          <w:b/>
          <w:color w:val="auto"/>
          <w:szCs w:val="21"/>
          <w:highlight w:val="none"/>
        </w:rPr>
      </w:pPr>
      <w:bookmarkStart w:id="84" w:name="_Toc402963085"/>
      <w:bookmarkStart w:id="85" w:name="_Toc402963118"/>
      <w:bookmarkStart w:id="86" w:name="_Toc385854101"/>
      <w:bookmarkStart w:id="87" w:name="_Toc406402991"/>
      <w:bookmarkStart w:id="88" w:name="_Toc406402947"/>
      <w:bookmarkStart w:id="89" w:name="_Toc385854147"/>
      <w:r>
        <w:rPr>
          <w:b/>
          <w:color w:val="auto"/>
          <w:szCs w:val="21"/>
          <w:highlight w:val="none"/>
        </w:rPr>
        <w:t>（三）投标报价</w:t>
      </w:r>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1.投标报价应按招标文件中相关附表格式填写。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2.本项目共一个标项，投标人须对标项内的所有内容进行投标，且所投的内容只能有一个报价，有选择的或有条件的报价将不予接受。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3.投标报价是履行合同的最终价格，应包括货款、标准附件、备品备件、专用工具、包装、运输、装卸、设备保管、货到就位以及安装调试及保修、验收和管理费、</w:t>
      </w:r>
      <w:r>
        <w:rPr>
          <w:rFonts w:hint="eastAsia" w:ascii="宋体" w:hAnsi="宋体" w:eastAsia="宋体" w:cs="Times New Roman"/>
          <w:color w:val="auto"/>
          <w:szCs w:val="21"/>
          <w:highlight w:val="none"/>
          <w:lang w:val="en-US" w:eastAsia="zh-CN"/>
        </w:rPr>
        <w:t>培训、</w:t>
      </w:r>
      <w:r>
        <w:rPr>
          <w:rFonts w:hint="eastAsia" w:ascii="宋体" w:hAnsi="宋体" w:eastAsia="宋体" w:cs="Times New Roman"/>
          <w:color w:val="auto"/>
          <w:szCs w:val="21"/>
          <w:highlight w:val="none"/>
        </w:rPr>
        <w:t>保险、税金、政策性风险等完成本项目的一切含税费用（包含一切不可预见费，直至正常使用为止）。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本项目采用固定单价合同，按实结算。根据实际项目实施中数量的增加或减少，结算时单价不作调整，按实际数量调整总价。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因现场实际测量尺寸与设备技术参数及性能表中提供尺寸引起的偏差，结算时价格不作调整。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Times New Roman"/>
          <w:b/>
          <w:bCs/>
          <w:color w:val="auto"/>
          <w:szCs w:val="21"/>
          <w:highlight w:val="none"/>
        </w:rPr>
      </w:pPr>
      <w:r>
        <w:rPr>
          <w:rFonts w:hint="eastAsia" w:ascii="宋体" w:hAnsi="宋体" w:cs="Times New Roman"/>
          <w:b/>
          <w:bCs/>
          <w:color w:val="auto"/>
          <w:szCs w:val="21"/>
          <w:highlight w:val="none"/>
        </w:rPr>
        <w:t>（四）投标文件的有效期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1.自投标截止日起90天投标文件应保持有效。有效期不足的投标文件将被拒绝。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2.在特殊情况下，招标人可与投标人协商延长投标书的有效期，这种要求和答复均以书面形式进行。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bookmarkStart w:id="90" w:name="_Toc406402948"/>
      <w:bookmarkStart w:id="91" w:name="_Toc402963086"/>
      <w:bookmarkStart w:id="92" w:name="_Toc406402992"/>
      <w:bookmarkStart w:id="93" w:name="_Toc385854102"/>
      <w:bookmarkStart w:id="94" w:name="_Toc402963119"/>
      <w:bookmarkStart w:id="95" w:name="_Toc385854148"/>
      <w:r>
        <w:rPr>
          <w:rFonts w:hint="eastAsia" w:ascii="宋体" w:hAnsi="宋体" w:cs="Times New Roman"/>
          <w:color w:val="auto"/>
          <w:szCs w:val="21"/>
          <w:highlight w:val="none"/>
        </w:rPr>
        <w:t>3.投标人可拒绝接受延期要求而不会导致投标保证金被没收。同意延长有效期的投标人需要相应延长投标保证金的有效期，但不能修改投标文件。</w:t>
      </w:r>
      <w:bookmarkEnd w:id="90"/>
      <w:bookmarkEnd w:id="91"/>
      <w:bookmarkEnd w:id="92"/>
      <w:bookmarkEnd w:id="93"/>
      <w:bookmarkEnd w:id="94"/>
      <w:bookmarkEnd w:id="95"/>
      <w:r>
        <w:rPr>
          <w:rFonts w:hint="eastAsia" w:ascii="宋体" w:hAnsi="宋体" w:cs="Times New Roman"/>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bookmarkStart w:id="96" w:name="_Toc406402993"/>
      <w:bookmarkStart w:id="97" w:name="_Toc406402949"/>
      <w:bookmarkStart w:id="98" w:name="_Toc402963120"/>
      <w:bookmarkStart w:id="99" w:name="_Toc385854149"/>
      <w:bookmarkStart w:id="100" w:name="_Toc385854103"/>
      <w:bookmarkStart w:id="101" w:name="_Toc402963087"/>
      <w:r>
        <w:rPr>
          <w:rFonts w:hint="eastAsia" w:ascii="宋体" w:hAnsi="宋体" w:cs="Times New Roman"/>
          <w:color w:val="auto"/>
          <w:szCs w:val="21"/>
          <w:highlight w:val="none"/>
        </w:rPr>
        <w:t>4.中标人的投标文件自开标之日起至合同履行完毕止均应保持有效。</w:t>
      </w:r>
      <w:bookmarkEnd w:id="96"/>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Times New Roman"/>
          <w:color w:val="auto"/>
          <w:szCs w:val="21"/>
          <w:highlight w:val="none"/>
        </w:rPr>
      </w:pPr>
      <w:bookmarkStart w:id="102" w:name="_Toc385854105"/>
      <w:bookmarkStart w:id="103" w:name="_Toc402963089"/>
      <w:bookmarkStart w:id="104" w:name="_Toc385854151"/>
      <w:bookmarkStart w:id="105" w:name="_Toc406402995"/>
      <w:bookmarkStart w:id="106" w:name="_Toc406402951"/>
      <w:bookmarkStart w:id="107" w:name="_Toc402963122"/>
      <w:r>
        <w:rPr>
          <w:rFonts w:hint="eastAsia" w:ascii="宋体" w:hAnsi="宋体" w:cs="Times New Roman"/>
          <w:b/>
          <w:bCs/>
          <w:color w:val="auto"/>
          <w:szCs w:val="21"/>
          <w:highlight w:val="none"/>
        </w:rPr>
        <w:t>（五）</w:t>
      </w:r>
      <w:bookmarkEnd w:id="102"/>
      <w:bookmarkEnd w:id="103"/>
      <w:bookmarkEnd w:id="104"/>
      <w:bookmarkEnd w:id="105"/>
      <w:bookmarkEnd w:id="106"/>
      <w:bookmarkEnd w:id="107"/>
      <w:r>
        <w:rPr>
          <w:rFonts w:hint="eastAsia" w:ascii="宋体" w:hAnsi="宋体" w:cs="Times New Roman"/>
          <w:b/>
          <w:bCs/>
          <w:color w:val="auto"/>
          <w:szCs w:val="21"/>
          <w:highlight w:val="none"/>
        </w:rPr>
        <w:t>投标文件的编制和要求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投标人应在认真阅读招标文件所有内容的基础上，按照招标文件的要求编制完整的投标文件，投标文件应按照招标文件中规定的统一格式编制，包含电子投标文件、电子备份投标文件。具体要求如下：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电子投标文件：按本招标文件要求制作、加密，电子投标文件中所须加盖公章部分均采用CA签章。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放弃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2.电子备份投标文件：</w:t>
      </w:r>
      <w:r>
        <w:rPr>
          <w:rFonts w:hint="eastAsia" w:ascii="宋体" w:hAnsi="宋体" w:cs="Times New Roman"/>
          <w:color w:val="auto"/>
          <w:szCs w:val="21"/>
          <w:highlight w:val="none"/>
          <w:lang w:val="en-US" w:eastAsia="zh-CN"/>
        </w:rPr>
        <w:t>乐</w:t>
      </w:r>
      <w:r>
        <w:rPr>
          <w:rFonts w:hint="eastAsia" w:ascii="宋体" w:hAnsi="宋体" w:cs="Times New Roman"/>
          <w:color w:val="auto"/>
          <w:szCs w:val="21"/>
          <w:highlight w:val="none"/>
        </w:rPr>
        <w:t>采云平台生成的电子投标文件1份。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3.如投标人未在投标截止时间前完成电子投标文件的传输递交，其电子备份投标文件也将予以拒收。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Times New Roman"/>
          <w:b/>
          <w:bCs/>
          <w:color w:val="auto"/>
          <w:szCs w:val="21"/>
          <w:highlight w:val="none"/>
        </w:rPr>
      </w:pPr>
      <w:r>
        <w:rPr>
          <w:rFonts w:hint="eastAsia" w:ascii="宋体" w:hAnsi="宋体" w:cs="Times New Roman"/>
          <w:b/>
          <w:bCs/>
          <w:color w:val="auto"/>
          <w:szCs w:val="21"/>
          <w:highlight w:val="none"/>
        </w:rPr>
        <w:t>（六）采购过程中的异常情况及处理措施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采购过程中出现以下情形，导致电子交易平台无法正常运行，或者无法保证电子交易的公平、公正和安全时，采购代理机构可中止电子交易活动：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1.电子交易平台发生故障而无法登录访问的；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4.电子交易平台因病毒发作导致不能进行正常操作的；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5.其他无法保证电子交易的公平、公正和安全的情况。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Times New Roman"/>
          <w:color w:val="auto"/>
          <w:szCs w:val="21"/>
          <w:highlight w:val="none"/>
        </w:rPr>
      </w:pPr>
      <w:r>
        <w:rPr>
          <w:rFonts w:hint="eastAsia" w:ascii="宋体" w:hAnsi="宋体" w:cs="Times New Roman"/>
          <w:b/>
          <w:bCs/>
          <w:color w:val="auto"/>
          <w:szCs w:val="21"/>
          <w:highlight w:val="none"/>
        </w:rPr>
        <w:t>（七）投标无效的情形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有下列情形之一的，视为投标人串通投标：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（5）不同投标人的投标文件相互混装；</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Times New Roman"/>
          <w:b/>
          <w:bCs/>
          <w:color w:val="auto"/>
          <w:szCs w:val="21"/>
          <w:highlight w:val="none"/>
        </w:rPr>
      </w:pPr>
      <w:r>
        <w:rPr>
          <w:rFonts w:hint="eastAsia" w:ascii="宋体" w:hAnsi="宋体" w:cs="Times New Roman"/>
          <w:b/>
          <w:bCs/>
          <w:color w:val="auto"/>
          <w:szCs w:val="21"/>
          <w:highlight w:val="none"/>
        </w:rPr>
        <w:t>1.采购人或采购代理机构按照投标人提供的资格文件按以下原则对投标人的资格符合性进行审查，如发现下列情形之一的，投标文件将被视为无效：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1.1资格文件缺少规定份数或缺少招标文件中资格文件第1.2条至第1.8条所列内容之一的；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1.2投标人提供的有关资料被确认是不真实的；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1.3投标人的资格文件有串通投标情形之一的；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1.4资格文件未按招标文件规定要求进行装订、签字或盖章的；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1.5投标人有违法、违规行为影响本次采购公平、公正的；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1.6按照“信用中国”网站（</w:t>
      </w:r>
      <w:r>
        <w:rPr>
          <w:rFonts w:hint="eastAsia" w:ascii="宋体" w:hAnsi="宋体" w:cs="Times New Roman"/>
          <w:color w:val="auto"/>
          <w:szCs w:val="21"/>
          <w:highlight w:val="none"/>
        </w:rPr>
        <w:fldChar w:fldCharType="begin"/>
      </w:r>
      <w:r>
        <w:rPr>
          <w:rFonts w:hint="eastAsia" w:ascii="宋体" w:hAnsi="宋体" w:cs="Times New Roman"/>
          <w:color w:val="auto"/>
          <w:szCs w:val="21"/>
          <w:highlight w:val="none"/>
        </w:rPr>
        <w:instrText xml:space="preserve"> HYPERLINK "http://www.creditchina.gov.cn/" </w:instrText>
      </w:r>
      <w:r>
        <w:rPr>
          <w:rFonts w:hint="eastAsia" w:ascii="宋体" w:hAnsi="宋体" w:cs="Times New Roman"/>
          <w:color w:val="auto"/>
          <w:szCs w:val="21"/>
          <w:highlight w:val="none"/>
        </w:rPr>
        <w:fldChar w:fldCharType="separate"/>
      </w:r>
      <w:r>
        <w:rPr>
          <w:rFonts w:hint="eastAsia" w:ascii="宋体" w:hAnsi="宋体" w:cs="Times New Roman"/>
          <w:color w:val="auto"/>
          <w:szCs w:val="21"/>
          <w:highlight w:val="none"/>
        </w:rPr>
        <w:t>www.creditchina.gov.cn</w:t>
      </w:r>
      <w:r>
        <w:rPr>
          <w:rFonts w:hint="eastAsia" w:ascii="宋体" w:hAnsi="宋体" w:cs="Times New Roman"/>
          <w:color w:val="auto"/>
          <w:szCs w:val="21"/>
          <w:highlight w:val="none"/>
        </w:rPr>
        <w:fldChar w:fldCharType="end"/>
      </w:r>
      <w:r>
        <w:rPr>
          <w:rFonts w:hint="eastAsia" w:ascii="宋体" w:hAnsi="宋体" w:cs="Times New Roman"/>
          <w:color w:val="auto"/>
          <w:szCs w:val="21"/>
          <w:highlight w:val="none"/>
        </w:rPr>
        <w:t>）、中国政府采购网（</w:t>
      </w:r>
      <w:r>
        <w:rPr>
          <w:rFonts w:hint="eastAsia" w:ascii="宋体" w:hAnsi="宋体" w:cs="Times New Roman"/>
          <w:color w:val="auto"/>
          <w:szCs w:val="21"/>
          <w:highlight w:val="none"/>
        </w:rPr>
        <w:fldChar w:fldCharType="begin"/>
      </w:r>
      <w:r>
        <w:rPr>
          <w:rFonts w:hint="eastAsia" w:ascii="宋体" w:hAnsi="宋体" w:cs="Times New Roman"/>
          <w:color w:val="auto"/>
          <w:szCs w:val="21"/>
          <w:highlight w:val="none"/>
        </w:rPr>
        <w:instrText xml:space="preserve"> HYPERLINK "http://www.ccgp.gov.cn/" </w:instrText>
      </w:r>
      <w:r>
        <w:rPr>
          <w:rFonts w:hint="eastAsia" w:ascii="宋体" w:hAnsi="宋体" w:cs="Times New Roman"/>
          <w:color w:val="auto"/>
          <w:szCs w:val="21"/>
          <w:highlight w:val="none"/>
        </w:rPr>
        <w:fldChar w:fldCharType="separate"/>
      </w:r>
      <w:r>
        <w:rPr>
          <w:rFonts w:hint="eastAsia" w:ascii="宋体" w:hAnsi="宋体" w:cs="Times New Roman"/>
          <w:color w:val="auto"/>
          <w:szCs w:val="21"/>
          <w:highlight w:val="none"/>
        </w:rPr>
        <w:t>www.ccgp.gov.cn</w:t>
      </w:r>
      <w:r>
        <w:rPr>
          <w:rFonts w:hint="eastAsia" w:ascii="宋体" w:hAnsi="宋体" w:cs="Times New Roman"/>
          <w:color w:val="auto"/>
          <w:szCs w:val="21"/>
          <w:highlight w:val="none"/>
        </w:rPr>
        <w:fldChar w:fldCharType="end"/>
      </w:r>
      <w:r>
        <w:rPr>
          <w:rFonts w:hint="eastAsia" w:ascii="宋体" w:hAnsi="宋体" w:cs="Times New Roman"/>
          <w:color w:val="auto"/>
          <w:szCs w:val="21"/>
          <w:highlight w:val="none"/>
        </w:rPr>
        <w:t>）两个网站信用信息记录查询，投标人有列入失信被执行人、重大税收违法案件当事人名单、政府采购严重违法失信行为记录名单情况的；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1.7投标人资质条件不符合招标文件要求的；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1.8存在其他不符合资格符合性审查要求的。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Times New Roman"/>
          <w:b/>
          <w:bCs/>
          <w:color w:val="auto"/>
          <w:szCs w:val="21"/>
          <w:highlight w:val="none"/>
        </w:rPr>
      </w:pPr>
      <w:r>
        <w:rPr>
          <w:rFonts w:hint="eastAsia" w:ascii="宋体" w:hAnsi="宋体" w:cs="Times New Roman"/>
          <w:b/>
          <w:bCs/>
          <w:color w:val="auto"/>
          <w:szCs w:val="21"/>
          <w:highlight w:val="none"/>
        </w:rPr>
        <w:t>2.在符合性审查和商务技术评审时，如发现下列情形之一的，投标文件（或相关标项）将被视为无效：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2.1在技术商务文件中出现报价的；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2.2投标人未对标项内的所有内容进行投标的；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2.3技术商务文件缺少规定份数的；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2.4技术商务文件缺少《投标人基本情况表》的；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2.5投标人提供的有关资料被确认是不真实的；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2.6投标人的技术商务文件有串通投标情形之一的；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2.7技术商务文件未按招标文件规定要求进行装订、签字或盖章的；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2.8投标人未按招标文件更正公告编制投标文件的；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rPr>
        <w:t>2.9经评标委员会审核，投标人所投内容不符合实质性采购要求的</w:t>
      </w:r>
      <w:r>
        <w:rPr>
          <w:rFonts w:hint="eastAsia" w:ascii="宋体" w:hAnsi="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2.10未提供或未如实提供投标内容的技术参数，或者投标文件标明的响应或偏离与事实不符或虚假投标的；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2.11投标技术方案不明确，存在一个或一个以上备选（替代）投标方案的；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2.12存在其他不符合采购文件要求的。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Times New Roman"/>
          <w:b/>
          <w:bCs/>
          <w:color w:val="auto"/>
          <w:szCs w:val="21"/>
          <w:highlight w:val="none"/>
        </w:rPr>
      </w:pPr>
      <w:r>
        <w:rPr>
          <w:rFonts w:hint="eastAsia" w:ascii="宋体" w:hAnsi="宋体" w:cs="Times New Roman"/>
          <w:b/>
          <w:bCs/>
          <w:color w:val="auto"/>
          <w:szCs w:val="21"/>
          <w:highlight w:val="none"/>
        </w:rPr>
        <w:t>3.在报价评审时，如发现下列情形之一的，投标文件（或相关标项）将被视为无效：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3.1未采用人民币报价或者未按照招标文件标明的币种报价的；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3.2报价文件缺少规定份数的；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3.3投标人的报价文件有串通投标情形之一的；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3.4报价文件缺少《报价一览表》、《报价明细表》的；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3.5《报价一览表》、《报价明细表》填写不完整或字迹不能辨认的；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3.6报价文件未按招标文件规定要求进行签字或盖章的；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3.7经评标委员会审核，投标人的报价明显低于其他通过符合性审查投标人的报价，且不能提供证明材料说明原因的；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3.8投标人报价超过预算金额或最高限价（包括各单价最高限价）的；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3.9投标人拒绝按招标文件错误修正原则对投标文件进行修改的；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3.10经评标委员会审核，投标人所投内容不符合实质性采购要求的；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3.11存在其他不符合采购文件相关要求的。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Times New Roman"/>
          <w:b/>
          <w:bCs/>
          <w:color w:val="auto"/>
          <w:szCs w:val="21"/>
          <w:highlight w:val="none"/>
        </w:rPr>
      </w:pPr>
      <w:r>
        <w:rPr>
          <w:rFonts w:hint="eastAsia" w:ascii="宋体" w:hAnsi="宋体" w:cs="Times New Roman"/>
          <w:b/>
          <w:bCs/>
          <w:color w:val="auto"/>
          <w:szCs w:val="21"/>
          <w:highlight w:val="none"/>
        </w:rPr>
        <w:t>4.被拒绝的投标文件为无效。</w:t>
      </w:r>
    </w:p>
    <w:p>
      <w:pPr>
        <w:pStyle w:val="20"/>
        <w:snapToGrid w:val="0"/>
        <w:spacing w:line="380" w:lineRule="exact"/>
        <w:jc w:val="both"/>
        <w:outlineLvl w:val="1"/>
        <w:rPr>
          <w:rFonts w:ascii="Times New Roman" w:hAnsi="Times New Roman"/>
          <w:b/>
          <w:color w:val="auto"/>
          <w:sz w:val="28"/>
          <w:szCs w:val="28"/>
          <w:highlight w:val="none"/>
        </w:rPr>
      </w:pPr>
      <w:bookmarkStart w:id="108" w:name="_Toc24108"/>
      <w:bookmarkStart w:id="109" w:name="_Toc16428"/>
      <w:bookmarkStart w:id="110" w:name="_Toc1222"/>
      <w:bookmarkStart w:id="111" w:name="_Toc29774"/>
      <w:bookmarkStart w:id="112" w:name="_Toc11145"/>
    </w:p>
    <w:p>
      <w:pPr>
        <w:pStyle w:val="20"/>
        <w:snapToGrid w:val="0"/>
        <w:spacing w:line="380" w:lineRule="exact"/>
        <w:ind w:firstLine="562" w:firstLineChars="200"/>
        <w:jc w:val="center"/>
        <w:outlineLvl w:val="1"/>
        <w:rPr>
          <w:rFonts w:ascii="Times New Roman" w:hAnsi="Times New Roman"/>
          <w:b/>
          <w:color w:val="auto"/>
          <w:sz w:val="28"/>
          <w:szCs w:val="28"/>
          <w:highlight w:val="none"/>
        </w:rPr>
      </w:pPr>
      <w:r>
        <w:rPr>
          <w:rFonts w:ascii="Times New Roman" w:hAnsi="Times New Roman"/>
          <w:b/>
          <w:color w:val="auto"/>
          <w:sz w:val="28"/>
          <w:szCs w:val="28"/>
          <w:highlight w:val="none"/>
        </w:rPr>
        <w:t>四、开标</w:t>
      </w:r>
      <w:bookmarkEnd w:id="108"/>
      <w:bookmarkEnd w:id="109"/>
      <w:bookmarkEnd w:id="110"/>
      <w:bookmarkEnd w:id="111"/>
      <w:bookmarkEnd w:id="112"/>
    </w:p>
    <w:p>
      <w:pPr>
        <w:spacing w:line="380" w:lineRule="exact"/>
        <w:ind w:firstLine="422" w:firstLineChars="200"/>
        <w:outlineLvl w:val="2"/>
        <w:rPr>
          <w:b/>
          <w:color w:val="auto"/>
          <w:szCs w:val="21"/>
          <w:highlight w:val="none"/>
        </w:rPr>
      </w:pPr>
      <w:r>
        <w:rPr>
          <w:b/>
          <w:color w:val="auto"/>
          <w:szCs w:val="21"/>
          <w:highlight w:val="none"/>
        </w:rPr>
        <w:t>（一）开标准备</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采购代理机构将在规定的时间和地点进行开标，同时所有供应商均应当按排技术人员准时在线参加，投标人的法定代表人或其授权代表须准备好可上网的电脑及CA（无须到现场）。</w:t>
      </w:r>
    </w:p>
    <w:p>
      <w:pPr>
        <w:spacing w:line="380" w:lineRule="exact"/>
        <w:ind w:firstLine="422" w:firstLineChars="200"/>
        <w:outlineLvl w:val="2"/>
        <w:rPr>
          <w:b/>
          <w:color w:val="auto"/>
          <w:szCs w:val="21"/>
          <w:highlight w:val="none"/>
        </w:rPr>
      </w:pPr>
      <w:r>
        <w:rPr>
          <w:b/>
          <w:color w:val="auto"/>
          <w:szCs w:val="21"/>
          <w:highlight w:val="none"/>
        </w:rPr>
        <w:t>（</w:t>
      </w:r>
      <w:r>
        <w:rPr>
          <w:rFonts w:hint="eastAsia"/>
          <w:b/>
          <w:color w:val="auto"/>
          <w:szCs w:val="21"/>
          <w:highlight w:val="none"/>
          <w:lang w:val="en-US" w:eastAsia="zh-CN"/>
        </w:rPr>
        <w:t>二</w:t>
      </w:r>
      <w:r>
        <w:rPr>
          <w:b/>
          <w:color w:val="auto"/>
          <w:szCs w:val="21"/>
          <w:highlight w:val="none"/>
        </w:rPr>
        <w:t>）招标人职责</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招标人负责组织评标工作，并履行下列职责：</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1.核对评审专家身份和采购人代表授权函，对评审专家在采购活动中的职责履行情况予以记录，并及时将有关违法违规行为向有关部门报告；</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2.宣布评标纪律；</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3.公布投标人名单，告知评审专家应当回避的情形；</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4.组织评标委员会推选评标组长，采购人代表不得担任组长；</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5.在评标期间采取必要的通讯管理措施，保证评标活动不受外界干扰；</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6.根据评标委员会的要求介绍此次采购相关政策法规、招标文件；</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7.维护评标秩序，监督评标委员会依照招标文件规定的评标程序、方法和标准进行独立评审，及时制止和纠正采购人代表、评审专家的倾向性言论或者违法违规行为；</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8.核对评标结果，有《政府采购货物和服务招标投标管理办法》第六十四条规定情形的，要求评标委员会复核或者书面说明理由，评标委员会拒绝的，应予记录并向有关部门报告；</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9.评审工作完成后，按照规定向评审专家支付劳务报酬和异地评审差旅费，不得向评审专家以外的其他人员支付评审劳务报酬；</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10.处理与评标有关的其他事项。</w:t>
      </w:r>
    </w:p>
    <w:p>
      <w:pPr>
        <w:spacing w:line="380" w:lineRule="exact"/>
        <w:ind w:firstLine="422" w:firstLineChars="200"/>
        <w:outlineLvl w:val="2"/>
        <w:rPr>
          <w:b/>
          <w:color w:val="auto"/>
          <w:szCs w:val="21"/>
          <w:highlight w:val="none"/>
        </w:rPr>
      </w:pPr>
      <w:r>
        <w:rPr>
          <w:b/>
          <w:color w:val="auto"/>
          <w:szCs w:val="21"/>
          <w:highlight w:val="none"/>
        </w:rPr>
        <w:t>（三）开标程序</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1.本项目实行电子开评标，投标人无需到开标现场，但须准时在线参加，直至评审结束。</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2.电子开评标及评审程序</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2.1投标截止时间后，投标人登录政采云平台，用“项目采购-开标评标”功能对电子投标文件进行在线解密。在线解密电子投标文件时间为开标时间起30分钟内。</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2.2采购人对资格文件进行评审；</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2.3评标委员会对技术商务文件进行评审；</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2.4在系统上统一开启报价信息；</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2.5评标委员会对报价文件进行评审；</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2.6评标委员会按评标原则推荐中标候选人同时起草评审报告。</w:t>
      </w:r>
    </w:p>
    <w:p>
      <w:pPr>
        <w:spacing w:line="380" w:lineRule="exact"/>
        <w:ind w:firstLine="420" w:firstLineChars="200"/>
        <w:rPr>
          <w:rFonts w:hint="eastAsia" w:ascii="宋体" w:hAnsi="宋体" w:cs="Times New Roman"/>
          <w:color w:val="auto"/>
          <w:szCs w:val="21"/>
          <w:highlight w:val="none"/>
        </w:rPr>
      </w:pPr>
    </w:p>
    <w:p>
      <w:pPr>
        <w:pStyle w:val="20"/>
        <w:snapToGrid w:val="0"/>
        <w:spacing w:line="380" w:lineRule="exact"/>
        <w:ind w:firstLine="562" w:firstLineChars="200"/>
        <w:jc w:val="center"/>
        <w:rPr>
          <w:rFonts w:ascii="Times New Roman" w:hAnsi="Times New Roman"/>
          <w:b/>
          <w:color w:val="auto"/>
          <w:sz w:val="28"/>
          <w:szCs w:val="28"/>
          <w:highlight w:val="none"/>
        </w:rPr>
      </w:pPr>
      <w:bookmarkStart w:id="113" w:name="_Toc3114"/>
      <w:bookmarkStart w:id="114" w:name="_Toc31793"/>
    </w:p>
    <w:p>
      <w:pPr>
        <w:pStyle w:val="20"/>
        <w:snapToGrid w:val="0"/>
        <w:spacing w:line="380" w:lineRule="exact"/>
        <w:ind w:firstLine="562" w:firstLineChars="200"/>
        <w:jc w:val="center"/>
        <w:outlineLvl w:val="1"/>
        <w:rPr>
          <w:rFonts w:ascii="Times New Roman" w:hAnsi="Times New Roman"/>
          <w:b/>
          <w:color w:val="auto"/>
          <w:sz w:val="28"/>
          <w:szCs w:val="28"/>
          <w:highlight w:val="none"/>
        </w:rPr>
      </w:pPr>
      <w:bookmarkStart w:id="115" w:name="_Toc15709"/>
      <w:bookmarkStart w:id="116" w:name="_Toc9192"/>
      <w:bookmarkStart w:id="117" w:name="_Toc16071"/>
      <w:r>
        <w:rPr>
          <w:rFonts w:ascii="Times New Roman" w:hAnsi="Times New Roman"/>
          <w:b/>
          <w:color w:val="auto"/>
          <w:sz w:val="28"/>
          <w:szCs w:val="28"/>
          <w:highlight w:val="none"/>
        </w:rPr>
        <w:t>五、评标</w:t>
      </w:r>
      <w:bookmarkEnd w:id="113"/>
      <w:bookmarkEnd w:id="114"/>
      <w:bookmarkEnd w:id="115"/>
      <w:bookmarkEnd w:id="116"/>
      <w:bookmarkEnd w:id="117"/>
    </w:p>
    <w:p>
      <w:pPr>
        <w:spacing w:line="380" w:lineRule="exact"/>
        <w:ind w:firstLine="422" w:firstLineChars="200"/>
        <w:outlineLvl w:val="2"/>
        <w:rPr>
          <w:b/>
          <w:color w:val="auto"/>
          <w:szCs w:val="21"/>
          <w:highlight w:val="none"/>
        </w:rPr>
      </w:pPr>
      <w:r>
        <w:rPr>
          <w:b/>
          <w:color w:val="auto"/>
          <w:szCs w:val="21"/>
          <w:highlight w:val="none"/>
        </w:rPr>
        <w:t>（一）组建评标委员会</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评标委员会由五人及以上单数的采购人代表和评审专家组成。</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评标委员会负责具体评标事务，并独立履行下列职责：</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1．审查、评价投标文件是否符合招标文件的技术、商务等实质性要求；</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2．要求投标人对投标文件有关事项作出澄清或者说明；</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3．对投标文件进行比较和评价；</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4．确定中标候选人名单；</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5．向采购人、招标人或者有关部门报告评标中发现的违法行为。</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除采购人代表、评标现场组织人员外，采购人的其他工作人员以及与评标工作无关的人员不得进入评标现场。</w:t>
      </w:r>
    </w:p>
    <w:p>
      <w:pPr>
        <w:spacing w:line="380" w:lineRule="exact"/>
        <w:ind w:firstLine="422" w:firstLineChars="200"/>
        <w:outlineLvl w:val="2"/>
        <w:rPr>
          <w:b/>
          <w:color w:val="auto"/>
          <w:szCs w:val="21"/>
          <w:highlight w:val="none"/>
        </w:rPr>
      </w:pPr>
      <w:r>
        <w:rPr>
          <w:b/>
          <w:color w:val="auto"/>
          <w:szCs w:val="21"/>
          <w:highlight w:val="none"/>
        </w:rPr>
        <w:t>（二）评标的方式</w:t>
      </w:r>
    </w:p>
    <w:p>
      <w:pPr>
        <w:spacing w:line="380" w:lineRule="exact"/>
        <w:ind w:firstLine="420" w:firstLineChars="200"/>
        <w:rPr>
          <w:color w:val="auto"/>
          <w:szCs w:val="21"/>
          <w:highlight w:val="none"/>
        </w:rPr>
      </w:pPr>
      <w:r>
        <w:rPr>
          <w:color w:val="auto"/>
          <w:szCs w:val="21"/>
          <w:highlight w:val="none"/>
        </w:rPr>
        <w:t>本项目采用不公开方式评标，评标的依据为招标文件和投标文件。</w:t>
      </w:r>
    </w:p>
    <w:p>
      <w:pPr>
        <w:spacing w:line="380" w:lineRule="exact"/>
        <w:ind w:firstLine="422" w:firstLineChars="200"/>
        <w:outlineLvl w:val="2"/>
        <w:rPr>
          <w:b/>
          <w:color w:val="auto"/>
          <w:szCs w:val="21"/>
          <w:highlight w:val="none"/>
        </w:rPr>
      </w:pPr>
      <w:r>
        <w:rPr>
          <w:b/>
          <w:color w:val="auto"/>
          <w:szCs w:val="21"/>
          <w:highlight w:val="none"/>
        </w:rPr>
        <w:t>（三）评标程序</w:t>
      </w:r>
    </w:p>
    <w:p>
      <w:pPr>
        <w:spacing w:line="380" w:lineRule="exact"/>
        <w:ind w:firstLine="420" w:firstLineChars="200"/>
        <w:rPr>
          <w:bCs/>
          <w:color w:val="auto"/>
          <w:szCs w:val="21"/>
          <w:highlight w:val="none"/>
        </w:rPr>
      </w:pPr>
      <w:r>
        <w:rPr>
          <w:bCs/>
          <w:color w:val="auto"/>
          <w:szCs w:val="21"/>
          <w:highlight w:val="none"/>
        </w:rPr>
        <w:t>采购人可以在评标前说明项目背景和采购需求，说明内容不得含有歧视性、倾向性意见，不得超出招标文件所述范围。说明应当提交书面材料，并随采购文件一并存档。</w:t>
      </w:r>
    </w:p>
    <w:p>
      <w:pPr>
        <w:spacing w:line="380" w:lineRule="exact"/>
        <w:ind w:firstLine="422" w:firstLineChars="200"/>
        <w:rPr>
          <w:b/>
          <w:bCs/>
          <w:color w:val="auto"/>
          <w:szCs w:val="21"/>
          <w:highlight w:val="none"/>
        </w:rPr>
      </w:pPr>
      <w:r>
        <w:rPr>
          <w:b/>
          <w:bCs/>
          <w:color w:val="auto"/>
          <w:szCs w:val="21"/>
          <w:highlight w:val="none"/>
        </w:rPr>
        <w:t>1.符合性审查</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1.1形式审查</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形式审查指对投标人的投标文件的完整性、合法性等进行审查。投标文件形式审查未通过的投标人，其投标文件将不再评审。</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1.2实质性审查</w:t>
      </w:r>
    </w:p>
    <w:p>
      <w:pPr>
        <w:spacing w:line="380" w:lineRule="exact"/>
        <w:ind w:firstLine="420" w:firstLineChars="200"/>
        <w:rPr>
          <w:color w:val="auto"/>
          <w:szCs w:val="21"/>
          <w:highlight w:val="none"/>
        </w:rPr>
      </w:pPr>
      <w:r>
        <w:rPr>
          <w:rFonts w:hint="eastAsia" w:ascii="宋体" w:hAnsi="宋体"/>
          <w:color w:val="auto"/>
          <w:szCs w:val="21"/>
          <w:highlight w:val="none"/>
        </w:rPr>
        <w:t>1.2.1评标委员会审查投标文件的实质性内容是否符合招标文件的实质性要求。</w:t>
      </w:r>
    </w:p>
    <w:p>
      <w:pPr>
        <w:spacing w:line="380" w:lineRule="exact"/>
        <w:ind w:firstLine="422" w:firstLineChars="200"/>
        <w:rPr>
          <w:b/>
          <w:color w:val="auto"/>
          <w:szCs w:val="21"/>
          <w:highlight w:val="none"/>
        </w:rPr>
      </w:pPr>
      <w:r>
        <w:rPr>
          <w:b/>
          <w:color w:val="auto"/>
          <w:szCs w:val="21"/>
          <w:highlight w:val="none"/>
        </w:rPr>
        <w:t>2.比较与评价</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2.1评标委员会按评标办法和评分标准，对有效投标文件进行技术商务和报价综合比较与评价。</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2.2各投标人的技术商务分按照评标委员会成员的独立评分结果汇总后的算术平均分计算。</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2.3评标委员会完成评标后,对各部分得分汇总,计算出本项目综合得分。评标委员会按评标原则推荐中标候选人同时起草评标报告。</w:t>
      </w:r>
    </w:p>
    <w:p>
      <w:pPr>
        <w:spacing w:line="380" w:lineRule="exact"/>
        <w:ind w:firstLine="422" w:firstLineChars="200"/>
        <w:outlineLvl w:val="2"/>
        <w:rPr>
          <w:b/>
          <w:color w:val="auto"/>
          <w:szCs w:val="21"/>
          <w:highlight w:val="none"/>
        </w:rPr>
      </w:pPr>
      <w:r>
        <w:rPr>
          <w:b/>
          <w:color w:val="auto"/>
          <w:szCs w:val="21"/>
          <w:highlight w:val="none"/>
        </w:rPr>
        <w:t>（四）澄清问题的形式</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对于投标文件中含义不明确、同类问题表述不一致或者有明显文字和计算错误的内容，评标委员会应当要求投标人作出必要的澄清、说明或者补正。</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评标委员会可以在“乐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但不得超出投标文件的范围或改变投标文件的实质性内容。</w:t>
      </w:r>
    </w:p>
    <w:p>
      <w:pPr>
        <w:spacing w:line="380" w:lineRule="exact"/>
        <w:ind w:firstLine="420" w:firstLineChars="200"/>
        <w:rPr>
          <w:color w:val="auto"/>
          <w:szCs w:val="21"/>
          <w:highlight w:val="none"/>
        </w:rPr>
      </w:pPr>
      <w:r>
        <w:rPr>
          <w:rFonts w:hint="eastAsia" w:ascii="宋体" w:hAnsi="宋体" w:cs="Times New Roman"/>
          <w:color w:val="auto"/>
          <w:szCs w:val="21"/>
          <w:highlight w:val="none"/>
        </w:rPr>
        <w:t>2、如果投标人代表拒绝或未按评标委员会要求在“乐采云”平台作出在线回复且无其他有效回复方式的，评标委员会有权作出不利于该投标人的评审意见。</w:t>
      </w:r>
    </w:p>
    <w:p>
      <w:pPr>
        <w:spacing w:line="380" w:lineRule="exact"/>
        <w:ind w:firstLine="422" w:firstLineChars="200"/>
        <w:outlineLvl w:val="2"/>
        <w:rPr>
          <w:b/>
          <w:color w:val="auto"/>
          <w:szCs w:val="21"/>
          <w:highlight w:val="none"/>
        </w:rPr>
      </w:pPr>
      <w:r>
        <w:rPr>
          <w:b/>
          <w:color w:val="auto"/>
          <w:szCs w:val="21"/>
          <w:highlight w:val="none"/>
        </w:rPr>
        <w:t>（五）错误修正</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1.投标文件报价出现前后不一致的，按照下列规定修正：</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1.1投标文件中开标一览表（报价表）内容与投标文件中相应内容不一致的，以开标一览表（报价表）为准；</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1.2.大写金额和小写金额不一致的，以大写金额为准；</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1.3.单价金额小数点或者百分比有明显错位的，以开标一览表的总价为准，并修改单价；</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1.4.总价金额与按单价汇总金额不一致的，以单价金额计算结果为准。</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同时出现两种以上不一致的，按照前款规定的顺序修正。修正后的报价按照本招标文件第三章第（四）条澄清问题的第二款规定经投标人确认后产生约束力，投标人不确认的，其投标无效。</w:t>
      </w:r>
    </w:p>
    <w:p>
      <w:pPr>
        <w:spacing w:line="380" w:lineRule="exact"/>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2.电子投标流程中，客户端填写的报价与PDF格式上传文件中的报价不一致的，应以PDF格式上传文件中的报价为准。</w:t>
      </w:r>
    </w:p>
    <w:p>
      <w:pPr>
        <w:spacing w:line="380" w:lineRule="exact"/>
        <w:ind w:firstLine="422" w:firstLineChars="200"/>
        <w:outlineLvl w:val="2"/>
        <w:rPr>
          <w:b/>
          <w:color w:val="auto"/>
          <w:szCs w:val="21"/>
          <w:highlight w:val="none"/>
        </w:rPr>
      </w:pPr>
      <w:r>
        <w:rPr>
          <w:b/>
          <w:color w:val="auto"/>
          <w:szCs w:val="21"/>
          <w:highlight w:val="none"/>
        </w:rPr>
        <w:t>（六）评标原则和评标办法</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2.评标办法。本项目评标办法是综合评分法 ，具体评标内容及评分标准等详见《第四章：评标办法及评分标准》。</w:t>
      </w:r>
    </w:p>
    <w:p>
      <w:pPr>
        <w:spacing w:line="380" w:lineRule="exact"/>
        <w:ind w:firstLine="422" w:firstLineChars="200"/>
        <w:outlineLvl w:val="2"/>
        <w:rPr>
          <w:b/>
          <w:color w:val="auto"/>
          <w:szCs w:val="21"/>
          <w:highlight w:val="none"/>
        </w:rPr>
      </w:pPr>
      <w:r>
        <w:rPr>
          <w:b/>
          <w:color w:val="auto"/>
          <w:szCs w:val="21"/>
          <w:highlight w:val="none"/>
        </w:rPr>
        <w:t>（七）评标过程的监控</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本项目评标过程实行全程录音、录像监控，招标人现场监督员进行现场监督。投标人在评标过程中所进行的试图影响评标结果的不公正活动，可能导致其投标被拒绝。</w:t>
      </w:r>
    </w:p>
    <w:p>
      <w:pPr>
        <w:pStyle w:val="20"/>
        <w:snapToGrid w:val="0"/>
        <w:spacing w:line="380" w:lineRule="exact"/>
        <w:ind w:firstLine="562" w:firstLineChars="200"/>
        <w:jc w:val="center"/>
        <w:rPr>
          <w:rFonts w:ascii="Times New Roman" w:hAnsi="Times New Roman"/>
          <w:b/>
          <w:color w:val="auto"/>
          <w:sz w:val="28"/>
          <w:szCs w:val="28"/>
          <w:highlight w:val="none"/>
        </w:rPr>
      </w:pPr>
      <w:bookmarkStart w:id="118" w:name="_Toc22469"/>
      <w:bookmarkStart w:id="119" w:name="_Toc25265"/>
    </w:p>
    <w:p>
      <w:pPr>
        <w:pStyle w:val="20"/>
        <w:snapToGrid w:val="0"/>
        <w:spacing w:line="380" w:lineRule="exact"/>
        <w:ind w:firstLine="562" w:firstLineChars="200"/>
        <w:jc w:val="center"/>
        <w:outlineLvl w:val="1"/>
        <w:rPr>
          <w:rFonts w:ascii="Times New Roman" w:hAnsi="Times New Roman"/>
          <w:b/>
          <w:color w:val="auto"/>
          <w:sz w:val="28"/>
          <w:szCs w:val="28"/>
          <w:highlight w:val="none"/>
        </w:rPr>
      </w:pPr>
      <w:bookmarkStart w:id="120" w:name="_Toc21741"/>
      <w:bookmarkStart w:id="121" w:name="_Toc9285"/>
      <w:bookmarkStart w:id="122" w:name="_Toc31130"/>
      <w:r>
        <w:rPr>
          <w:rFonts w:ascii="Times New Roman" w:hAnsi="Times New Roman"/>
          <w:b/>
          <w:color w:val="auto"/>
          <w:sz w:val="28"/>
          <w:szCs w:val="28"/>
          <w:highlight w:val="none"/>
        </w:rPr>
        <w:t>六、定标</w:t>
      </w:r>
      <w:bookmarkEnd w:id="118"/>
      <w:bookmarkEnd w:id="119"/>
      <w:bookmarkEnd w:id="120"/>
      <w:bookmarkEnd w:id="121"/>
      <w:bookmarkEnd w:id="122"/>
    </w:p>
    <w:p>
      <w:pPr>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（一）采购结果确认（确定中标供应商）</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本项目由采购人根据评标委员会提交的《评审报告》，通过“乐采云平台”依法确认采购结果、确定中标供应商。具体流程如下：</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1.本项目由评标委员会推荐中标候选人，采购代理机构在评标结束后2个工作日内将评审报告交采购人确认。</w:t>
      </w:r>
    </w:p>
    <w:p>
      <w:pPr>
        <w:spacing w:line="380" w:lineRule="exact"/>
        <w:ind w:firstLine="420" w:firstLineChars="200"/>
        <w:rPr>
          <w:rFonts w:hint="eastAsia" w:ascii="宋体" w:hAnsi="宋体" w:eastAsia="宋体" w:cs="Times New Roman"/>
          <w:color w:val="auto"/>
          <w:szCs w:val="21"/>
          <w:highlight w:val="none"/>
        </w:rPr>
      </w:pPr>
      <w:bookmarkStart w:id="123" w:name="_Toc534621007"/>
      <w:r>
        <w:rPr>
          <w:rFonts w:hint="eastAsia" w:ascii="宋体" w:hAnsi="宋体" w:eastAsia="宋体" w:cs="Times New Roman"/>
          <w:color w:val="auto"/>
          <w:szCs w:val="21"/>
          <w:highlight w:val="none"/>
        </w:rPr>
        <w:t>2.采购人应当自收到评审报告之日起5个工作日内，在评审报告确定的中标候选人名单中按顺序确定中标单位，或者采购人委托评标委员会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123"/>
    </w:p>
    <w:p>
      <w:pPr>
        <w:spacing w:line="380" w:lineRule="exact"/>
        <w:ind w:firstLine="420" w:firstLineChars="200"/>
        <w:rPr>
          <w:rFonts w:hint="eastAsia" w:ascii="宋体" w:hAnsi="宋体" w:eastAsia="宋体" w:cs="Times New Roman"/>
          <w:color w:val="auto"/>
          <w:szCs w:val="21"/>
          <w:highlight w:val="none"/>
        </w:rPr>
      </w:pPr>
      <w:bookmarkStart w:id="124" w:name="_Toc534621008"/>
      <w:r>
        <w:rPr>
          <w:rFonts w:hint="eastAsia" w:ascii="宋体" w:hAnsi="宋体" w:eastAsia="宋体" w:cs="Times New Roman"/>
          <w:color w:val="auto"/>
          <w:szCs w:val="21"/>
          <w:highlight w:val="none"/>
        </w:rPr>
        <w:t>3.采购人及采购组织机构不对评审结果做任何解释。</w:t>
      </w:r>
    </w:p>
    <w:p>
      <w:pPr>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（二）采购结果公告和中标通知书签发</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1.采购结果经采购人确认后，采购代理机构将于2个工作日内在浙江省政府采购网上发布中标公告，并向中标方签发书面《中标通知书》。</w:t>
      </w:r>
      <w:bookmarkEnd w:id="124"/>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2.中标公告期限为1个工作日；</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3.中标通知书发出后，中标单位无正当理由不得放弃中标。</w:t>
      </w:r>
    </w:p>
    <w:p>
      <w:pPr>
        <w:pStyle w:val="20"/>
        <w:snapToGrid w:val="0"/>
        <w:spacing w:line="380" w:lineRule="exact"/>
        <w:jc w:val="both"/>
        <w:rPr>
          <w:rFonts w:ascii="Times New Roman" w:hAnsi="Times New Roman"/>
          <w:b/>
          <w:color w:val="auto"/>
          <w:sz w:val="28"/>
          <w:szCs w:val="28"/>
          <w:highlight w:val="none"/>
        </w:rPr>
      </w:pPr>
      <w:bookmarkStart w:id="125" w:name="_Toc29439"/>
      <w:bookmarkStart w:id="126" w:name="_Toc30477"/>
    </w:p>
    <w:p>
      <w:pPr>
        <w:pStyle w:val="20"/>
        <w:snapToGrid w:val="0"/>
        <w:spacing w:line="380" w:lineRule="exact"/>
        <w:ind w:firstLine="562" w:firstLineChars="200"/>
        <w:jc w:val="center"/>
        <w:outlineLvl w:val="1"/>
        <w:rPr>
          <w:rFonts w:ascii="Times New Roman" w:hAnsi="Times New Roman"/>
          <w:b/>
          <w:color w:val="auto"/>
          <w:sz w:val="28"/>
          <w:szCs w:val="28"/>
          <w:highlight w:val="none"/>
        </w:rPr>
      </w:pPr>
      <w:bookmarkStart w:id="127" w:name="_Toc22981"/>
      <w:bookmarkStart w:id="128" w:name="_Toc20930"/>
      <w:bookmarkStart w:id="129" w:name="_Toc32757"/>
      <w:r>
        <w:rPr>
          <w:rFonts w:ascii="Times New Roman" w:hAnsi="Times New Roman"/>
          <w:b/>
          <w:color w:val="auto"/>
          <w:sz w:val="28"/>
          <w:szCs w:val="28"/>
          <w:highlight w:val="none"/>
        </w:rPr>
        <w:t>七、合同授予</w:t>
      </w:r>
      <w:bookmarkEnd w:id="125"/>
      <w:bookmarkEnd w:id="126"/>
      <w:bookmarkEnd w:id="127"/>
      <w:bookmarkEnd w:id="128"/>
      <w:bookmarkEnd w:id="129"/>
    </w:p>
    <w:p>
      <w:pPr>
        <w:spacing w:line="380" w:lineRule="exact"/>
        <w:ind w:firstLine="422" w:firstLineChars="200"/>
        <w:outlineLvl w:val="2"/>
        <w:rPr>
          <w:b/>
          <w:color w:val="auto"/>
          <w:szCs w:val="21"/>
          <w:highlight w:val="none"/>
        </w:rPr>
      </w:pPr>
      <w:r>
        <w:rPr>
          <w:b/>
          <w:color w:val="auto"/>
          <w:szCs w:val="21"/>
          <w:highlight w:val="none"/>
        </w:rPr>
        <w:t>（一）签订合同</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1.采购人与中标人应当在《</w:t>
      </w:r>
      <w:r>
        <w:rPr>
          <w:rFonts w:hint="eastAsia" w:ascii="宋体" w:hAnsi="宋体"/>
          <w:color w:val="auto"/>
          <w:szCs w:val="21"/>
          <w:highlight w:val="none"/>
          <w:lang w:eastAsia="zh-CN"/>
        </w:rPr>
        <w:t>成交通知书</w:t>
      </w:r>
      <w:r>
        <w:rPr>
          <w:rFonts w:hint="eastAsia" w:ascii="宋体" w:hAnsi="宋体"/>
          <w:color w:val="auto"/>
          <w:szCs w:val="21"/>
          <w:highlight w:val="none"/>
        </w:rPr>
        <w:t>》发出之日起30日内签订采购合同。同时，招标人对合同内容进行审查，如发现与采购结果和投标承诺内容不一致的，将予以纠正。</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成交通知书</w:t>
      </w:r>
      <w:r>
        <w:rPr>
          <w:rFonts w:hint="eastAsia" w:ascii="宋体" w:hAnsi="宋体"/>
          <w:color w:val="auto"/>
          <w:szCs w:val="21"/>
          <w:highlight w:val="none"/>
        </w:rPr>
        <w:t>》、采购文件、投标文件等采购文件将作为签订合同的依据。</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3.中标人拒交履约保证金、拒签合同或放弃中标的，将被取消中标资格并追究其法律责任，中标人改为</w:t>
      </w:r>
      <w:bookmarkStart w:id="130" w:name="_Hlk117525731"/>
      <w:r>
        <w:rPr>
          <w:rFonts w:hint="eastAsia" w:ascii="宋体" w:hAnsi="宋体"/>
          <w:color w:val="auto"/>
          <w:szCs w:val="21"/>
          <w:highlight w:val="none"/>
        </w:rPr>
        <w:t>综合得分第二</w:t>
      </w:r>
      <w:bookmarkEnd w:id="130"/>
      <w:r>
        <w:rPr>
          <w:rFonts w:hint="eastAsia" w:ascii="宋体" w:hAnsi="宋体"/>
          <w:color w:val="auto"/>
          <w:szCs w:val="21"/>
          <w:highlight w:val="none"/>
        </w:rPr>
        <w:t>的中标候选人，或重新组织采购。</w:t>
      </w:r>
    </w:p>
    <w:p>
      <w:pPr>
        <w:spacing w:line="380" w:lineRule="exact"/>
        <w:ind w:firstLine="422" w:firstLineChars="200"/>
        <w:outlineLvl w:val="2"/>
        <w:rPr>
          <w:rFonts w:hint="eastAsia"/>
          <w:color w:val="auto"/>
          <w:szCs w:val="21"/>
          <w:highlight w:val="none"/>
        </w:rPr>
      </w:pPr>
      <w:r>
        <w:rPr>
          <w:b/>
          <w:bCs/>
          <w:color w:val="auto"/>
          <w:szCs w:val="21"/>
          <w:highlight w:val="none"/>
        </w:rPr>
        <w:t>（二）履约保证金</w:t>
      </w:r>
      <w:r>
        <w:rPr>
          <w:rFonts w:hint="eastAsia"/>
          <w:b/>
          <w:bCs/>
          <w:color w:val="auto"/>
          <w:szCs w:val="21"/>
          <w:highlight w:val="none"/>
          <w:lang w:val="en-US" w:eastAsia="zh-CN"/>
        </w:rPr>
        <w:t>及质量保证金</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1.中标人按《</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通知书》要求向采购人交纳中标金额</w:t>
      </w:r>
      <w:r>
        <w:rPr>
          <w:rFonts w:hint="eastAsia" w:ascii="宋体" w:hAnsi="宋体"/>
          <w:color w:val="auto"/>
          <w:szCs w:val="21"/>
          <w:highlight w:val="none"/>
          <w:lang w:val="en-US" w:eastAsia="zh-CN"/>
        </w:rPr>
        <w:t>2</w:t>
      </w:r>
      <w:r>
        <w:rPr>
          <w:rFonts w:hint="eastAsia" w:ascii="宋体" w:hAnsi="宋体"/>
          <w:color w:val="auto"/>
          <w:szCs w:val="21"/>
          <w:highlight w:val="none"/>
        </w:rPr>
        <w:t>％的履约保证金</w:t>
      </w:r>
      <w:r>
        <w:rPr>
          <w:rFonts w:hint="eastAsia" w:ascii="宋体" w:hAnsi="宋体"/>
          <w:color w:val="auto"/>
          <w:szCs w:val="21"/>
          <w:highlight w:val="none"/>
          <w:lang w:eastAsia="zh-CN"/>
        </w:rPr>
        <w:t>，</w:t>
      </w:r>
      <w:r>
        <w:rPr>
          <w:rFonts w:hint="eastAsia" w:ascii="宋体" w:hAnsi="宋体"/>
          <w:color w:val="auto"/>
          <w:szCs w:val="21"/>
          <w:highlight w:val="none"/>
        </w:rPr>
        <w:t>履约保证金在合同约定交货验收合格后自行转为质量保证金。</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本项目质保期满后，无质量和售后服务问题的，由采购人凭中标人的合法收据不计息退还质量保证金。</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3.中标人必须严格按照《合同（协议）》规定履行义务，为采购人提供优质服务。发现下列情况之一的，将依法没收质量保证金，情节严重的，采购人有权提前终止合同，并追究违约中标人的经济责任：</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 违反《合同（协议）》和招标文件规定，违章操作，损害采购人利益的；</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3.2采购人二次以上投诉，经查实责任在于中标人的；</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3.3中标人提供货物（服务）的质量、规格不符合国家规定和招标文件要求及投标文件承诺标准的。</w:t>
      </w:r>
    </w:p>
    <w:p>
      <w:pPr>
        <w:pStyle w:val="33"/>
        <w:numPr>
          <w:ilvl w:val="0"/>
          <w:numId w:val="1"/>
        </w:numPr>
        <w:ind w:firstLine="420" w:firstLineChars="200"/>
        <w:rPr>
          <w:rFonts w:hint="eastAsia" w:eastAsia="楷体_GB2312"/>
          <w:color w:val="auto"/>
          <w:highlight w:val="none"/>
        </w:rPr>
      </w:pPr>
      <w:r>
        <w:rPr>
          <w:rFonts w:ascii="Times New Roman" w:hAnsi="Times New Roman" w:cs="Times New Roman"/>
          <w:b w:val="0"/>
          <w:bCs w:val="0"/>
          <w:color w:val="auto"/>
          <w:sz w:val="21"/>
          <w:szCs w:val="21"/>
          <w:highlight w:val="none"/>
        </w:rPr>
        <w:br w:type="page"/>
      </w:r>
      <w:bookmarkStart w:id="131" w:name="_Toc406402996"/>
      <w:r>
        <w:rPr>
          <w:rFonts w:hint="eastAsia" w:ascii="Times New Roman" w:hAnsi="Times New Roman" w:cs="Times New Roman"/>
          <w:b w:val="0"/>
          <w:bCs w:val="0"/>
          <w:color w:val="auto"/>
          <w:sz w:val="21"/>
          <w:szCs w:val="21"/>
          <w:highlight w:val="none"/>
        </w:rPr>
        <w:t xml:space="preserve"> </w:t>
      </w:r>
      <w:bookmarkStart w:id="132" w:name="_Toc27074"/>
      <w:r>
        <w:rPr>
          <w:rFonts w:hint="eastAsia" w:eastAsia="楷体_GB2312"/>
          <w:color w:val="auto"/>
          <w:highlight w:val="none"/>
        </w:rPr>
        <w:t>评标办法及评分标准</w:t>
      </w:r>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为公正、公平、科学地选择中标人，参照《中华人民共和国政府采购法》等有关法律法规的规定，并结合本项目的实际，制定本办法。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b/>
          <w:bCs/>
          <w:color w:val="auto"/>
          <w:szCs w:val="21"/>
          <w:highlight w:val="none"/>
        </w:rPr>
      </w:pPr>
      <w:bookmarkStart w:id="133" w:name="_Toc31690"/>
      <w:bookmarkStart w:id="134" w:name="_Toc15629"/>
      <w:bookmarkStart w:id="135" w:name="_Toc16449"/>
      <w:bookmarkStart w:id="136" w:name="_Toc31446"/>
      <w:bookmarkStart w:id="137" w:name="_Toc25694"/>
      <w:r>
        <w:rPr>
          <w:rFonts w:hint="eastAsia" w:ascii="宋体" w:hAnsi="宋体"/>
          <w:b/>
          <w:bCs/>
          <w:color w:val="auto"/>
          <w:szCs w:val="21"/>
          <w:highlight w:val="none"/>
        </w:rPr>
        <w:t>一、总则</w:t>
      </w:r>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本次评标采用</w:t>
      </w:r>
      <w:r>
        <w:rPr>
          <w:rFonts w:hint="eastAsia" w:ascii="宋体" w:hAnsi="宋体"/>
          <w:color w:val="auto"/>
          <w:szCs w:val="21"/>
          <w:highlight w:val="none"/>
        </w:rPr>
        <w:t>综合评分法。总分为100分，其中：价格分</w:t>
      </w:r>
      <w:r>
        <w:rPr>
          <w:rFonts w:hint="eastAsia" w:ascii="宋体" w:hAnsi="宋体"/>
          <w:color w:val="auto"/>
          <w:szCs w:val="21"/>
          <w:highlight w:val="none"/>
          <w:lang w:val="en-US" w:eastAsia="zh-CN"/>
        </w:rPr>
        <w:t>30</w:t>
      </w:r>
      <w:r>
        <w:rPr>
          <w:rFonts w:hint="eastAsia" w:ascii="宋体" w:hAnsi="宋体"/>
          <w:color w:val="auto"/>
          <w:szCs w:val="21"/>
          <w:highlight w:val="none"/>
        </w:rPr>
        <w:t>分，技术</w:t>
      </w:r>
      <w:r>
        <w:rPr>
          <w:rFonts w:hint="eastAsia" w:ascii="宋体" w:hAnsi="宋体"/>
          <w:color w:val="auto"/>
          <w:szCs w:val="21"/>
          <w:highlight w:val="none"/>
          <w:lang w:val="en-US" w:eastAsia="zh-CN"/>
        </w:rPr>
        <w:t>商务</w:t>
      </w:r>
      <w:r>
        <w:rPr>
          <w:rFonts w:hint="eastAsia" w:ascii="宋体" w:hAnsi="宋体"/>
          <w:color w:val="auto"/>
          <w:szCs w:val="21"/>
          <w:highlight w:val="none"/>
        </w:rPr>
        <w:t>分</w:t>
      </w:r>
      <w:r>
        <w:rPr>
          <w:rFonts w:hint="eastAsia" w:ascii="宋体" w:hAnsi="宋体"/>
          <w:color w:val="auto"/>
          <w:szCs w:val="21"/>
          <w:highlight w:val="none"/>
          <w:lang w:val="en-US" w:eastAsia="zh-CN"/>
        </w:rPr>
        <w:t>70</w:t>
      </w:r>
      <w:r>
        <w:rPr>
          <w:rFonts w:hint="eastAsia" w:ascii="宋体" w:hAnsi="宋体"/>
          <w:color w:val="auto"/>
          <w:szCs w:val="21"/>
          <w:highlight w:val="none"/>
        </w:rPr>
        <w:t>分。</w:t>
      </w:r>
      <w:r>
        <w:rPr>
          <w:rFonts w:hint="eastAsia" w:ascii="宋体" w:hAnsi="宋体"/>
          <w:color w:val="auto"/>
          <w:szCs w:val="21"/>
          <w:highlight w:val="none"/>
        </w:rPr>
        <w:t>合格投标人的评标综合得分为价格分和技术</w:t>
      </w:r>
      <w:r>
        <w:rPr>
          <w:rFonts w:hint="eastAsia" w:ascii="宋体" w:hAnsi="宋体"/>
          <w:color w:val="auto"/>
          <w:szCs w:val="21"/>
          <w:highlight w:val="none"/>
          <w:lang w:val="en-US" w:eastAsia="zh-CN"/>
        </w:rPr>
        <w:t>商务</w:t>
      </w:r>
      <w:r>
        <w:rPr>
          <w:rFonts w:hint="eastAsia" w:ascii="宋体" w:hAnsi="宋体"/>
          <w:color w:val="auto"/>
          <w:szCs w:val="21"/>
          <w:highlight w:val="none"/>
        </w:rPr>
        <w:t>分的总和，中标候选资格按评标综合得分由高到低顺序排列，得分相同的，按投标报价由低到高顺序排列；得分且投标报价相同的，以投标签到先后顺序确定。评分过程中采用四舍五入法，并保留小数2位。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olor w:val="auto"/>
          <w:szCs w:val="21"/>
          <w:highlight w:val="none"/>
        </w:rPr>
      </w:pPr>
      <w:r>
        <w:rPr>
          <w:rFonts w:hint="eastAsia" w:ascii="宋体" w:hAnsi="宋体"/>
          <w:b/>
          <w:bCs/>
          <w:color w:val="auto"/>
          <w:szCs w:val="21"/>
          <w:highlight w:val="none"/>
        </w:rPr>
        <w:t>投标人评标综合得分=价格分+技术</w:t>
      </w:r>
      <w:r>
        <w:rPr>
          <w:rFonts w:hint="eastAsia" w:ascii="宋体" w:hAnsi="宋体"/>
          <w:b/>
          <w:bCs/>
          <w:color w:val="auto"/>
          <w:szCs w:val="21"/>
          <w:highlight w:val="none"/>
          <w:lang w:val="en-US" w:eastAsia="zh-CN"/>
        </w:rPr>
        <w:t>商务</w:t>
      </w:r>
      <w:r>
        <w:rPr>
          <w:rFonts w:hint="eastAsia" w:ascii="宋体" w:hAnsi="宋体"/>
          <w:b/>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b/>
          <w:bCs/>
          <w:color w:val="auto"/>
          <w:szCs w:val="21"/>
          <w:highlight w:val="none"/>
        </w:rPr>
      </w:pPr>
      <w:bookmarkStart w:id="138" w:name="_Toc26575"/>
      <w:bookmarkStart w:id="139" w:name="_Toc31944"/>
      <w:bookmarkStart w:id="140" w:name="_Toc17737"/>
      <w:bookmarkStart w:id="141" w:name="_Toc26868"/>
      <w:bookmarkStart w:id="142" w:name="_Toc30984"/>
      <w:r>
        <w:rPr>
          <w:rFonts w:hint="eastAsia" w:ascii="宋体" w:hAnsi="宋体"/>
          <w:b/>
          <w:bCs/>
          <w:color w:val="auto"/>
          <w:szCs w:val="21"/>
          <w:highlight w:val="none"/>
        </w:rPr>
        <w:t>二、评标内容及标准</w:t>
      </w:r>
      <w:bookmarkEnd w:id="138"/>
      <w:bookmarkEnd w:id="139"/>
      <w:bookmarkEnd w:id="140"/>
      <w:bookmarkEnd w:id="141"/>
      <w:bookmarkEnd w:id="1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b/>
          <w:color w:val="auto"/>
          <w:szCs w:val="21"/>
          <w:highlight w:val="none"/>
        </w:rPr>
      </w:pPr>
      <w:r>
        <w:rPr>
          <w:rFonts w:hint="eastAsia" w:ascii="宋体" w:hAnsi="宋体"/>
          <w:b/>
          <w:color w:val="auto"/>
          <w:szCs w:val="21"/>
          <w:highlight w:val="none"/>
        </w:rPr>
        <w:t>(一)价格分(0</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3</w:t>
      </w:r>
      <w:r>
        <w:rPr>
          <w:rFonts w:hint="eastAsia" w:ascii="宋体" w:hAnsi="宋体"/>
          <w:b/>
          <w:color w:val="auto"/>
          <w:szCs w:val="21"/>
          <w:highlight w:val="none"/>
        </w:rPr>
        <w:t>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olor w:val="auto"/>
          <w:szCs w:val="21"/>
          <w:highlight w:val="none"/>
        </w:rPr>
        <w:t>评标委员会对所有投标报价和</w:t>
      </w:r>
      <w:r>
        <w:rPr>
          <w:rFonts w:hint="eastAsia" w:ascii="宋体" w:hAnsi="宋体"/>
          <w:color w:val="auto"/>
          <w:szCs w:val="21"/>
          <w:highlight w:val="none"/>
          <w:lang w:val="en-US" w:eastAsia="zh-CN"/>
        </w:rPr>
        <w:t>预算价（</w:t>
      </w:r>
      <w:r>
        <w:rPr>
          <w:rFonts w:hint="eastAsia" w:ascii="宋体" w:hAnsi="宋体"/>
          <w:color w:val="auto"/>
          <w:szCs w:val="21"/>
          <w:highlight w:val="none"/>
        </w:rPr>
        <w:t>最高限价</w:t>
      </w:r>
      <w:r>
        <w:rPr>
          <w:rFonts w:hint="eastAsia" w:ascii="宋体" w:hAnsi="宋体"/>
          <w:color w:val="auto"/>
          <w:szCs w:val="21"/>
          <w:highlight w:val="none"/>
          <w:lang w:val="en-US" w:eastAsia="zh-CN"/>
        </w:rPr>
        <w:t>）</w:t>
      </w:r>
      <w:r>
        <w:rPr>
          <w:rFonts w:hint="eastAsia" w:ascii="宋体" w:hAnsi="宋体"/>
          <w:color w:val="auto"/>
          <w:szCs w:val="21"/>
          <w:highlight w:val="none"/>
        </w:rPr>
        <w:t>、风险控制价进行比较，确定有效投标报价。高于投标</w:t>
      </w:r>
      <w:r>
        <w:rPr>
          <w:rFonts w:hint="eastAsia" w:ascii="宋体" w:hAnsi="宋体"/>
          <w:color w:val="auto"/>
          <w:szCs w:val="21"/>
          <w:highlight w:val="none"/>
          <w:lang w:val="en-US" w:eastAsia="zh-CN"/>
        </w:rPr>
        <w:t>预算价（</w:t>
      </w:r>
      <w:r>
        <w:rPr>
          <w:rFonts w:hint="eastAsia" w:ascii="宋体" w:hAnsi="宋体"/>
          <w:color w:val="auto"/>
          <w:szCs w:val="21"/>
          <w:highlight w:val="none"/>
        </w:rPr>
        <w:t>最高限价</w:t>
      </w:r>
      <w:r>
        <w:rPr>
          <w:rFonts w:hint="eastAsia" w:ascii="宋体" w:hAnsi="宋体"/>
          <w:color w:val="auto"/>
          <w:szCs w:val="21"/>
          <w:highlight w:val="none"/>
          <w:lang w:val="en-US" w:eastAsia="zh-CN"/>
        </w:rPr>
        <w:t>）</w:t>
      </w:r>
      <w:r>
        <w:rPr>
          <w:rFonts w:hint="eastAsia" w:ascii="宋体" w:hAnsi="宋体"/>
          <w:color w:val="auto"/>
          <w:szCs w:val="21"/>
          <w:highlight w:val="none"/>
        </w:rPr>
        <w:t>，或低于风险控制价的投标文件不再予以进一步评审，作无效标处理。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olor w:val="auto"/>
          <w:szCs w:val="21"/>
          <w:highlight w:val="none"/>
          <w:lang w:val="en-US" w:eastAsia="zh-CN"/>
        </w:rPr>
        <w:t>1.1</w:t>
      </w:r>
      <w:r>
        <w:rPr>
          <w:rFonts w:hint="eastAsia" w:ascii="宋体" w:hAnsi="宋体"/>
          <w:color w:val="auto"/>
          <w:szCs w:val="21"/>
          <w:highlight w:val="none"/>
        </w:rPr>
        <w:t>风险控制价计算：</w:t>
      </w:r>
      <w:r>
        <w:rPr>
          <w:rFonts w:hint="eastAsia" w:ascii="宋体" w:hAnsi="宋体"/>
          <w:color w:val="auto"/>
          <w:szCs w:val="21"/>
          <w:highlight w:val="none"/>
          <w:lang w:val="en-US" w:eastAsia="zh-CN"/>
        </w:rPr>
        <w:t>预算价（</w:t>
      </w:r>
      <w:r>
        <w:rPr>
          <w:rFonts w:hint="eastAsia" w:ascii="宋体" w:hAnsi="宋体"/>
          <w:color w:val="auto"/>
          <w:szCs w:val="21"/>
          <w:highlight w:val="none"/>
        </w:rPr>
        <w:t>最高限价</w:t>
      </w:r>
      <w:r>
        <w:rPr>
          <w:rFonts w:hint="eastAsia" w:ascii="宋体" w:hAnsi="宋体"/>
          <w:color w:val="auto"/>
          <w:szCs w:val="21"/>
          <w:highlight w:val="none"/>
          <w:lang w:val="en-US" w:eastAsia="zh-CN"/>
        </w:rPr>
        <w:t>）</w:t>
      </w:r>
      <w:r>
        <w:rPr>
          <w:rFonts w:hint="eastAsia" w:ascii="宋体" w:hAnsi="宋体"/>
          <w:color w:val="auto"/>
          <w:szCs w:val="21"/>
          <w:highlight w:val="none"/>
        </w:rPr>
        <w:t>的</w:t>
      </w:r>
      <w:r>
        <w:rPr>
          <w:rFonts w:hint="eastAsia" w:ascii="宋体" w:hAnsi="宋体"/>
          <w:color w:val="auto"/>
          <w:szCs w:val="21"/>
          <w:highlight w:val="none"/>
          <w:lang w:val="en-US" w:eastAsia="zh-CN"/>
        </w:rPr>
        <w:t>85</w:t>
      </w:r>
      <w:r>
        <w:rPr>
          <w:rFonts w:hint="eastAsia" w:ascii="宋体" w:hAnsi="宋体"/>
          <w:color w:val="auto"/>
          <w:szCs w:val="21"/>
          <w:highlight w:val="none"/>
        </w:rPr>
        <w:t>%为风险控制价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则风险控制价为</w:t>
      </w:r>
      <w:r>
        <w:rPr>
          <w:rFonts w:hint="eastAsia" w:ascii="宋体" w:hAnsi="宋体"/>
          <w:color w:val="auto"/>
          <w:szCs w:val="21"/>
          <w:highlight w:val="none"/>
          <w:lang w:val="en-US" w:eastAsia="zh-CN"/>
        </w:rPr>
        <w:t>32.3万元</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评标基准价=有效报价的算术平均值(四舍五入，保留2位小数)。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各投标供应商的报价等</w:t>
      </w:r>
      <w:r>
        <w:rPr>
          <w:rFonts w:hint="eastAsia" w:ascii="宋体" w:hAnsi="宋体" w:cs="Times New Roman"/>
          <w:color w:val="auto"/>
          <w:szCs w:val="21"/>
          <w:highlight w:val="none"/>
          <w:lang w:val="en-US" w:eastAsia="zh-CN"/>
        </w:rPr>
        <w:t>于</w:t>
      </w:r>
      <w:r>
        <w:rPr>
          <w:rFonts w:hint="eastAsia" w:ascii="宋体" w:hAnsi="宋体" w:cs="Times New Roman"/>
          <w:color w:val="auto"/>
          <w:szCs w:val="21"/>
          <w:highlight w:val="none"/>
        </w:rPr>
        <w:t>评标基准价时报价分得满分</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高于评标基准价时，每高1%扣</w:t>
      </w:r>
      <w:r>
        <w:rPr>
          <w:rFonts w:hint="eastAsia" w:ascii="宋体" w:hAnsi="宋体" w:cs="Times New Roman"/>
          <w:color w:val="auto"/>
          <w:szCs w:val="21"/>
          <w:highlight w:val="none"/>
          <w:lang w:val="en-US" w:eastAsia="zh-CN"/>
        </w:rPr>
        <w:t>0.6</w:t>
      </w:r>
      <w:r>
        <w:rPr>
          <w:rFonts w:hint="eastAsia" w:ascii="宋体" w:hAnsi="宋体" w:cs="Times New Roman"/>
          <w:color w:val="auto"/>
          <w:szCs w:val="21"/>
          <w:highlight w:val="none"/>
        </w:rPr>
        <w:t>分</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低于评标基准价时，每低1%扣0.</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分</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以此求出各投标供应商的报价得分。(保留两位小数，不计负分。)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二</w:t>
      </w:r>
      <w:r>
        <w:rPr>
          <w:rFonts w:hint="eastAsia" w:ascii="宋体" w:hAnsi="宋体"/>
          <w:b/>
          <w:bCs/>
          <w:color w:val="auto"/>
          <w:szCs w:val="21"/>
          <w:highlight w:val="none"/>
          <w:lang w:eastAsia="zh-CN"/>
        </w:rPr>
        <w:t>）</w:t>
      </w:r>
      <w:r>
        <w:rPr>
          <w:rFonts w:hint="eastAsia" w:ascii="宋体" w:hAnsi="宋体"/>
          <w:b/>
          <w:bCs/>
          <w:color w:val="auto"/>
          <w:szCs w:val="21"/>
          <w:highlight w:val="none"/>
        </w:rPr>
        <w:t>技术</w:t>
      </w:r>
      <w:r>
        <w:rPr>
          <w:rFonts w:hint="eastAsia" w:ascii="宋体" w:hAnsi="宋体"/>
          <w:b/>
          <w:bCs/>
          <w:color w:val="auto"/>
          <w:szCs w:val="21"/>
          <w:highlight w:val="none"/>
          <w:lang w:val="en-US" w:eastAsia="zh-CN"/>
        </w:rPr>
        <w:t>商务</w:t>
      </w:r>
      <w:r>
        <w:rPr>
          <w:rFonts w:hint="eastAsia" w:ascii="宋体" w:hAnsi="宋体"/>
          <w:b/>
          <w:bCs/>
          <w:color w:val="auto"/>
          <w:szCs w:val="21"/>
          <w:highlight w:val="none"/>
        </w:rPr>
        <w:t>分（0～</w:t>
      </w:r>
      <w:r>
        <w:rPr>
          <w:rFonts w:hint="eastAsia" w:ascii="宋体" w:hAnsi="宋体"/>
          <w:b/>
          <w:bCs/>
          <w:color w:val="auto"/>
          <w:szCs w:val="21"/>
          <w:highlight w:val="none"/>
          <w:lang w:val="en-US" w:eastAsia="zh-CN"/>
        </w:rPr>
        <w:t>70</w:t>
      </w:r>
      <w:r>
        <w:rPr>
          <w:rFonts w:hint="eastAsia" w:ascii="宋体" w:hAnsi="宋体"/>
          <w:b/>
          <w:bCs/>
          <w:color w:val="auto"/>
          <w:szCs w:val="21"/>
          <w:highlight w:val="none"/>
        </w:rPr>
        <w:t>分）</w:t>
      </w:r>
    </w:p>
    <w:tbl>
      <w:tblPr>
        <w:tblStyle w:val="36"/>
        <w:tblW w:w="979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60"/>
        <w:gridCol w:w="1230"/>
        <w:gridCol w:w="5567"/>
        <w:gridCol w:w="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7" w:type="dxa"/>
            <w:tcBorders>
              <w:tl2br w:val="nil"/>
              <w:tr2bl w:val="nil"/>
            </w:tcBorders>
            <w:noWrap w:val="0"/>
            <w:vAlign w:val="center"/>
          </w:tcPr>
          <w:p>
            <w:pPr>
              <w:autoSpaceDE w:val="0"/>
              <w:autoSpaceDN w:val="0"/>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260" w:type="dxa"/>
            <w:tcBorders>
              <w:tl2br w:val="nil"/>
              <w:tr2bl w:val="nil"/>
            </w:tcBorders>
            <w:noWrap w:val="0"/>
            <w:vAlign w:val="center"/>
          </w:tcPr>
          <w:p>
            <w:pPr>
              <w:autoSpaceDE w:val="0"/>
              <w:autoSpaceDN w:val="0"/>
              <w:jc w:val="center"/>
              <w:rPr>
                <w:rFonts w:hint="eastAsia" w:ascii="宋体" w:hAnsi="宋体"/>
                <w:b/>
                <w:bCs/>
                <w:color w:val="auto"/>
                <w:szCs w:val="21"/>
                <w:highlight w:val="none"/>
              </w:rPr>
            </w:pPr>
            <w:r>
              <w:rPr>
                <w:rFonts w:hint="eastAsia" w:ascii="宋体" w:hAnsi="宋体"/>
                <w:b/>
                <w:bCs/>
                <w:color w:val="auto"/>
                <w:szCs w:val="21"/>
                <w:highlight w:val="none"/>
              </w:rPr>
              <w:t>评分内容</w:t>
            </w:r>
          </w:p>
        </w:tc>
        <w:tc>
          <w:tcPr>
            <w:tcW w:w="1230" w:type="dxa"/>
            <w:tcBorders>
              <w:tl2br w:val="nil"/>
              <w:tr2bl w:val="nil"/>
            </w:tcBorders>
            <w:noWrap w:val="0"/>
            <w:vAlign w:val="center"/>
          </w:tcPr>
          <w:p>
            <w:pPr>
              <w:autoSpaceDE w:val="0"/>
              <w:autoSpaceDN w:val="0"/>
              <w:jc w:val="center"/>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评分属性</w:t>
            </w:r>
          </w:p>
        </w:tc>
        <w:tc>
          <w:tcPr>
            <w:tcW w:w="5567" w:type="dxa"/>
            <w:tcBorders>
              <w:tl2br w:val="nil"/>
              <w:tr2bl w:val="nil"/>
            </w:tcBorders>
            <w:noWrap w:val="0"/>
            <w:vAlign w:val="center"/>
          </w:tcPr>
          <w:p>
            <w:pPr>
              <w:autoSpaceDE w:val="0"/>
              <w:autoSpaceDN w:val="0"/>
              <w:jc w:val="center"/>
              <w:rPr>
                <w:rFonts w:hint="eastAsia" w:ascii="宋体" w:hAnsi="宋体"/>
                <w:b/>
                <w:bCs/>
                <w:color w:val="auto"/>
                <w:szCs w:val="21"/>
                <w:highlight w:val="none"/>
              </w:rPr>
            </w:pPr>
            <w:r>
              <w:rPr>
                <w:rFonts w:hint="eastAsia" w:ascii="宋体" w:hAnsi="宋体"/>
                <w:b/>
                <w:bCs/>
                <w:color w:val="auto"/>
                <w:szCs w:val="21"/>
                <w:highlight w:val="none"/>
              </w:rPr>
              <w:t>评标细则</w:t>
            </w:r>
          </w:p>
        </w:tc>
        <w:tc>
          <w:tcPr>
            <w:tcW w:w="949" w:type="dxa"/>
            <w:tcBorders>
              <w:tl2br w:val="nil"/>
              <w:tr2bl w:val="nil"/>
            </w:tcBorders>
            <w:noWrap w:val="0"/>
            <w:vAlign w:val="center"/>
          </w:tcPr>
          <w:p>
            <w:pPr>
              <w:autoSpaceDE w:val="0"/>
              <w:autoSpaceDN w:val="0"/>
              <w:jc w:val="center"/>
              <w:rPr>
                <w:rFonts w:hint="eastAsia" w:ascii="宋体" w:hAnsi="宋体"/>
                <w:b/>
                <w:bCs/>
                <w:color w:val="auto"/>
                <w:szCs w:val="21"/>
                <w:highlight w:val="none"/>
              </w:rPr>
            </w:pPr>
            <w:r>
              <w:rPr>
                <w:rFonts w:hint="eastAsia" w:ascii="宋体" w:hAnsi="宋体"/>
                <w:b/>
                <w:bCs/>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260" w:type="dxa"/>
            <w:tcBorders>
              <w:tl2br w:val="nil"/>
              <w:tr2bl w:val="nil"/>
            </w:tcBorders>
            <w:noWrap w:val="0"/>
            <w:vAlign w:val="center"/>
          </w:tcPr>
          <w:p>
            <w:pPr>
              <w:widowControl/>
              <w:jc w:val="center"/>
              <w:textAlignment w:val="center"/>
              <w:rPr>
                <w:rFonts w:hint="eastAsia"/>
                <w:color w:val="auto"/>
                <w:highlight w:val="none"/>
              </w:rPr>
            </w:pPr>
            <w:r>
              <w:rPr>
                <w:rFonts w:hint="eastAsia"/>
                <w:color w:val="auto"/>
                <w:highlight w:val="none"/>
              </w:rPr>
              <w:t>供应商基本情况</w:t>
            </w:r>
          </w:p>
        </w:tc>
        <w:tc>
          <w:tcPr>
            <w:tcW w:w="1230" w:type="dxa"/>
            <w:tcBorders>
              <w:tl2br w:val="nil"/>
              <w:tr2bl w:val="nil"/>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主观分</w:t>
            </w:r>
          </w:p>
        </w:tc>
        <w:tc>
          <w:tcPr>
            <w:tcW w:w="5567" w:type="dxa"/>
            <w:tcBorders>
              <w:tl2br w:val="nil"/>
              <w:tr2bl w:val="nil"/>
            </w:tcBorders>
            <w:noWrap w:val="0"/>
            <w:vAlign w:val="center"/>
          </w:tcPr>
          <w:p>
            <w:pPr>
              <w:rPr>
                <w:rFonts w:hint="eastAsia" w:ascii="宋体" w:hAnsi="宋体" w:cs="宋体"/>
                <w:color w:val="auto"/>
                <w:szCs w:val="21"/>
                <w:highlight w:val="none"/>
                <w:lang w:val="en-US" w:eastAsia="zh-CN"/>
              </w:rPr>
            </w:pPr>
            <w:r>
              <w:rPr>
                <w:color w:val="auto"/>
                <w:kern w:val="0"/>
                <w:szCs w:val="21"/>
                <w:highlight w:val="none"/>
              </w:rPr>
              <w:t>根据投标人的经营状况、资质情况、荣誉证书、资信等级证书、市场商业信誉、用户知名度和质量认可度等情况比较后</w:t>
            </w:r>
            <w:r>
              <w:rPr>
                <w:rFonts w:hint="eastAsia"/>
                <w:color w:val="auto"/>
                <w:kern w:val="0"/>
                <w:szCs w:val="21"/>
                <w:highlight w:val="none"/>
              </w:rPr>
              <w:t>酌情</w:t>
            </w:r>
            <w:r>
              <w:rPr>
                <w:color w:val="auto"/>
                <w:kern w:val="0"/>
                <w:szCs w:val="21"/>
                <w:highlight w:val="none"/>
              </w:rPr>
              <w:t>打分</w:t>
            </w:r>
            <w:r>
              <w:rPr>
                <w:rFonts w:hint="eastAsia" w:ascii="宋体" w:hAnsi="宋体"/>
                <w:color w:val="auto"/>
                <w:highlight w:val="none"/>
              </w:rPr>
              <w:t>。</w:t>
            </w:r>
          </w:p>
        </w:tc>
        <w:tc>
          <w:tcPr>
            <w:tcW w:w="949" w:type="dxa"/>
            <w:tcBorders>
              <w:tl2br w:val="nil"/>
              <w:tr2bl w:val="nil"/>
            </w:tcBorders>
            <w:noWrap w:val="0"/>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260" w:type="dxa"/>
            <w:tcBorders>
              <w:tl2br w:val="nil"/>
              <w:tr2bl w:val="nil"/>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体系认证证书</w:t>
            </w:r>
          </w:p>
        </w:tc>
        <w:tc>
          <w:tcPr>
            <w:tcW w:w="1230" w:type="dxa"/>
            <w:tcBorders>
              <w:tl2br w:val="nil"/>
              <w:tr2bl w:val="nil"/>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c>
          <w:tcPr>
            <w:tcW w:w="5567" w:type="dxa"/>
            <w:tcBorders>
              <w:tl2br w:val="nil"/>
              <w:tr2bl w:val="nil"/>
            </w:tcBorders>
            <w:noWrap w:val="0"/>
            <w:vAlign w:val="center"/>
          </w:tcPr>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投标人通过ISO9001质量管理体系认证、ISO14001环境管理体系认证、ISO45001职业健康安全管理体系认证证书的，每项得1分，最高得3分。</w:t>
            </w:r>
          </w:p>
        </w:tc>
        <w:tc>
          <w:tcPr>
            <w:tcW w:w="949" w:type="dxa"/>
            <w:tcBorders>
              <w:tl2br w:val="nil"/>
              <w:tr2bl w:val="nil"/>
            </w:tcBorders>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1260" w:type="dxa"/>
            <w:vMerge w:val="restart"/>
            <w:tcBorders>
              <w:tl2br w:val="nil"/>
              <w:tr2bl w:val="nil"/>
            </w:tcBorders>
            <w:noWrap w:val="0"/>
            <w:vAlign w:val="center"/>
          </w:tcPr>
          <w:p>
            <w:pPr>
              <w:jc w:val="center"/>
              <w:rPr>
                <w:rFonts w:hint="eastAsia" w:ascii="宋体" w:hAnsi="宋体" w:eastAsia="宋体" w:cs="宋体"/>
                <w:color w:val="auto"/>
                <w:szCs w:val="21"/>
                <w:highlight w:val="none"/>
              </w:rPr>
            </w:pPr>
            <w:r>
              <w:rPr>
                <w:rFonts w:hint="eastAsia" w:ascii="宋体" w:hAnsi="宋体" w:cs="Times New Roman"/>
                <w:color w:val="auto"/>
                <w:szCs w:val="21"/>
                <w:highlight w:val="none"/>
              </w:rPr>
              <w:t>所投</w:t>
            </w:r>
            <w:r>
              <w:rPr>
                <w:rFonts w:hint="eastAsia" w:ascii="宋体" w:hAnsi="宋体" w:cs="Times New Roman"/>
                <w:color w:val="auto"/>
                <w:szCs w:val="21"/>
                <w:highlight w:val="none"/>
                <w:lang w:val="en-US" w:eastAsia="zh-CN"/>
              </w:rPr>
              <w:t>物品</w:t>
            </w:r>
            <w:r>
              <w:rPr>
                <w:rFonts w:hint="eastAsia" w:ascii="宋体" w:hAnsi="宋体" w:cs="Times New Roman"/>
                <w:color w:val="auto"/>
                <w:szCs w:val="21"/>
                <w:highlight w:val="none"/>
              </w:rPr>
              <w:t>质量</w:t>
            </w:r>
          </w:p>
        </w:tc>
        <w:tc>
          <w:tcPr>
            <w:tcW w:w="1230" w:type="dxa"/>
            <w:tcBorders>
              <w:tl2br w:val="nil"/>
              <w:tr2bl w:val="nil"/>
            </w:tcBorders>
            <w:noWrap w:val="0"/>
            <w:vAlign w:val="center"/>
          </w:tcPr>
          <w:p>
            <w:pPr>
              <w:autoSpaceDE w:val="0"/>
              <w:autoSpaceDN w:val="0"/>
              <w:adjustRightIn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c>
          <w:tcPr>
            <w:tcW w:w="5567" w:type="dxa"/>
            <w:tcBorders>
              <w:tl2br w:val="nil"/>
              <w:tr2bl w:val="nil"/>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根据对投标人所投主要设备在行业中的知名度、认知度、市场信誉、市场占有率、用户反馈等情况酌情评分（由评标委员会视品牌设备情况综合评定）。</w:t>
            </w:r>
          </w:p>
        </w:tc>
        <w:tc>
          <w:tcPr>
            <w:tcW w:w="949" w:type="dxa"/>
            <w:tcBorders>
              <w:tl2br w:val="nil"/>
              <w:tr2bl w:val="nil"/>
            </w:tcBorders>
            <w:noWrap w:val="0"/>
            <w:vAlign w:val="center"/>
          </w:tcPr>
          <w:p>
            <w:pPr>
              <w:autoSpaceDE w:val="0"/>
              <w:autoSpaceDN w:val="0"/>
              <w:adjustRightIn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1260" w:type="dxa"/>
            <w:vMerge w:val="continue"/>
            <w:tcBorders>
              <w:tl2br w:val="nil"/>
              <w:tr2bl w:val="nil"/>
            </w:tcBorders>
            <w:noWrap w:val="0"/>
            <w:vAlign w:val="center"/>
          </w:tcPr>
          <w:p>
            <w:pPr>
              <w:jc w:val="center"/>
              <w:rPr>
                <w:rFonts w:hint="eastAsia" w:ascii="宋体" w:hAnsi="宋体" w:eastAsia="宋体" w:cs="宋体"/>
                <w:color w:val="auto"/>
                <w:szCs w:val="21"/>
                <w:highlight w:val="none"/>
              </w:rPr>
            </w:pPr>
          </w:p>
        </w:tc>
        <w:tc>
          <w:tcPr>
            <w:tcW w:w="1230" w:type="dxa"/>
            <w:tcBorders>
              <w:tl2br w:val="nil"/>
              <w:tr2bl w:val="nil"/>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客观分</w:t>
            </w:r>
          </w:p>
        </w:tc>
        <w:tc>
          <w:tcPr>
            <w:tcW w:w="5567" w:type="dxa"/>
            <w:tcBorders>
              <w:tl2br w:val="nil"/>
              <w:tr2bl w:val="nil"/>
            </w:tcBorders>
            <w:noWrap w:val="0"/>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技术性能：根据投标人所提供的产品技术参数进行评审，产品技术参数和功能完全符合招标文件技术规格需求的得满分24分；对性能指标及技术参数属负偏离或缺漏项的每项扣1分，扣完为止。</w:t>
            </w:r>
          </w:p>
        </w:tc>
        <w:tc>
          <w:tcPr>
            <w:tcW w:w="949" w:type="dxa"/>
            <w:tcBorders>
              <w:tl2br w:val="nil"/>
              <w:tr2bl w:val="nil"/>
            </w:tcBorders>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24分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260" w:type="dxa"/>
            <w:tcBorders>
              <w:tl2br w:val="nil"/>
              <w:tr2bl w:val="nil"/>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项目业绩</w:t>
            </w:r>
          </w:p>
        </w:tc>
        <w:tc>
          <w:tcPr>
            <w:tcW w:w="1230" w:type="dxa"/>
            <w:tcBorders>
              <w:tl2br w:val="nil"/>
              <w:tr2bl w:val="nil"/>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客观分</w:t>
            </w:r>
          </w:p>
        </w:tc>
        <w:tc>
          <w:tcPr>
            <w:tcW w:w="5567" w:type="dxa"/>
            <w:tcBorders>
              <w:tl2br w:val="nil"/>
              <w:tr2bl w:val="nil"/>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提供自202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年1月以</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（以合同签订时间为准）的</w:t>
            </w:r>
            <w:r>
              <w:rPr>
                <w:rFonts w:hint="eastAsia" w:ascii="宋体" w:hAnsi="宋体" w:cs="宋体"/>
                <w:color w:val="auto"/>
                <w:szCs w:val="21"/>
                <w:highlight w:val="none"/>
                <w:lang w:val="en-US" w:eastAsia="zh-CN"/>
              </w:rPr>
              <w:t>类似销售</w:t>
            </w:r>
            <w:r>
              <w:rPr>
                <w:rFonts w:hint="eastAsia" w:ascii="宋体" w:hAnsi="宋体" w:cs="宋体"/>
                <w:color w:val="auto"/>
                <w:szCs w:val="21"/>
                <w:highlight w:val="none"/>
              </w:rPr>
              <w:t>案例，每个案例需提供合同、发票和验收报告复印件，每个案例得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949" w:type="dxa"/>
            <w:tcBorders>
              <w:tl2br w:val="nil"/>
              <w:tr2bl w:val="nil"/>
            </w:tcBorders>
            <w:noWrap w:val="0"/>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5.1</w:t>
            </w:r>
          </w:p>
        </w:tc>
        <w:tc>
          <w:tcPr>
            <w:tcW w:w="1260" w:type="dxa"/>
            <w:vMerge w:val="restart"/>
            <w:tcBorders>
              <w:tl2br w:val="nil"/>
              <w:tr2bl w:val="nil"/>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具体</w:t>
            </w:r>
            <w:r>
              <w:rPr>
                <w:rFonts w:hint="eastAsia" w:ascii="宋体" w:hAnsi="宋体" w:eastAsia="宋体" w:cs="宋体"/>
                <w:color w:val="auto"/>
                <w:szCs w:val="21"/>
                <w:highlight w:val="none"/>
              </w:rPr>
              <w:t>实施方案</w:t>
            </w:r>
          </w:p>
        </w:tc>
        <w:tc>
          <w:tcPr>
            <w:tcW w:w="1230" w:type="dxa"/>
            <w:vMerge w:val="restart"/>
            <w:tcBorders>
              <w:tl2br w:val="nil"/>
              <w:tr2bl w:val="nil"/>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c>
          <w:tcPr>
            <w:tcW w:w="5567" w:type="dxa"/>
            <w:tcBorders>
              <w:tl2br w:val="nil"/>
              <w:tr2bl w:val="nil"/>
            </w:tcBorders>
            <w:noWrap w:val="0"/>
            <w:vAlign w:val="center"/>
          </w:tcPr>
          <w:p>
            <w:pPr>
              <w:adjustRightInd w:val="0"/>
              <w:snapToGrid w:val="0"/>
              <w:spacing w:line="240" w:lineRule="exact"/>
              <w:jc w:val="left"/>
              <w:rPr>
                <w:rFonts w:hint="eastAsia" w:ascii="宋体" w:hAnsi="宋体" w:cs="宋体"/>
                <w:color w:val="auto"/>
                <w:szCs w:val="21"/>
                <w:highlight w:val="none"/>
                <w:lang w:val="en-US" w:eastAsia="zh-CN"/>
              </w:rPr>
            </w:pPr>
            <w:r>
              <w:rPr>
                <w:rFonts w:hint="eastAsia" w:ascii="宋体" w:hAnsi="宋体" w:cs="Calibri"/>
                <w:color w:val="auto"/>
                <w:szCs w:val="22"/>
                <w:highlight w:val="none"/>
              </w:rPr>
              <w:t>根据投标人的</w:t>
            </w:r>
            <w:r>
              <w:rPr>
                <w:rFonts w:hint="eastAsia" w:ascii="宋体" w:hAnsi="宋体" w:cs="Calibri"/>
                <w:color w:val="auto"/>
                <w:szCs w:val="22"/>
                <w:highlight w:val="none"/>
                <w:lang w:val="en-US" w:eastAsia="zh-CN"/>
              </w:rPr>
              <w:t>实施</w:t>
            </w:r>
            <w:r>
              <w:rPr>
                <w:rFonts w:hint="eastAsia" w:ascii="宋体" w:hAnsi="宋体" w:cs="Calibri"/>
                <w:color w:val="auto"/>
                <w:szCs w:val="22"/>
                <w:highlight w:val="none"/>
              </w:rPr>
              <w:t>方案等酌情评分。</w:t>
            </w:r>
          </w:p>
        </w:tc>
        <w:tc>
          <w:tcPr>
            <w:tcW w:w="949" w:type="dxa"/>
            <w:tcBorders>
              <w:tl2br w:val="nil"/>
              <w:tr2bl w:val="nil"/>
            </w:tcBorders>
            <w:noWrap w:val="0"/>
            <w:vAlign w:val="center"/>
          </w:tcPr>
          <w:p>
            <w:pPr>
              <w:spacing w:line="240" w:lineRule="exact"/>
              <w:jc w:val="center"/>
              <w:rPr>
                <w:rFonts w:hint="eastAsia" w:ascii="宋体" w:hAnsi="宋体" w:cs="宋体"/>
                <w:color w:val="auto"/>
                <w:szCs w:val="21"/>
                <w:highlight w:val="none"/>
                <w:lang w:val="en-US" w:eastAsia="zh-CN"/>
              </w:rPr>
            </w:pPr>
            <w:r>
              <w:rPr>
                <w:rFonts w:hint="eastAsia" w:ascii="宋体" w:hAnsi="宋体" w:cs="Calibri"/>
                <w:color w:val="auto"/>
                <w:szCs w:val="21"/>
                <w:highlight w:val="none"/>
              </w:rPr>
              <w:t>0-</w:t>
            </w:r>
            <w:r>
              <w:rPr>
                <w:rFonts w:hint="eastAsia" w:ascii="宋体" w:hAnsi="宋体" w:cs="Calibri"/>
                <w:color w:val="auto"/>
                <w:szCs w:val="21"/>
                <w:highlight w:val="none"/>
                <w:lang w:val="en-US" w:eastAsia="zh-CN"/>
              </w:rPr>
              <w:t>4</w:t>
            </w:r>
            <w:r>
              <w:rPr>
                <w:rFonts w:hint="eastAsia" w:ascii="宋体" w:hAnsi="宋体" w:cs="宋体"/>
                <w:color w:val="auto"/>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5.2</w:t>
            </w:r>
          </w:p>
        </w:tc>
        <w:tc>
          <w:tcPr>
            <w:tcW w:w="1260" w:type="dxa"/>
            <w:vMerge w:val="continue"/>
            <w:tcBorders>
              <w:tl2br w:val="nil"/>
              <w:tr2bl w:val="nil"/>
            </w:tcBorders>
            <w:noWrap w:val="0"/>
            <w:vAlign w:val="center"/>
          </w:tcPr>
          <w:p>
            <w:pPr>
              <w:jc w:val="center"/>
              <w:rPr>
                <w:rFonts w:hint="eastAsia" w:ascii="宋体" w:hAnsi="宋体" w:eastAsia="宋体" w:cs="宋体"/>
                <w:color w:val="auto"/>
                <w:szCs w:val="21"/>
                <w:highlight w:val="none"/>
              </w:rPr>
            </w:pPr>
          </w:p>
        </w:tc>
        <w:tc>
          <w:tcPr>
            <w:tcW w:w="1230" w:type="dxa"/>
            <w:vMerge w:val="continue"/>
            <w:tcBorders>
              <w:tl2br w:val="nil"/>
              <w:tr2bl w:val="nil"/>
            </w:tcBorders>
            <w:noWrap w:val="0"/>
            <w:vAlign w:val="center"/>
          </w:tcPr>
          <w:p>
            <w:pPr>
              <w:spacing w:line="240" w:lineRule="exact"/>
              <w:jc w:val="center"/>
              <w:rPr>
                <w:rFonts w:hint="eastAsia" w:ascii="宋体" w:hAnsi="宋体" w:eastAsia="宋体" w:cs="宋体"/>
                <w:color w:val="auto"/>
                <w:szCs w:val="21"/>
                <w:highlight w:val="none"/>
                <w:lang w:val="en-US" w:eastAsia="zh-CN"/>
              </w:rPr>
            </w:pPr>
          </w:p>
        </w:tc>
        <w:tc>
          <w:tcPr>
            <w:tcW w:w="5567" w:type="dxa"/>
            <w:tcBorders>
              <w:tl2br w:val="nil"/>
              <w:tr2bl w:val="nil"/>
            </w:tcBorders>
            <w:noWrap w:val="0"/>
            <w:vAlign w:val="center"/>
          </w:tcPr>
          <w:p>
            <w:pPr>
              <w:adjustRightInd w:val="0"/>
              <w:snapToGrid w:val="0"/>
              <w:spacing w:line="240" w:lineRule="exact"/>
              <w:jc w:val="left"/>
              <w:rPr>
                <w:rFonts w:hint="eastAsia" w:ascii="宋体" w:hAnsi="宋体" w:cs="宋体"/>
                <w:color w:val="auto"/>
                <w:szCs w:val="21"/>
                <w:highlight w:val="none"/>
                <w:lang w:val="en-US" w:eastAsia="zh-CN"/>
              </w:rPr>
            </w:pPr>
            <w:r>
              <w:rPr>
                <w:rFonts w:hint="eastAsia" w:ascii="宋体" w:hAnsi="宋体" w:cs="Calibri"/>
                <w:color w:val="auto"/>
                <w:szCs w:val="22"/>
                <w:highlight w:val="none"/>
              </w:rPr>
              <w:t>根据投标人的进度保证措施等酌情评分。</w:t>
            </w:r>
          </w:p>
        </w:tc>
        <w:tc>
          <w:tcPr>
            <w:tcW w:w="949" w:type="dxa"/>
            <w:tcBorders>
              <w:tl2br w:val="nil"/>
              <w:tr2bl w:val="nil"/>
            </w:tcBorders>
            <w:noWrap w:val="0"/>
            <w:vAlign w:val="center"/>
          </w:tcPr>
          <w:p>
            <w:pPr>
              <w:spacing w:line="240" w:lineRule="exact"/>
              <w:jc w:val="center"/>
              <w:rPr>
                <w:rFonts w:hint="eastAsia" w:ascii="宋体" w:hAnsi="宋体" w:cs="宋体"/>
                <w:color w:val="auto"/>
                <w:szCs w:val="21"/>
                <w:highlight w:val="none"/>
                <w:lang w:val="en-US" w:eastAsia="zh-CN"/>
              </w:rPr>
            </w:pPr>
            <w:r>
              <w:rPr>
                <w:rFonts w:hint="eastAsia" w:ascii="宋体" w:hAnsi="宋体" w:cs="Calibri"/>
                <w:color w:val="auto"/>
                <w:szCs w:val="21"/>
                <w:highlight w:val="none"/>
              </w:rPr>
              <w:t>0-</w:t>
            </w:r>
            <w:r>
              <w:rPr>
                <w:rFonts w:hint="eastAsia" w:ascii="宋体" w:hAnsi="宋体" w:cs="Calibri"/>
                <w:color w:val="auto"/>
                <w:szCs w:val="21"/>
                <w:highlight w:val="none"/>
                <w:lang w:val="en-US" w:eastAsia="zh-CN"/>
              </w:rPr>
              <w:t>4</w:t>
            </w:r>
            <w:r>
              <w:rPr>
                <w:rFonts w:hint="eastAsia" w:ascii="宋体" w:hAnsi="宋体" w:cs="宋体"/>
                <w:color w:val="auto"/>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5.3</w:t>
            </w:r>
          </w:p>
        </w:tc>
        <w:tc>
          <w:tcPr>
            <w:tcW w:w="1260" w:type="dxa"/>
            <w:vMerge w:val="continue"/>
            <w:tcBorders>
              <w:tl2br w:val="nil"/>
              <w:tr2bl w:val="nil"/>
            </w:tcBorders>
            <w:noWrap w:val="0"/>
            <w:vAlign w:val="center"/>
          </w:tcPr>
          <w:p>
            <w:pPr>
              <w:jc w:val="center"/>
              <w:rPr>
                <w:rFonts w:hint="eastAsia" w:ascii="宋体" w:hAnsi="宋体" w:eastAsia="宋体" w:cs="宋体"/>
                <w:color w:val="auto"/>
                <w:szCs w:val="21"/>
                <w:highlight w:val="none"/>
              </w:rPr>
            </w:pPr>
          </w:p>
        </w:tc>
        <w:tc>
          <w:tcPr>
            <w:tcW w:w="1230" w:type="dxa"/>
            <w:vMerge w:val="continue"/>
            <w:tcBorders>
              <w:tl2br w:val="nil"/>
              <w:tr2bl w:val="nil"/>
            </w:tcBorders>
            <w:noWrap w:val="0"/>
            <w:vAlign w:val="center"/>
          </w:tcPr>
          <w:p>
            <w:pPr>
              <w:spacing w:line="240" w:lineRule="exact"/>
              <w:jc w:val="center"/>
              <w:rPr>
                <w:rFonts w:hint="eastAsia" w:ascii="宋体" w:hAnsi="宋体" w:eastAsia="宋体" w:cs="宋体"/>
                <w:color w:val="auto"/>
                <w:szCs w:val="21"/>
                <w:highlight w:val="none"/>
                <w:lang w:val="en-US" w:eastAsia="zh-CN"/>
              </w:rPr>
            </w:pPr>
          </w:p>
        </w:tc>
        <w:tc>
          <w:tcPr>
            <w:tcW w:w="5567" w:type="dxa"/>
            <w:tcBorders>
              <w:tl2br w:val="nil"/>
              <w:tr2bl w:val="nil"/>
            </w:tcBorders>
            <w:noWrap w:val="0"/>
            <w:vAlign w:val="center"/>
          </w:tcPr>
          <w:p>
            <w:pPr>
              <w:adjustRightInd w:val="0"/>
              <w:snapToGrid w:val="0"/>
              <w:spacing w:line="240" w:lineRule="exact"/>
              <w:jc w:val="left"/>
              <w:rPr>
                <w:rFonts w:hint="eastAsia" w:ascii="宋体" w:hAnsi="宋体" w:cs="宋体"/>
                <w:color w:val="auto"/>
                <w:szCs w:val="21"/>
                <w:highlight w:val="none"/>
                <w:lang w:val="en-US" w:eastAsia="zh-CN"/>
              </w:rPr>
            </w:pPr>
            <w:r>
              <w:rPr>
                <w:rFonts w:hint="eastAsia" w:ascii="宋体" w:hAnsi="宋体" w:cs="Calibri"/>
                <w:color w:val="auto"/>
                <w:szCs w:val="22"/>
                <w:highlight w:val="none"/>
              </w:rPr>
              <w:t>根据投标人拟投入本项目的技术力量的数量</w:t>
            </w:r>
            <w:r>
              <w:rPr>
                <w:rFonts w:hint="eastAsia" w:ascii="宋体" w:hAnsi="宋体" w:cs="Calibri"/>
                <w:color w:val="auto"/>
                <w:szCs w:val="22"/>
                <w:highlight w:val="none"/>
                <w:lang w:eastAsia="zh-CN"/>
              </w:rPr>
              <w:t>，</w:t>
            </w:r>
            <w:r>
              <w:rPr>
                <w:rFonts w:hint="eastAsia" w:ascii="宋体" w:hAnsi="宋体" w:cs="宋体"/>
                <w:color w:val="auto"/>
                <w:kern w:val="0"/>
                <w:szCs w:val="21"/>
                <w:highlight w:val="none"/>
                <w:lang w:bidi="ar"/>
              </w:rPr>
              <w:t>投标时须提供相关证书复印件以及在本单位缴纳的近3个月社保证明。</w:t>
            </w:r>
          </w:p>
        </w:tc>
        <w:tc>
          <w:tcPr>
            <w:tcW w:w="949" w:type="dxa"/>
            <w:tcBorders>
              <w:tl2br w:val="nil"/>
              <w:tr2bl w:val="nil"/>
            </w:tcBorders>
            <w:noWrap w:val="0"/>
            <w:vAlign w:val="center"/>
          </w:tcPr>
          <w:p>
            <w:pPr>
              <w:spacing w:line="240" w:lineRule="exact"/>
              <w:jc w:val="center"/>
              <w:rPr>
                <w:rFonts w:hint="eastAsia" w:ascii="宋体" w:hAnsi="宋体" w:cs="宋体"/>
                <w:color w:val="auto"/>
                <w:szCs w:val="21"/>
                <w:highlight w:val="none"/>
                <w:lang w:val="en-US" w:eastAsia="zh-CN"/>
              </w:rPr>
            </w:pPr>
            <w:r>
              <w:rPr>
                <w:rFonts w:hint="eastAsia" w:ascii="宋体" w:hAnsi="宋体" w:cs="Calibri"/>
                <w:color w:val="auto"/>
                <w:szCs w:val="21"/>
                <w:highlight w:val="none"/>
              </w:rPr>
              <w:t>0-</w:t>
            </w:r>
            <w:r>
              <w:rPr>
                <w:rFonts w:hint="eastAsia" w:ascii="宋体" w:hAnsi="宋体" w:cs="Calibri"/>
                <w:color w:val="auto"/>
                <w:szCs w:val="21"/>
                <w:highlight w:val="none"/>
                <w:lang w:val="en-US" w:eastAsia="zh-CN"/>
              </w:rPr>
              <w:t>5</w:t>
            </w:r>
            <w:r>
              <w:rPr>
                <w:rFonts w:hint="eastAsia" w:ascii="宋体" w:hAnsi="宋体" w:cs="宋体"/>
                <w:color w:val="auto"/>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5.4</w:t>
            </w:r>
          </w:p>
        </w:tc>
        <w:tc>
          <w:tcPr>
            <w:tcW w:w="1260" w:type="dxa"/>
            <w:vMerge w:val="continue"/>
            <w:tcBorders>
              <w:tl2br w:val="nil"/>
              <w:tr2bl w:val="nil"/>
            </w:tcBorders>
            <w:noWrap w:val="0"/>
            <w:vAlign w:val="center"/>
          </w:tcPr>
          <w:p>
            <w:pPr>
              <w:jc w:val="center"/>
              <w:rPr>
                <w:rFonts w:hint="eastAsia" w:ascii="宋体" w:hAnsi="宋体" w:eastAsia="宋体" w:cs="宋体"/>
                <w:color w:val="auto"/>
                <w:szCs w:val="21"/>
                <w:highlight w:val="none"/>
              </w:rPr>
            </w:pPr>
          </w:p>
        </w:tc>
        <w:tc>
          <w:tcPr>
            <w:tcW w:w="1230" w:type="dxa"/>
            <w:vMerge w:val="continue"/>
            <w:tcBorders>
              <w:tl2br w:val="nil"/>
              <w:tr2bl w:val="nil"/>
            </w:tcBorders>
            <w:noWrap w:val="0"/>
            <w:vAlign w:val="center"/>
          </w:tcPr>
          <w:p>
            <w:pPr>
              <w:spacing w:line="240" w:lineRule="exact"/>
              <w:jc w:val="center"/>
              <w:rPr>
                <w:rFonts w:hint="eastAsia" w:ascii="宋体" w:hAnsi="宋体" w:eastAsia="宋体" w:cs="宋体"/>
                <w:color w:val="auto"/>
                <w:szCs w:val="21"/>
                <w:highlight w:val="none"/>
                <w:lang w:val="en-US" w:eastAsia="zh-CN"/>
              </w:rPr>
            </w:pPr>
          </w:p>
        </w:tc>
        <w:tc>
          <w:tcPr>
            <w:tcW w:w="5567" w:type="dxa"/>
            <w:tcBorders>
              <w:tl2br w:val="nil"/>
              <w:tr2bl w:val="nil"/>
            </w:tcBorders>
            <w:noWrap w:val="0"/>
            <w:vAlign w:val="center"/>
          </w:tcPr>
          <w:p>
            <w:pPr>
              <w:adjustRightInd w:val="0"/>
              <w:snapToGrid w:val="0"/>
              <w:spacing w:line="240" w:lineRule="exact"/>
              <w:jc w:val="left"/>
              <w:rPr>
                <w:rFonts w:hint="eastAsia" w:ascii="宋体" w:hAnsi="宋体" w:cs="宋体"/>
                <w:color w:val="auto"/>
                <w:szCs w:val="21"/>
                <w:highlight w:val="none"/>
                <w:lang w:val="en-US" w:eastAsia="zh-CN"/>
              </w:rPr>
            </w:pPr>
            <w:r>
              <w:rPr>
                <w:rFonts w:hint="eastAsia" w:ascii="宋体" w:hAnsi="宋体" w:cs="Calibri"/>
                <w:color w:val="auto"/>
                <w:szCs w:val="22"/>
                <w:highlight w:val="none"/>
              </w:rPr>
              <w:t>根据投标人的质量保证措施、安全管理方案等酌情评分。</w:t>
            </w:r>
          </w:p>
        </w:tc>
        <w:tc>
          <w:tcPr>
            <w:tcW w:w="949" w:type="dxa"/>
            <w:tcBorders>
              <w:tl2br w:val="nil"/>
              <w:tr2bl w:val="nil"/>
            </w:tcBorders>
            <w:noWrap w:val="0"/>
            <w:vAlign w:val="center"/>
          </w:tcPr>
          <w:p>
            <w:pPr>
              <w:spacing w:line="240" w:lineRule="exact"/>
              <w:jc w:val="center"/>
              <w:rPr>
                <w:rFonts w:hint="eastAsia" w:ascii="宋体" w:hAnsi="宋体" w:cs="宋体"/>
                <w:color w:val="auto"/>
                <w:szCs w:val="21"/>
                <w:highlight w:val="none"/>
                <w:lang w:val="en-US" w:eastAsia="zh-CN"/>
              </w:rPr>
            </w:pPr>
            <w:r>
              <w:rPr>
                <w:rFonts w:hint="eastAsia" w:ascii="宋体" w:hAnsi="宋体" w:cs="Calibri"/>
                <w:color w:val="auto"/>
                <w:szCs w:val="21"/>
                <w:highlight w:val="none"/>
              </w:rPr>
              <w:t>0-</w:t>
            </w:r>
            <w:r>
              <w:rPr>
                <w:rFonts w:hint="eastAsia" w:ascii="宋体" w:hAnsi="宋体" w:cs="Calibri"/>
                <w:color w:val="auto"/>
                <w:szCs w:val="21"/>
                <w:highlight w:val="none"/>
                <w:lang w:val="en-US" w:eastAsia="zh-CN"/>
              </w:rPr>
              <w:t>6</w:t>
            </w:r>
            <w:r>
              <w:rPr>
                <w:rFonts w:hint="eastAsia" w:ascii="宋体" w:hAnsi="宋体" w:cs="宋体"/>
                <w:color w:val="auto"/>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5.5</w:t>
            </w:r>
          </w:p>
        </w:tc>
        <w:tc>
          <w:tcPr>
            <w:tcW w:w="1260" w:type="dxa"/>
            <w:vMerge w:val="continue"/>
            <w:tcBorders>
              <w:tl2br w:val="nil"/>
              <w:tr2bl w:val="nil"/>
            </w:tcBorders>
            <w:noWrap w:val="0"/>
            <w:vAlign w:val="center"/>
          </w:tcPr>
          <w:p>
            <w:pPr>
              <w:jc w:val="center"/>
              <w:rPr>
                <w:rFonts w:hint="eastAsia" w:ascii="宋体" w:hAnsi="宋体" w:eastAsia="宋体" w:cs="宋体"/>
                <w:color w:val="auto"/>
                <w:szCs w:val="21"/>
                <w:highlight w:val="none"/>
              </w:rPr>
            </w:pPr>
          </w:p>
        </w:tc>
        <w:tc>
          <w:tcPr>
            <w:tcW w:w="1230" w:type="dxa"/>
            <w:vMerge w:val="continue"/>
            <w:tcBorders>
              <w:tl2br w:val="nil"/>
              <w:tr2bl w:val="nil"/>
            </w:tcBorders>
            <w:noWrap w:val="0"/>
            <w:vAlign w:val="center"/>
          </w:tcPr>
          <w:p>
            <w:pPr>
              <w:spacing w:line="240" w:lineRule="exact"/>
              <w:jc w:val="center"/>
              <w:rPr>
                <w:rFonts w:hint="eastAsia" w:ascii="宋体" w:hAnsi="宋体" w:eastAsia="宋体" w:cs="宋体"/>
                <w:color w:val="auto"/>
                <w:szCs w:val="21"/>
                <w:highlight w:val="none"/>
                <w:lang w:val="en-US" w:eastAsia="zh-CN"/>
              </w:rPr>
            </w:pPr>
          </w:p>
        </w:tc>
        <w:tc>
          <w:tcPr>
            <w:tcW w:w="5567" w:type="dxa"/>
            <w:tcBorders>
              <w:tl2br w:val="nil"/>
              <w:tr2bl w:val="nil"/>
            </w:tcBorders>
            <w:noWrap w:val="0"/>
            <w:vAlign w:val="center"/>
          </w:tcPr>
          <w:p>
            <w:pPr>
              <w:adjustRightInd w:val="0"/>
              <w:snapToGrid w:val="0"/>
              <w:spacing w:line="240" w:lineRule="exact"/>
              <w:jc w:val="left"/>
              <w:rPr>
                <w:rFonts w:hint="eastAsia" w:ascii="宋体" w:hAnsi="宋体" w:cs="宋体"/>
                <w:color w:val="auto"/>
                <w:szCs w:val="21"/>
                <w:highlight w:val="none"/>
                <w:lang w:val="en-US" w:eastAsia="zh-CN"/>
              </w:rPr>
            </w:pPr>
            <w:r>
              <w:rPr>
                <w:rFonts w:hint="eastAsia" w:ascii="宋体" w:hAnsi="宋体" w:cs="Calibri"/>
                <w:color w:val="auto"/>
                <w:szCs w:val="22"/>
                <w:highlight w:val="none"/>
              </w:rPr>
              <w:t>根据投标人的验收方案等酌情评分。</w:t>
            </w:r>
          </w:p>
        </w:tc>
        <w:tc>
          <w:tcPr>
            <w:tcW w:w="949" w:type="dxa"/>
            <w:tcBorders>
              <w:tl2br w:val="nil"/>
              <w:tr2bl w:val="nil"/>
            </w:tcBorders>
            <w:noWrap w:val="0"/>
            <w:vAlign w:val="center"/>
          </w:tcPr>
          <w:p>
            <w:pPr>
              <w:spacing w:line="240" w:lineRule="exact"/>
              <w:jc w:val="center"/>
              <w:rPr>
                <w:rFonts w:hint="eastAsia" w:ascii="宋体" w:hAnsi="宋体" w:cs="宋体"/>
                <w:color w:val="auto"/>
                <w:szCs w:val="21"/>
                <w:highlight w:val="none"/>
                <w:lang w:val="en-US" w:eastAsia="zh-CN"/>
              </w:rPr>
            </w:pPr>
            <w:r>
              <w:rPr>
                <w:rFonts w:hint="eastAsia" w:ascii="宋体" w:hAnsi="宋体" w:cs="Calibri"/>
                <w:color w:val="auto"/>
                <w:szCs w:val="21"/>
                <w:highlight w:val="none"/>
              </w:rPr>
              <w:t>0-</w:t>
            </w:r>
            <w:r>
              <w:rPr>
                <w:rFonts w:hint="eastAsia" w:ascii="宋体" w:hAnsi="宋体" w:cs="Calibri"/>
                <w:color w:val="auto"/>
                <w:szCs w:val="21"/>
                <w:highlight w:val="none"/>
                <w:lang w:val="en-US" w:eastAsia="zh-CN"/>
              </w:rPr>
              <w:t>3</w:t>
            </w:r>
            <w:r>
              <w:rPr>
                <w:rFonts w:hint="eastAsia" w:ascii="宋体" w:hAnsi="宋体" w:cs="宋体"/>
                <w:color w:val="auto"/>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5.6</w:t>
            </w:r>
          </w:p>
        </w:tc>
        <w:tc>
          <w:tcPr>
            <w:tcW w:w="1260" w:type="dxa"/>
            <w:vMerge w:val="continue"/>
            <w:tcBorders>
              <w:tl2br w:val="nil"/>
              <w:tr2bl w:val="nil"/>
            </w:tcBorders>
            <w:noWrap w:val="0"/>
            <w:vAlign w:val="center"/>
          </w:tcPr>
          <w:p>
            <w:pPr>
              <w:jc w:val="center"/>
              <w:rPr>
                <w:rFonts w:hint="eastAsia" w:ascii="宋体" w:hAnsi="宋体" w:eastAsia="宋体" w:cs="宋体"/>
                <w:color w:val="auto"/>
                <w:szCs w:val="21"/>
                <w:highlight w:val="none"/>
              </w:rPr>
            </w:pPr>
          </w:p>
        </w:tc>
        <w:tc>
          <w:tcPr>
            <w:tcW w:w="1230" w:type="dxa"/>
            <w:vMerge w:val="continue"/>
            <w:tcBorders>
              <w:tl2br w:val="nil"/>
              <w:tr2bl w:val="nil"/>
            </w:tcBorders>
            <w:noWrap w:val="0"/>
            <w:vAlign w:val="center"/>
          </w:tcPr>
          <w:p>
            <w:pPr>
              <w:spacing w:line="240" w:lineRule="exact"/>
              <w:jc w:val="center"/>
              <w:rPr>
                <w:rFonts w:hint="eastAsia" w:ascii="宋体" w:hAnsi="宋体" w:eastAsia="宋体" w:cs="宋体"/>
                <w:color w:val="auto"/>
                <w:szCs w:val="21"/>
                <w:highlight w:val="none"/>
                <w:lang w:val="en-US" w:eastAsia="zh-CN"/>
              </w:rPr>
            </w:pPr>
          </w:p>
        </w:tc>
        <w:tc>
          <w:tcPr>
            <w:tcW w:w="5567" w:type="dxa"/>
            <w:tcBorders>
              <w:tl2br w:val="nil"/>
              <w:tr2bl w:val="nil"/>
            </w:tcBorders>
            <w:noWrap w:val="0"/>
            <w:vAlign w:val="center"/>
          </w:tcPr>
          <w:p>
            <w:pPr>
              <w:adjustRightInd w:val="0"/>
              <w:snapToGrid w:val="0"/>
              <w:spacing w:line="240" w:lineRule="exact"/>
              <w:jc w:val="left"/>
              <w:rPr>
                <w:rFonts w:hint="eastAsia" w:ascii="宋体" w:hAnsi="宋体" w:cs="宋体"/>
                <w:color w:val="auto"/>
                <w:szCs w:val="21"/>
                <w:highlight w:val="none"/>
                <w:lang w:val="en-US" w:eastAsia="zh-CN"/>
              </w:rPr>
            </w:pPr>
            <w:r>
              <w:rPr>
                <w:rFonts w:hint="eastAsia" w:ascii="宋体" w:hAnsi="宋体" w:cs="Calibri"/>
                <w:color w:val="auto"/>
                <w:szCs w:val="22"/>
                <w:highlight w:val="none"/>
              </w:rPr>
              <w:t>根据投标人的维保方案等酌情评分。</w:t>
            </w:r>
          </w:p>
        </w:tc>
        <w:tc>
          <w:tcPr>
            <w:tcW w:w="949" w:type="dxa"/>
            <w:tcBorders>
              <w:tl2br w:val="nil"/>
              <w:tr2bl w:val="nil"/>
            </w:tcBorders>
            <w:noWrap w:val="0"/>
            <w:vAlign w:val="center"/>
          </w:tcPr>
          <w:p>
            <w:pPr>
              <w:spacing w:line="240" w:lineRule="exact"/>
              <w:jc w:val="center"/>
              <w:rPr>
                <w:rFonts w:hint="eastAsia" w:ascii="宋体" w:hAnsi="宋体" w:cs="宋体"/>
                <w:color w:val="auto"/>
                <w:szCs w:val="21"/>
                <w:highlight w:val="none"/>
                <w:lang w:val="en-US" w:eastAsia="zh-CN"/>
              </w:rPr>
            </w:pPr>
            <w:r>
              <w:rPr>
                <w:rFonts w:hint="eastAsia" w:ascii="宋体" w:hAnsi="宋体" w:cs="Calibri"/>
                <w:color w:val="auto"/>
                <w:szCs w:val="21"/>
                <w:highlight w:val="none"/>
              </w:rPr>
              <w:t>0-</w:t>
            </w:r>
            <w:r>
              <w:rPr>
                <w:rFonts w:hint="eastAsia" w:ascii="宋体" w:hAnsi="宋体" w:cs="Calibri"/>
                <w:color w:val="auto"/>
                <w:szCs w:val="21"/>
                <w:highlight w:val="none"/>
                <w:lang w:val="en-US" w:eastAsia="zh-CN"/>
              </w:rPr>
              <w:t>3</w:t>
            </w:r>
            <w:r>
              <w:rPr>
                <w:rFonts w:hint="eastAsia" w:ascii="宋体" w:hAnsi="宋体" w:cs="宋体"/>
                <w:color w:val="auto"/>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.1</w:t>
            </w:r>
          </w:p>
        </w:tc>
        <w:tc>
          <w:tcPr>
            <w:tcW w:w="1260" w:type="dxa"/>
            <w:vMerge w:val="restart"/>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服务承诺</w:t>
            </w:r>
          </w:p>
        </w:tc>
        <w:tc>
          <w:tcPr>
            <w:tcW w:w="1230" w:type="dxa"/>
            <w:tcBorders>
              <w:tl2br w:val="nil"/>
              <w:tr2bl w:val="nil"/>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客观分</w:t>
            </w:r>
          </w:p>
        </w:tc>
        <w:tc>
          <w:tcPr>
            <w:tcW w:w="5567" w:type="dxa"/>
            <w:tcBorders>
              <w:tl2br w:val="nil"/>
              <w:tr2bl w:val="nil"/>
            </w:tcBorders>
            <w:noWrap w:val="0"/>
            <w:vAlign w:val="center"/>
          </w:tcPr>
          <w:p>
            <w:pPr>
              <w:pStyle w:val="20"/>
              <w:widowControl/>
              <w:rPr>
                <w:rFonts w:hint="eastAsia" w:ascii="宋体" w:hAnsi="宋体" w:eastAsia="宋体" w:cs="宋体"/>
                <w:color w:val="auto"/>
                <w:szCs w:val="21"/>
                <w:highlight w:val="none"/>
                <w:lang w:val="en-US" w:eastAsia="zh-CN"/>
              </w:rPr>
            </w:pPr>
            <w:r>
              <w:rPr>
                <w:rFonts w:hint="eastAsia"/>
                <w:bCs/>
                <w:color w:val="auto"/>
                <w:szCs w:val="20"/>
                <w:highlight w:val="none"/>
              </w:rPr>
              <w:t>根据投标人提供的质保期，每延长</w:t>
            </w:r>
            <w:r>
              <w:rPr>
                <w:rFonts w:hint="eastAsia"/>
                <w:bCs/>
                <w:color w:val="auto"/>
                <w:szCs w:val="20"/>
                <w:highlight w:val="none"/>
                <w:lang w:val="en-US" w:eastAsia="zh-CN"/>
              </w:rPr>
              <w:t>半年</w:t>
            </w:r>
            <w:r>
              <w:rPr>
                <w:rFonts w:hint="eastAsia"/>
                <w:bCs/>
                <w:color w:val="auto"/>
                <w:szCs w:val="20"/>
                <w:highlight w:val="none"/>
              </w:rPr>
              <w:t>得1分，最多得2分。</w:t>
            </w:r>
          </w:p>
        </w:tc>
        <w:tc>
          <w:tcPr>
            <w:tcW w:w="949" w:type="dxa"/>
            <w:tcBorders>
              <w:tl2br w:val="nil"/>
              <w:tr2bl w:val="nil"/>
            </w:tcBorders>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787" w:type="dxa"/>
            <w:tcBorders>
              <w:tl2br w:val="nil"/>
              <w:tr2bl w:val="nil"/>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.2</w:t>
            </w:r>
          </w:p>
        </w:tc>
        <w:tc>
          <w:tcPr>
            <w:tcW w:w="1260" w:type="dxa"/>
            <w:vMerge w:val="continue"/>
            <w:tcBorders>
              <w:tl2br w:val="nil"/>
              <w:tr2bl w:val="nil"/>
            </w:tcBorders>
            <w:noWrap w:val="0"/>
            <w:vAlign w:val="center"/>
          </w:tcPr>
          <w:p>
            <w:pPr>
              <w:jc w:val="center"/>
              <w:rPr>
                <w:rFonts w:hint="eastAsia" w:ascii="宋体" w:hAnsi="宋体" w:eastAsia="宋体" w:cs="宋体"/>
                <w:color w:val="auto"/>
                <w:szCs w:val="21"/>
                <w:highlight w:val="none"/>
              </w:rPr>
            </w:pPr>
          </w:p>
        </w:tc>
        <w:tc>
          <w:tcPr>
            <w:tcW w:w="1230" w:type="dxa"/>
            <w:tcBorders>
              <w:tl2br w:val="nil"/>
              <w:tr2bl w:val="nil"/>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客观分</w:t>
            </w:r>
          </w:p>
        </w:tc>
        <w:tc>
          <w:tcPr>
            <w:tcW w:w="5567" w:type="dxa"/>
            <w:tcBorders>
              <w:tl2br w:val="nil"/>
              <w:tr2bl w:val="nil"/>
            </w:tcBorders>
            <w:noWrap w:val="0"/>
            <w:vAlign w:val="center"/>
          </w:tcPr>
          <w:p>
            <w:pPr>
              <w:pStyle w:val="20"/>
              <w:widowControl/>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所投产品（电脑、打印机）原厂售后服务承诺函并加盖原厂公章，</w:t>
            </w:r>
            <w:r>
              <w:rPr>
                <w:rFonts w:hint="eastAsia" w:ascii="宋体" w:hAnsi="宋体" w:eastAsia="宋体" w:cs="Times New Roman"/>
                <w:color w:val="auto"/>
                <w:szCs w:val="21"/>
                <w:highlight w:val="none"/>
                <w:lang w:val="en-US" w:eastAsia="zh-CN"/>
              </w:rPr>
              <w:t>提供一个得1分，</w:t>
            </w:r>
            <w:r>
              <w:rPr>
                <w:rFonts w:hint="eastAsia" w:ascii="宋体" w:hAnsi="宋体" w:eastAsia="宋体" w:cs="Times New Roman"/>
                <w:color w:val="auto"/>
                <w:szCs w:val="21"/>
                <w:highlight w:val="none"/>
              </w:rPr>
              <w:t>不提供不得分。</w:t>
            </w:r>
          </w:p>
        </w:tc>
        <w:tc>
          <w:tcPr>
            <w:tcW w:w="949" w:type="dxa"/>
            <w:tcBorders>
              <w:tl2br w:val="nil"/>
              <w:tr2bl w:val="nil"/>
            </w:tcBorders>
            <w:noWrap w:val="0"/>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787" w:type="dxa"/>
            <w:tcBorders>
              <w:tl2br w:val="nil"/>
              <w:tr2bl w:val="nil"/>
            </w:tcBorders>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6.3</w:t>
            </w:r>
          </w:p>
        </w:tc>
        <w:tc>
          <w:tcPr>
            <w:tcW w:w="1260" w:type="dxa"/>
            <w:vMerge w:val="continue"/>
            <w:tcBorders>
              <w:tl2br w:val="nil"/>
              <w:tr2bl w:val="nil"/>
            </w:tcBorders>
            <w:noWrap w:val="0"/>
            <w:vAlign w:val="center"/>
          </w:tcPr>
          <w:p>
            <w:pPr>
              <w:jc w:val="center"/>
              <w:rPr>
                <w:rFonts w:hint="eastAsia" w:ascii="宋体" w:hAnsi="宋体" w:eastAsia="宋体" w:cs="宋体"/>
                <w:color w:val="auto"/>
                <w:szCs w:val="21"/>
                <w:highlight w:val="none"/>
              </w:rPr>
            </w:pPr>
          </w:p>
        </w:tc>
        <w:tc>
          <w:tcPr>
            <w:tcW w:w="1230" w:type="dxa"/>
            <w:tcBorders>
              <w:tl2br w:val="nil"/>
              <w:tr2bl w:val="nil"/>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主观分</w:t>
            </w:r>
          </w:p>
        </w:tc>
        <w:tc>
          <w:tcPr>
            <w:tcW w:w="5567" w:type="dxa"/>
            <w:tcBorders>
              <w:tl2br w:val="nil"/>
              <w:tr2bl w:val="nil"/>
            </w:tcBorders>
            <w:noWrap w:val="0"/>
            <w:vAlign w:val="center"/>
          </w:tcPr>
          <w:p>
            <w:pPr>
              <w:pStyle w:val="20"/>
              <w:widowControl/>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售后服务：包括售中售后服务的内容及措施、维修服务的响应时间、解决维修的时间、服务方案等内容等情况酌情评分</w:t>
            </w:r>
            <w:r>
              <w:rPr>
                <w:rFonts w:hint="eastAsia" w:ascii="宋体" w:hAnsi="宋体" w:eastAsia="宋体" w:cs="Times New Roman"/>
                <w:color w:val="auto"/>
                <w:szCs w:val="21"/>
                <w:highlight w:val="none"/>
                <w:lang w:eastAsia="zh-CN"/>
              </w:rPr>
              <w:t>。</w:t>
            </w:r>
          </w:p>
        </w:tc>
        <w:tc>
          <w:tcPr>
            <w:tcW w:w="949" w:type="dxa"/>
            <w:tcBorders>
              <w:tl2br w:val="nil"/>
              <w:tr2bl w:val="nil"/>
            </w:tcBorders>
            <w:noWrap w:val="0"/>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0-3分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b/>
          <w:bCs/>
          <w:color w:val="auto"/>
          <w:szCs w:val="21"/>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b/>
          <w:bCs/>
          <w:color w:val="auto"/>
          <w:szCs w:val="21"/>
          <w:highlight w:val="none"/>
        </w:rPr>
      </w:pPr>
    </w:p>
    <w:p>
      <w:pPr>
        <w:pStyle w:val="14"/>
        <w:numPr>
          <w:ilvl w:val="0"/>
          <w:numId w:val="0"/>
        </w:numPr>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宋体" w:hAnsi="宋体"/>
          <w:b/>
          <w:bCs/>
          <w:color w:val="auto"/>
          <w:szCs w:val="21"/>
          <w:highlight w:val="none"/>
        </w:rPr>
      </w:pPr>
      <w:bookmarkStart w:id="143" w:name="_Toc357584969"/>
      <w:bookmarkStart w:id="144" w:name="_Toc401844727"/>
    </w:p>
    <w:p>
      <w:pPr>
        <w:rPr>
          <w:color w:val="auto"/>
          <w:szCs w:val="21"/>
          <w:highlight w:val="none"/>
        </w:rPr>
      </w:pPr>
    </w:p>
    <w:bookmarkEnd w:id="143"/>
    <w:bookmarkEnd w:id="144"/>
    <w:p>
      <w:pPr>
        <w:pStyle w:val="3"/>
        <w:spacing w:before="120" w:beforeLines="50" w:after="120" w:afterLines="50" w:line="360" w:lineRule="auto"/>
        <w:jc w:val="center"/>
        <w:rPr>
          <w:rFonts w:hint="eastAsia"/>
          <w:b/>
          <w:bCs/>
          <w:color w:val="auto"/>
          <w:szCs w:val="21"/>
          <w:highlight w:val="none"/>
        </w:rPr>
      </w:pPr>
      <w:bookmarkStart w:id="145" w:name="_Toc4643"/>
      <w:r>
        <w:rPr>
          <w:rFonts w:hint="eastAsia" w:eastAsia="楷体_GB2312"/>
          <w:bCs w:val="0"/>
          <w:color w:val="auto"/>
          <w:kern w:val="2"/>
          <w:sz w:val="32"/>
          <w:szCs w:val="32"/>
          <w:highlight w:val="none"/>
        </w:rPr>
        <w:br w:type="page"/>
      </w:r>
      <w:bookmarkStart w:id="146" w:name="_Toc242"/>
      <w:r>
        <w:rPr>
          <w:rFonts w:hint="eastAsia" w:eastAsia="楷体_GB2312"/>
          <w:bCs w:val="0"/>
          <w:color w:val="auto"/>
          <w:kern w:val="2"/>
          <w:sz w:val="32"/>
          <w:szCs w:val="32"/>
          <w:highlight w:val="none"/>
        </w:rPr>
        <w:t>第五章  采购合同（指引）</w:t>
      </w:r>
      <w:bookmarkEnd w:id="145"/>
      <w:bookmarkEnd w:id="146"/>
      <w:bookmarkStart w:id="147" w:name="_Toc24335"/>
      <w:bookmarkStart w:id="148" w:name="_Toc26249"/>
    </w:p>
    <w:p>
      <w:pPr>
        <w:numPr>
          <w:ilvl w:val="0"/>
          <w:numId w:val="2"/>
        </w:numPr>
        <w:adjustRightInd w:val="0"/>
        <w:snapToGrid w:val="0"/>
        <w:spacing w:before="120" w:beforeLines="50" w:after="120" w:afterLines="50" w:line="360" w:lineRule="auto"/>
        <w:jc w:val="center"/>
        <w:outlineLvl w:val="1"/>
        <w:rPr>
          <w:rFonts w:hint="eastAsia"/>
          <w:color w:val="auto"/>
          <w:highlight w:val="none"/>
        </w:rPr>
      </w:pPr>
      <w:bookmarkStart w:id="149" w:name="_Toc185"/>
      <w:bookmarkStart w:id="150" w:name="_Toc4489"/>
      <w:bookmarkStart w:id="151" w:name="_Toc23946"/>
      <w:r>
        <w:rPr>
          <w:rFonts w:hint="eastAsia"/>
          <w:b/>
          <w:bCs/>
          <w:color w:val="auto"/>
          <w:szCs w:val="21"/>
          <w:highlight w:val="none"/>
        </w:rPr>
        <w:t>通用必备条款部分</w:t>
      </w:r>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合同编号：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38万</w:t>
      </w:r>
      <w:r>
        <w:rPr>
          <w:rFonts w:hint="eastAsia" w:ascii="宋体" w:hAnsi="宋体"/>
          <w:color w:val="auto"/>
          <w:szCs w:val="21"/>
          <w:highlight w:val="none"/>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采购人（以下称甲方）：</w:t>
      </w:r>
      <w:r>
        <w:rPr>
          <w:rFonts w:hint="eastAsia" w:ascii="宋体" w:hAnsi="宋体"/>
          <w:color w:val="auto"/>
          <w:szCs w:val="21"/>
          <w:highlight w:val="none"/>
          <w:lang w:eastAsia="zh-CN"/>
        </w:rPr>
        <w:t>海宁乐派芯园科技有限公司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供应商（以下称乙方）：</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嘉兴市中诚建设咨询有限公司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采购方式：公开招标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根据《中华人民共和国民法典》、参照《中华人民共和国政府采购法》等法律法规的规定，甲乙双方按照</w:t>
      </w:r>
      <w:r>
        <w:rPr>
          <w:rFonts w:hint="eastAsia" w:ascii="宋体" w:hAnsi="宋体"/>
          <w:b/>
          <w:bCs/>
          <w:color w:val="auto"/>
          <w:szCs w:val="21"/>
          <w:highlight w:val="none"/>
          <w:u w:val="single"/>
          <w:lang w:eastAsia="zh-CN"/>
        </w:rPr>
        <w:t>乐派芯园一期物业开办物资采购项目（项目编号HNZCCG20241001）</w:t>
      </w:r>
      <w:r>
        <w:rPr>
          <w:rFonts w:hint="eastAsia" w:ascii="宋体" w:hAnsi="宋体"/>
          <w:color w:val="auto"/>
          <w:szCs w:val="21"/>
          <w:highlight w:val="none"/>
        </w:rPr>
        <w:t>签订本合同。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第一条 合同组成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本次采购活动的相关文件为本合同的组成部分，这些文件包括但不限于：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1.1本合同文本；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1.2采购文件与采购响应文件；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1.3中标或成交通知书；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组成本合同的所有文件必须为书面形式。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第二条 合同标的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2.1本次采购的是</w:t>
      </w:r>
      <w:r>
        <w:rPr>
          <w:rFonts w:hint="eastAsia" w:ascii="宋体" w:hAnsi="宋体"/>
          <w:b/>
          <w:bCs/>
          <w:color w:val="auto"/>
          <w:szCs w:val="21"/>
          <w:highlight w:val="none"/>
          <w:u w:val="single"/>
          <w:lang w:eastAsia="zh-CN"/>
        </w:rPr>
        <w:t>乐派芯园一期物业开办物资采购项目</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第三条 合同价款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3.1本合同项目总价款为人民币（大写）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元）分项价款详见本合同特殊专用条款部分。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auto"/>
          <w:szCs w:val="21"/>
          <w:highlight w:val="none"/>
        </w:rPr>
      </w:pPr>
      <w:r>
        <w:rPr>
          <w:rFonts w:hint="eastAsia" w:ascii="宋体" w:hAnsi="宋体"/>
          <w:color w:val="auto"/>
          <w:szCs w:val="21"/>
          <w:highlight w:val="none"/>
        </w:rPr>
        <w:t>3.2本合同</w:t>
      </w:r>
      <w:r>
        <w:rPr>
          <w:color w:val="auto"/>
          <w:szCs w:val="21"/>
          <w:highlight w:val="none"/>
        </w:rPr>
        <w:t>价</w:t>
      </w:r>
      <w:r>
        <w:rPr>
          <w:rFonts w:hint="eastAsia"/>
          <w:color w:val="auto"/>
          <w:szCs w:val="21"/>
          <w:highlight w:val="none"/>
        </w:rPr>
        <w:t>款包括货款、</w:t>
      </w:r>
      <w:r>
        <w:rPr>
          <w:color w:val="auto"/>
          <w:szCs w:val="21"/>
          <w:highlight w:val="none"/>
        </w:rPr>
        <w:t>标准附件</w:t>
      </w:r>
      <w:r>
        <w:rPr>
          <w:rFonts w:hint="eastAsia"/>
          <w:color w:val="auto"/>
          <w:szCs w:val="21"/>
          <w:highlight w:val="none"/>
        </w:rPr>
        <w:t>、备品备件、专用工具、</w:t>
      </w:r>
      <w:r>
        <w:rPr>
          <w:color w:val="auto"/>
          <w:szCs w:val="21"/>
          <w:highlight w:val="none"/>
        </w:rPr>
        <w:t>包装、运输、装卸、</w:t>
      </w:r>
      <w:r>
        <w:rPr>
          <w:rFonts w:hint="eastAsia"/>
          <w:color w:val="auto"/>
          <w:szCs w:val="21"/>
          <w:highlight w:val="none"/>
        </w:rPr>
        <w:t>设备保管、</w:t>
      </w:r>
      <w:r>
        <w:rPr>
          <w:color w:val="auto"/>
          <w:szCs w:val="21"/>
          <w:highlight w:val="none"/>
        </w:rPr>
        <w:t>货到就位以及安装</w:t>
      </w:r>
      <w:r>
        <w:rPr>
          <w:rFonts w:hint="eastAsia"/>
          <w:color w:val="auto"/>
          <w:szCs w:val="21"/>
          <w:highlight w:val="none"/>
        </w:rPr>
        <w:t>调试及</w:t>
      </w:r>
      <w:r>
        <w:rPr>
          <w:color w:val="auto"/>
          <w:szCs w:val="21"/>
          <w:highlight w:val="none"/>
        </w:rPr>
        <w:t>保修</w:t>
      </w:r>
      <w:r>
        <w:rPr>
          <w:rFonts w:hint="eastAsia"/>
          <w:color w:val="auto"/>
          <w:szCs w:val="21"/>
          <w:highlight w:val="none"/>
        </w:rPr>
        <w:t>、验收（含第三方）</w:t>
      </w:r>
      <w:r>
        <w:rPr>
          <w:color w:val="auto"/>
          <w:szCs w:val="21"/>
          <w:highlight w:val="none"/>
        </w:rPr>
        <w:t>和</w:t>
      </w:r>
      <w:r>
        <w:rPr>
          <w:rFonts w:hint="eastAsia"/>
          <w:color w:val="auto"/>
          <w:szCs w:val="21"/>
          <w:highlight w:val="none"/>
        </w:rPr>
        <w:t>管理费、</w:t>
      </w:r>
      <w:r>
        <w:rPr>
          <w:rFonts w:hint="eastAsia"/>
          <w:color w:val="auto"/>
          <w:szCs w:val="21"/>
          <w:highlight w:val="none"/>
          <w:lang w:val="en-US" w:eastAsia="zh-CN"/>
        </w:rPr>
        <w:t>培训、</w:t>
      </w:r>
      <w:r>
        <w:rPr>
          <w:rFonts w:hint="eastAsia"/>
          <w:color w:val="auto"/>
          <w:szCs w:val="21"/>
          <w:highlight w:val="none"/>
        </w:rPr>
        <w:t>保险、税金、</w:t>
      </w:r>
      <w:r>
        <w:rPr>
          <w:color w:val="auto"/>
          <w:szCs w:val="21"/>
          <w:highlight w:val="none"/>
        </w:rPr>
        <w:t>政策性风险</w:t>
      </w:r>
      <w:r>
        <w:rPr>
          <w:rFonts w:hint="eastAsia"/>
          <w:color w:val="auto"/>
          <w:szCs w:val="21"/>
          <w:highlight w:val="none"/>
        </w:rPr>
        <w:t>等完成本项目的</w:t>
      </w:r>
      <w:r>
        <w:rPr>
          <w:color w:val="auto"/>
          <w:szCs w:val="21"/>
          <w:highlight w:val="none"/>
        </w:rPr>
        <w:t>一切</w:t>
      </w:r>
      <w:r>
        <w:rPr>
          <w:rFonts w:hint="eastAsia"/>
          <w:color w:val="auto"/>
          <w:szCs w:val="21"/>
          <w:highlight w:val="none"/>
        </w:rPr>
        <w:t>含</w:t>
      </w:r>
      <w:r>
        <w:rPr>
          <w:color w:val="auto"/>
          <w:szCs w:val="21"/>
          <w:highlight w:val="none"/>
        </w:rPr>
        <w:t>税费用</w:t>
      </w:r>
      <w:r>
        <w:rPr>
          <w:rFonts w:hint="eastAsia"/>
          <w:color w:val="auto"/>
          <w:szCs w:val="21"/>
          <w:highlight w:val="none"/>
        </w:rPr>
        <w:t>（包含一切不可预见费，直至正常使用为止）。</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3.2.1本项目采用固定单价合同，按实结算。根据实际项目实施中数量的增加或减少，结算时单价不作调整，按实际数量调整总价。</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3.2.2因现场实际测量尺寸与设备技术参数及性能表中提供尺寸引起的偏差，结算时价格不作调整。</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3.3付款手续和付款时间</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3.3.1付款手续</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olor w:val="auto"/>
          <w:szCs w:val="21"/>
          <w:highlight w:val="none"/>
        </w:rPr>
      </w:pPr>
      <w:r>
        <w:rPr>
          <w:rFonts w:hint="eastAsia" w:ascii="宋体" w:hAnsi="Times New Roman" w:cs="Times New Roman"/>
          <w:color w:val="auto"/>
          <w:kern w:val="0"/>
          <w:szCs w:val="21"/>
          <w:highlight w:val="none"/>
        </w:rPr>
        <w:t>结算时</w:t>
      </w:r>
      <w:r>
        <w:rPr>
          <w:rFonts w:hint="eastAsia" w:ascii="宋体" w:hAnsi="Times New Roman" w:cs="Times New Roman"/>
          <w:color w:val="auto"/>
          <w:kern w:val="0"/>
          <w:szCs w:val="21"/>
          <w:highlight w:val="none"/>
          <w:lang w:val="en-US" w:eastAsia="zh-CN"/>
        </w:rPr>
        <w:t>乙方</w:t>
      </w:r>
      <w:r>
        <w:rPr>
          <w:rFonts w:hint="eastAsia" w:ascii="宋体" w:hAnsi="Times New Roman" w:cs="Times New Roman"/>
          <w:color w:val="auto"/>
          <w:kern w:val="0"/>
          <w:szCs w:val="21"/>
          <w:highlight w:val="none"/>
        </w:rPr>
        <w:t>需向</w:t>
      </w:r>
      <w:r>
        <w:rPr>
          <w:rFonts w:hint="eastAsia" w:ascii="宋体" w:hAnsi="Times New Roman" w:cs="Times New Roman"/>
          <w:color w:val="auto"/>
          <w:kern w:val="0"/>
          <w:szCs w:val="21"/>
          <w:highlight w:val="none"/>
          <w:lang w:val="en-US" w:eastAsia="zh-CN"/>
        </w:rPr>
        <w:t>甲方</w:t>
      </w:r>
      <w:r>
        <w:rPr>
          <w:rFonts w:hint="eastAsia" w:ascii="宋体" w:hAnsi="Times New Roman" w:cs="Times New Roman"/>
          <w:color w:val="auto"/>
          <w:kern w:val="0"/>
          <w:szCs w:val="21"/>
          <w:highlight w:val="none"/>
        </w:rPr>
        <w:t>提供如下材料：合法发票原件（每次付款时提交，发票上应注明合同编号）、《采购合同》复印件、</w:t>
      </w:r>
      <w:r>
        <w:rPr>
          <w:rFonts w:hint="eastAsia" w:ascii="宋体" w:hAnsi="Times New Roman" w:cs="Times New Roman"/>
          <w:color w:val="auto"/>
          <w:kern w:val="0"/>
          <w:szCs w:val="21"/>
          <w:highlight w:val="none"/>
          <w:lang w:val="en-US" w:eastAsia="zh-CN"/>
        </w:rPr>
        <w:t>甲方</w:t>
      </w:r>
      <w:r>
        <w:rPr>
          <w:rFonts w:hint="eastAsia" w:ascii="宋体" w:hAnsi="Times New Roman" w:cs="Times New Roman"/>
          <w:color w:val="auto"/>
          <w:kern w:val="0"/>
          <w:szCs w:val="21"/>
          <w:highlight w:val="none"/>
        </w:rPr>
        <w:t>出具的付款证明或</w:t>
      </w:r>
      <w:r>
        <w:rPr>
          <w:rFonts w:hint="eastAsia" w:ascii="宋体" w:hAnsi="Times New Roman" w:cs="Times New Roman"/>
          <w:color w:val="auto"/>
          <w:kern w:val="0"/>
          <w:szCs w:val="21"/>
          <w:highlight w:val="none"/>
          <w:lang w:val="en-US" w:eastAsia="zh-CN"/>
        </w:rPr>
        <w:t>甲方</w:t>
      </w:r>
      <w:r>
        <w:rPr>
          <w:rFonts w:hint="eastAsia" w:ascii="宋体" w:hAnsi="Times New Roman" w:cs="Times New Roman"/>
          <w:color w:val="auto"/>
          <w:kern w:val="0"/>
          <w:szCs w:val="21"/>
          <w:highlight w:val="none"/>
        </w:rPr>
        <w:t>签收的“项目验收单”等相关资料。</w:t>
      </w:r>
      <w:r>
        <w:rPr>
          <w:rFonts w:hint="eastAsia" w:ascii="宋体" w:hAnsi="Times New Roman" w:cs="Times New Roman"/>
          <w:color w:val="auto"/>
          <w:kern w:val="0"/>
          <w:szCs w:val="21"/>
          <w:highlight w:val="none"/>
          <w:lang w:val="en-US" w:eastAsia="zh-CN"/>
        </w:rPr>
        <w:t>甲方</w:t>
      </w:r>
      <w:r>
        <w:rPr>
          <w:rFonts w:hint="eastAsia" w:ascii="宋体" w:hAnsi="Times New Roman" w:cs="Times New Roman"/>
          <w:color w:val="auto"/>
          <w:kern w:val="0"/>
          <w:szCs w:val="21"/>
          <w:highlight w:val="none"/>
        </w:rPr>
        <w:t>将审核后的结算资料提交至单位财务部门，经审核无误后，单位财务部门在相应的时间内支付货款。</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3.3.2付款时间</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Times New Roman" w:cs="Times New Roman"/>
          <w:color w:val="auto"/>
          <w:kern w:val="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合同签订后，每</w:t>
      </w:r>
      <w:r>
        <w:rPr>
          <w:rFonts w:hint="eastAsia" w:ascii="宋体" w:hAnsi="宋体"/>
          <w:color w:val="auto"/>
          <w:szCs w:val="21"/>
          <w:highlight w:val="none"/>
          <w:lang w:val="en-US" w:eastAsia="zh-CN"/>
        </w:rPr>
        <w:t>半年</w:t>
      </w:r>
      <w:r>
        <w:rPr>
          <w:rFonts w:hint="eastAsia" w:ascii="宋体" w:hAnsi="宋体"/>
          <w:color w:val="auto"/>
          <w:szCs w:val="21"/>
          <w:highlight w:val="none"/>
        </w:rPr>
        <w:t>结算一次，每</w:t>
      </w:r>
      <w:r>
        <w:rPr>
          <w:rFonts w:hint="eastAsia" w:ascii="宋体" w:hAnsi="宋体"/>
          <w:color w:val="auto"/>
          <w:szCs w:val="21"/>
          <w:highlight w:val="none"/>
          <w:lang w:val="en-US" w:eastAsia="zh-CN"/>
        </w:rPr>
        <w:t>半年</w:t>
      </w:r>
      <w:r>
        <w:rPr>
          <w:rFonts w:hint="eastAsia" w:ascii="宋体" w:hAnsi="宋体"/>
          <w:color w:val="auto"/>
          <w:szCs w:val="21"/>
          <w:highlight w:val="none"/>
        </w:rPr>
        <w:t>的</w:t>
      </w:r>
      <w:r>
        <w:rPr>
          <w:rFonts w:hint="eastAsia" w:ascii="宋体" w:hAnsi="宋体"/>
          <w:color w:val="auto"/>
          <w:szCs w:val="21"/>
          <w:highlight w:val="none"/>
          <w:lang w:val="en-US" w:eastAsia="zh-CN"/>
        </w:rPr>
        <w:t>物资交付安装完成</w:t>
      </w:r>
      <w:r>
        <w:rPr>
          <w:rFonts w:hint="eastAsia" w:ascii="宋体" w:hAnsi="宋体"/>
          <w:color w:val="auto"/>
          <w:szCs w:val="21"/>
          <w:highlight w:val="none"/>
          <w:lang w:eastAsia="zh-CN"/>
        </w:rPr>
        <w:t>并通过验收</w:t>
      </w:r>
      <w:r>
        <w:rPr>
          <w:rFonts w:hint="eastAsia" w:ascii="宋体" w:hAnsi="宋体"/>
          <w:color w:val="auto"/>
          <w:szCs w:val="21"/>
          <w:highlight w:val="none"/>
        </w:rPr>
        <w:t>，收到</w:t>
      </w:r>
      <w:r>
        <w:rPr>
          <w:rFonts w:hint="eastAsia" w:ascii="宋体" w:hAnsi="宋体"/>
          <w:color w:val="auto"/>
          <w:szCs w:val="21"/>
          <w:highlight w:val="none"/>
          <w:lang w:val="en-US" w:eastAsia="zh-CN"/>
        </w:rPr>
        <w:t>乙方</w:t>
      </w:r>
      <w:r>
        <w:rPr>
          <w:rFonts w:hint="eastAsia" w:ascii="宋体" w:hAnsi="宋体"/>
          <w:color w:val="auto"/>
          <w:szCs w:val="21"/>
          <w:highlight w:val="none"/>
        </w:rPr>
        <w:t>开具的发票后，采购人支付至该</w:t>
      </w:r>
      <w:r>
        <w:rPr>
          <w:rFonts w:hint="eastAsia" w:ascii="宋体" w:hAnsi="宋体"/>
          <w:color w:val="auto"/>
          <w:szCs w:val="21"/>
          <w:highlight w:val="none"/>
          <w:lang w:val="en-US" w:eastAsia="zh-CN"/>
        </w:rPr>
        <w:t>半年</w:t>
      </w:r>
      <w:r>
        <w:rPr>
          <w:rFonts w:hint="eastAsia" w:ascii="宋体" w:hAnsi="宋体"/>
          <w:color w:val="auto"/>
          <w:szCs w:val="21"/>
          <w:highlight w:val="none"/>
        </w:rPr>
        <w:t>实际产生费用</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outlineLvl w:val="2"/>
        <w:rPr>
          <w:rFonts w:ascii="宋体" w:hAnsi="宋体"/>
          <w:b/>
          <w:bCs/>
          <w:color w:val="auto"/>
          <w:szCs w:val="21"/>
          <w:highlight w:val="none"/>
        </w:rPr>
      </w:pPr>
      <w:r>
        <w:rPr>
          <w:rFonts w:hint="eastAsia" w:ascii="宋体" w:hAnsi="宋体"/>
          <w:b/>
          <w:bCs/>
          <w:color w:val="auto"/>
          <w:szCs w:val="21"/>
          <w:highlight w:val="none"/>
        </w:rPr>
        <w:t>第四条 履约保证金和质量保证金</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Times New Roman" w:cs="Times New Roman"/>
          <w:color w:val="auto"/>
          <w:kern w:val="0"/>
          <w:szCs w:val="21"/>
          <w:highlight w:val="none"/>
        </w:rPr>
      </w:pPr>
      <w:r>
        <w:rPr>
          <w:rFonts w:hint="eastAsia" w:ascii="宋体" w:hAnsi="Times New Roman" w:cs="Times New Roman"/>
          <w:color w:val="auto"/>
          <w:kern w:val="0"/>
          <w:szCs w:val="21"/>
          <w:highlight w:val="none"/>
        </w:rPr>
        <w:t>本项目设置履约保证金，乙方应于收到</w:t>
      </w:r>
      <w:r>
        <w:rPr>
          <w:rFonts w:hint="eastAsia" w:ascii="宋体" w:hAnsi="Times New Roman" w:cs="Times New Roman"/>
          <w:color w:val="auto"/>
          <w:kern w:val="0"/>
          <w:szCs w:val="21"/>
          <w:highlight w:val="none"/>
          <w:lang w:val="en-US" w:eastAsia="zh-CN"/>
        </w:rPr>
        <w:t>成交</w:t>
      </w:r>
      <w:r>
        <w:rPr>
          <w:rFonts w:hint="eastAsia" w:ascii="宋体" w:hAnsi="Times New Roman" w:cs="Times New Roman"/>
          <w:color w:val="auto"/>
          <w:kern w:val="0"/>
          <w:szCs w:val="21"/>
          <w:highlight w:val="none"/>
        </w:rPr>
        <w:t>通知书后以支票、汇票、本票或保函等形式向甲方交纳合同总金额</w:t>
      </w:r>
      <w:r>
        <w:rPr>
          <w:rFonts w:hint="eastAsia" w:ascii="宋体" w:cs="Times New Roman"/>
          <w:color w:val="auto"/>
          <w:kern w:val="0"/>
          <w:szCs w:val="21"/>
          <w:highlight w:val="none"/>
          <w:lang w:val="en-US" w:eastAsia="zh-CN"/>
        </w:rPr>
        <w:t>2</w:t>
      </w:r>
      <w:r>
        <w:rPr>
          <w:rFonts w:hint="eastAsia" w:ascii="宋体" w:hAnsi="Times New Roman" w:cs="Times New Roman"/>
          <w:color w:val="auto"/>
          <w:kern w:val="0"/>
          <w:szCs w:val="21"/>
          <w:highlight w:val="none"/>
        </w:rPr>
        <w:t>%的履约保证金。履约保证金在合同约定交货验收合格后自行转为质量保证金。本项目</w:t>
      </w:r>
      <w:r>
        <w:rPr>
          <w:rFonts w:hint="eastAsia" w:ascii="宋体" w:hAnsi="Times New Roman" w:cs="Times New Roman"/>
          <w:color w:val="auto"/>
          <w:kern w:val="0"/>
          <w:szCs w:val="21"/>
          <w:highlight w:val="none"/>
          <w:lang w:val="en-US" w:eastAsia="zh-CN"/>
        </w:rPr>
        <w:t>质保期满后</w:t>
      </w:r>
      <w:r>
        <w:rPr>
          <w:rFonts w:hint="eastAsia" w:ascii="宋体" w:hAnsi="Times New Roman" w:cs="Times New Roman"/>
          <w:color w:val="auto"/>
          <w:kern w:val="0"/>
          <w:szCs w:val="21"/>
          <w:highlight w:val="none"/>
        </w:rPr>
        <w:t>，无质量和售后服务问题的，由采购人凭中标人的合法收据不计息退还质量保证金</w:t>
      </w:r>
      <w:r>
        <w:rPr>
          <w:rFonts w:hint="eastAsia" w:ascii="宋体" w:hAnsi="Times New Roman" w:cs="Times New Roman"/>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第五条 合同的变更和终止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本合同一经签订，甲乙双方不得擅自终止合同或对合同实质性条款进行变更。确有特殊情况的，须报甲方上级主管部门备案。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第六条 合同的转让与分包</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宋体" w:hAnsi="宋体"/>
          <w:color w:val="auto"/>
          <w:szCs w:val="21"/>
          <w:highlight w:val="none"/>
          <w:lang w:val="en-US" w:eastAsia="zh-CN"/>
        </w:rPr>
      </w:pPr>
      <w:r>
        <w:rPr>
          <w:rFonts w:hint="eastAsia"/>
          <w:color w:val="auto"/>
          <w:szCs w:val="21"/>
          <w:highlight w:val="none"/>
        </w:rPr>
        <w:t>本项目不允许转包</w:t>
      </w:r>
      <w:r>
        <w:rPr>
          <w:rFonts w:hint="eastAsia"/>
          <w:color w:val="auto"/>
          <w:szCs w:val="21"/>
          <w:highlight w:val="none"/>
          <w:lang w:eastAsia="zh-CN"/>
        </w:rPr>
        <w:t>，</w:t>
      </w:r>
      <w:r>
        <w:rPr>
          <w:rFonts w:hint="eastAsia"/>
          <w:color w:val="auto"/>
          <w:szCs w:val="21"/>
          <w:highlight w:val="none"/>
        </w:rPr>
        <w:t>乙方部分需分包的应经过甲方书面同意。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第七条 争议的解决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olor w:val="auto"/>
          <w:szCs w:val="21"/>
          <w:highlight w:val="none"/>
        </w:rPr>
      </w:pPr>
      <w:r>
        <w:rPr>
          <w:rFonts w:hint="eastAsia" w:ascii="宋体" w:hAnsi="宋体"/>
          <w:color w:val="auto"/>
          <w:szCs w:val="21"/>
          <w:highlight w:val="none"/>
        </w:rPr>
        <w:t>因履行本合同引起的或与本合同有关的争议，甲、乙双方应首先通过友好协商解决，如果协商不能解决争议，则向甲方所在地有管辖权的人民法院提起诉讼。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b/>
          <w:color w:val="auto"/>
          <w:szCs w:val="21"/>
          <w:highlight w:val="none"/>
        </w:rPr>
      </w:pPr>
      <w:r>
        <w:rPr>
          <w:rFonts w:hint="eastAsia" w:ascii="宋体" w:hAnsi="宋体"/>
          <w:b/>
          <w:color w:val="auto"/>
          <w:szCs w:val="21"/>
          <w:highlight w:val="none"/>
        </w:rPr>
        <w:t>第八条 合同备案及其他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lang w:val="en-US" w:eastAsia="zh-CN"/>
        </w:rPr>
        <w:t>五</w:t>
      </w:r>
      <w:r>
        <w:rPr>
          <w:rFonts w:hint="eastAsia" w:ascii="宋体" w:hAnsi="宋体"/>
          <w:color w:val="auto"/>
          <w:szCs w:val="21"/>
          <w:highlight w:val="none"/>
        </w:rPr>
        <w:t>份，甲方、乙方各执二份，</w:t>
      </w:r>
      <w:r>
        <w:rPr>
          <w:rFonts w:hint="eastAsia" w:ascii="宋体" w:hAnsi="宋体" w:eastAsia="宋体" w:cs="Arial"/>
          <w:color w:val="auto"/>
          <w:szCs w:val="21"/>
          <w:highlight w:val="none"/>
          <w:lang w:eastAsia="zh-CN"/>
        </w:rPr>
        <w:t>嘉兴市中诚建设咨询有限公司</w:t>
      </w:r>
      <w:r>
        <w:rPr>
          <w:rFonts w:hint="eastAsia" w:ascii="宋体" w:hAnsi="宋体"/>
          <w:color w:val="auto"/>
          <w:szCs w:val="21"/>
          <w:highlight w:val="none"/>
        </w:rPr>
        <w:t>执</w:t>
      </w:r>
      <w:r>
        <w:rPr>
          <w:rFonts w:hint="eastAsia" w:ascii="宋体" w:hAnsi="宋体"/>
          <w:color w:val="auto"/>
          <w:szCs w:val="21"/>
          <w:highlight w:val="none"/>
          <w:lang w:val="en-US" w:eastAsia="zh-CN"/>
        </w:rPr>
        <w:t>一</w:t>
      </w:r>
      <w:r>
        <w:rPr>
          <w:rFonts w:hint="eastAsia" w:ascii="宋体" w:hAnsi="宋体"/>
          <w:color w:val="auto"/>
          <w:szCs w:val="21"/>
          <w:highlight w:val="none"/>
        </w:rPr>
        <w:t>份。</w:t>
      </w:r>
    </w:p>
    <w:p>
      <w:pPr>
        <w:adjustRightInd w:val="0"/>
        <w:snapToGrid w:val="0"/>
        <w:spacing w:line="380" w:lineRule="exact"/>
        <w:ind w:firstLine="480"/>
        <w:rPr>
          <w:rFonts w:hint="eastAsia" w:ascii="宋体" w:hAnsi="宋体"/>
          <w:color w:val="auto"/>
          <w:szCs w:val="21"/>
          <w:highlight w:val="none"/>
        </w:rPr>
      </w:pPr>
    </w:p>
    <w:p>
      <w:pPr>
        <w:adjustRightInd w:val="0"/>
        <w:snapToGrid w:val="0"/>
        <w:spacing w:line="380" w:lineRule="exact"/>
        <w:jc w:val="center"/>
        <w:outlineLvl w:val="1"/>
        <w:rPr>
          <w:b/>
          <w:bCs/>
          <w:color w:val="auto"/>
          <w:szCs w:val="21"/>
          <w:highlight w:val="none"/>
        </w:rPr>
      </w:pPr>
      <w:bookmarkStart w:id="152" w:name="_Toc14225"/>
      <w:bookmarkStart w:id="153" w:name="_Toc26742"/>
      <w:bookmarkStart w:id="154" w:name="_Toc27090"/>
      <w:bookmarkStart w:id="155" w:name="_Toc14913"/>
      <w:bookmarkStart w:id="156" w:name="_Toc11630"/>
      <w:r>
        <w:rPr>
          <w:rFonts w:hint="eastAsia"/>
          <w:b/>
          <w:bCs/>
          <w:color w:val="auto"/>
          <w:szCs w:val="21"/>
          <w:highlight w:val="none"/>
        </w:rPr>
        <w:t>二、特殊专用条款部分</w:t>
      </w:r>
      <w:bookmarkEnd w:id="152"/>
      <w:bookmarkEnd w:id="153"/>
      <w:bookmarkEnd w:id="154"/>
      <w:bookmarkEnd w:id="155"/>
      <w:bookmarkEnd w:id="156"/>
    </w:p>
    <w:p>
      <w:pPr>
        <w:adjustRightInd w:val="0"/>
        <w:snapToGrid w:val="0"/>
        <w:spacing w:line="380" w:lineRule="exact"/>
        <w:jc w:val="center"/>
        <w:rPr>
          <w:rFonts w:hint="eastAsia"/>
          <w:b/>
          <w:bCs/>
          <w:color w:val="auto"/>
          <w:szCs w:val="21"/>
          <w:highlight w:val="none"/>
        </w:rPr>
      </w:pPr>
    </w:p>
    <w:p>
      <w:pPr>
        <w:spacing w:line="360" w:lineRule="auto"/>
        <w:ind w:firstLine="413" w:firstLineChars="196"/>
        <w:outlineLvl w:val="2"/>
        <w:rPr>
          <w:rFonts w:hint="eastAsia" w:ascii="宋体" w:hAnsi="宋体" w:cs="宋体"/>
          <w:b/>
          <w:color w:val="auto"/>
          <w:szCs w:val="21"/>
          <w:highlight w:val="none"/>
        </w:rPr>
      </w:pPr>
      <w:r>
        <w:rPr>
          <w:rFonts w:hint="eastAsia" w:ascii="宋体" w:hAnsi="宋体" w:cs="宋体"/>
          <w:b/>
          <w:color w:val="auto"/>
          <w:szCs w:val="21"/>
          <w:highlight w:val="none"/>
        </w:rPr>
        <w:t xml:space="preserve">第一条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采购货物名称、品牌、型号、数量、金额及供货时间</w:t>
      </w:r>
    </w:p>
    <w:p>
      <w:pPr>
        <w:widowControl/>
        <w:adjustRightInd w:val="0"/>
        <w:snapToGrid w:val="0"/>
        <w:spacing w:line="360" w:lineRule="auto"/>
        <w:ind w:firstLine="561"/>
        <w:jc w:val="right"/>
        <w:rPr>
          <w:rFonts w:hint="eastAsia" w:ascii="宋体" w:hAnsi="宋体" w:cs="宋体"/>
          <w:color w:val="auto"/>
          <w:szCs w:val="21"/>
          <w:highlight w:val="none"/>
        </w:rPr>
      </w:pPr>
      <w:r>
        <w:rPr>
          <w:rFonts w:hint="eastAsia" w:ascii="宋体" w:hAnsi="宋体" w:cs="宋体"/>
          <w:color w:val="auto"/>
          <w:szCs w:val="21"/>
          <w:highlight w:val="none"/>
        </w:rPr>
        <w:t>单位：人民币元</w:t>
      </w:r>
    </w:p>
    <w:tbl>
      <w:tblPr>
        <w:tblStyle w:val="36"/>
        <w:tblW w:w="9646" w:type="dxa"/>
        <w:jc w:val="center"/>
        <w:tblInd w:w="0" w:type="dxa"/>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23"/>
        <w:gridCol w:w="929"/>
        <w:gridCol w:w="1497"/>
        <w:gridCol w:w="1905"/>
        <w:gridCol w:w="719"/>
        <w:gridCol w:w="774"/>
        <w:gridCol w:w="893"/>
        <w:gridCol w:w="931"/>
      </w:tblGrid>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75" w:type="dxa"/>
            <w:vAlign w:val="center"/>
          </w:tcPr>
          <w:p>
            <w:pPr>
              <w:widowControl/>
              <w:spacing w:line="360" w:lineRule="auto"/>
              <w:jc w:val="center"/>
              <w:rPr>
                <w:rFonts w:hint="eastAsia" w:ascii="宋体" w:hAnsi="宋体" w:cs="宋体"/>
                <w:color w:val="auto"/>
                <w:spacing w:val="-22"/>
                <w:szCs w:val="21"/>
                <w:highlight w:val="none"/>
              </w:rPr>
            </w:pPr>
            <w:r>
              <w:rPr>
                <w:rFonts w:hint="eastAsia" w:ascii="宋体" w:hAnsi="宋体" w:cs="宋体"/>
                <w:color w:val="auto"/>
                <w:spacing w:val="-22"/>
                <w:szCs w:val="21"/>
                <w:highlight w:val="none"/>
              </w:rPr>
              <w:t>序号</w:t>
            </w:r>
          </w:p>
        </w:tc>
        <w:tc>
          <w:tcPr>
            <w:tcW w:w="1323" w:type="dxa"/>
            <w:vAlign w:val="center"/>
          </w:tcPr>
          <w:p>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929" w:type="dxa"/>
            <w:vAlign w:val="center"/>
          </w:tcPr>
          <w:p>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1497" w:type="dxa"/>
            <w:vAlign w:val="center"/>
          </w:tcPr>
          <w:p>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型号</w:t>
            </w:r>
          </w:p>
        </w:tc>
        <w:tc>
          <w:tcPr>
            <w:tcW w:w="1905"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货物规格</w:t>
            </w:r>
          </w:p>
        </w:tc>
        <w:tc>
          <w:tcPr>
            <w:tcW w:w="719" w:type="dxa"/>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vAlign w:val="center"/>
          </w:tcPr>
          <w:p>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93" w:type="dxa"/>
            <w:vAlign w:val="center"/>
          </w:tcPr>
          <w:p>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w:t>
            </w:r>
          </w:p>
        </w:tc>
        <w:tc>
          <w:tcPr>
            <w:tcW w:w="931" w:type="dxa"/>
            <w:vAlign w:val="center"/>
          </w:tcPr>
          <w:p>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75" w:type="dxa"/>
            <w:vAlign w:val="center"/>
          </w:tcPr>
          <w:p>
            <w:pPr>
              <w:widowControl/>
              <w:spacing w:line="360" w:lineRule="auto"/>
              <w:jc w:val="center"/>
              <w:rPr>
                <w:rFonts w:hint="eastAsia" w:ascii="宋体" w:hAnsi="宋体" w:cs="宋体"/>
                <w:color w:val="auto"/>
                <w:spacing w:val="-22"/>
                <w:szCs w:val="21"/>
                <w:highlight w:val="none"/>
              </w:rPr>
            </w:pPr>
          </w:p>
        </w:tc>
        <w:tc>
          <w:tcPr>
            <w:tcW w:w="1323" w:type="dxa"/>
            <w:vAlign w:val="center"/>
          </w:tcPr>
          <w:p>
            <w:pPr>
              <w:widowControl/>
              <w:spacing w:line="360" w:lineRule="auto"/>
              <w:jc w:val="center"/>
              <w:rPr>
                <w:rFonts w:hint="eastAsia" w:ascii="宋体" w:hAnsi="宋体" w:cs="宋体"/>
                <w:color w:val="auto"/>
                <w:szCs w:val="21"/>
                <w:highlight w:val="none"/>
              </w:rPr>
            </w:pPr>
          </w:p>
        </w:tc>
        <w:tc>
          <w:tcPr>
            <w:tcW w:w="929" w:type="dxa"/>
            <w:vAlign w:val="center"/>
          </w:tcPr>
          <w:p>
            <w:pPr>
              <w:widowControl/>
              <w:spacing w:line="360" w:lineRule="auto"/>
              <w:jc w:val="center"/>
              <w:rPr>
                <w:rFonts w:hint="eastAsia" w:ascii="宋体" w:hAnsi="宋体" w:cs="宋体"/>
                <w:color w:val="auto"/>
                <w:szCs w:val="21"/>
                <w:highlight w:val="none"/>
              </w:rPr>
            </w:pPr>
          </w:p>
        </w:tc>
        <w:tc>
          <w:tcPr>
            <w:tcW w:w="1497" w:type="dxa"/>
            <w:vAlign w:val="center"/>
          </w:tcPr>
          <w:p>
            <w:pPr>
              <w:widowControl/>
              <w:spacing w:line="360" w:lineRule="auto"/>
              <w:jc w:val="center"/>
              <w:rPr>
                <w:rFonts w:hint="eastAsia" w:ascii="宋体" w:hAnsi="宋体" w:cs="宋体"/>
                <w:color w:val="auto"/>
                <w:szCs w:val="21"/>
                <w:highlight w:val="none"/>
              </w:rPr>
            </w:pPr>
          </w:p>
        </w:tc>
        <w:tc>
          <w:tcPr>
            <w:tcW w:w="1905" w:type="dxa"/>
            <w:vAlign w:val="center"/>
          </w:tcPr>
          <w:p>
            <w:pPr>
              <w:spacing w:line="360" w:lineRule="auto"/>
              <w:jc w:val="center"/>
              <w:rPr>
                <w:rFonts w:hint="eastAsia" w:ascii="宋体" w:hAnsi="宋体" w:cs="宋体"/>
                <w:color w:val="auto"/>
                <w:szCs w:val="21"/>
                <w:highlight w:val="none"/>
              </w:rPr>
            </w:pPr>
          </w:p>
        </w:tc>
        <w:tc>
          <w:tcPr>
            <w:tcW w:w="719" w:type="dxa"/>
            <w:vAlign w:val="center"/>
          </w:tcPr>
          <w:p>
            <w:pPr>
              <w:spacing w:line="360" w:lineRule="auto"/>
              <w:jc w:val="center"/>
              <w:rPr>
                <w:rFonts w:hint="eastAsia" w:ascii="宋体" w:hAnsi="宋体" w:cs="宋体"/>
                <w:color w:val="auto"/>
                <w:szCs w:val="21"/>
                <w:highlight w:val="none"/>
              </w:rPr>
            </w:pPr>
          </w:p>
        </w:tc>
        <w:tc>
          <w:tcPr>
            <w:tcW w:w="774" w:type="dxa"/>
            <w:vAlign w:val="center"/>
          </w:tcPr>
          <w:p>
            <w:pPr>
              <w:widowControl/>
              <w:spacing w:line="360" w:lineRule="auto"/>
              <w:jc w:val="center"/>
              <w:rPr>
                <w:rFonts w:hint="eastAsia" w:ascii="宋体" w:hAnsi="宋体" w:cs="宋体"/>
                <w:color w:val="auto"/>
                <w:szCs w:val="21"/>
                <w:highlight w:val="none"/>
              </w:rPr>
            </w:pPr>
          </w:p>
        </w:tc>
        <w:tc>
          <w:tcPr>
            <w:tcW w:w="893" w:type="dxa"/>
            <w:vAlign w:val="center"/>
          </w:tcPr>
          <w:p>
            <w:pPr>
              <w:widowControl/>
              <w:spacing w:line="360" w:lineRule="auto"/>
              <w:jc w:val="center"/>
              <w:rPr>
                <w:rFonts w:hint="eastAsia" w:ascii="宋体" w:hAnsi="宋体" w:cs="宋体"/>
                <w:color w:val="auto"/>
                <w:szCs w:val="21"/>
                <w:highlight w:val="none"/>
              </w:rPr>
            </w:pPr>
          </w:p>
        </w:tc>
        <w:tc>
          <w:tcPr>
            <w:tcW w:w="931" w:type="dxa"/>
            <w:vAlign w:val="center"/>
          </w:tcPr>
          <w:p>
            <w:pPr>
              <w:widowControl/>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75" w:type="dxa"/>
            <w:vAlign w:val="center"/>
          </w:tcPr>
          <w:p>
            <w:pPr>
              <w:widowControl/>
              <w:spacing w:line="360" w:lineRule="auto"/>
              <w:jc w:val="center"/>
              <w:rPr>
                <w:rFonts w:hint="eastAsia" w:ascii="宋体" w:hAnsi="宋体" w:cs="宋体"/>
                <w:color w:val="auto"/>
                <w:spacing w:val="-22"/>
                <w:szCs w:val="21"/>
                <w:highlight w:val="none"/>
              </w:rPr>
            </w:pPr>
          </w:p>
        </w:tc>
        <w:tc>
          <w:tcPr>
            <w:tcW w:w="1323" w:type="dxa"/>
            <w:vAlign w:val="center"/>
          </w:tcPr>
          <w:p>
            <w:pPr>
              <w:widowControl/>
              <w:spacing w:line="360" w:lineRule="auto"/>
              <w:jc w:val="center"/>
              <w:rPr>
                <w:rFonts w:hint="eastAsia" w:ascii="宋体" w:hAnsi="宋体" w:cs="宋体"/>
                <w:color w:val="auto"/>
                <w:szCs w:val="21"/>
                <w:highlight w:val="none"/>
              </w:rPr>
            </w:pPr>
          </w:p>
        </w:tc>
        <w:tc>
          <w:tcPr>
            <w:tcW w:w="929" w:type="dxa"/>
            <w:vAlign w:val="center"/>
          </w:tcPr>
          <w:p>
            <w:pPr>
              <w:widowControl/>
              <w:spacing w:line="360" w:lineRule="auto"/>
              <w:jc w:val="center"/>
              <w:rPr>
                <w:rFonts w:hint="eastAsia" w:ascii="宋体" w:hAnsi="宋体" w:cs="宋体"/>
                <w:color w:val="auto"/>
                <w:szCs w:val="21"/>
                <w:highlight w:val="none"/>
              </w:rPr>
            </w:pPr>
          </w:p>
        </w:tc>
        <w:tc>
          <w:tcPr>
            <w:tcW w:w="1497" w:type="dxa"/>
            <w:vAlign w:val="center"/>
          </w:tcPr>
          <w:p>
            <w:pPr>
              <w:widowControl/>
              <w:spacing w:line="360" w:lineRule="auto"/>
              <w:jc w:val="center"/>
              <w:rPr>
                <w:rFonts w:hint="eastAsia" w:ascii="宋体" w:hAnsi="宋体" w:cs="宋体"/>
                <w:color w:val="auto"/>
                <w:szCs w:val="21"/>
                <w:highlight w:val="none"/>
              </w:rPr>
            </w:pPr>
          </w:p>
        </w:tc>
        <w:tc>
          <w:tcPr>
            <w:tcW w:w="1905" w:type="dxa"/>
            <w:vAlign w:val="center"/>
          </w:tcPr>
          <w:p>
            <w:pPr>
              <w:spacing w:line="360" w:lineRule="auto"/>
              <w:jc w:val="center"/>
              <w:rPr>
                <w:rFonts w:hint="eastAsia" w:ascii="宋体" w:hAnsi="宋体" w:cs="宋体"/>
                <w:color w:val="auto"/>
                <w:szCs w:val="21"/>
                <w:highlight w:val="none"/>
              </w:rPr>
            </w:pPr>
          </w:p>
        </w:tc>
        <w:tc>
          <w:tcPr>
            <w:tcW w:w="719" w:type="dxa"/>
            <w:vAlign w:val="center"/>
          </w:tcPr>
          <w:p>
            <w:pPr>
              <w:spacing w:line="360" w:lineRule="auto"/>
              <w:jc w:val="center"/>
              <w:rPr>
                <w:rFonts w:hint="eastAsia" w:ascii="宋体" w:hAnsi="宋体" w:cs="宋体"/>
                <w:color w:val="auto"/>
                <w:szCs w:val="21"/>
                <w:highlight w:val="none"/>
              </w:rPr>
            </w:pPr>
          </w:p>
        </w:tc>
        <w:tc>
          <w:tcPr>
            <w:tcW w:w="774" w:type="dxa"/>
            <w:vAlign w:val="center"/>
          </w:tcPr>
          <w:p>
            <w:pPr>
              <w:widowControl/>
              <w:spacing w:line="360" w:lineRule="auto"/>
              <w:jc w:val="center"/>
              <w:rPr>
                <w:rFonts w:hint="eastAsia" w:ascii="宋体" w:hAnsi="宋体" w:cs="宋体"/>
                <w:color w:val="auto"/>
                <w:szCs w:val="21"/>
                <w:highlight w:val="none"/>
              </w:rPr>
            </w:pPr>
          </w:p>
        </w:tc>
        <w:tc>
          <w:tcPr>
            <w:tcW w:w="893" w:type="dxa"/>
            <w:vAlign w:val="center"/>
          </w:tcPr>
          <w:p>
            <w:pPr>
              <w:widowControl/>
              <w:spacing w:line="360" w:lineRule="auto"/>
              <w:jc w:val="center"/>
              <w:rPr>
                <w:rFonts w:hint="eastAsia" w:ascii="宋体" w:hAnsi="宋体" w:cs="宋体"/>
                <w:color w:val="auto"/>
                <w:szCs w:val="21"/>
                <w:highlight w:val="none"/>
              </w:rPr>
            </w:pPr>
          </w:p>
        </w:tc>
        <w:tc>
          <w:tcPr>
            <w:tcW w:w="931" w:type="dxa"/>
            <w:vAlign w:val="center"/>
          </w:tcPr>
          <w:p>
            <w:pPr>
              <w:widowControl/>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6"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00" w:hRule="atLeast"/>
          <w:jc w:val="center"/>
        </w:trPr>
        <w:tc>
          <w:tcPr>
            <w:tcW w:w="9646" w:type="dxa"/>
            <w:gridSpan w:val="9"/>
            <w:vAlign w:val="center"/>
          </w:tcPr>
          <w:p>
            <w:pPr>
              <w:widowControl/>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合计</w:t>
            </w:r>
            <w:r>
              <w:rPr>
                <w:rFonts w:hint="eastAsia" w:ascii="宋体" w:hAnsi="宋体"/>
                <w:b/>
                <w:bCs/>
                <w:color w:val="auto"/>
                <w:szCs w:val="21"/>
                <w:highlight w:val="none"/>
              </w:rPr>
              <w:t>人民币（大写）</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，（小写：</w:t>
            </w:r>
            <w:r>
              <w:rPr>
                <w:rFonts w:hint="eastAsia" w:ascii="宋体" w:hAnsi="宋体"/>
                <w:b/>
                <w:bCs/>
                <w:color w:val="auto"/>
                <w:szCs w:val="21"/>
                <w:highlight w:val="none"/>
                <w:u w:val="single"/>
              </w:rPr>
              <w:t xml:space="preserve"> </w:t>
            </w:r>
            <w:r>
              <w:rPr>
                <w:rFonts w:ascii="宋体" w:hAnsi="宋体"/>
                <w:b/>
                <w:bCs/>
                <w:color w:val="auto"/>
                <w:szCs w:val="21"/>
                <w:highlight w:val="none"/>
                <w:u w:val="single"/>
              </w:rPr>
              <w:t xml:space="preserve">       </w:t>
            </w:r>
            <w:r>
              <w:rPr>
                <w:rFonts w:hint="eastAsia" w:ascii="宋体" w:hAnsi="宋体"/>
                <w:b/>
                <w:bCs/>
                <w:color w:val="auto"/>
                <w:szCs w:val="21"/>
                <w:highlight w:val="none"/>
              </w:rPr>
              <w:t>元）</w:t>
            </w:r>
          </w:p>
        </w:tc>
      </w:tr>
    </w:tbl>
    <w:p>
      <w:pPr>
        <w:keepNext w:val="0"/>
        <w:keepLines w:val="0"/>
        <w:pageBreakBefore w:val="0"/>
        <w:kinsoku/>
        <w:wordWrap/>
        <w:overflowPunct/>
        <w:topLinePunct w:val="0"/>
        <w:autoSpaceDE/>
        <w:autoSpaceDN/>
        <w:bidi w:val="0"/>
        <w:spacing w:line="360" w:lineRule="auto"/>
        <w:ind w:firstLine="422" w:firstLineChars="200"/>
        <w:jc w:val="left"/>
        <w:textAlignment w:val="auto"/>
        <w:outlineLvl w:val="2"/>
        <w:rPr>
          <w:rFonts w:hint="eastAsia" w:ascii="宋体" w:hAnsi="宋体" w:cs="宋体"/>
          <w:color w:val="auto"/>
          <w:szCs w:val="21"/>
          <w:highlight w:val="none"/>
        </w:rPr>
      </w:pPr>
      <w:r>
        <w:rPr>
          <w:rFonts w:hint="eastAsia" w:ascii="宋体" w:hAnsi="宋体" w:cs="宋体"/>
          <w:b/>
          <w:color w:val="auto"/>
          <w:szCs w:val="21"/>
          <w:highlight w:val="none"/>
        </w:rPr>
        <w:t xml:space="preserve">第二条 </w:t>
      </w:r>
      <w:r>
        <w:rPr>
          <w:rFonts w:hint="eastAsia" w:ascii="宋体" w:hAnsi="宋体" w:cs="宋体"/>
          <w:b/>
          <w:color w:val="auto"/>
          <w:szCs w:val="21"/>
          <w:highlight w:val="none"/>
          <w:lang w:val="en-US" w:eastAsia="zh-CN"/>
        </w:rPr>
        <w:t xml:space="preserve"> </w:t>
      </w:r>
      <w:r>
        <w:rPr>
          <w:rFonts w:hint="eastAsia" w:ascii="宋体" w:hAnsi="宋体" w:cs="宋体"/>
          <w:b/>
          <w:bCs/>
          <w:color w:val="auto"/>
          <w:szCs w:val="21"/>
          <w:highlight w:val="none"/>
        </w:rPr>
        <w:t>交付时间</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分批配送，接到采购人供货通知30日历天内交付安装完成并通过验收。</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cs="Arial"/>
          <w:b/>
          <w:bCs/>
          <w:color w:val="auto"/>
          <w:szCs w:val="21"/>
          <w:highlight w:val="none"/>
        </w:rPr>
      </w:pPr>
      <w:bookmarkStart w:id="157" w:name="_Toc16898"/>
      <w:bookmarkStart w:id="158" w:name="_Toc17711"/>
      <w:r>
        <w:rPr>
          <w:rFonts w:hint="eastAsia" w:ascii="宋体" w:hAnsi="宋体" w:cs="Arial"/>
          <w:b/>
          <w:bCs/>
          <w:color w:val="auto"/>
          <w:szCs w:val="21"/>
          <w:highlight w:val="none"/>
          <w:lang w:val="en-US" w:eastAsia="zh-CN"/>
        </w:rPr>
        <w:t xml:space="preserve">第三条  </w:t>
      </w:r>
      <w:r>
        <w:rPr>
          <w:rFonts w:hint="eastAsia" w:ascii="宋体" w:hAnsi="宋体" w:cs="Arial"/>
          <w:b/>
          <w:bCs/>
          <w:color w:val="auto"/>
          <w:szCs w:val="21"/>
          <w:highlight w:val="none"/>
        </w:rPr>
        <w:t>其他要求</w:t>
      </w:r>
      <w:bookmarkEnd w:id="157"/>
      <w:bookmarkEnd w:id="158"/>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w:t>
      </w:r>
      <w:r>
        <w:rPr>
          <w:rFonts w:hint="eastAsia" w:ascii="宋体" w:hAnsi="宋体" w:eastAsia="宋体" w:cs="Arial"/>
          <w:color w:val="auto"/>
          <w:szCs w:val="21"/>
          <w:highlight w:val="none"/>
          <w:lang w:eastAsia="zh-CN"/>
        </w:rPr>
        <w:t>1</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应根据招标文件所提出的设备技术规格和服务要求，综合考虑设备的适应性，选择具有最佳性能价格比的设备前来投标。希望</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以精良的设备、优良的服务和优惠的价格，充分显示竞争实力。</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3.2乙方</w:t>
      </w:r>
      <w:r>
        <w:rPr>
          <w:rFonts w:hint="eastAsia" w:ascii="宋体" w:hAnsi="宋体" w:eastAsia="宋体" w:cs="Arial"/>
          <w:color w:val="auto"/>
          <w:szCs w:val="21"/>
          <w:highlight w:val="none"/>
          <w:lang w:eastAsia="zh-CN"/>
        </w:rPr>
        <w:t>应提供设备的安装、调试、试运行、培训等全部服务，配套管线等安装辅助材料，</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承担上述服务的全部费用。</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3.3乙方</w:t>
      </w:r>
      <w:r>
        <w:rPr>
          <w:rFonts w:hint="eastAsia" w:ascii="宋体" w:hAnsi="宋体" w:eastAsia="宋体" w:cs="Arial"/>
          <w:color w:val="auto"/>
          <w:szCs w:val="21"/>
          <w:highlight w:val="none"/>
          <w:lang w:eastAsia="zh-CN"/>
        </w:rPr>
        <w:t>必须保证所供产品全新、正宗、原包装（须按要求新生产的货物），并符合国家强制性标准，至用户手中时不拆封。提供货物时必须提供制造商出具的保修卡、中文说明书以及产品特约维修处（特殊情况除外）。</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3.4</w:t>
      </w:r>
      <w:r>
        <w:rPr>
          <w:rFonts w:hint="eastAsia" w:ascii="宋体" w:hAnsi="宋体" w:eastAsia="宋体" w:cs="Arial"/>
          <w:color w:val="auto"/>
          <w:szCs w:val="21"/>
          <w:highlight w:val="none"/>
          <w:lang w:eastAsia="zh-CN"/>
        </w:rPr>
        <w:t>产品（材料）及其辅助装置铭牌、使用指示、警告指示应以中文来表示；应准确无误的表明货物之型号、规格、制造厂及生产或出厂日期。</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3.5</w:t>
      </w:r>
      <w:r>
        <w:rPr>
          <w:rFonts w:hint="eastAsia" w:ascii="宋体" w:hAnsi="宋体" w:eastAsia="宋体" w:cs="Arial"/>
          <w:color w:val="auto"/>
          <w:szCs w:val="21"/>
          <w:highlight w:val="none"/>
          <w:lang w:eastAsia="zh-CN"/>
        </w:rPr>
        <w:t>所有设备在开箱检验时必须完好，无破损，配置与装箱单相符。数量、质量及性能不低于本招标文件提出的要求。设备的设计、技术规格和制造均应符合国家（或国际）最新颁布的有关标准/规范要求。</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3.6乙方</w:t>
      </w:r>
      <w:r>
        <w:rPr>
          <w:rFonts w:hint="eastAsia" w:ascii="宋体" w:hAnsi="宋体" w:eastAsia="宋体" w:cs="Arial"/>
          <w:color w:val="auto"/>
          <w:szCs w:val="21"/>
          <w:highlight w:val="none"/>
          <w:lang w:eastAsia="zh-CN"/>
        </w:rPr>
        <w:t>所投设备及主要部件的名称、品牌、型号、技术参数、性能、制造商、质保期等应对照采购内容及技术要求列表对应进行说明，在投标文件的相应部分明确，对招标文件的技术条款及其它要求应予以实质性响应，如有偏离须在偏离表中注明。</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3.7</w:t>
      </w:r>
      <w:r>
        <w:rPr>
          <w:rFonts w:hint="eastAsia" w:ascii="宋体" w:hAnsi="宋体" w:eastAsia="宋体" w:cs="Arial"/>
          <w:color w:val="auto"/>
          <w:szCs w:val="21"/>
          <w:highlight w:val="none"/>
          <w:lang w:eastAsia="zh-CN"/>
        </w:rPr>
        <w:t>本采购文件的技术要求不得被认为是详尽无遗的，无论规定与否，</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应提供所有并包含采购文件没有规定但须完成此项目必要或必须的设备、材料、辅件等的详细清单。</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3.8</w:t>
      </w:r>
      <w:r>
        <w:rPr>
          <w:rFonts w:hint="eastAsia" w:ascii="宋体" w:hAnsi="宋体" w:eastAsia="宋体" w:cs="Arial"/>
          <w:color w:val="auto"/>
          <w:szCs w:val="21"/>
          <w:highlight w:val="none"/>
          <w:lang w:eastAsia="zh-CN"/>
        </w:rPr>
        <w:t>项目设备必须通过国家第三方权威部门的检测和校准，在交货时提供相应的检测、校准报告或证书，有关检测费用在分项报价表中详细列明。</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3.9</w:t>
      </w:r>
      <w:r>
        <w:rPr>
          <w:rFonts w:hint="eastAsia" w:ascii="宋体" w:hAnsi="宋体" w:eastAsia="宋体" w:cs="Arial"/>
          <w:color w:val="auto"/>
          <w:szCs w:val="21"/>
          <w:highlight w:val="none"/>
          <w:lang w:eastAsia="zh-CN"/>
        </w:rPr>
        <w:t>质保期内所有备品备件或工具等由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提供，确保整个系统正常运作，该费用计入投标总价。</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w:t>
      </w:r>
      <w:r>
        <w:rPr>
          <w:rFonts w:hint="eastAsia" w:ascii="宋体" w:hAnsi="宋体" w:eastAsia="宋体" w:cs="Arial"/>
          <w:color w:val="auto"/>
          <w:szCs w:val="21"/>
          <w:highlight w:val="none"/>
          <w:lang w:eastAsia="zh-CN"/>
        </w:rPr>
        <w:t>1</w:t>
      </w:r>
      <w:r>
        <w:rPr>
          <w:rFonts w:hint="eastAsia" w:ascii="宋体" w:hAnsi="宋体" w:eastAsia="宋体" w:cs="Arial"/>
          <w:color w:val="auto"/>
          <w:szCs w:val="21"/>
          <w:highlight w:val="none"/>
          <w:lang w:val="en-US" w:eastAsia="zh-CN"/>
        </w:rPr>
        <w:t>0乙方</w:t>
      </w:r>
      <w:r>
        <w:rPr>
          <w:rFonts w:hint="eastAsia" w:ascii="宋体" w:hAnsi="宋体" w:eastAsia="宋体" w:cs="Arial"/>
          <w:color w:val="auto"/>
          <w:szCs w:val="21"/>
          <w:highlight w:val="none"/>
          <w:lang w:eastAsia="zh-CN"/>
        </w:rPr>
        <w:t>工作人员在工作期间造成第三方人身安全事故或因工作失误所带来的商品或财产损失而发生的赔偿，均由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负全责。</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w:t>
      </w:r>
      <w:r>
        <w:rPr>
          <w:rFonts w:hint="eastAsia" w:ascii="宋体" w:hAnsi="宋体" w:eastAsia="宋体" w:cs="Arial"/>
          <w:color w:val="auto"/>
          <w:szCs w:val="21"/>
          <w:highlight w:val="none"/>
          <w:lang w:eastAsia="zh-CN"/>
        </w:rPr>
        <w:t>11</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安装时造成对墙面、地面等破损的，墙面、地面等修补复原由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负责，费用由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承担，安装完毕后</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负责做好地面清洁工作，产生的垃圾自行处理。</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w:t>
      </w:r>
      <w:r>
        <w:rPr>
          <w:rFonts w:hint="eastAsia" w:ascii="宋体" w:hAnsi="宋体" w:eastAsia="宋体" w:cs="Arial"/>
          <w:color w:val="auto"/>
          <w:szCs w:val="21"/>
          <w:highlight w:val="none"/>
          <w:lang w:eastAsia="zh-CN"/>
        </w:rPr>
        <w:t>1</w:t>
      </w:r>
      <w:r>
        <w:rPr>
          <w:rFonts w:hint="eastAsia" w:ascii="宋体" w:hAnsi="宋体" w:eastAsia="宋体" w:cs="Arial"/>
          <w:color w:val="auto"/>
          <w:szCs w:val="21"/>
          <w:highlight w:val="none"/>
          <w:lang w:val="en-US" w:eastAsia="zh-CN"/>
        </w:rPr>
        <w:t>2</w:t>
      </w:r>
      <w:r>
        <w:rPr>
          <w:rFonts w:hint="eastAsia" w:ascii="宋体" w:hAnsi="宋体" w:eastAsia="宋体" w:cs="Arial"/>
          <w:color w:val="auto"/>
          <w:szCs w:val="21"/>
          <w:highlight w:val="none"/>
          <w:lang w:eastAsia="zh-CN"/>
        </w:rPr>
        <w:t>所有货物由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安装到位，</w:t>
      </w:r>
      <w:r>
        <w:rPr>
          <w:rFonts w:hint="eastAsia" w:ascii="宋体" w:hAnsi="宋体" w:eastAsia="宋体" w:cs="Arial"/>
          <w:color w:val="auto"/>
          <w:szCs w:val="21"/>
          <w:highlight w:val="none"/>
          <w:lang w:val="en-US" w:eastAsia="zh-CN"/>
        </w:rPr>
        <w:t>安装位置由甲方指定，</w:t>
      </w:r>
      <w:r>
        <w:rPr>
          <w:rFonts w:hint="eastAsia" w:ascii="宋体" w:hAnsi="宋体" w:eastAsia="宋体" w:cs="Arial"/>
          <w:color w:val="auto"/>
          <w:szCs w:val="21"/>
          <w:highlight w:val="none"/>
          <w:lang w:eastAsia="zh-CN"/>
        </w:rPr>
        <w:t>安装方式由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自行考虑，如安装方式特殊等原因发生额外的费用，由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承担。</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w:t>
      </w:r>
      <w:r>
        <w:rPr>
          <w:rFonts w:hint="eastAsia" w:ascii="宋体" w:hAnsi="宋体" w:eastAsia="宋体" w:cs="Arial"/>
          <w:color w:val="auto"/>
          <w:szCs w:val="21"/>
          <w:highlight w:val="none"/>
          <w:lang w:eastAsia="zh-CN"/>
        </w:rPr>
        <w:t>1</w:t>
      </w:r>
      <w:r>
        <w:rPr>
          <w:rFonts w:hint="eastAsia" w:ascii="宋体" w:hAnsi="宋体" w:eastAsia="宋体" w:cs="Arial"/>
          <w:color w:val="auto"/>
          <w:szCs w:val="21"/>
          <w:highlight w:val="none"/>
          <w:lang w:val="en-US" w:eastAsia="zh-CN"/>
        </w:rPr>
        <w:t>3乙方</w:t>
      </w:r>
      <w:r>
        <w:rPr>
          <w:rFonts w:hint="eastAsia" w:ascii="宋体" w:hAnsi="宋体" w:eastAsia="宋体" w:cs="Arial"/>
          <w:color w:val="auto"/>
          <w:szCs w:val="21"/>
          <w:highlight w:val="none"/>
          <w:lang w:eastAsia="zh-CN"/>
        </w:rPr>
        <w:t>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造成任何质量或损坏问题，</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应负责更换，并妥善处理直至</w:t>
      </w:r>
      <w:r>
        <w:rPr>
          <w:rFonts w:hint="eastAsia" w:ascii="宋体" w:hAnsi="宋体" w:eastAsia="宋体" w:cs="Arial"/>
          <w:color w:val="auto"/>
          <w:szCs w:val="21"/>
          <w:highlight w:val="none"/>
          <w:lang w:val="en-US" w:eastAsia="zh-CN"/>
        </w:rPr>
        <w:t>甲方</w:t>
      </w:r>
      <w:r>
        <w:rPr>
          <w:rFonts w:hint="eastAsia" w:ascii="宋体" w:hAnsi="宋体" w:eastAsia="宋体" w:cs="Arial"/>
          <w:color w:val="auto"/>
          <w:szCs w:val="21"/>
          <w:highlight w:val="none"/>
          <w:lang w:eastAsia="zh-CN"/>
        </w:rPr>
        <w:t>满意，由此造成的一切费用均由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承担。</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3.14乙方</w:t>
      </w:r>
      <w:r>
        <w:rPr>
          <w:rFonts w:hint="eastAsia" w:ascii="宋体" w:hAnsi="宋体" w:eastAsia="宋体" w:cs="Arial"/>
          <w:color w:val="auto"/>
          <w:szCs w:val="21"/>
          <w:highlight w:val="none"/>
          <w:lang w:eastAsia="zh-CN"/>
        </w:rPr>
        <w:t>在国内应有维修中心，配备专职的维修工程师，有充足数量的备品、备件库。</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3.15</w:t>
      </w:r>
      <w:r>
        <w:rPr>
          <w:rFonts w:hint="eastAsia" w:ascii="宋体" w:hAnsi="宋体" w:eastAsia="宋体" w:cs="Arial"/>
          <w:color w:val="auto"/>
          <w:szCs w:val="21"/>
          <w:highlight w:val="none"/>
          <w:lang w:eastAsia="zh-CN"/>
        </w:rPr>
        <w:t>在本招标文件中未予计及而在实际安装、运行和使用中又必不可少的设备、部件或软件，</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须在投标文件中单独列出、明确报价、计入总价。</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3.16乙方</w:t>
      </w:r>
      <w:r>
        <w:rPr>
          <w:rFonts w:hint="eastAsia" w:ascii="宋体" w:hAnsi="宋体" w:eastAsia="宋体" w:cs="Arial"/>
          <w:color w:val="auto"/>
          <w:szCs w:val="21"/>
          <w:highlight w:val="none"/>
          <w:lang w:eastAsia="zh-CN"/>
        </w:rPr>
        <w:t>需要提供合理的项目整体实施方案，能按照项目分解节点并可跟踪实施。</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3.17乙方</w:t>
      </w:r>
      <w:r>
        <w:rPr>
          <w:rFonts w:hint="eastAsia" w:ascii="宋体" w:hAnsi="宋体" w:eastAsia="宋体" w:cs="Arial"/>
          <w:color w:val="auto"/>
          <w:szCs w:val="21"/>
          <w:highlight w:val="none"/>
          <w:lang w:eastAsia="zh-CN"/>
        </w:rPr>
        <w:t>需要提供生产实施方案，包括原材料采购、加工制作等各个环节的实施方案，在规定的时间内有计划的完成项目需求产品的生产和装配。</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3.18乙方</w:t>
      </w:r>
      <w:r>
        <w:rPr>
          <w:rFonts w:hint="eastAsia" w:ascii="宋体" w:hAnsi="宋体" w:eastAsia="宋体" w:cs="Arial"/>
          <w:color w:val="auto"/>
          <w:szCs w:val="21"/>
          <w:highlight w:val="none"/>
          <w:lang w:eastAsia="zh-CN"/>
        </w:rPr>
        <w:t>需要提供品控管理方案，对产品品质有管理管控过程，有独立品管部门和专门品管人员，确保产品生产过程中的质量控制完善。</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3.19乙方</w:t>
      </w:r>
      <w:r>
        <w:rPr>
          <w:rFonts w:hint="eastAsia" w:ascii="宋体" w:hAnsi="宋体" w:eastAsia="宋体" w:cs="Arial"/>
          <w:color w:val="auto"/>
          <w:szCs w:val="21"/>
          <w:highlight w:val="none"/>
          <w:lang w:eastAsia="zh-CN"/>
        </w:rPr>
        <w:t>需要提供安装服务实施方案，根据货物交付时间节点，落实送货安装时间和人员安排，确保按期交付使用。</w:t>
      </w:r>
    </w:p>
    <w:p>
      <w:pPr>
        <w:keepNext w:val="0"/>
        <w:keepLines w:val="0"/>
        <w:pageBreakBefore w:val="0"/>
        <w:kinsoku/>
        <w:wordWrap/>
        <w:overflowPunct/>
        <w:topLinePunct w:val="0"/>
        <w:autoSpaceDE/>
        <w:autoSpaceDN/>
        <w:bidi w:val="0"/>
        <w:spacing w:line="360" w:lineRule="auto"/>
        <w:ind w:firstLine="420" w:firstLineChars="200"/>
        <w:textAlignment w:val="auto"/>
        <w:outlineLvl w:val="2"/>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3.20</w:t>
      </w:r>
      <w:r>
        <w:rPr>
          <w:rFonts w:hint="eastAsia" w:ascii="宋体" w:hAnsi="宋体" w:eastAsia="宋体" w:cs="Arial"/>
          <w:color w:val="auto"/>
          <w:szCs w:val="21"/>
          <w:highlight w:val="none"/>
          <w:lang w:eastAsia="zh-CN"/>
        </w:rPr>
        <w:t>本项目装饰施工基本完成，可能给</w:t>
      </w:r>
      <w:r>
        <w:rPr>
          <w:rFonts w:hint="eastAsia" w:ascii="宋体" w:hAnsi="宋体" w:cs="Arial"/>
          <w:color w:val="auto"/>
          <w:szCs w:val="21"/>
          <w:highlight w:val="none"/>
          <w:lang w:eastAsia="zh-CN"/>
        </w:rPr>
        <w:t>家具等</w:t>
      </w:r>
      <w:r>
        <w:rPr>
          <w:rFonts w:hint="eastAsia" w:ascii="宋体" w:hAnsi="宋体" w:eastAsia="宋体" w:cs="Arial"/>
          <w:color w:val="auto"/>
          <w:szCs w:val="21"/>
          <w:highlight w:val="none"/>
          <w:lang w:eastAsia="zh-CN"/>
        </w:rPr>
        <w:t>的成品搬运带来难度，因此而发生的现场安装甚至现场制作（含己完成面的保护、卫生保洁等），由</w:t>
      </w:r>
      <w:r>
        <w:rPr>
          <w:rFonts w:hint="eastAsia" w:ascii="宋体" w:hAnsi="宋体" w:eastAsia="宋体" w:cs="Arial"/>
          <w:color w:val="auto"/>
          <w:szCs w:val="21"/>
          <w:highlight w:val="none"/>
          <w:lang w:val="en-US" w:eastAsia="zh-CN"/>
        </w:rPr>
        <w:t>乙方</w:t>
      </w:r>
      <w:r>
        <w:rPr>
          <w:rFonts w:hint="eastAsia" w:ascii="宋体" w:hAnsi="宋体" w:eastAsia="宋体" w:cs="Arial"/>
          <w:color w:val="auto"/>
          <w:szCs w:val="21"/>
          <w:highlight w:val="none"/>
          <w:lang w:eastAsia="zh-CN"/>
        </w:rPr>
        <w:t>根据实际情况自行决定，其采取的相关措施费用己包含在投标报价中，</w:t>
      </w:r>
      <w:r>
        <w:rPr>
          <w:rFonts w:hint="eastAsia" w:ascii="宋体" w:hAnsi="宋体" w:eastAsia="宋体" w:cs="Arial"/>
          <w:color w:val="auto"/>
          <w:szCs w:val="21"/>
          <w:highlight w:val="none"/>
          <w:lang w:val="en-US" w:eastAsia="zh-CN"/>
        </w:rPr>
        <w:t>甲方</w:t>
      </w:r>
      <w:r>
        <w:rPr>
          <w:rFonts w:hint="eastAsia" w:ascii="宋体" w:hAnsi="宋体" w:eastAsia="宋体" w:cs="Arial"/>
          <w:color w:val="auto"/>
          <w:szCs w:val="21"/>
          <w:highlight w:val="none"/>
          <w:lang w:eastAsia="zh-CN"/>
        </w:rPr>
        <w:t>不再另行支付。</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cs="Arial"/>
          <w:b/>
          <w:bCs/>
          <w:color w:val="auto"/>
          <w:szCs w:val="21"/>
          <w:highlight w:val="none"/>
        </w:rPr>
      </w:pPr>
      <w:bookmarkStart w:id="159" w:name="_Toc18382"/>
      <w:bookmarkStart w:id="160" w:name="_Toc28721"/>
      <w:r>
        <w:rPr>
          <w:rFonts w:hint="eastAsia" w:ascii="宋体" w:hAnsi="宋体" w:cs="Arial"/>
          <w:b/>
          <w:bCs/>
          <w:color w:val="auto"/>
          <w:szCs w:val="21"/>
          <w:highlight w:val="none"/>
          <w:lang w:val="en-US" w:eastAsia="zh-CN"/>
        </w:rPr>
        <w:t xml:space="preserve">第四条  </w:t>
      </w:r>
      <w:r>
        <w:rPr>
          <w:rFonts w:hint="eastAsia" w:ascii="宋体" w:hAnsi="宋体" w:cs="Arial"/>
          <w:b/>
          <w:bCs/>
          <w:color w:val="auto"/>
          <w:szCs w:val="21"/>
          <w:highlight w:val="none"/>
        </w:rPr>
        <w:t>成果提交</w:t>
      </w:r>
      <w:bookmarkEnd w:id="159"/>
      <w:bookmarkEnd w:id="160"/>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bookmarkStart w:id="161" w:name="_Toc14264"/>
      <w:bookmarkStart w:id="162" w:name="_Toc29648"/>
      <w:r>
        <w:rPr>
          <w:rFonts w:hint="eastAsia" w:ascii="宋体" w:hAnsi="宋体" w:cs="Arial"/>
          <w:color w:val="auto"/>
          <w:szCs w:val="21"/>
          <w:highlight w:val="none"/>
          <w:lang w:val="en-US" w:eastAsia="zh-CN"/>
        </w:rPr>
        <w:t>4.</w:t>
      </w: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提供的所有资料文件费用包括在投标总价中。</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b/>
          <w:bCs/>
          <w:color w:val="auto"/>
          <w:szCs w:val="21"/>
          <w:highlight w:val="none"/>
          <w:lang w:val="en-US" w:eastAsia="zh-CN"/>
        </w:rPr>
      </w:pP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2合同货物交货时，</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应提供中文版资料名目如下：产品安装说明书；产品使用说明书；产品主要技术参数</w:t>
      </w:r>
      <w:r>
        <w:rPr>
          <w:rFonts w:hint="eastAsia" w:ascii="宋体" w:hAnsi="宋体" w:cs="Arial"/>
          <w:color w:val="auto"/>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1"/>
        <w:rPr>
          <w:rFonts w:ascii="宋体" w:hAnsi="宋体" w:cs="Arial"/>
          <w:b/>
          <w:bCs/>
          <w:color w:val="auto"/>
          <w:szCs w:val="21"/>
          <w:highlight w:val="none"/>
        </w:rPr>
      </w:pPr>
      <w:r>
        <w:rPr>
          <w:rFonts w:hint="eastAsia" w:ascii="宋体" w:hAnsi="宋体" w:cs="Arial"/>
          <w:b/>
          <w:bCs/>
          <w:color w:val="auto"/>
          <w:szCs w:val="21"/>
          <w:highlight w:val="none"/>
          <w:lang w:val="en-US" w:eastAsia="zh-CN"/>
        </w:rPr>
        <w:t xml:space="preserve">第五条  </w:t>
      </w:r>
      <w:r>
        <w:rPr>
          <w:rFonts w:hint="eastAsia" w:ascii="宋体" w:hAnsi="宋体" w:cs="Arial"/>
          <w:b/>
          <w:bCs/>
          <w:color w:val="auto"/>
          <w:szCs w:val="21"/>
          <w:highlight w:val="none"/>
        </w:rPr>
        <w:t>验收标准</w:t>
      </w:r>
      <w:bookmarkEnd w:id="161"/>
      <w:bookmarkEnd w:id="162"/>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5.1乙方</w:t>
      </w:r>
      <w:r>
        <w:rPr>
          <w:rFonts w:hint="eastAsia" w:ascii="宋体" w:hAnsi="宋体" w:cs="Arial"/>
          <w:color w:val="auto"/>
          <w:szCs w:val="21"/>
          <w:highlight w:val="none"/>
        </w:rPr>
        <w:t>须将原包装货物送到</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指定地点，在</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监督下拆箱并经</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验收并确认、安装、调试后，对货物安装进行检查验收，如果发现数量不足或有质量、技术等问题，</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应负责按照采购机构的要求采取补足或更换等处理措施，并承担由此发生的一切损失和费用。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2货物安装完毕后，由</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组织专业人员验收。在设备完全正常运转和</w:t>
      </w:r>
      <w:r>
        <w:rPr>
          <w:rFonts w:hint="eastAsia" w:ascii="宋体" w:hAnsi="宋体" w:cs="Arial"/>
          <w:color w:val="auto"/>
          <w:szCs w:val="21"/>
          <w:highlight w:val="none"/>
          <w:lang w:val="en-US" w:eastAsia="zh-CN"/>
        </w:rPr>
        <w:t>组织验收</w:t>
      </w:r>
      <w:r>
        <w:rPr>
          <w:rFonts w:hint="eastAsia" w:ascii="宋体" w:hAnsi="宋体" w:cs="Arial"/>
          <w:color w:val="auto"/>
          <w:szCs w:val="21"/>
          <w:highlight w:val="none"/>
        </w:rPr>
        <w:t>人员确认后，设备的安装工作才能认为已全部完成</w:t>
      </w:r>
      <w:r>
        <w:rPr>
          <w:rFonts w:hint="eastAsia" w:ascii="宋体" w:hAnsi="宋体" w:cs="Arial"/>
          <w:color w:val="auto"/>
          <w:szCs w:val="21"/>
          <w:highlight w:val="none"/>
          <w:lang w:eastAsia="zh-CN"/>
        </w:rPr>
        <w:t>。</w:t>
      </w:r>
      <w:r>
        <w:rPr>
          <w:rFonts w:hint="eastAsia" w:ascii="宋体" w:hAnsi="宋体" w:cs="Arial"/>
          <w:color w:val="auto"/>
          <w:szCs w:val="21"/>
          <w:highlight w:val="none"/>
        </w:rPr>
        <w:t>如不符要求，一律返工，直到符合要求为止，否则拒付货款。验收费用（包括解体的货物和检测费）由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承担。验收指标在安装完成1个月内无法通过，</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有权要求无条件退货，由此产生的一切责任和后果由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5.3</w:t>
      </w:r>
      <w:r>
        <w:rPr>
          <w:rFonts w:hint="eastAsia" w:ascii="宋体" w:hAnsi="宋体" w:cs="Arial"/>
          <w:color w:val="auto"/>
          <w:szCs w:val="21"/>
          <w:highlight w:val="none"/>
        </w:rPr>
        <w:t>设备的拆除、安装、通电、调试等各项工作由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负责，在实际实施前必须先经</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同意方可进行。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5.4</w:t>
      </w:r>
      <w:r>
        <w:rPr>
          <w:rFonts w:hint="eastAsia" w:ascii="宋体" w:hAnsi="宋体" w:cs="Arial"/>
          <w:color w:val="auto"/>
          <w:szCs w:val="21"/>
          <w:highlight w:val="none"/>
        </w:rPr>
        <w:t>所有的招标设备应按照国家有关技术标准在制造厂检查和试验合格，以表明其运行性能、安全性能以及设备材料和结构在电气、机械上的完整性。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5.5如为进口产品，</w:t>
      </w:r>
      <w:r>
        <w:rPr>
          <w:rFonts w:hint="eastAsia" w:ascii="宋体" w:hAnsi="宋体" w:cs="Arial"/>
          <w:color w:val="auto"/>
          <w:szCs w:val="21"/>
          <w:highlight w:val="none"/>
        </w:rPr>
        <w:t>开箱验收时</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提供设备的有效检验文件：1、海关报关单（进口产品）；2、随机原始装箱单；3、随机说明书；4、随机原始合格证；5、保修凭证；6、安装报告（进口产品须提供前述3-6项中英文各一份）。验收依据</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提供的配置与技术规格、合同和标书及询标澄清、国家强制性标准。如属于国家强制论证目录则必须提供CCC论证码，</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可对设备进行复检和性能测试，</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应派出技术熟练且具有响应技术资质的人员完成此项工作，</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对设备验收合格后，签署《项目验收单》。</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5.6乙方</w:t>
      </w:r>
      <w:r>
        <w:rPr>
          <w:rFonts w:hint="eastAsia" w:ascii="宋体" w:hAnsi="宋体" w:cs="Arial"/>
          <w:color w:val="auto"/>
          <w:szCs w:val="21"/>
          <w:highlight w:val="none"/>
        </w:rPr>
        <w:t>保证其所提供的货物应具有行政主管部门颁发的资质证书或国家质量监督部门的产品《检验报告》、《校准报告》或相关检验、校准报告。若无法出具的，由</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委托第三方检测机构检测，所产生的费用由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承担。设备到货验收时，还必须提供设备的产品合格证、质量保证文件。中标后，必须按合同规定完成设备的安装（除非另有约定），并达到验收标准。如发生所供商品与合同不符，</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有权拒收或退货，由此产生的一切责任和后果由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w:t>
      </w:r>
    </w:p>
    <w:p>
      <w:pPr>
        <w:keepNext w:val="0"/>
        <w:keepLines w:val="0"/>
        <w:pageBreakBefore w:val="0"/>
        <w:kinsoku/>
        <w:wordWrap/>
        <w:overflowPunct/>
        <w:topLinePunct w:val="0"/>
        <w:autoSpaceDE/>
        <w:autoSpaceDN/>
        <w:bidi w:val="0"/>
        <w:spacing w:line="360" w:lineRule="auto"/>
        <w:ind w:left="420" w:leftChars="200"/>
        <w:textAlignment w:val="auto"/>
        <w:outlineLvl w:val="2"/>
        <w:rPr>
          <w:rFonts w:hint="eastAsia" w:ascii="宋体" w:hAnsi="宋体" w:cs="宋体"/>
          <w:b/>
          <w:color w:val="auto"/>
          <w:szCs w:val="21"/>
          <w:highlight w:val="none"/>
        </w:rPr>
      </w:pPr>
      <w:r>
        <w:rPr>
          <w:rFonts w:hint="eastAsia" w:ascii="宋体" w:hAnsi="宋体" w:cs="宋体"/>
          <w:b/>
          <w:color w:val="auto"/>
          <w:szCs w:val="21"/>
          <w:highlight w:val="none"/>
        </w:rPr>
        <w:t>第六条  人员配置</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投入本项目的项目负责人姓名：_________，联系方式：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；投入本项目的其他人员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详见乙方的技术商务文件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kinsoku/>
        <w:wordWrap/>
        <w:overflowPunct/>
        <w:topLinePunct w:val="0"/>
        <w:autoSpaceDE/>
        <w:autoSpaceDN/>
        <w:bidi w:val="0"/>
        <w:spacing w:line="360" w:lineRule="auto"/>
        <w:ind w:firstLine="422" w:firstLineChars="200"/>
        <w:textAlignment w:val="auto"/>
        <w:outlineLvl w:val="2"/>
        <w:rPr>
          <w:rFonts w:hint="eastAsia" w:ascii="宋体" w:hAnsi="宋体" w:cs="宋体"/>
          <w:b/>
          <w:bCs/>
          <w:color w:val="auto"/>
          <w:szCs w:val="21"/>
          <w:highlight w:val="none"/>
        </w:rPr>
      </w:pPr>
      <w:r>
        <w:rPr>
          <w:rFonts w:hint="eastAsia" w:ascii="宋体" w:hAnsi="宋体" w:cs="宋体"/>
          <w:b/>
          <w:color w:val="auto"/>
          <w:szCs w:val="21"/>
          <w:highlight w:val="none"/>
        </w:rPr>
        <w:t xml:space="preserve">第七条  </w:t>
      </w:r>
      <w:r>
        <w:rPr>
          <w:rFonts w:hint="eastAsia" w:ascii="宋体" w:hAnsi="宋体" w:cs="宋体"/>
          <w:b/>
          <w:bCs/>
          <w:color w:val="auto"/>
          <w:szCs w:val="21"/>
          <w:highlight w:val="none"/>
        </w:rPr>
        <w:t>售后服务要求</w:t>
      </w:r>
    </w:p>
    <w:p>
      <w:pPr>
        <w:pStyle w:val="35"/>
        <w:spacing w:line="360" w:lineRule="auto"/>
        <w:ind w:left="0" w:firstLine="420" w:firstLineChars="200"/>
        <w:outlineLvl w:val="2"/>
        <w:rPr>
          <w:rFonts w:hint="eastAsia" w:ascii="宋体" w:hAnsi="宋体" w:cs="Arial"/>
          <w:color w:val="auto"/>
          <w:szCs w:val="21"/>
          <w:highlight w:val="none"/>
        </w:rPr>
      </w:pPr>
      <w:r>
        <w:rPr>
          <w:rFonts w:hint="eastAsia" w:ascii="宋体" w:hAnsi="宋体" w:cs="Arial"/>
          <w:color w:val="auto"/>
          <w:szCs w:val="21"/>
          <w:highlight w:val="none"/>
          <w:lang w:val="en-US" w:eastAsia="zh-CN"/>
        </w:rPr>
        <w:t>7.1</w:t>
      </w:r>
      <w:r>
        <w:rPr>
          <w:rFonts w:hint="eastAsia" w:ascii="宋体" w:hAnsi="宋体" w:cs="Arial"/>
          <w:color w:val="auto"/>
          <w:szCs w:val="21"/>
          <w:highlight w:val="none"/>
        </w:rPr>
        <w:t>质保期：</w:t>
      </w:r>
      <w:r>
        <w:rPr>
          <w:rFonts w:hint="eastAsia" w:ascii="宋体" w:hAnsi="宋体"/>
          <w:color w:val="auto"/>
          <w:szCs w:val="21"/>
          <w:highlight w:val="none"/>
        </w:rPr>
        <w:t>设备通过最</w:t>
      </w:r>
      <w:r>
        <w:rPr>
          <w:rFonts w:ascii="宋体" w:hAnsi="宋体"/>
          <w:color w:val="auto"/>
          <w:szCs w:val="21"/>
          <w:highlight w:val="none"/>
        </w:rPr>
        <w:t>终</w:t>
      </w:r>
      <w:r>
        <w:rPr>
          <w:rFonts w:hint="eastAsia" w:ascii="宋体" w:hAnsi="宋体"/>
          <w:color w:val="auto"/>
          <w:szCs w:val="21"/>
          <w:highlight w:val="none"/>
        </w:rPr>
        <w:t>验收之日起</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年</w:t>
      </w:r>
      <w:r>
        <w:rPr>
          <w:rFonts w:hint="eastAsia" w:ascii="宋体" w:hAnsi="宋体" w:cs="Arial"/>
          <w:color w:val="auto"/>
          <w:szCs w:val="21"/>
          <w:highlight w:val="none"/>
          <w:lang w:eastAsia="zh-CN"/>
        </w:rPr>
        <w:t>。</w:t>
      </w:r>
      <w:r>
        <w:rPr>
          <w:rFonts w:hint="eastAsia" w:ascii="宋体" w:hAnsi="宋体" w:cs="Arial"/>
          <w:color w:val="auto"/>
          <w:szCs w:val="21"/>
          <w:highlight w:val="none"/>
        </w:rPr>
        <w:t>提供不少于3年7×24小时的电话技术支持和5×12小时的免费上门现场技术服务。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7.2</w:t>
      </w:r>
      <w:r>
        <w:rPr>
          <w:rFonts w:hint="eastAsia" w:ascii="宋体" w:hAnsi="宋体" w:cs="Arial"/>
          <w:color w:val="auto"/>
          <w:szCs w:val="21"/>
          <w:highlight w:val="none"/>
        </w:rPr>
        <w:t>质保期内非人为因素出现的质量问题，须按国家有关规定和要求（如无国家规定和要求的，按承诺和厂方“三包”规定）立即进行免费维修、免费更换有缺陷的零部件、直至免费更换新货物。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7.3</w:t>
      </w:r>
      <w:r>
        <w:rPr>
          <w:rFonts w:hint="eastAsia" w:ascii="宋体" w:hAnsi="宋体" w:cs="Arial"/>
          <w:color w:val="auto"/>
          <w:szCs w:val="21"/>
          <w:highlight w:val="none"/>
        </w:rPr>
        <w:t>在接到故障报修后，</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须在60分钟内响应，</w:t>
      </w:r>
      <w:r>
        <w:rPr>
          <w:rFonts w:hint="eastAsia" w:ascii="宋体" w:hAnsi="宋体" w:cs="Arial"/>
          <w:color w:val="auto"/>
          <w:szCs w:val="21"/>
          <w:highlight w:val="none"/>
          <w:lang w:eastAsia="zh-CN"/>
        </w:rPr>
        <w:t>技术工程师在24小时内到达现场</w:t>
      </w:r>
      <w:r>
        <w:rPr>
          <w:rFonts w:hint="eastAsia" w:ascii="宋体" w:hAnsi="宋体" w:cs="Arial"/>
          <w:color w:val="auto"/>
          <w:szCs w:val="21"/>
          <w:highlight w:val="none"/>
        </w:rPr>
        <w:t>。到达现场后2小时内排除设备故障（遇到自然灾害等不可抗拒事故除外）。因货物本身问题在24小时之内仍不能排除的故障，应提供与原货物相同或不低于原货物性能的备用货物，以保证使用单位的正常工作。故障排除后应出具书面故障诊断报告备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7.4</w:t>
      </w:r>
      <w:r>
        <w:rPr>
          <w:rFonts w:hint="eastAsia" w:ascii="宋体" w:hAnsi="宋体" w:cs="Arial"/>
          <w:color w:val="auto"/>
          <w:szCs w:val="21"/>
          <w:highlight w:val="none"/>
        </w:rPr>
        <w:t>出现故障后，</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如未按上述要求进行响应，</w:t>
      </w:r>
      <w:r>
        <w:rPr>
          <w:rFonts w:hint="eastAsia" w:ascii="宋体" w:hAnsi="宋体" w:cs="Arial"/>
          <w:color w:val="auto"/>
          <w:szCs w:val="21"/>
          <w:highlight w:val="none"/>
          <w:lang w:val="en-US" w:eastAsia="zh-CN"/>
        </w:rPr>
        <w:t>甲方</w:t>
      </w:r>
      <w:r>
        <w:rPr>
          <w:rFonts w:hint="eastAsia" w:ascii="宋体" w:hAnsi="宋体" w:cs="Arial"/>
          <w:color w:val="auto"/>
          <w:szCs w:val="21"/>
          <w:highlight w:val="none"/>
        </w:rPr>
        <w:t>可以采取必要的补救措施，由此产生的风险和费用将由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承担。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7.5乙方</w:t>
      </w:r>
      <w:r>
        <w:rPr>
          <w:rFonts w:hint="eastAsia" w:ascii="宋体" w:hAnsi="宋体" w:cs="Arial"/>
          <w:color w:val="auto"/>
          <w:szCs w:val="21"/>
          <w:highlight w:val="none"/>
        </w:rPr>
        <w:t>为售后服务及维修的第一责任人。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7.6</w:t>
      </w:r>
      <w:r>
        <w:rPr>
          <w:rFonts w:hint="eastAsia" w:ascii="宋体" w:hAnsi="宋体" w:cs="Arial"/>
          <w:color w:val="auto"/>
          <w:szCs w:val="21"/>
          <w:highlight w:val="none"/>
        </w:rPr>
        <w:t>质保期内的维修费用（包括材料）全部由</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负责。</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7.7</w:t>
      </w:r>
      <w:r>
        <w:rPr>
          <w:rFonts w:hint="eastAsia" w:ascii="宋体" w:hAnsi="宋体" w:cs="Arial"/>
          <w:color w:val="auto"/>
          <w:szCs w:val="21"/>
          <w:highlight w:val="none"/>
        </w:rPr>
        <w:t>质保期外维修：修理及维护只收成本费，</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应对所供货物实行终身维修维护服务并负责售后服务。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7.8乙方</w:t>
      </w:r>
      <w:r>
        <w:rPr>
          <w:rFonts w:hint="eastAsia" w:ascii="宋体" w:hAnsi="宋体" w:cs="Arial"/>
          <w:color w:val="auto"/>
          <w:szCs w:val="21"/>
          <w:highlight w:val="none"/>
        </w:rPr>
        <w:t>应提供相应的培训计划。</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就产品的操作、使用、维护免费对使用单位人员进行</w:t>
      </w:r>
      <w:r>
        <w:rPr>
          <w:rFonts w:hint="eastAsia" w:ascii="宋体" w:hAnsi="宋体" w:cs="Arial"/>
          <w:color w:val="auto"/>
          <w:szCs w:val="21"/>
          <w:highlight w:val="none"/>
          <w:lang w:val="en-US" w:eastAsia="zh-CN"/>
        </w:rPr>
        <w:t>现场</w:t>
      </w:r>
      <w:r>
        <w:rPr>
          <w:rFonts w:hint="eastAsia" w:ascii="宋体" w:hAnsi="宋体" w:cs="Arial"/>
          <w:color w:val="auto"/>
          <w:szCs w:val="21"/>
          <w:highlight w:val="none"/>
        </w:rPr>
        <w:t>培训或指导。</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lang w:val="en-US" w:eastAsia="zh-CN"/>
        </w:rPr>
        <w:t>7.9</w:t>
      </w:r>
      <w:r>
        <w:rPr>
          <w:rFonts w:hint="eastAsia" w:ascii="宋体" w:hAnsi="宋体" w:cs="Arial"/>
          <w:color w:val="auto"/>
          <w:szCs w:val="21"/>
          <w:highlight w:val="none"/>
        </w:rPr>
        <w:t>在验收通过后，</w:t>
      </w:r>
      <w:r>
        <w:rPr>
          <w:rFonts w:hint="eastAsia" w:ascii="宋体" w:hAnsi="宋体" w:cs="Arial"/>
          <w:color w:val="auto"/>
          <w:szCs w:val="21"/>
          <w:highlight w:val="none"/>
          <w:lang w:val="en-US" w:eastAsia="zh-CN"/>
        </w:rPr>
        <w:t>乙方</w:t>
      </w:r>
      <w:r>
        <w:rPr>
          <w:rFonts w:hint="eastAsia" w:ascii="宋体" w:hAnsi="宋体" w:cs="Arial"/>
          <w:color w:val="auto"/>
          <w:szCs w:val="21"/>
          <w:highlight w:val="none"/>
        </w:rPr>
        <w:t>提供设备详细的中文操作手册、维修手册，进口产品还须提供英文操作手册、维修手册，手册中应详细说明操作运行，预防性维护，故障检修的技术要求和方法，并附有</w:t>
      </w:r>
      <w:r>
        <w:rPr>
          <w:rFonts w:hint="eastAsia" w:ascii="宋体" w:hAnsi="宋体" w:cs="Arial"/>
          <w:color w:val="auto"/>
          <w:szCs w:val="21"/>
          <w:highlight w:val="none"/>
          <w:lang w:val="en-US" w:eastAsia="zh-CN"/>
        </w:rPr>
        <w:t>相应</w:t>
      </w:r>
      <w:r>
        <w:rPr>
          <w:rFonts w:hint="eastAsia" w:ascii="宋体" w:hAnsi="宋体" w:cs="Arial"/>
          <w:color w:val="auto"/>
          <w:szCs w:val="21"/>
          <w:highlight w:val="none"/>
        </w:rPr>
        <w:t>说明。</w:t>
      </w:r>
    </w:p>
    <w:p>
      <w:pPr>
        <w:keepNext w:val="0"/>
        <w:keepLines w:val="0"/>
        <w:pageBreakBefore w:val="0"/>
        <w:kinsoku/>
        <w:wordWrap/>
        <w:overflowPunct/>
        <w:topLinePunct w:val="0"/>
        <w:autoSpaceDE/>
        <w:autoSpaceDN/>
        <w:bidi w:val="0"/>
        <w:spacing w:line="360" w:lineRule="auto"/>
        <w:ind w:firstLine="422" w:firstLineChars="200"/>
        <w:textAlignment w:val="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第八条 安全问题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Arial"/>
          <w:color w:val="auto"/>
          <w:szCs w:val="21"/>
          <w:highlight w:val="none"/>
        </w:rPr>
      </w:pPr>
      <w:r>
        <w:rPr>
          <w:rFonts w:hint="eastAsia" w:ascii="宋体" w:hAnsi="宋体" w:cs="Arial"/>
          <w:color w:val="auto"/>
          <w:szCs w:val="21"/>
          <w:highlight w:val="none"/>
        </w:rPr>
        <w:t>乙方在项目实施过程中应注意自身安全，参加工伤和意外伤害险，加强对职工人员的安全教育，在整个服务期内，发生的一切意外事故（包括车祸），均由乙方负全责。乙方工作人员在工作期间造成第三方人身安全事故或因工作失误所带来的商品或财产损失而发生的赔偿，均由乙方负全责。</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cs="宋体"/>
          <w:b/>
          <w:color w:val="auto"/>
          <w:szCs w:val="21"/>
          <w:highlight w:val="none"/>
        </w:rPr>
      </w:pPr>
      <w:r>
        <w:rPr>
          <w:rFonts w:hint="eastAsia" w:ascii="宋体" w:hAnsi="宋体" w:cs="宋体"/>
          <w:b/>
          <w:color w:val="auto"/>
          <w:szCs w:val="21"/>
          <w:highlight w:val="none"/>
        </w:rPr>
        <w:t>第九条 质量争议</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9.1因标的质量问题发生争议的，应当邀请国家认可的质量检测机构对货物质量进行鉴定。</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9.2如果检测结果证明确有质量问题，乙方应无条件退货，检测费用由乙方承担，并承担因此逾期交货的违约责任。</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9.3如果检测结果证明没有质量问题，甲方应无条件接受货物，检测费用由甲方承担。</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cs="宋体"/>
          <w:color w:val="auto"/>
          <w:szCs w:val="21"/>
          <w:highlight w:val="none"/>
        </w:rPr>
      </w:pPr>
      <w:r>
        <w:rPr>
          <w:rFonts w:hint="eastAsia" w:ascii="宋体" w:hAnsi="宋体" w:cs="宋体"/>
          <w:b/>
          <w:color w:val="auto"/>
          <w:szCs w:val="21"/>
          <w:highlight w:val="none"/>
        </w:rPr>
        <w:t>第十条  违约责任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10.1甲方无正当理由拒收货物的，由甲方向乙方偿付合同总价的5%违约金。</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10.2甲方未按合同约定向乙方支付货款的，每逾期1天甲方向乙方支付欠款总额的5‰滞纳金，但累计滞纳金总额不超过欠款总额的5% 。</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10.3乙方不能交付货物，需书面向甲方提出，经甲方同意后，乙方应向甲方支付合同总价5%的违约金，解除本合同。</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10.4乙方逾期交付货物（含安装调试完成）的，每逾期1天，乙方向甲方偿付合同总额的5‰的滞纳金。乙方逾期超过7日未能交付货物的，甲方有权解除合同，解除合同的通知自到达乙方时生效，乙方应向甲方支付合同总价5%的违约金。</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10.5乙方所交付的货物品种、型号、规格不符合合同规定的，甲方有权拒收。甲方拒收的，乙方应向甲方支付货款总额5%的违约金。乙方所供的货物违反国家法律、法规规定的，甲方有权拒收，由乙方向甲方支付合同金额50％的违约金。给甲方造成经济损失的，乙方应承担赔偿责任。</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10.6在乙方承诺的或国家规定的质量保证期内（取两者中最长的期限），如经乙方两次维修或更换，货物仍不能达到合同约定的质量标准，甲方有权退货，乙方应退回全部货款，并按本条第3款处理，同时，乙方还须赔偿甲方因此遭受的损失。</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10.7乙方未按本合同的规定和“服务承诺”提供伴随服务/售后服务的，应按合同总价款的5 %向甲方承担违约责任。给甲方造成损失的，乙方应承担赔偿责任。</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cs="宋体"/>
          <w:color w:val="auto"/>
          <w:szCs w:val="21"/>
          <w:highlight w:val="none"/>
        </w:rPr>
      </w:pPr>
      <w:r>
        <w:rPr>
          <w:rFonts w:hint="eastAsia" w:ascii="宋体" w:hAnsi="宋体" w:cs="宋体"/>
          <w:b/>
          <w:color w:val="auto"/>
          <w:szCs w:val="21"/>
          <w:highlight w:val="none"/>
        </w:rPr>
        <w:t>第十一条  不可抗力</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11.1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11.2不可抗力影响时间持续30日以上时，甲乙双方应及时解除合同。</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11.3本条所述“不可抗力”是指不可预见、不能克服及不能避免的事件，包括战争、严重火灾、洪水、地震等。</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诉讼/仲裁</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双方在执行合同中所发生的一切争议，应通过协商解决。如协商不成，应向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法定地址所在地的仲裁委员会申请仲裁，也可直接向</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法定地址所在地的人民法院起诉。</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outlineLvl w:val="2"/>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第十三条  </w:t>
      </w:r>
      <w:r>
        <w:rPr>
          <w:rFonts w:hint="eastAsia" w:ascii="宋体" w:hAnsi="宋体" w:cs="宋体"/>
          <w:b/>
          <w:color w:val="auto"/>
          <w:szCs w:val="21"/>
          <w:highlight w:val="none"/>
        </w:rPr>
        <w:t>合同生效及其它</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13.1</w:t>
      </w:r>
      <w:r>
        <w:rPr>
          <w:rFonts w:hint="eastAsia" w:ascii="宋体" w:hAnsi="宋体" w:cs="宋体"/>
          <w:color w:val="auto"/>
          <w:szCs w:val="21"/>
          <w:highlight w:val="none"/>
        </w:rPr>
        <w:t>合同经双方法定代表人或授权委托代理人签字并加盖单位公章后生效。</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13.2</w:t>
      </w:r>
      <w:r>
        <w:rPr>
          <w:rFonts w:hint="eastAsia" w:ascii="宋体" w:hAnsi="宋体" w:cs="宋体"/>
          <w:color w:val="auto"/>
          <w:szCs w:val="21"/>
          <w:highlight w:val="none"/>
        </w:rPr>
        <w:t>本合同未尽事宜，遵照《中华人民共和国民法典》有关条文执行。</w:t>
      </w:r>
    </w:p>
    <w:p>
      <w:pPr>
        <w:keepNext w:val="0"/>
        <w:keepLines w:val="0"/>
        <w:pageBreakBefore w:val="0"/>
        <w:widowControl/>
        <w:kinsoku/>
        <w:wordWrap/>
        <w:overflowPunct/>
        <w:topLinePunct w:val="0"/>
        <w:autoSpaceDE/>
        <w:autoSpaceDN/>
        <w:bidi w:val="0"/>
        <w:adjustRightInd w:val="0"/>
        <w:snapToGrid w:val="0"/>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13.3</w:t>
      </w: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伍 </w:t>
      </w:r>
      <w:r>
        <w:rPr>
          <w:rFonts w:hint="eastAsia" w:ascii="宋体" w:hAnsi="宋体" w:cs="宋体"/>
          <w:color w:val="auto"/>
          <w:szCs w:val="21"/>
          <w:highlight w:val="none"/>
        </w:rPr>
        <w:t>份，甲、乙双方各执</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招标代理机构</w:t>
      </w:r>
      <w:r>
        <w:rPr>
          <w:rFonts w:hint="eastAsia" w:ascii="宋体" w:hAnsi="宋体" w:cs="宋体"/>
          <w:color w:val="auto"/>
          <w:szCs w:val="21"/>
          <w:highlight w:val="none"/>
        </w:rPr>
        <w:t>执</w:t>
      </w:r>
      <w:r>
        <w:rPr>
          <w:rFonts w:hint="eastAsia" w:ascii="宋体" w:hAnsi="宋体" w:cs="宋体"/>
          <w:color w:val="auto"/>
          <w:szCs w:val="21"/>
          <w:highlight w:val="none"/>
          <w:u w:val="single"/>
          <w:lang w:val="en-US" w:eastAsia="zh-CN"/>
        </w:rPr>
        <w:t xml:space="preserve"> 壹 </w:t>
      </w:r>
      <w:r>
        <w:rPr>
          <w:rFonts w:hint="eastAsia" w:ascii="宋体" w:hAnsi="宋体" w:cs="宋体"/>
          <w:color w:val="auto"/>
          <w:szCs w:val="21"/>
          <w:highlight w:val="none"/>
          <w:lang w:val="en-US" w:eastAsia="zh-CN"/>
        </w:rPr>
        <w:t>份</w:t>
      </w:r>
      <w:r>
        <w:rPr>
          <w:rFonts w:hint="eastAsia" w:ascii="宋体" w:hAnsi="宋体" w:cs="宋体"/>
          <w:color w:val="auto"/>
          <w:szCs w:val="21"/>
          <w:highlight w:val="none"/>
        </w:rPr>
        <w:t>。</w:t>
      </w:r>
    </w:p>
    <w:p>
      <w:pPr>
        <w:pStyle w:val="14"/>
        <w:rPr>
          <w:rFonts w:hint="eastAsia"/>
          <w:color w:val="auto"/>
          <w:highlight w:val="none"/>
        </w:rPr>
      </w:pPr>
    </w:p>
    <w:tbl>
      <w:tblPr>
        <w:tblStyle w:val="37"/>
        <w:tblW w:w="98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1"/>
        <w:gridCol w:w="4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eastAsia="宋体"/>
                <w:color w:val="auto"/>
                <w:highlight w:val="none"/>
                <w:vertAlign w:val="baseline"/>
                <w:lang w:eastAsia="zh-CN"/>
              </w:rPr>
            </w:pPr>
            <w:bookmarkStart w:id="163" w:name="_Toc86682855"/>
            <w:bookmarkStart w:id="164" w:name="_Toc109837948"/>
            <w:bookmarkStart w:id="165" w:name="_Toc83667981"/>
            <w:bookmarkStart w:id="166" w:name="_Toc114856901"/>
            <w:bookmarkStart w:id="167" w:name="_Toc84939211"/>
            <w:r>
              <w:rPr>
                <w:rFonts w:hint="eastAsia" w:ascii="宋体" w:hAnsi="宋体"/>
                <w:b/>
                <w:color w:val="auto"/>
                <w:szCs w:val="21"/>
                <w:highlight w:val="none"/>
              </w:rPr>
              <w:t>甲方（盖章）：</w:t>
            </w:r>
            <w:r>
              <w:rPr>
                <w:rFonts w:hint="eastAsia" w:ascii="宋体" w:hAnsi="宋体"/>
                <w:b/>
                <w:color w:val="auto"/>
                <w:szCs w:val="21"/>
                <w:highlight w:val="none"/>
                <w:u w:val="single"/>
                <w:lang w:eastAsia="zh-CN"/>
              </w:rPr>
              <w:t>海宁乐派芯园科技有限公司</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b/>
                <w:color w:val="auto"/>
                <w:szCs w:val="21"/>
                <w:highlight w:val="none"/>
              </w:rPr>
              <w:t>乙方（盖章）：</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地址：</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纳税登记证号：</w:t>
            </w:r>
            <w:r>
              <w:rPr>
                <w:rFonts w:hint="eastAsia" w:ascii="宋体" w:hAnsi="宋体"/>
                <w:color w:val="auto"/>
                <w:szCs w:val="21"/>
                <w:highlight w:val="none"/>
                <w:u w:val="single"/>
                <w:lang w:val="en-US" w:eastAsia="zh-CN"/>
              </w:rPr>
              <w:t xml:space="preserve"> </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纳税登记证号：</w:t>
            </w:r>
            <w:r>
              <w:rPr>
                <w:rFonts w:hint="eastAsia" w:ascii="宋体" w:hAnsi="宋体"/>
                <w:color w:val="auto"/>
                <w:szCs w:val="21"/>
                <w:highlight w:val="none"/>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pacing w:val="-20"/>
                <w:szCs w:val="21"/>
                <w:highlight w:val="none"/>
              </w:rPr>
              <w:t>法定代表人（授权代表）</w:t>
            </w:r>
            <w:r>
              <w:rPr>
                <w:rFonts w:hint="eastAsia" w:ascii="宋体" w:hAnsi="宋体"/>
                <w:color w:val="auto"/>
                <w:szCs w:val="21"/>
                <w:highlight w:val="none"/>
              </w:rPr>
              <w:t>：</w:t>
            </w:r>
            <w:r>
              <w:rPr>
                <w:rFonts w:hint="eastAsia" w:ascii="宋体" w:hAnsi="宋体"/>
                <w:color w:val="auto"/>
                <w:szCs w:val="21"/>
                <w:highlight w:val="none"/>
                <w:u w:val="single"/>
              </w:rPr>
              <w:t xml:space="preserve">                   </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pacing w:val="-20"/>
                <w:szCs w:val="21"/>
                <w:highlight w:val="none"/>
              </w:rPr>
              <w:t>法定代表人（授权代表）</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 xml:space="preserve">账号： </w:t>
            </w:r>
            <w:r>
              <w:rPr>
                <w:rFonts w:hint="eastAsia" w:ascii="宋体" w:hAnsi="宋体"/>
                <w:color w:val="auto"/>
                <w:szCs w:val="21"/>
                <w:highlight w:val="none"/>
                <w:u w:val="single"/>
              </w:rPr>
              <w:t xml:space="preserve">                                  </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 xml:space="preserve">账号：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221"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 xml:space="preserve">日期：二○二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四</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tc>
        <w:tc>
          <w:tcPr>
            <w:tcW w:w="4634" w:type="dxa"/>
            <w:tcBorders>
              <w:tl2br w:val="nil"/>
              <w:tr2bl w:val="nil"/>
            </w:tcBorders>
            <w:noWrap w:val="0"/>
            <w:vAlign w:val="center"/>
          </w:tcPr>
          <w:p>
            <w:pPr>
              <w:pStyle w:val="49"/>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vertAlign w:val="baseline"/>
              </w:rPr>
            </w:pPr>
            <w:r>
              <w:rPr>
                <w:rFonts w:hint="eastAsia" w:ascii="宋体" w:hAnsi="宋体"/>
                <w:color w:val="auto"/>
                <w:szCs w:val="21"/>
                <w:highlight w:val="none"/>
              </w:rPr>
              <w:t xml:space="preserve">日期：二○二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四</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tc>
      </w:tr>
    </w:tbl>
    <w:p>
      <w:pPr>
        <w:widowControl/>
        <w:snapToGrid w:val="0"/>
        <w:spacing w:line="480" w:lineRule="auto"/>
        <w:rPr>
          <w:rFonts w:ascii="仿宋_GB2312" w:hAnsi="Arial" w:eastAsia="仿宋_GB2312"/>
          <w:b/>
          <w:bCs/>
          <w:color w:val="auto"/>
          <w:sz w:val="24"/>
          <w:szCs w:val="32"/>
          <w:highlight w:val="none"/>
        </w:rPr>
      </w:pPr>
    </w:p>
    <w:p>
      <w:pPr>
        <w:widowControl/>
        <w:snapToGrid w:val="0"/>
        <w:spacing w:line="480" w:lineRule="auto"/>
        <w:rPr>
          <w:rFonts w:ascii="仿宋_GB2312" w:hAnsi="Arial" w:eastAsia="仿宋_GB2312"/>
          <w:b/>
          <w:bCs/>
          <w:color w:val="auto"/>
          <w:sz w:val="24"/>
          <w:szCs w:val="32"/>
          <w:highlight w:val="none"/>
        </w:rPr>
      </w:pPr>
    </w:p>
    <w:p>
      <w:pPr>
        <w:pStyle w:val="14"/>
        <w:ind w:left="0" w:leftChars="0" w:firstLine="0" w:firstLineChars="0"/>
        <w:rPr>
          <w:rFonts w:ascii="仿宋_GB2312" w:hAnsi="Arial" w:eastAsia="仿宋_GB2312"/>
          <w:b/>
          <w:bCs/>
          <w:color w:val="auto"/>
          <w:sz w:val="24"/>
          <w:szCs w:val="32"/>
          <w:highlight w:val="none"/>
        </w:rPr>
      </w:pPr>
    </w:p>
    <w:p>
      <w:pPr>
        <w:widowControl/>
        <w:snapToGrid w:val="0"/>
        <w:spacing w:line="480" w:lineRule="auto"/>
        <w:rPr>
          <w:rFonts w:ascii="宋体" w:hAnsi="宋体"/>
          <w:color w:val="auto"/>
          <w:szCs w:val="21"/>
          <w:highlight w:val="none"/>
        </w:rPr>
      </w:pPr>
      <w:r>
        <w:rPr>
          <w:rFonts w:ascii="仿宋_GB2312" w:hAnsi="Arial" w:eastAsia="仿宋_GB2312"/>
          <w:b/>
          <w:bCs/>
          <w:color w:val="auto"/>
          <w:sz w:val="24"/>
          <w:szCs w:val="32"/>
          <w:highlight w:val="none"/>
        </w:rPr>
        <w:t>附件</w:t>
      </w:r>
      <w:r>
        <w:rPr>
          <w:rFonts w:hint="eastAsia" w:ascii="仿宋_GB2312" w:hAnsi="Arial" w:eastAsia="仿宋_GB2312"/>
          <w:b/>
          <w:bCs/>
          <w:color w:val="auto"/>
          <w:sz w:val="24"/>
          <w:szCs w:val="32"/>
          <w:highlight w:val="none"/>
        </w:rPr>
        <w:t>1：廉政合同</w:t>
      </w:r>
      <w:bookmarkEnd w:id="163"/>
      <w:bookmarkEnd w:id="164"/>
      <w:bookmarkEnd w:id="165"/>
      <w:bookmarkEnd w:id="166"/>
      <w:bookmarkEnd w:id="167"/>
    </w:p>
    <w:p>
      <w:pPr>
        <w:spacing w:before="120" w:beforeLines="50" w:after="120" w:afterLines="50" w:line="360" w:lineRule="auto"/>
        <w:ind w:left="289"/>
        <w:jc w:val="center"/>
        <w:outlineLvl w:val="1"/>
        <w:rPr>
          <w:b/>
          <w:color w:val="auto"/>
          <w:kern w:val="0"/>
          <w:sz w:val="32"/>
          <w:szCs w:val="32"/>
          <w:highlight w:val="none"/>
        </w:rPr>
      </w:pPr>
      <w:r>
        <w:rPr>
          <w:rFonts w:hint="eastAsia"/>
          <w:bCs/>
          <w:color w:val="auto"/>
          <w:kern w:val="0"/>
          <w:sz w:val="32"/>
          <w:szCs w:val="32"/>
          <w:highlight w:val="none"/>
          <w:u w:val="single"/>
        </w:rPr>
        <w:t xml:space="preserve">  </w:t>
      </w:r>
      <w:r>
        <w:rPr>
          <w:rFonts w:hint="eastAsia" w:cs="Times New Roman"/>
          <w:b/>
          <w:color w:val="auto"/>
          <w:kern w:val="0"/>
          <w:sz w:val="32"/>
          <w:szCs w:val="32"/>
          <w:highlight w:val="none"/>
          <w:u w:val="single"/>
          <w:lang w:eastAsia="zh-CN"/>
        </w:rPr>
        <w:t>乐派芯园一期物业开办物资采购项目</w:t>
      </w:r>
      <w:r>
        <w:rPr>
          <w:rFonts w:hint="eastAsia"/>
          <w:bCs/>
          <w:color w:val="auto"/>
          <w:kern w:val="0"/>
          <w:sz w:val="32"/>
          <w:szCs w:val="32"/>
          <w:highlight w:val="none"/>
          <w:u w:val="single"/>
        </w:rPr>
        <w:t xml:space="preserve">   </w:t>
      </w:r>
      <w:bookmarkStart w:id="168" w:name="_Toc21018"/>
      <w:bookmarkStart w:id="169" w:name="_Toc2707"/>
      <w:bookmarkStart w:id="170" w:name="_Toc2204"/>
      <w:bookmarkStart w:id="171" w:name="_Toc20648"/>
      <w:bookmarkStart w:id="172" w:name="_Toc2517"/>
      <w:r>
        <w:rPr>
          <w:rFonts w:hint="eastAsia"/>
          <w:b/>
          <w:color w:val="auto"/>
          <w:kern w:val="0"/>
          <w:sz w:val="32"/>
          <w:szCs w:val="32"/>
          <w:highlight w:val="none"/>
        </w:rPr>
        <w:t>廉政合同</w:t>
      </w:r>
      <w:bookmarkEnd w:id="168"/>
      <w:bookmarkEnd w:id="169"/>
      <w:bookmarkEnd w:id="170"/>
      <w:bookmarkEnd w:id="171"/>
      <w:bookmarkEnd w:id="172"/>
    </w:p>
    <w:p>
      <w:pPr>
        <w:spacing w:line="360" w:lineRule="auto"/>
        <w:ind w:left="199" w:leftChars="95" w:firstLine="422" w:firstLineChars="200"/>
        <w:rPr>
          <w:rFonts w:hint="eastAsia"/>
          <w:b/>
          <w:bCs/>
          <w:color w:val="auto"/>
          <w:highlight w:val="none"/>
        </w:rPr>
      </w:pPr>
      <w:r>
        <w:rPr>
          <w:rFonts w:hint="eastAsia"/>
          <w:b/>
          <w:bCs/>
          <w:color w:val="auto"/>
          <w:highlight w:val="none"/>
        </w:rPr>
        <w:t xml:space="preserve">甲方（发包人）： </w:t>
      </w:r>
      <w:r>
        <w:rPr>
          <w:rFonts w:hint="eastAsia"/>
          <w:b/>
          <w:bCs/>
          <w:color w:val="auto"/>
          <w:highlight w:val="none"/>
          <w:u w:val="single"/>
          <w:lang w:eastAsia="zh-CN"/>
        </w:rPr>
        <w:t>海宁乐派芯园科技有限公司</w:t>
      </w:r>
      <w:r>
        <w:rPr>
          <w:rFonts w:hint="eastAsia"/>
          <w:b/>
          <w:bCs/>
          <w:color w:val="auto"/>
          <w:highlight w:val="none"/>
        </w:rPr>
        <w:t xml:space="preserve">                                        </w:t>
      </w:r>
    </w:p>
    <w:p>
      <w:pPr>
        <w:spacing w:line="360" w:lineRule="auto"/>
        <w:ind w:left="199" w:leftChars="95" w:firstLine="422" w:firstLineChars="200"/>
        <w:rPr>
          <w:rFonts w:hint="eastAsia"/>
          <w:color w:val="auto"/>
          <w:highlight w:val="none"/>
        </w:rPr>
      </w:pPr>
      <w:r>
        <w:rPr>
          <w:rFonts w:hint="eastAsia"/>
          <w:b/>
          <w:bCs/>
          <w:color w:val="auto"/>
          <w:highlight w:val="none"/>
        </w:rPr>
        <w:t xml:space="preserve">乙方（承包人）：        </w:t>
      </w:r>
      <w:r>
        <w:rPr>
          <w:rFonts w:hint="eastAsia"/>
          <w:color w:val="auto"/>
          <w:highlight w:val="none"/>
        </w:rPr>
        <w:t xml:space="preserve">                                 </w:t>
      </w:r>
    </w:p>
    <w:p>
      <w:pPr>
        <w:spacing w:line="360" w:lineRule="auto"/>
        <w:ind w:left="199" w:leftChars="95" w:firstLine="420" w:firstLineChars="200"/>
        <w:rPr>
          <w:color w:val="auto"/>
          <w:highlight w:val="none"/>
        </w:rPr>
      </w:pPr>
      <w:r>
        <w:rPr>
          <w:rFonts w:hint="eastAsia"/>
          <w:color w:val="auto"/>
          <w:highlight w:val="none"/>
        </w:rPr>
        <w:t>为促进甲乙双方在业务活动中优质、高效、有序地合作，促使甲乙双方工作人员廉洁从业，经甲、乙双方同意签订本廉政合同，并作为甲、乙双方共同遵守的行为准则。</w:t>
      </w:r>
    </w:p>
    <w:p>
      <w:pPr>
        <w:spacing w:line="360" w:lineRule="auto"/>
        <w:ind w:firstLine="422" w:firstLineChars="200"/>
        <w:rPr>
          <w:rFonts w:ascii="黑体" w:eastAsia="黑体"/>
          <w:b/>
          <w:color w:val="auto"/>
          <w:szCs w:val="21"/>
          <w:highlight w:val="none"/>
        </w:rPr>
      </w:pPr>
      <w:r>
        <w:rPr>
          <w:rFonts w:hint="eastAsia" w:ascii="黑体" w:eastAsia="黑体"/>
          <w:b/>
          <w:color w:val="auto"/>
          <w:szCs w:val="21"/>
          <w:highlight w:val="none"/>
        </w:rPr>
        <w:t>第一条 甲、乙双方的权利和义务</w:t>
      </w:r>
    </w:p>
    <w:p>
      <w:pPr>
        <w:widowControl/>
        <w:tabs>
          <w:tab w:val="left" w:pos="0"/>
          <w:tab w:val="left" w:pos="6180"/>
        </w:tabs>
        <w:spacing w:line="360" w:lineRule="auto"/>
        <w:ind w:firstLine="420" w:firstLineChars="200"/>
        <w:rPr>
          <w:color w:val="auto"/>
          <w:highlight w:val="none"/>
        </w:rPr>
      </w:pPr>
      <w:r>
        <w:rPr>
          <w:rFonts w:hint="eastAsia"/>
          <w:color w:val="auto"/>
          <w:highlight w:val="none"/>
        </w:rPr>
        <w:t>（一）严格遵守党的方针、政策和国家相关法律、法规的规定。</w:t>
      </w:r>
    </w:p>
    <w:p>
      <w:pPr>
        <w:widowControl/>
        <w:tabs>
          <w:tab w:val="left" w:pos="0"/>
          <w:tab w:val="left" w:pos="6180"/>
        </w:tabs>
        <w:spacing w:line="360" w:lineRule="auto"/>
        <w:ind w:firstLine="420" w:firstLineChars="200"/>
        <w:rPr>
          <w:color w:val="auto"/>
          <w:highlight w:val="none"/>
        </w:rPr>
      </w:pPr>
      <w:r>
        <w:rPr>
          <w:rFonts w:hint="eastAsia"/>
          <w:color w:val="auto"/>
          <w:highlight w:val="none"/>
        </w:rPr>
        <w:t>（二）严格执行</w:t>
      </w:r>
      <w:r>
        <w:rPr>
          <w:rFonts w:hint="eastAsia"/>
          <w:color w:val="auto"/>
          <w:highlight w:val="none"/>
          <w:u w:val="single"/>
        </w:rPr>
        <w:t xml:space="preserve">   </w:t>
      </w:r>
      <w:r>
        <w:rPr>
          <w:rFonts w:hint="eastAsia" w:ascii="宋体" w:hAnsi="宋体"/>
          <w:b w:val="0"/>
          <w:bCs w:val="0"/>
          <w:color w:val="auto"/>
          <w:szCs w:val="21"/>
          <w:highlight w:val="none"/>
          <w:u w:val="single"/>
          <w:lang w:eastAsia="zh-CN"/>
        </w:rPr>
        <w:t>乐派芯园一期物业开办物资采购项目</w:t>
      </w:r>
      <w:r>
        <w:rPr>
          <w:rFonts w:hint="eastAsia"/>
          <w:b w:val="0"/>
          <w:bCs w:val="0"/>
          <w:color w:val="auto"/>
          <w:highlight w:val="none"/>
          <w:u w:val="single"/>
        </w:rPr>
        <w:t xml:space="preserve">   </w:t>
      </w:r>
      <w:r>
        <w:rPr>
          <w:rFonts w:hint="eastAsia"/>
          <w:b w:val="0"/>
          <w:bCs w:val="0"/>
          <w:color w:val="auto"/>
          <w:highlight w:val="none"/>
        </w:rPr>
        <w:t>的合</w:t>
      </w:r>
      <w:r>
        <w:rPr>
          <w:rFonts w:hint="eastAsia"/>
          <w:color w:val="auto"/>
          <w:highlight w:val="none"/>
        </w:rPr>
        <w:t>同文件，自觉按合同办事。</w:t>
      </w:r>
    </w:p>
    <w:p>
      <w:pPr>
        <w:widowControl/>
        <w:tabs>
          <w:tab w:val="left" w:pos="0"/>
        </w:tabs>
        <w:spacing w:line="360" w:lineRule="auto"/>
        <w:ind w:firstLine="420" w:firstLineChars="200"/>
        <w:rPr>
          <w:color w:val="auto"/>
          <w:highlight w:val="none"/>
        </w:rPr>
      </w:pPr>
      <w:r>
        <w:rPr>
          <w:rFonts w:hint="eastAsia"/>
          <w:color w:val="auto"/>
          <w:highlight w:val="none"/>
        </w:rPr>
        <w:t>（三）双方的业务活动坚持公开、公正、诚信、透明的原则（除法律认定的商业秘密和合同文件另有规定之外），不得损害国家和集体利益，违反工程建设管理规章制度。</w:t>
      </w:r>
    </w:p>
    <w:p>
      <w:pPr>
        <w:widowControl/>
        <w:tabs>
          <w:tab w:val="left" w:pos="0"/>
        </w:tabs>
        <w:spacing w:line="360" w:lineRule="auto"/>
        <w:ind w:firstLine="420" w:firstLineChars="200"/>
        <w:rPr>
          <w:color w:val="auto"/>
          <w:highlight w:val="none"/>
        </w:rPr>
      </w:pPr>
      <w:r>
        <w:rPr>
          <w:rFonts w:hint="eastAsia"/>
          <w:color w:val="auto"/>
          <w:highlight w:val="none"/>
        </w:rPr>
        <w:t>（四）建立健全的廉政制度，开展廉政教育，设立廉政告示牌，公布举报电话，监督并认真查处违法违纪行为。</w:t>
      </w:r>
    </w:p>
    <w:p>
      <w:pPr>
        <w:widowControl/>
        <w:tabs>
          <w:tab w:val="left" w:pos="0"/>
        </w:tabs>
        <w:spacing w:line="360" w:lineRule="auto"/>
        <w:ind w:firstLine="420" w:firstLineChars="200"/>
        <w:rPr>
          <w:color w:val="auto"/>
          <w:highlight w:val="none"/>
        </w:rPr>
      </w:pPr>
      <w:r>
        <w:rPr>
          <w:rFonts w:hint="eastAsia"/>
          <w:color w:val="auto"/>
          <w:highlight w:val="none"/>
        </w:rPr>
        <w:t>（五）发现对方在业务活动中有违反廉政规定的行为，有及时提醒该方纠正的权利和义务。</w:t>
      </w:r>
    </w:p>
    <w:p>
      <w:pPr>
        <w:widowControl/>
        <w:tabs>
          <w:tab w:val="left" w:pos="0"/>
        </w:tabs>
        <w:spacing w:line="360" w:lineRule="auto"/>
        <w:ind w:firstLine="420" w:firstLineChars="200"/>
        <w:rPr>
          <w:color w:val="auto"/>
          <w:highlight w:val="none"/>
        </w:rPr>
      </w:pPr>
      <w:r>
        <w:rPr>
          <w:rFonts w:hint="eastAsia"/>
          <w:color w:val="auto"/>
          <w:highlight w:val="none"/>
        </w:rPr>
        <w:t>（六）发现对方在业务活动中有不廉洁行为时，应及时采取措施予以制止，有严重违反本合同义务条款的行为，应向上级有关部门或纪检监察、司法等有关机关举报。</w:t>
      </w:r>
    </w:p>
    <w:p>
      <w:pPr>
        <w:spacing w:line="360" w:lineRule="auto"/>
        <w:ind w:firstLine="422" w:firstLineChars="200"/>
        <w:rPr>
          <w:rFonts w:ascii="宋体"/>
          <w:b/>
          <w:color w:val="auto"/>
          <w:szCs w:val="21"/>
          <w:highlight w:val="none"/>
        </w:rPr>
      </w:pPr>
      <w:r>
        <w:rPr>
          <w:rFonts w:hint="eastAsia" w:ascii="黑体" w:eastAsia="黑体"/>
          <w:b/>
          <w:color w:val="auto"/>
          <w:szCs w:val="21"/>
          <w:highlight w:val="none"/>
        </w:rPr>
        <w:t>第二条 甲方廉政管理的义务</w:t>
      </w:r>
      <w:r>
        <w:rPr>
          <w:rFonts w:hint="eastAsia" w:ascii="宋体"/>
          <w:color w:val="auto"/>
          <w:szCs w:val="21"/>
          <w:highlight w:val="none"/>
        </w:rPr>
        <w:t xml:space="preserve">  </w:t>
      </w:r>
    </w:p>
    <w:p>
      <w:pPr>
        <w:spacing w:line="360" w:lineRule="auto"/>
        <w:ind w:firstLine="315" w:firstLineChars="150"/>
        <w:rPr>
          <w:rFonts w:ascii="宋体"/>
          <w:color w:val="auto"/>
          <w:szCs w:val="21"/>
          <w:highlight w:val="none"/>
        </w:rPr>
      </w:pPr>
      <w:r>
        <w:rPr>
          <w:rFonts w:hint="eastAsia" w:ascii="宋体"/>
          <w:color w:val="auto"/>
          <w:szCs w:val="21"/>
          <w:highlight w:val="none"/>
        </w:rPr>
        <w:t>（一）甲方有责任向乙方介绍本单位有关廉政管理的各项制度和规定；</w:t>
      </w:r>
    </w:p>
    <w:p>
      <w:pPr>
        <w:spacing w:line="360" w:lineRule="auto"/>
        <w:rPr>
          <w:rFonts w:ascii="宋体"/>
          <w:color w:val="auto"/>
          <w:szCs w:val="21"/>
          <w:highlight w:val="none"/>
        </w:rPr>
      </w:pPr>
      <w:r>
        <w:rPr>
          <w:rFonts w:hint="eastAsia" w:ascii="宋体"/>
          <w:color w:val="auto"/>
          <w:szCs w:val="21"/>
          <w:highlight w:val="none"/>
        </w:rPr>
        <w:t xml:space="preserve">   （二）甲方有责任对本单位工作人员进行廉政教育。</w:t>
      </w:r>
    </w:p>
    <w:p>
      <w:pPr>
        <w:spacing w:line="360" w:lineRule="auto"/>
        <w:rPr>
          <w:rFonts w:ascii="宋体"/>
          <w:color w:val="auto"/>
          <w:szCs w:val="21"/>
          <w:highlight w:val="none"/>
        </w:rPr>
      </w:pPr>
      <w:r>
        <w:rPr>
          <w:rFonts w:hint="eastAsia" w:ascii="宋体"/>
          <w:color w:val="auto"/>
          <w:szCs w:val="21"/>
          <w:highlight w:val="none"/>
        </w:rPr>
        <w:t xml:space="preserve">   （三）甲方工作人员应严格执行本单位制定的廉政管理和廉洁自律等有关规定，如违反规定，除给予当事人批评教育外，视情节轻重，后果大小，给予相应的经济处罚或纪律处分。 </w:t>
      </w:r>
    </w:p>
    <w:p>
      <w:pPr>
        <w:spacing w:line="360" w:lineRule="auto"/>
        <w:rPr>
          <w:rFonts w:ascii="宋体"/>
          <w:color w:val="auto"/>
          <w:szCs w:val="21"/>
          <w:highlight w:val="none"/>
        </w:rPr>
      </w:pPr>
      <w:r>
        <w:rPr>
          <w:rFonts w:hint="eastAsia" w:ascii="宋体"/>
          <w:color w:val="auto"/>
          <w:szCs w:val="21"/>
          <w:highlight w:val="none"/>
        </w:rPr>
        <w:t xml:space="preserve">   （四）甲方工作人员及其配偶、子女等亲属和其他特定关系人</w:t>
      </w:r>
      <w:r>
        <w:rPr>
          <w:rFonts w:hint="eastAsia" w:ascii="宋体"/>
          <w:b/>
          <w:color w:val="auto"/>
          <w:szCs w:val="21"/>
          <w:highlight w:val="none"/>
        </w:rPr>
        <w:t>不准</w:t>
      </w:r>
      <w:r>
        <w:rPr>
          <w:rFonts w:hint="eastAsia" w:ascii="宋体"/>
          <w:color w:val="auto"/>
          <w:szCs w:val="21"/>
          <w:highlight w:val="none"/>
        </w:rPr>
        <w:t>接受乙方安排的宴请、旅游、健身、娱乐等活动；</w:t>
      </w:r>
      <w:r>
        <w:rPr>
          <w:rFonts w:hint="eastAsia" w:ascii="宋体"/>
          <w:b/>
          <w:color w:val="auto"/>
          <w:szCs w:val="21"/>
          <w:highlight w:val="none"/>
        </w:rPr>
        <w:t>不准</w:t>
      </w:r>
      <w:r>
        <w:rPr>
          <w:rFonts w:hint="eastAsia" w:ascii="宋体"/>
          <w:color w:val="auto"/>
          <w:szCs w:val="21"/>
          <w:highlight w:val="none"/>
        </w:rPr>
        <w:t>接受乙方赠送的礼品、礼金、消费卡等；</w:t>
      </w:r>
      <w:r>
        <w:rPr>
          <w:rFonts w:hint="eastAsia" w:ascii="宋体"/>
          <w:b/>
          <w:color w:val="auto"/>
          <w:spacing w:val="-10"/>
          <w:szCs w:val="21"/>
          <w:highlight w:val="none"/>
        </w:rPr>
        <w:t>不准</w:t>
      </w:r>
      <w:r>
        <w:rPr>
          <w:rFonts w:hint="eastAsia" w:ascii="宋体"/>
          <w:color w:val="auto"/>
          <w:spacing w:val="-10"/>
          <w:szCs w:val="21"/>
          <w:highlight w:val="none"/>
        </w:rPr>
        <w:t>接受</w:t>
      </w:r>
      <w:r>
        <w:rPr>
          <w:rFonts w:hint="eastAsia" w:ascii="宋体"/>
          <w:color w:val="auto"/>
          <w:szCs w:val="21"/>
          <w:highlight w:val="none"/>
        </w:rPr>
        <w:t>乙方</w:t>
      </w:r>
      <w:r>
        <w:rPr>
          <w:rFonts w:hint="eastAsia" w:ascii="宋体"/>
          <w:color w:val="auto"/>
          <w:spacing w:val="-10"/>
          <w:szCs w:val="21"/>
          <w:highlight w:val="none"/>
        </w:rPr>
        <w:t>提供的通讯工具、交通工具</w:t>
      </w:r>
      <w:r>
        <w:rPr>
          <w:rFonts w:hint="eastAsia" w:ascii="宋体"/>
          <w:color w:val="auto"/>
          <w:szCs w:val="21"/>
          <w:highlight w:val="none"/>
        </w:rPr>
        <w:t>或私房建设、住房装修人工、材料和相关服务；</w:t>
      </w:r>
      <w:r>
        <w:rPr>
          <w:rFonts w:hint="eastAsia" w:ascii="宋体"/>
          <w:b/>
          <w:color w:val="auto"/>
          <w:spacing w:val="-10"/>
          <w:szCs w:val="21"/>
          <w:highlight w:val="none"/>
        </w:rPr>
        <w:t>不准</w:t>
      </w:r>
      <w:r>
        <w:rPr>
          <w:rFonts w:hint="eastAsia" w:ascii="宋体"/>
          <w:color w:val="auto"/>
          <w:spacing w:val="-10"/>
          <w:szCs w:val="21"/>
          <w:highlight w:val="none"/>
        </w:rPr>
        <w:t>利用职权</w:t>
      </w:r>
      <w:r>
        <w:rPr>
          <w:rFonts w:hint="eastAsia" w:ascii="宋体"/>
          <w:color w:val="auto"/>
          <w:szCs w:val="21"/>
          <w:highlight w:val="none"/>
        </w:rPr>
        <w:t>向乙方介绍或为配偶、子女、亲属和其他特定关系人参与同甲方项目工程有关的设备、材料、工程分包、劳务等经济活动；</w:t>
      </w:r>
      <w:r>
        <w:rPr>
          <w:rFonts w:hint="eastAsia" w:ascii="宋体"/>
          <w:b/>
          <w:color w:val="auto"/>
          <w:spacing w:val="-10"/>
          <w:szCs w:val="21"/>
          <w:highlight w:val="none"/>
        </w:rPr>
        <w:t>不准</w:t>
      </w:r>
      <w:r>
        <w:rPr>
          <w:rFonts w:hint="eastAsia" w:ascii="宋体"/>
          <w:color w:val="auto"/>
          <w:spacing w:val="-10"/>
          <w:szCs w:val="21"/>
          <w:highlight w:val="none"/>
        </w:rPr>
        <w:t>以任何名义向乙方借款</w:t>
      </w:r>
      <w:r>
        <w:rPr>
          <w:rFonts w:hint="eastAsia" w:ascii="宋体"/>
          <w:color w:val="auto"/>
          <w:szCs w:val="21"/>
          <w:highlight w:val="none"/>
        </w:rPr>
        <w:t>；</w:t>
      </w:r>
      <w:r>
        <w:rPr>
          <w:rFonts w:hint="eastAsia" w:ascii="宋体"/>
          <w:b/>
          <w:color w:val="auto"/>
          <w:szCs w:val="21"/>
          <w:highlight w:val="none"/>
        </w:rPr>
        <w:t>不准</w:t>
      </w:r>
      <w:r>
        <w:rPr>
          <w:rFonts w:hint="eastAsia" w:ascii="宋体"/>
          <w:color w:val="auto"/>
          <w:szCs w:val="21"/>
          <w:highlight w:val="none"/>
        </w:rPr>
        <w:t>在乙方报销任何应由甲方或甲方工作人员个人支付</w:t>
      </w:r>
      <w:r>
        <w:rPr>
          <w:rFonts w:hint="eastAsia" w:ascii="宋体"/>
          <w:color w:val="auto"/>
          <w:spacing w:val="-7"/>
          <w:szCs w:val="21"/>
          <w:highlight w:val="none"/>
        </w:rPr>
        <w:t>的费用</w:t>
      </w:r>
      <w:r>
        <w:rPr>
          <w:rFonts w:hint="eastAsia" w:ascii="宋体"/>
          <w:color w:val="auto"/>
          <w:szCs w:val="21"/>
          <w:highlight w:val="none"/>
        </w:rPr>
        <w:t>；</w:t>
      </w:r>
      <w:r>
        <w:rPr>
          <w:rFonts w:hint="eastAsia" w:ascii="宋体"/>
          <w:b/>
          <w:color w:val="auto"/>
          <w:szCs w:val="21"/>
          <w:highlight w:val="none"/>
        </w:rPr>
        <w:t>不准</w:t>
      </w:r>
      <w:r>
        <w:rPr>
          <w:rFonts w:hint="eastAsia" w:ascii="宋体"/>
          <w:color w:val="auto"/>
          <w:szCs w:val="21"/>
          <w:highlight w:val="none"/>
        </w:rPr>
        <w:t>将配偶、子女等亲属和其他特定关系人安排到乙方兼职；</w:t>
      </w:r>
      <w:r>
        <w:rPr>
          <w:rFonts w:hint="eastAsia" w:ascii="宋体"/>
          <w:b/>
          <w:color w:val="auto"/>
          <w:szCs w:val="21"/>
          <w:highlight w:val="none"/>
        </w:rPr>
        <w:t>不准</w:t>
      </w:r>
      <w:r>
        <w:rPr>
          <w:rFonts w:hint="eastAsia" w:ascii="宋体"/>
          <w:color w:val="auto"/>
          <w:szCs w:val="21"/>
          <w:highlight w:val="none"/>
        </w:rPr>
        <w:t>和乙方合股经营或参与管理工作有关的其他任何业务。</w:t>
      </w:r>
    </w:p>
    <w:p>
      <w:pPr>
        <w:spacing w:line="360" w:lineRule="auto"/>
        <w:ind w:firstLine="422" w:firstLineChars="200"/>
        <w:rPr>
          <w:rFonts w:ascii="黑体" w:eastAsia="黑体"/>
          <w:b/>
          <w:color w:val="auto"/>
          <w:szCs w:val="21"/>
          <w:highlight w:val="none"/>
        </w:rPr>
      </w:pPr>
      <w:r>
        <w:rPr>
          <w:rFonts w:hint="eastAsia" w:ascii="黑体" w:eastAsia="黑体"/>
          <w:b/>
          <w:color w:val="auto"/>
          <w:szCs w:val="21"/>
          <w:highlight w:val="none"/>
        </w:rPr>
        <w:t>第三条 乙方廉政管理的义务</w:t>
      </w:r>
    </w:p>
    <w:p>
      <w:pPr>
        <w:spacing w:line="360" w:lineRule="auto"/>
        <w:ind w:firstLine="315" w:firstLineChars="150"/>
        <w:rPr>
          <w:rFonts w:ascii="宋体"/>
          <w:color w:val="auto"/>
          <w:szCs w:val="21"/>
          <w:highlight w:val="none"/>
        </w:rPr>
      </w:pPr>
      <w:r>
        <w:rPr>
          <w:rFonts w:hint="eastAsia" w:ascii="宋体"/>
          <w:color w:val="auto"/>
          <w:szCs w:val="21"/>
          <w:highlight w:val="none"/>
        </w:rPr>
        <w:t>（一）乙方应当了解甲方有关廉政管理方面的各项制度和规定，并遵守执行。</w:t>
      </w:r>
    </w:p>
    <w:p>
      <w:pPr>
        <w:spacing w:line="360" w:lineRule="auto"/>
        <w:ind w:firstLine="315" w:firstLineChars="150"/>
        <w:rPr>
          <w:rFonts w:ascii="宋体"/>
          <w:color w:val="auto"/>
          <w:szCs w:val="21"/>
          <w:highlight w:val="none"/>
        </w:rPr>
      </w:pPr>
      <w:r>
        <w:rPr>
          <w:rFonts w:hint="eastAsia" w:ascii="宋体"/>
          <w:color w:val="auto"/>
          <w:szCs w:val="21"/>
          <w:highlight w:val="none"/>
        </w:rPr>
        <w:t>（二）乙方应当对本单位工作人员进行廉政教育，按时出席甲方召集的廉政管理会议。</w:t>
      </w:r>
    </w:p>
    <w:p>
      <w:pPr>
        <w:spacing w:line="360" w:lineRule="auto"/>
        <w:ind w:firstLine="315" w:firstLineChars="150"/>
        <w:rPr>
          <w:rFonts w:ascii="宋体"/>
          <w:color w:val="auto"/>
          <w:szCs w:val="21"/>
          <w:highlight w:val="none"/>
        </w:rPr>
      </w:pPr>
      <w:r>
        <w:rPr>
          <w:rFonts w:hint="eastAsia" w:ascii="宋体"/>
          <w:color w:val="auto"/>
          <w:szCs w:val="21"/>
          <w:highlight w:val="none"/>
        </w:rPr>
        <w:t>（三）乙方</w:t>
      </w:r>
      <w:r>
        <w:rPr>
          <w:rFonts w:hint="eastAsia" w:ascii="宋体"/>
          <w:b/>
          <w:color w:val="auto"/>
          <w:szCs w:val="21"/>
          <w:highlight w:val="none"/>
        </w:rPr>
        <w:t>不得</w:t>
      </w:r>
      <w:r>
        <w:rPr>
          <w:rFonts w:hint="eastAsia" w:ascii="宋体"/>
          <w:color w:val="auto"/>
          <w:szCs w:val="21"/>
          <w:highlight w:val="none"/>
        </w:rPr>
        <w:t>在业务活动中以获得不正当利益为目的而安排甲方工作人员及其配偶、子女等亲属和其他特定关系人宴请、旅游、健身、娱乐等活动；</w:t>
      </w:r>
      <w:r>
        <w:rPr>
          <w:rFonts w:hint="eastAsia" w:ascii="宋体"/>
          <w:b/>
          <w:color w:val="auto"/>
          <w:szCs w:val="21"/>
          <w:highlight w:val="none"/>
        </w:rPr>
        <w:t>不得</w:t>
      </w:r>
      <w:r>
        <w:rPr>
          <w:rFonts w:hint="eastAsia" w:ascii="宋体"/>
          <w:color w:val="auto"/>
          <w:szCs w:val="21"/>
          <w:highlight w:val="none"/>
        </w:rPr>
        <w:t>以任何名义赠送甲方工作人员及其配偶、子女等亲属和其他特定关系人礼品、礼金、消费卡；</w:t>
      </w:r>
      <w:r>
        <w:rPr>
          <w:rFonts w:hint="eastAsia" w:ascii="宋体"/>
          <w:b/>
          <w:color w:val="auto"/>
          <w:szCs w:val="21"/>
          <w:highlight w:val="none"/>
        </w:rPr>
        <w:t>不得</w:t>
      </w:r>
      <w:r>
        <w:rPr>
          <w:rFonts w:hint="eastAsia" w:ascii="宋体"/>
          <w:color w:val="auto"/>
          <w:szCs w:val="21"/>
          <w:highlight w:val="none"/>
        </w:rPr>
        <w:t>向甲方工作人员及其配偶、子女等亲属和其他特定关系人</w:t>
      </w:r>
      <w:r>
        <w:rPr>
          <w:rFonts w:hint="eastAsia" w:ascii="宋体"/>
          <w:color w:val="auto"/>
          <w:spacing w:val="-10"/>
          <w:szCs w:val="21"/>
          <w:highlight w:val="none"/>
        </w:rPr>
        <w:t>提供通讯工具、交通工具</w:t>
      </w:r>
      <w:r>
        <w:rPr>
          <w:rFonts w:hint="eastAsia" w:ascii="宋体"/>
          <w:color w:val="auto"/>
          <w:szCs w:val="21"/>
          <w:highlight w:val="none"/>
        </w:rPr>
        <w:t>或私房建设、住房装修人工、材料和相关服务；</w:t>
      </w:r>
      <w:r>
        <w:rPr>
          <w:rFonts w:hint="eastAsia" w:ascii="宋体"/>
          <w:b/>
          <w:color w:val="auto"/>
          <w:spacing w:val="-10"/>
          <w:szCs w:val="21"/>
          <w:highlight w:val="none"/>
        </w:rPr>
        <w:t>不得</w:t>
      </w:r>
      <w:r>
        <w:rPr>
          <w:rFonts w:hint="eastAsia" w:ascii="宋体"/>
          <w:color w:val="auto"/>
          <w:spacing w:val="-10"/>
          <w:szCs w:val="21"/>
          <w:highlight w:val="none"/>
        </w:rPr>
        <w:t>为</w:t>
      </w:r>
      <w:r>
        <w:rPr>
          <w:rFonts w:hint="eastAsia" w:ascii="宋体"/>
          <w:color w:val="auto"/>
          <w:szCs w:val="21"/>
          <w:highlight w:val="none"/>
        </w:rPr>
        <w:t>甲方工作人员及其配偶、子女等亲属和其他特定关系人报销任何应由甲方或甲方工作人员个人支付</w:t>
      </w:r>
      <w:r>
        <w:rPr>
          <w:rFonts w:hint="eastAsia" w:ascii="宋体"/>
          <w:color w:val="auto"/>
          <w:spacing w:val="-7"/>
          <w:szCs w:val="21"/>
          <w:highlight w:val="none"/>
        </w:rPr>
        <w:t>的费用</w:t>
      </w:r>
      <w:r>
        <w:rPr>
          <w:rFonts w:hint="eastAsia" w:ascii="宋体"/>
          <w:color w:val="auto"/>
          <w:szCs w:val="21"/>
          <w:highlight w:val="none"/>
        </w:rPr>
        <w:t>。</w:t>
      </w:r>
    </w:p>
    <w:p>
      <w:pPr>
        <w:spacing w:line="360" w:lineRule="auto"/>
        <w:ind w:firstLine="315" w:firstLineChars="150"/>
        <w:rPr>
          <w:rFonts w:ascii="宋体"/>
          <w:color w:val="auto"/>
          <w:szCs w:val="21"/>
          <w:highlight w:val="none"/>
        </w:rPr>
      </w:pPr>
      <w:r>
        <w:rPr>
          <w:rFonts w:hint="eastAsia" w:ascii="宋体"/>
          <w:color w:val="auto"/>
          <w:szCs w:val="21"/>
          <w:highlight w:val="none"/>
        </w:rPr>
        <w:t>（四）工程结束后，乙方自觉接受监督部门对其在施工期间有关费用开支情况的监督检查。</w:t>
      </w:r>
    </w:p>
    <w:p>
      <w:pPr>
        <w:spacing w:line="360" w:lineRule="auto"/>
        <w:ind w:firstLine="422" w:firstLineChars="200"/>
        <w:rPr>
          <w:rFonts w:ascii="黑体" w:eastAsia="黑体"/>
          <w:b/>
          <w:color w:val="auto"/>
          <w:szCs w:val="21"/>
          <w:highlight w:val="none"/>
        </w:rPr>
      </w:pPr>
      <w:r>
        <w:rPr>
          <w:rFonts w:hint="eastAsia" w:ascii="黑体" w:eastAsia="黑体"/>
          <w:b/>
          <w:color w:val="auto"/>
          <w:szCs w:val="21"/>
          <w:highlight w:val="none"/>
        </w:rPr>
        <w:t>第四条 违约责任</w:t>
      </w:r>
    </w:p>
    <w:p>
      <w:pPr>
        <w:widowControl/>
        <w:numPr>
          <w:ilvl w:val="0"/>
          <w:numId w:val="3"/>
        </w:numPr>
        <w:spacing w:line="360" w:lineRule="auto"/>
        <w:rPr>
          <w:rFonts w:ascii="宋体"/>
          <w:color w:val="auto"/>
          <w:szCs w:val="21"/>
          <w:highlight w:val="none"/>
        </w:rPr>
      </w:pPr>
      <w:r>
        <w:rPr>
          <w:rFonts w:hint="eastAsia" w:ascii="宋体"/>
          <w:color w:val="auto"/>
          <w:szCs w:val="21"/>
          <w:highlight w:val="none"/>
        </w:rPr>
        <w:t>甲方及其工作人员违反本合同第一、二条，按管理权限依据有关规定给予党纪、政纪或组织处理；涉嫌犯罪的，移交司法机关追究刑事责任。</w:t>
      </w:r>
    </w:p>
    <w:p>
      <w:pPr>
        <w:widowControl/>
        <w:numPr>
          <w:ilvl w:val="0"/>
          <w:numId w:val="3"/>
        </w:numPr>
        <w:spacing w:line="360" w:lineRule="auto"/>
        <w:rPr>
          <w:rFonts w:ascii="宋体"/>
          <w:color w:val="auto"/>
          <w:szCs w:val="21"/>
          <w:highlight w:val="none"/>
        </w:rPr>
      </w:pPr>
      <w:r>
        <w:rPr>
          <w:rFonts w:hint="eastAsia" w:ascii="宋体"/>
          <w:color w:val="auto"/>
          <w:szCs w:val="21"/>
          <w:highlight w:val="none"/>
        </w:rPr>
        <w:t>乙方及其工作人员违反本合同第一、三条的，按管理权限，依据有关规定给予党纪、政纪或组织处理；给甲方单位造成经济损失的，应予以赔偿，用不正当的手段获得的非法利益由有关部门予以追缴；贿赂甲方工作人员，被纪检监察机关或司法机关立案查处的，甲方有权更换有关人员或终止合同；情节严重的，甲方建议工程建设主管部门给予乙方一至三年内不得进入其主管的工程建设市场的处罚；涉嫌犯罪的，移交司法机关追究刑事责任。</w:t>
      </w:r>
    </w:p>
    <w:p>
      <w:pPr>
        <w:spacing w:line="360" w:lineRule="auto"/>
        <w:ind w:firstLine="422" w:firstLineChars="200"/>
        <w:rPr>
          <w:rFonts w:ascii="黑体" w:eastAsia="黑体"/>
          <w:b/>
          <w:color w:val="auto"/>
          <w:szCs w:val="21"/>
          <w:highlight w:val="none"/>
        </w:rPr>
      </w:pPr>
      <w:r>
        <w:rPr>
          <w:rFonts w:hint="eastAsia" w:ascii="黑体" w:eastAsia="黑体"/>
          <w:b/>
          <w:color w:val="auto"/>
          <w:szCs w:val="21"/>
          <w:highlight w:val="none"/>
        </w:rPr>
        <w:t>第五条 双方约定</w:t>
      </w:r>
    </w:p>
    <w:p>
      <w:pPr>
        <w:spacing w:line="360" w:lineRule="auto"/>
        <w:ind w:firstLine="420" w:firstLineChars="200"/>
        <w:rPr>
          <w:rFonts w:ascii="宋体"/>
          <w:color w:val="auto"/>
          <w:szCs w:val="16"/>
          <w:highlight w:val="none"/>
        </w:rPr>
      </w:pPr>
      <w:r>
        <w:rPr>
          <w:rFonts w:hint="eastAsia" w:ascii="宋体"/>
          <w:color w:val="auto"/>
          <w:szCs w:val="16"/>
          <w:highlight w:val="none"/>
        </w:rPr>
        <w:t>本合同由双方或双方上级单位的纪检监察机关负责监督。由甲方或甲方上级单位的纪检监察部门对本合同履行情况进行检查。</w:t>
      </w:r>
    </w:p>
    <w:p>
      <w:pPr>
        <w:spacing w:line="360" w:lineRule="auto"/>
        <w:ind w:firstLine="422" w:firstLineChars="200"/>
        <w:rPr>
          <w:rFonts w:ascii="宋体"/>
          <w:color w:val="auto"/>
          <w:szCs w:val="21"/>
          <w:highlight w:val="none"/>
        </w:rPr>
      </w:pPr>
      <w:r>
        <w:rPr>
          <w:rFonts w:hint="eastAsia" w:ascii="黑体" w:eastAsia="黑体"/>
          <w:b/>
          <w:color w:val="auto"/>
          <w:szCs w:val="21"/>
          <w:highlight w:val="none"/>
        </w:rPr>
        <w:t>第六条</w:t>
      </w:r>
      <w:r>
        <w:rPr>
          <w:rFonts w:hint="eastAsia" w:ascii="宋体"/>
          <w:b/>
          <w:color w:val="auto"/>
          <w:szCs w:val="21"/>
          <w:highlight w:val="none"/>
        </w:rPr>
        <w:t xml:space="preserve"> </w:t>
      </w:r>
      <w:r>
        <w:rPr>
          <w:rFonts w:hint="eastAsia" w:ascii="宋体"/>
          <w:color w:val="auto"/>
          <w:szCs w:val="21"/>
          <w:highlight w:val="none"/>
        </w:rPr>
        <w:t>本合同作为</w:t>
      </w:r>
      <w:r>
        <w:rPr>
          <w:rFonts w:hint="eastAsia" w:ascii="宋体"/>
          <w:b/>
          <w:bCs/>
          <w:color w:val="auto"/>
          <w:szCs w:val="21"/>
          <w:highlight w:val="none"/>
          <w:u w:val="single"/>
        </w:rPr>
        <w:t xml:space="preserve">  </w:t>
      </w:r>
      <w:r>
        <w:rPr>
          <w:rFonts w:hint="eastAsia" w:ascii="宋体" w:hAnsi="宋体"/>
          <w:b w:val="0"/>
          <w:bCs w:val="0"/>
          <w:color w:val="auto"/>
          <w:szCs w:val="21"/>
          <w:highlight w:val="none"/>
          <w:u w:val="single"/>
          <w:lang w:eastAsia="zh-CN"/>
        </w:rPr>
        <w:t>乐派芯园一期物业开办物资采购项目</w:t>
      </w:r>
      <w:r>
        <w:rPr>
          <w:rFonts w:hint="eastAsia" w:ascii="宋体"/>
          <w:b/>
          <w:bCs/>
          <w:color w:val="auto"/>
          <w:szCs w:val="21"/>
          <w:highlight w:val="none"/>
          <w:u w:val="single"/>
        </w:rPr>
        <w:t xml:space="preserve">  </w:t>
      </w:r>
      <w:r>
        <w:rPr>
          <w:rFonts w:hint="eastAsia" w:ascii="宋体"/>
          <w:color w:val="auto"/>
          <w:szCs w:val="21"/>
          <w:highlight w:val="none"/>
        </w:rPr>
        <w:t>合同的附件</w:t>
      </w:r>
      <w:r>
        <w:rPr>
          <w:rFonts w:hint="eastAsia" w:ascii="宋体"/>
          <w:b/>
          <w:color w:val="auto"/>
          <w:szCs w:val="21"/>
          <w:highlight w:val="none"/>
        </w:rPr>
        <w:t>，</w:t>
      </w:r>
      <w:r>
        <w:rPr>
          <w:rFonts w:hint="eastAsia" w:ascii="宋体"/>
          <w:color w:val="auto"/>
          <w:szCs w:val="21"/>
          <w:highlight w:val="none"/>
        </w:rPr>
        <w:t>与该承包合同具有同等的法律效力，经双方签署后立即生效 。</w:t>
      </w:r>
    </w:p>
    <w:p>
      <w:pPr>
        <w:spacing w:line="360" w:lineRule="auto"/>
        <w:ind w:firstLine="422" w:firstLineChars="200"/>
        <w:rPr>
          <w:rFonts w:ascii="宋体"/>
          <w:color w:val="auto"/>
          <w:spacing w:val="-4"/>
          <w:szCs w:val="21"/>
          <w:highlight w:val="none"/>
        </w:rPr>
      </w:pPr>
      <w:r>
        <w:rPr>
          <w:rFonts w:hint="eastAsia" w:ascii="黑体" w:eastAsia="黑体"/>
          <w:b/>
          <w:color w:val="auto"/>
          <w:szCs w:val="21"/>
          <w:highlight w:val="none"/>
        </w:rPr>
        <w:t>第七条</w:t>
      </w:r>
      <w:r>
        <w:rPr>
          <w:rFonts w:hint="eastAsia" w:ascii="宋体"/>
          <w:color w:val="auto"/>
          <w:spacing w:val="-4"/>
          <w:szCs w:val="21"/>
          <w:highlight w:val="none"/>
        </w:rPr>
        <w:t xml:space="preserve"> 未尽事宜由双方另行协商决定。本合同一式</w:t>
      </w:r>
      <w:r>
        <w:rPr>
          <w:rFonts w:hint="eastAsia" w:ascii="宋体"/>
          <w:color w:val="auto"/>
          <w:spacing w:val="-4"/>
          <w:szCs w:val="21"/>
          <w:highlight w:val="none"/>
          <w:u w:val="single"/>
        </w:rPr>
        <w:t xml:space="preserve"> </w:t>
      </w:r>
      <w:r>
        <w:rPr>
          <w:rFonts w:hint="eastAsia" w:ascii="宋体"/>
          <w:color w:val="auto"/>
          <w:spacing w:val="-4"/>
          <w:szCs w:val="21"/>
          <w:highlight w:val="none"/>
          <w:u w:val="single"/>
          <w:lang w:val="en-US" w:eastAsia="zh-CN"/>
        </w:rPr>
        <w:t>伍</w:t>
      </w:r>
      <w:r>
        <w:rPr>
          <w:rFonts w:hint="eastAsia" w:ascii="宋体"/>
          <w:color w:val="auto"/>
          <w:spacing w:val="-4"/>
          <w:szCs w:val="21"/>
          <w:highlight w:val="none"/>
          <w:u w:val="single"/>
        </w:rPr>
        <w:t xml:space="preserve"> </w:t>
      </w:r>
      <w:r>
        <w:rPr>
          <w:rFonts w:hint="eastAsia" w:ascii="宋体"/>
          <w:color w:val="auto"/>
          <w:spacing w:val="-4"/>
          <w:szCs w:val="21"/>
          <w:highlight w:val="none"/>
        </w:rPr>
        <w:t>份，双方各执</w:t>
      </w:r>
      <w:r>
        <w:rPr>
          <w:rFonts w:hint="eastAsia" w:ascii="宋体"/>
          <w:color w:val="auto"/>
          <w:spacing w:val="-4"/>
          <w:szCs w:val="21"/>
          <w:highlight w:val="none"/>
          <w:u w:val="single"/>
        </w:rPr>
        <w:t xml:space="preserve"> </w:t>
      </w:r>
      <w:r>
        <w:rPr>
          <w:rFonts w:hint="eastAsia" w:ascii="宋体"/>
          <w:color w:val="auto"/>
          <w:spacing w:val="-4"/>
          <w:szCs w:val="21"/>
          <w:highlight w:val="none"/>
          <w:u w:val="single"/>
          <w:lang w:val="en-US" w:eastAsia="zh-CN"/>
        </w:rPr>
        <w:t>贰</w:t>
      </w:r>
      <w:r>
        <w:rPr>
          <w:rFonts w:hint="eastAsia" w:ascii="宋体"/>
          <w:color w:val="auto"/>
          <w:spacing w:val="-4"/>
          <w:szCs w:val="21"/>
          <w:highlight w:val="none"/>
          <w:u w:val="single"/>
        </w:rPr>
        <w:t xml:space="preserve"> </w:t>
      </w:r>
      <w:r>
        <w:rPr>
          <w:rFonts w:hint="eastAsia" w:ascii="宋体"/>
          <w:color w:val="auto"/>
          <w:spacing w:val="-4"/>
          <w:szCs w:val="21"/>
          <w:highlight w:val="none"/>
        </w:rPr>
        <w:t>份</w:t>
      </w:r>
      <w:r>
        <w:rPr>
          <w:rFonts w:hint="eastAsia" w:ascii="宋体"/>
          <w:color w:val="auto"/>
          <w:spacing w:val="-4"/>
          <w:szCs w:val="21"/>
          <w:highlight w:val="none"/>
          <w:lang w:eastAsia="zh-CN"/>
        </w:rPr>
        <w:t>，</w:t>
      </w:r>
      <w:r>
        <w:rPr>
          <w:rFonts w:hint="eastAsia" w:ascii="宋体"/>
          <w:color w:val="auto"/>
          <w:spacing w:val="-4"/>
          <w:szCs w:val="21"/>
          <w:highlight w:val="none"/>
          <w:lang w:val="en-US" w:eastAsia="zh-CN"/>
        </w:rPr>
        <w:t>招标代理机构</w:t>
      </w:r>
      <w:r>
        <w:rPr>
          <w:rFonts w:hint="eastAsia" w:ascii="宋体"/>
          <w:color w:val="auto"/>
          <w:spacing w:val="-4"/>
          <w:szCs w:val="21"/>
          <w:highlight w:val="none"/>
        </w:rPr>
        <w:t>执</w:t>
      </w:r>
      <w:r>
        <w:rPr>
          <w:rFonts w:hint="eastAsia" w:ascii="宋体"/>
          <w:color w:val="auto"/>
          <w:spacing w:val="-4"/>
          <w:szCs w:val="21"/>
          <w:highlight w:val="none"/>
          <w:u w:val="single"/>
        </w:rPr>
        <w:t xml:space="preserve"> </w:t>
      </w:r>
      <w:r>
        <w:rPr>
          <w:rFonts w:hint="eastAsia" w:ascii="宋体"/>
          <w:color w:val="auto"/>
          <w:spacing w:val="-4"/>
          <w:szCs w:val="21"/>
          <w:highlight w:val="none"/>
          <w:u w:val="single"/>
          <w:lang w:val="en-US" w:eastAsia="zh-CN"/>
        </w:rPr>
        <w:t>壹</w:t>
      </w:r>
      <w:r>
        <w:rPr>
          <w:rFonts w:hint="eastAsia" w:ascii="宋体"/>
          <w:color w:val="auto"/>
          <w:spacing w:val="-4"/>
          <w:szCs w:val="21"/>
          <w:highlight w:val="none"/>
          <w:u w:val="single"/>
        </w:rPr>
        <w:t xml:space="preserve"> </w:t>
      </w:r>
      <w:r>
        <w:rPr>
          <w:rFonts w:hint="eastAsia" w:ascii="宋体"/>
          <w:color w:val="auto"/>
          <w:spacing w:val="-4"/>
          <w:szCs w:val="21"/>
          <w:highlight w:val="none"/>
        </w:rPr>
        <w:t>份。</w:t>
      </w:r>
    </w:p>
    <w:p>
      <w:pPr>
        <w:spacing w:line="360" w:lineRule="auto"/>
        <w:ind w:firstLine="422" w:firstLineChars="200"/>
        <w:rPr>
          <w:rFonts w:ascii="宋体"/>
          <w:color w:val="auto"/>
          <w:szCs w:val="21"/>
          <w:highlight w:val="none"/>
        </w:rPr>
      </w:pPr>
      <w:r>
        <w:rPr>
          <w:rFonts w:hint="eastAsia" w:ascii="黑体" w:eastAsia="黑体"/>
          <w:b/>
          <w:color w:val="auto"/>
          <w:szCs w:val="21"/>
          <w:highlight w:val="none"/>
        </w:rPr>
        <w:t>第八条</w:t>
      </w:r>
      <w:r>
        <w:rPr>
          <w:rFonts w:hint="eastAsia" w:ascii="宋体"/>
          <w:color w:val="auto"/>
          <w:szCs w:val="21"/>
          <w:highlight w:val="none"/>
        </w:rPr>
        <w:t xml:space="preserve">  其他约定</w:t>
      </w:r>
    </w:p>
    <w:p>
      <w:pPr>
        <w:spacing w:line="360" w:lineRule="auto"/>
        <w:ind w:firstLine="420" w:firstLineChars="200"/>
        <w:rPr>
          <w:rFonts w:ascii="宋体"/>
          <w:color w:val="auto"/>
          <w:szCs w:val="21"/>
          <w:highlight w:val="none"/>
        </w:rPr>
      </w:pPr>
      <w:r>
        <w:rPr>
          <w:rFonts w:hint="eastAsia" w:ascii="宋体"/>
          <w:color w:val="auto"/>
          <w:szCs w:val="21"/>
          <w:highlight w:val="none"/>
        </w:rPr>
        <w:t>根据廉政合同签订对象不同，选择以下第</w:t>
      </w:r>
      <w:r>
        <w:rPr>
          <w:rFonts w:hint="eastAsia" w:ascii="宋体"/>
          <w:color w:val="auto"/>
          <w:szCs w:val="21"/>
          <w:highlight w:val="none"/>
          <w:u w:val="single"/>
        </w:rPr>
        <w:t xml:space="preserve"> </w:t>
      </w:r>
      <w:r>
        <w:rPr>
          <w:rFonts w:hint="eastAsia" w:ascii="宋体"/>
          <w:color w:val="auto"/>
          <w:szCs w:val="21"/>
          <w:highlight w:val="none"/>
          <w:u w:val="single"/>
          <w:lang w:eastAsia="zh-CN"/>
        </w:rPr>
        <w:t>（</w:t>
      </w:r>
      <w:r>
        <w:rPr>
          <w:rFonts w:hint="eastAsia" w:ascii="宋体"/>
          <w:color w:val="auto"/>
          <w:szCs w:val="21"/>
          <w:highlight w:val="none"/>
          <w:u w:val="single"/>
          <w:lang w:val="en-US" w:eastAsia="zh-CN"/>
        </w:rPr>
        <w:t>二</w:t>
      </w:r>
      <w:r>
        <w:rPr>
          <w:rFonts w:hint="eastAsia" w:ascii="宋体"/>
          <w:color w:val="auto"/>
          <w:szCs w:val="21"/>
          <w:highlight w:val="none"/>
          <w:u w:val="single"/>
          <w:lang w:eastAsia="zh-CN"/>
        </w:rPr>
        <w:t>）</w:t>
      </w:r>
      <w:r>
        <w:rPr>
          <w:rFonts w:hint="eastAsia" w:ascii="宋体"/>
          <w:color w:val="auto"/>
          <w:szCs w:val="21"/>
          <w:highlight w:val="none"/>
          <w:u w:val="single"/>
          <w:lang w:val="en-US" w:eastAsia="zh-CN"/>
        </w:rPr>
        <w:t xml:space="preserve"> </w:t>
      </w:r>
      <w:r>
        <w:rPr>
          <w:rFonts w:hint="eastAsia" w:ascii="宋体"/>
          <w:color w:val="auto"/>
          <w:szCs w:val="21"/>
          <w:highlight w:val="none"/>
        </w:rPr>
        <w:t>方式，组织廉政管理会议：</w:t>
      </w:r>
    </w:p>
    <w:p>
      <w:pPr>
        <w:spacing w:line="360" w:lineRule="auto"/>
        <w:ind w:firstLine="420" w:firstLineChars="200"/>
        <w:rPr>
          <w:rFonts w:ascii="宋体"/>
          <w:color w:val="auto"/>
          <w:szCs w:val="21"/>
          <w:highlight w:val="none"/>
        </w:rPr>
      </w:pPr>
      <w:r>
        <w:rPr>
          <w:rFonts w:hint="eastAsia" w:ascii="宋体"/>
          <w:color w:val="auto"/>
          <w:szCs w:val="21"/>
          <w:highlight w:val="none"/>
        </w:rPr>
        <w:t>（一）签订对象为施工、监理、全过程咨询单位的，由甲方每月召开一次甲、乙双方参加的廉政会议；</w:t>
      </w:r>
    </w:p>
    <w:p>
      <w:pPr>
        <w:spacing w:line="360" w:lineRule="auto"/>
        <w:ind w:firstLine="420" w:firstLineChars="200"/>
        <w:rPr>
          <w:rFonts w:ascii="宋体"/>
          <w:color w:val="auto"/>
          <w:sz w:val="24"/>
          <w:highlight w:val="none"/>
        </w:rPr>
      </w:pPr>
      <w:r>
        <w:rPr>
          <w:rFonts w:hint="eastAsia" w:ascii="宋体"/>
          <w:color w:val="auto"/>
          <w:szCs w:val="21"/>
          <w:highlight w:val="none"/>
        </w:rPr>
        <w:t>（二）如签订对象为勘察、设计、招标代理、材料设备采购及其他服务类单位的，由甲方定期召开甲、乙双方参加的廉政会议。</w:t>
      </w:r>
    </w:p>
    <w:p>
      <w:pPr>
        <w:spacing w:before="120" w:beforeLines="50" w:after="120" w:afterLines="50" w:line="560" w:lineRule="exact"/>
        <w:ind w:firstLine="960" w:firstLineChars="400"/>
        <w:rPr>
          <w:rFonts w:hint="eastAsia" w:ascii="宋体"/>
          <w:color w:val="auto"/>
          <w:sz w:val="24"/>
          <w:highlight w:val="none"/>
        </w:rPr>
      </w:pPr>
    </w:p>
    <w:p>
      <w:pPr>
        <w:spacing w:before="120" w:beforeLines="50" w:after="120" w:afterLines="50" w:line="360" w:lineRule="auto"/>
        <w:ind w:firstLine="840" w:firstLineChars="400"/>
        <w:rPr>
          <w:rFonts w:ascii="宋体"/>
          <w:color w:val="auto"/>
          <w:szCs w:val="21"/>
          <w:highlight w:val="none"/>
        </w:rPr>
      </w:pPr>
      <w:r>
        <w:rPr>
          <w:rFonts w:hint="eastAsia" w:ascii="宋体"/>
          <w:color w:val="auto"/>
          <w:szCs w:val="21"/>
          <w:highlight w:val="none"/>
        </w:rPr>
        <w:t xml:space="preserve">甲方：                   </w:t>
      </w:r>
      <w:r>
        <w:rPr>
          <w:rFonts w:hint="eastAsia" w:ascii="宋体"/>
          <w:color w:val="auto"/>
          <w:szCs w:val="21"/>
          <w:highlight w:val="none"/>
          <w:lang w:val="en-US" w:eastAsia="zh-CN"/>
        </w:rPr>
        <w:t xml:space="preserve">            </w:t>
      </w:r>
      <w:r>
        <w:rPr>
          <w:rFonts w:hint="eastAsia" w:ascii="宋体"/>
          <w:color w:val="auto"/>
          <w:szCs w:val="21"/>
          <w:highlight w:val="none"/>
        </w:rPr>
        <w:t xml:space="preserve">     </w:t>
      </w:r>
      <w:r>
        <w:rPr>
          <w:rFonts w:hint="eastAsia" w:ascii="宋体"/>
          <w:color w:val="auto"/>
          <w:szCs w:val="21"/>
          <w:highlight w:val="none"/>
          <w:lang w:val="en-US" w:eastAsia="zh-CN"/>
        </w:rPr>
        <w:t xml:space="preserve"> </w:t>
      </w:r>
      <w:r>
        <w:rPr>
          <w:rFonts w:hint="eastAsia" w:ascii="宋体"/>
          <w:color w:val="auto"/>
          <w:szCs w:val="21"/>
          <w:highlight w:val="none"/>
        </w:rPr>
        <w:t xml:space="preserve">  </w:t>
      </w:r>
      <w:r>
        <w:rPr>
          <w:rFonts w:hint="eastAsia" w:ascii="宋体"/>
          <w:color w:val="auto"/>
          <w:szCs w:val="21"/>
          <w:highlight w:val="none"/>
          <w:lang w:val="en-US" w:eastAsia="zh-CN"/>
        </w:rPr>
        <w:t xml:space="preserve"> </w:t>
      </w:r>
      <w:r>
        <w:rPr>
          <w:rFonts w:hint="eastAsia" w:ascii="宋体"/>
          <w:color w:val="auto"/>
          <w:szCs w:val="21"/>
          <w:highlight w:val="none"/>
        </w:rPr>
        <w:t xml:space="preserve">乙方：              </w:t>
      </w:r>
    </w:p>
    <w:p>
      <w:pPr>
        <w:spacing w:before="120" w:beforeLines="50" w:after="120" w:afterLines="50" w:line="360" w:lineRule="auto"/>
        <w:ind w:firstLine="840" w:firstLineChars="400"/>
        <w:rPr>
          <w:rFonts w:hint="eastAsia" w:ascii="宋体"/>
          <w:color w:val="auto"/>
          <w:szCs w:val="21"/>
          <w:highlight w:val="none"/>
        </w:rPr>
      </w:pPr>
    </w:p>
    <w:p>
      <w:pPr>
        <w:spacing w:before="120" w:beforeLines="50" w:after="120" w:afterLines="50" w:line="360" w:lineRule="auto"/>
        <w:ind w:firstLine="840" w:firstLineChars="400"/>
        <w:rPr>
          <w:rFonts w:ascii="宋体"/>
          <w:color w:val="auto"/>
          <w:szCs w:val="21"/>
          <w:highlight w:val="none"/>
        </w:rPr>
      </w:pPr>
      <w:r>
        <w:rPr>
          <w:rFonts w:hint="eastAsia" w:ascii="宋体"/>
          <w:color w:val="auto"/>
          <w:szCs w:val="21"/>
          <w:highlight w:val="none"/>
        </w:rPr>
        <w:t xml:space="preserve">法定代表人（或授权委托人）：     </w:t>
      </w:r>
      <w:r>
        <w:rPr>
          <w:rFonts w:hint="eastAsia" w:ascii="宋体"/>
          <w:color w:val="auto"/>
          <w:szCs w:val="21"/>
          <w:highlight w:val="none"/>
          <w:lang w:val="en-US" w:eastAsia="zh-CN"/>
        </w:rPr>
        <w:t xml:space="preserve">             </w:t>
      </w:r>
      <w:r>
        <w:rPr>
          <w:rFonts w:hint="eastAsia" w:ascii="宋体"/>
          <w:color w:val="auto"/>
          <w:szCs w:val="21"/>
          <w:highlight w:val="none"/>
        </w:rPr>
        <w:t xml:space="preserve">法定代表人（或授权委托人）： </w:t>
      </w:r>
    </w:p>
    <w:p>
      <w:pPr>
        <w:spacing w:before="120" w:beforeLines="50" w:after="120" w:afterLines="50" w:line="360" w:lineRule="auto"/>
        <w:ind w:firstLine="2205" w:firstLineChars="1050"/>
        <w:rPr>
          <w:rFonts w:hint="eastAsia" w:ascii="宋体"/>
          <w:color w:val="auto"/>
          <w:szCs w:val="21"/>
          <w:highlight w:val="none"/>
        </w:rPr>
      </w:pPr>
    </w:p>
    <w:p>
      <w:pPr>
        <w:spacing w:before="120" w:beforeLines="50" w:after="120" w:afterLines="50" w:line="360" w:lineRule="auto"/>
        <w:ind w:firstLine="840" w:firstLineChars="400"/>
        <w:rPr>
          <w:rFonts w:hint="eastAsia" w:ascii="宋体"/>
          <w:color w:val="auto"/>
          <w:szCs w:val="21"/>
          <w:highlight w:val="none"/>
        </w:rPr>
      </w:pPr>
      <w:r>
        <w:rPr>
          <w:rFonts w:hint="eastAsia" w:ascii="宋体"/>
          <w:color w:val="auto"/>
          <w:szCs w:val="21"/>
          <w:highlight w:val="none"/>
          <w:lang w:val="en-US" w:eastAsia="zh-CN"/>
        </w:rPr>
        <w:t>2024</w:t>
      </w:r>
      <w:r>
        <w:rPr>
          <w:rFonts w:hint="eastAsia" w:ascii="宋体"/>
          <w:color w:val="auto"/>
          <w:szCs w:val="21"/>
          <w:highlight w:val="none"/>
        </w:rPr>
        <w:t xml:space="preserve">年   月   日                 </w:t>
      </w:r>
      <w:r>
        <w:rPr>
          <w:rFonts w:hint="eastAsia" w:ascii="宋体"/>
          <w:color w:val="auto"/>
          <w:szCs w:val="21"/>
          <w:highlight w:val="none"/>
          <w:lang w:val="en-US" w:eastAsia="zh-CN"/>
        </w:rPr>
        <w:t xml:space="preserve">             2024</w:t>
      </w:r>
      <w:r>
        <w:rPr>
          <w:rFonts w:hint="eastAsia" w:ascii="宋体"/>
          <w:color w:val="auto"/>
          <w:szCs w:val="21"/>
          <w:highlight w:val="none"/>
        </w:rPr>
        <w:t>年   月   日</w:t>
      </w:r>
    </w:p>
    <w:p>
      <w:pPr>
        <w:spacing w:before="120" w:beforeLines="50" w:after="120" w:afterLines="50" w:line="360" w:lineRule="auto"/>
        <w:ind w:firstLine="840" w:firstLineChars="400"/>
        <w:rPr>
          <w:rFonts w:hint="eastAsia" w:ascii="宋体"/>
          <w:color w:val="auto"/>
          <w:szCs w:val="21"/>
          <w:highlight w:val="none"/>
        </w:rPr>
        <w:sectPr>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djustRightInd w:val="0"/>
        <w:snapToGrid w:val="0"/>
        <w:spacing w:line="380" w:lineRule="exact"/>
        <w:rPr>
          <w:rFonts w:hint="eastAsia" w:ascii="宋体" w:hAnsi="宋体"/>
          <w:bCs/>
          <w:color w:val="auto"/>
          <w:szCs w:val="21"/>
          <w:highlight w:val="none"/>
        </w:rPr>
      </w:pPr>
    </w:p>
    <w:p>
      <w:pPr>
        <w:pStyle w:val="3"/>
        <w:spacing w:before="120" w:beforeLines="50" w:after="120" w:afterLines="50" w:line="360" w:lineRule="auto"/>
        <w:jc w:val="center"/>
        <w:rPr>
          <w:rFonts w:hint="eastAsia" w:eastAsia="楷体_GB2312"/>
          <w:bCs w:val="0"/>
          <w:color w:val="auto"/>
          <w:kern w:val="2"/>
          <w:sz w:val="28"/>
          <w:szCs w:val="20"/>
          <w:highlight w:val="none"/>
        </w:rPr>
      </w:pPr>
      <w:bookmarkStart w:id="173" w:name="_Toc178668983"/>
      <w:bookmarkStart w:id="174" w:name="_Toc424545665"/>
      <w:bookmarkStart w:id="175" w:name="_Toc4167"/>
      <w:r>
        <w:rPr>
          <w:rFonts w:hint="eastAsia" w:eastAsia="楷体_GB2312"/>
          <w:bCs w:val="0"/>
          <w:color w:val="auto"/>
          <w:kern w:val="2"/>
          <w:sz w:val="32"/>
          <w:szCs w:val="32"/>
          <w:highlight w:val="none"/>
        </w:rPr>
        <w:t>第六章  投标格式</w:t>
      </w:r>
      <w:bookmarkEnd w:id="173"/>
      <w:r>
        <w:rPr>
          <w:rFonts w:hint="eastAsia" w:eastAsia="楷体_GB2312"/>
          <w:bCs w:val="0"/>
          <w:color w:val="auto"/>
          <w:kern w:val="2"/>
          <w:sz w:val="32"/>
          <w:szCs w:val="32"/>
          <w:highlight w:val="none"/>
        </w:rPr>
        <w:t>及要求</w:t>
      </w:r>
      <w:bookmarkEnd w:id="174"/>
      <w:bookmarkEnd w:id="175"/>
    </w:p>
    <w:p>
      <w:pPr>
        <w:pStyle w:val="4"/>
        <w:spacing w:line="320" w:lineRule="exact"/>
        <w:rPr>
          <w:rFonts w:hint="eastAsia" w:ascii="仿宋_GB2312" w:eastAsia="仿宋_GB2312"/>
          <w:color w:val="auto"/>
          <w:sz w:val="24"/>
          <w:highlight w:val="none"/>
        </w:rPr>
      </w:pPr>
      <w:bookmarkStart w:id="176" w:name="_Toc2744"/>
      <w:bookmarkStart w:id="177" w:name="_Toc424545666"/>
      <w:bookmarkStart w:id="178" w:name="_Toc178668984"/>
      <w:r>
        <w:rPr>
          <w:rFonts w:hint="eastAsia" w:ascii="仿宋_GB2312" w:eastAsia="仿宋_GB2312"/>
          <w:color w:val="auto"/>
          <w:sz w:val="24"/>
          <w:highlight w:val="none"/>
        </w:rPr>
        <w:t>附件1： 资格文件封面格式及目录</w:t>
      </w:r>
      <w:bookmarkEnd w:id="176"/>
      <w:bookmarkEnd w:id="177"/>
    </w:p>
    <w:p>
      <w:pPr>
        <w:pStyle w:val="20"/>
        <w:snapToGrid w:val="0"/>
        <w:spacing w:before="295" w:after="120"/>
        <w:ind w:firstLine="600"/>
        <w:rPr>
          <w:rFonts w:hint="eastAsia" w:hAnsi="宋体"/>
          <w:color w:val="auto"/>
          <w:sz w:val="30"/>
          <w:szCs w:val="30"/>
          <w:highlight w:val="none"/>
        </w:rPr>
      </w:pPr>
      <w:r>
        <w:rPr>
          <w:rFonts w:hint="eastAsia" w:hAnsi="宋体"/>
          <w:bCs/>
          <w:color w:val="auto"/>
          <w:sz w:val="30"/>
          <w:szCs w:val="30"/>
          <w:highlight w:val="none"/>
        </w:rPr>
        <w:t xml:space="preserve">                                              </w:t>
      </w:r>
    </w:p>
    <w:p>
      <w:pPr>
        <w:ind w:right="-110"/>
        <w:jc w:val="center"/>
        <w:rPr>
          <w:rFonts w:hint="eastAsia"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240" w:beforeLines="100" w:line="240" w:lineRule="atLeast"/>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HNZCCG20241001</w:t>
      </w:r>
    </w:p>
    <w:p>
      <w:pPr>
        <w:spacing w:after="100" w:afterAutospacing="1" w:line="800" w:lineRule="exact"/>
        <w:ind w:right="-108"/>
        <w:jc w:val="center"/>
        <w:rPr>
          <w:rFonts w:hint="eastAsia" w:ascii="黑体" w:hAnsi="宋体" w:eastAsia="黑体"/>
          <w:b/>
          <w:color w:val="auto"/>
          <w:spacing w:val="40"/>
          <w:sz w:val="84"/>
          <w:szCs w:val="84"/>
          <w:highlight w:val="none"/>
        </w:rPr>
      </w:pPr>
    </w:p>
    <w:p>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资</w:t>
      </w:r>
    </w:p>
    <w:p>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格</w:t>
      </w:r>
    </w:p>
    <w:p>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5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投标人全称（公章）：</w:t>
      </w:r>
    </w:p>
    <w:p>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时    间：</w:t>
      </w:r>
    </w:p>
    <w:p>
      <w:pPr>
        <w:wordWrap w:val="0"/>
        <w:spacing w:line="500" w:lineRule="exact"/>
        <w:ind w:right="-108" w:firstLine="720" w:firstLineChars="200"/>
        <w:rPr>
          <w:rFonts w:hint="eastAsia" w:ascii="宋体" w:hAnsi="宋体"/>
          <w:color w:val="auto"/>
          <w:sz w:val="36"/>
          <w:szCs w:val="36"/>
          <w:highlight w:val="none"/>
        </w:rPr>
      </w:pPr>
    </w:p>
    <w:p>
      <w:pPr>
        <w:pStyle w:val="21"/>
        <w:snapToGrid w:val="0"/>
        <w:spacing w:after="120"/>
        <w:jc w:val="center"/>
        <w:rPr>
          <w:rFonts w:ascii="仿宋_GB2312" w:hAnsi="宋体" w:eastAsia="仿宋_GB2312"/>
          <w:b/>
          <w:color w:val="auto"/>
          <w:sz w:val="36"/>
          <w:szCs w:val="36"/>
          <w:highlight w:val="none"/>
        </w:rPr>
      </w:pPr>
    </w:p>
    <w:p>
      <w:pPr>
        <w:pStyle w:val="21"/>
        <w:snapToGrid w:val="0"/>
        <w:spacing w:after="120"/>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资格文件目录</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(请标明页码)</w:t>
      </w: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1投标人声明书（附件2）；</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2营业(经营)执照正本或副本复印件（盖单位公章）；</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3法定代表人有效身份证件复印件；</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4法定代表人授权委托书（附件3）及授权代表有效身份证件复印件（授权代表参加开标的须提供）；</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提供最近一个季度内依法缴纳税收的证明（税费凭证复印件,如依法免缴税费的提供加盖单位公章的零申报申报表）；</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提供最近一个季度内依法缴纳社会保障资金证明（缴纳凭证或人社部门出具的证明）；</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提供未被“信用中国”（www.creditchina.gov.cn）、中国政府采购网（www.ccgp.gov.cn）列入失信被执行人、重大税收违法案件当事人名单、政府采购严重违法失信行为记录名单的网页打印证明（开标前一周内页面查询结果并加盖单位公章）；</w:t>
      </w:r>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投标人认为需要说明的资料。</w:t>
      </w:r>
    </w:p>
    <w:p>
      <w:pPr>
        <w:spacing w:line="380" w:lineRule="exact"/>
        <w:ind w:firstLine="420" w:firstLineChars="200"/>
        <w:rPr>
          <w:rFonts w:hint="eastAsia" w:ascii="宋体" w:hAnsi="宋体" w:cs="宋体"/>
          <w:color w:val="auto"/>
          <w:szCs w:val="21"/>
          <w:highlight w:val="none"/>
        </w:rPr>
      </w:pPr>
    </w:p>
    <w:p>
      <w:pPr>
        <w:rPr>
          <w:rFonts w:hint="eastAsia"/>
          <w:color w:val="auto"/>
          <w:highlight w:val="none"/>
        </w:rPr>
      </w:pPr>
    </w:p>
    <w:bookmarkEnd w:id="178"/>
    <w:p>
      <w:pPr>
        <w:pStyle w:val="4"/>
        <w:spacing w:line="320" w:lineRule="exact"/>
        <w:rPr>
          <w:rFonts w:hint="eastAsia"/>
          <w:color w:val="auto"/>
          <w:highlight w:val="none"/>
        </w:rPr>
      </w:pPr>
      <w:bookmarkStart w:id="179" w:name="_Toc417633389"/>
      <w:r>
        <w:rPr>
          <w:rFonts w:ascii="仿宋_GB2312" w:eastAsia="仿宋_GB2312"/>
          <w:color w:val="auto"/>
          <w:sz w:val="24"/>
          <w:highlight w:val="none"/>
        </w:rPr>
        <w:br w:type="page"/>
      </w:r>
      <w:bookmarkStart w:id="180" w:name="_Toc9641"/>
      <w:r>
        <w:rPr>
          <w:rFonts w:hint="eastAsia" w:ascii="仿宋_GB2312" w:eastAsia="仿宋_GB2312"/>
          <w:color w:val="auto"/>
          <w:sz w:val="24"/>
          <w:highlight w:val="none"/>
        </w:rPr>
        <w:t>附件2： 投标人声明书</w:t>
      </w:r>
      <w:bookmarkEnd w:id="180"/>
    </w:p>
    <w:p>
      <w:pPr>
        <w:pStyle w:val="31"/>
        <w:spacing w:line="432" w:lineRule="auto"/>
        <w:rPr>
          <w:rFonts w:hint="eastAsia" w:ascii="ˎ̥" w:hAnsi="ˎ̥"/>
          <w:b/>
          <w:bCs/>
          <w:color w:val="auto"/>
          <w:sz w:val="36"/>
          <w:szCs w:val="36"/>
          <w:highlight w:val="none"/>
        </w:rPr>
      </w:pPr>
      <w:r>
        <w:rPr>
          <w:rFonts w:hint="eastAsia"/>
          <w:color w:val="auto"/>
          <w:highlight w:val="none"/>
        </w:rPr>
        <w:t xml:space="preserve">                           </w:t>
      </w:r>
      <w:r>
        <w:rPr>
          <w:rFonts w:hint="eastAsia"/>
          <w:color w:val="auto"/>
          <w:sz w:val="44"/>
          <w:szCs w:val="44"/>
          <w:highlight w:val="none"/>
        </w:rPr>
        <w:t xml:space="preserve"> </w:t>
      </w:r>
      <w:r>
        <w:rPr>
          <w:rFonts w:ascii="ˎ̥" w:hAnsi="ˎ̥"/>
          <w:b/>
          <w:bCs/>
          <w:color w:val="auto"/>
          <w:sz w:val="36"/>
          <w:szCs w:val="36"/>
          <w:highlight w:val="none"/>
        </w:rPr>
        <w:t>投标人声明书</w:t>
      </w:r>
    </w:p>
    <w:p>
      <w:pPr>
        <w:widowControl/>
        <w:spacing w:before="100" w:beforeAutospacing="1" w:after="100" w:afterAutospacing="1" w:line="360" w:lineRule="auto"/>
        <w:jc w:val="left"/>
        <w:rPr>
          <w:rFonts w:ascii="宋体" w:hAnsi="宋体" w:cs="宋体"/>
          <w:color w:val="auto"/>
          <w:kern w:val="0"/>
          <w:sz w:val="24"/>
          <w:szCs w:val="20"/>
          <w:highlight w:val="none"/>
        </w:rPr>
      </w:pPr>
      <w:bookmarkStart w:id="181" w:name="_Hlk92230399"/>
      <w:bookmarkStart w:id="182" w:name="_Hlk92230418"/>
      <w:r>
        <w:rPr>
          <w:rFonts w:hint="eastAsia"/>
          <w:b/>
          <w:bCs/>
          <w:color w:val="auto"/>
          <w:highlight w:val="none"/>
        </w:rPr>
        <w:t xml:space="preserve"> </w:t>
      </w:r>
      <w:r>
        <w:rPr>
          <w:rFonts w:hint="eastAsia" w:ascii="宋体" w:hAnsi="宋体"/>
          <w:color w:val="auto"/>
          <w:sz w:val="24"/>
          <w:szCs w:val="20"/>
          <w:highlight w:val="none"/>
          <w:u w:val="single"/>
          <w:lang w:eastAsia="zh-CN"/>
        </w:rPr>
        <w:t>海宁乐派芯园科技有限公司</w:t>
      </w:r>
      <w:r>
        <w:rPr>
          <w:rFonts w:ascii="宋体" w:hAnsi="宋体" w:cs="宋体"/>
          <w:color w:val="auto"/>
          <w:kern w:val="0"/>
          <w:sz w:val="24"/>
          <w:szCs w:val="20"/>
          <w:highlight w:val="none"/>
        </w:rPr>
        <w:t>：</w:t>
      </w:r>
    </w:p>
    <w:bookmarkEnd w:id="181"/>
    <w:p>
      <w:pPr>
        <w:spacing w:line="360" w:lineRule="auto"/>
        <w:ind w:firstLine="480" w:firstLineChars="200"/>
        <w:rPr>
          <w:rFonts w:hint="eastAsia" w:ascii="宋体" w:hAnsi="宋体"/>
          <w:color w:val="auto"/>
          <w:sz w:val="24"/>
          <w:szCs w:val="20"/>
          <w:highlight w:val="none"/>
        </w:rPr>
      </w:pPr>
      <w:r>
        <w:rPr>
          <w:rFonts w:hint="eastAsia" w:ascii="宋体" w:hAnsi="宋体"/>
          <w:color w:val="auto"/>
          <w:sz w:val="24"/>
          <w:szCs w:val="20"/>
          <w:highlight w:val="none"/>
          <w:u w:val="single"/>
        </w:rPr>
        <w:t xml:space="preserve"> </w:t>
      </w:r>
      <w:r>
        <w:rPr>
          <w:rFonts w:ascii="宋体" w:hAnsi="宋体"/>
          <w:color w:val="auto"/>
          <w:sz w:val="24"/>
          <w:szCs w:val="20"/>
          <w:highlight w:val="none"/>
          <w:u w:val="single"/>
        </w:rPr>
        <w:t xml:space="preserve">                        </w:t>
      </w:r>
      <w:r>
        <w:rPr>
          <w:rFonts w:hint="eastAsia" w:ascii="宋体" w:hAnsi="宋体"/>
          <w:color w:val="auto"/>
          <w:sz w:val="24"/>
          <w:szCs w:val="20"/>
          <w:highlight w:val="none"/>
        </w:rPr>
        <w:t>（投标人名称）系中华人民共和国合法企业，经营地址</w:t>
      </w:r>
      <w:r>
        <w:rPr>
          <w:rFonts w:hint="eastAsia" w:ascii="宋体" w:hAnsi="宋体"/>
          <w:color w:val="auto"/>
          <w:sz w:val="24"/>
          <w:szCs w:val="20"/>
          <w:highlight w:val="none"/>
          <w:u w:val="single"/>
        </w:rPr>
        <w:t xml:space="preserve"> </w:t>
      </w:r>
      <w:r>
        <w:rPr>
          <w:rFonts w:ascii="宋体" w:hAnsi="宋体"/>
          <w:color w:val="auto"/>
          <w:sz w:val="24"/>
          <w:szCs w:val="20"/>
          <w:highlight w:val="none"/>
          <w:u w:val="single"/>
        </w:rPr>
        <w:t xml:space="preserve">                                    </w:t>
      </w:r>
      <w:r>
        <w:rPr>
          <w:rFonts w:hint="eastAsia" w:ascii="宋体" w:hAnsi="宋体"/>
          <w:color w:val="auto"/>
          <w:sz w:val="24"/>
          <w:szCs w:val="20"/>
          <w:highlight w:val="none"/>
        </w:rPr>
        <w:t>。</w:t>
      </w:r>
    </w:p>
    <w:p>
      <w:pPr>
        <w:spacing w:line="360" w:lineRule="auto"/>
        <w:ind w:firstLine="482"/>
        <w:rPr>
          <w:rFonts w:hint="eastAsia" w:ascii="宋体" w:hAnsi="宋体"/>
          <w:color w:val="auto"/>
          <w:sz w:val="24"/>
          <w:szCs w:val="20"/>
          <w:highlight w:val="none"/>
        </w:rPr>
      </w:pPr>
      <w:r>
        <w:rPr>
          <w:rFonts w:hint="eastAsia" w:ascii="宋体" w:hAnsi="宋体"/>
          <w:color w:val="auto"/>
          <w:sz w:val="24"/>
          <w:szCs w:val="20"/>
          <w:highlight w:val="none"/>
        </w:rPr>
        <w:t xml:space="preserve">我 </w:t>
      </w:r>
      <w:r>
        <w:rPr>
          <w:rFonts w:ascii="宋体" w:hAnsi="宋体"/>
          <w:color w:val="auto"/>
          <w:sz w:val="24"/>
          <w:szCs w:val="20"/>
          <w:highlight w:val="none"/>
          <w:u w:val="single"/>
        </w:rPr>
        <w:t xml:space="preserve">           </w:t>
      </w:r>
      <w:r>
        <w:rPr>
          <w:rFonts w:hint="eastAsia" w:ascii="宋体" w:hAnsi="宋体"/>
          <w:color w:val="auto"/>
          <w:sz w:val="24"/>
          <w:szCs w:val="20"/>
          <w:highlight w:val="none"/>
        </w:rPr>
        <w:t>（姓名）系</w:t>
      </w:r>
      <w:r>
        <w:rPr>
          <w:rFonts w:ascii="宋体" w:hAnsi="宋体"/>
          <w:color w:val="auto"/>
          <w:sz w:val="24"/>
          <w:szCs w:val="20"/>
          <w:highlight w:val="none"/>
          <w:u w:val="single"/>
        </w:rPr>
        <w:t xml:space="preserve">                   </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（投标人名称）的法定代表人，我方愿意参加贵方组织的</w:t>
      </w:r>
      <w:r>
        <w:rPr>
          <w:rFonts w:hint="eastAsia" w:ascii="宋体" w:hAnsi="宋体"/>
          <w:color w:val="auto"/>
          <w:sz w:val="24"/>
          <w:szCs w:val="20"/>
          <w:highlight w:val="none"/>
          <w:u w:val="single"/>
          <w:lang w:eastAsia="zh-CN"/>
        </w:rPr>
        <w:t>乐派芯园一期物业开办物资采购项目</w:t>
      </w:r>
      <w:r>
        <w:rPr>
          <w:rFonts w:hint="eastAsia" w:ascii="宋体" w:hAnsi="宋体"/>
          <w:color w:val="auto"/>
          <w:sz w:val="24"/>
          <w:szCs w:val="20"/>
          <w:highlight w:val="none"/>
        </w:rPr>
        <w:t>（项目名称）（编号：</w:t>
      </w:r>
      <w:r>
        <w:rPr>
          <w:rFonts w:hint="eastAsia" w:ascii="宋体" w:hAnsi="宋体"/>
          <w:color w:val="auto"/>
          <w:sz w:val="24"/>
          <w:szCs w:val="20"/>
          <w:highlight w:val="none"/>
          <w:lang w:eastAsia="zh-CN"/>
        </w:rPr>
        <w:t>HNZCCG20241001</w:t>
      </w:r>
      <w:r>
        <w:rPr>
          <w:rFonts w:hint="eastAsia" w:ascii="宋体" w:hAnsi="宋体"/>
          <w:color w:val="auto"/>
          <w:sz w:val="24"/>
          <w:szCs w:val="20"/>
          <w:highlight w:val="none"/>
        </w:rPr>
        <w:t>）的投标，为此，我方就本次投标有关事项郑重声明如下：</w:t>
      </w:r>
    </w:p>
    <w:p>
      <w:pPr>
        <w:spacing w:line="520" w:lineRule="exact"/>
        <w:ind w:firstLine="482"/>
        <w:rPr>
          <w:rFonts w:hint="eastAsia" w:ascii="宋体" w:hAnsi="宋体"/>
          <w:color w:val="auto"/>
          <w:sz w:val="24"/>
          <w:szCs w:val="20"/>
          <w:highlight w:val="none"/>
        </w:rPr>
      </w:pPr>
      <w:r>
        <w:rPr>
          <w:rFonts w:hint="eastAsia" w:ascii="宋体" w:hAnsi="宋体"/>
          <w:color w:val="auto"/>
          <w:sz w:val="24"/>
          <w:szCs w:val="20"/>
          <w:highlight w:val="none"/>
        </w:rPr>
        <w:t>1、我方已详细审查全部招标文件，同意招标文件的各项要求。</w:t>
      </w:r>
    </w:p>
    <w:p>
      <w:pPr>
        <w:spacing w:line="520" w:lineRule="exact"/>
        <w:ind w:firstLine="482"/>
        <w:rPr>
          <w:rFonts w:hint="eastAsia" w:ascii="宋体" w:hAnsi="宋体"/>
          <w:color w:val="auto"/>
          <w:sz w:val="24"/>
          <w:szCs w:val="20"/>
          <w:highlight w:val="none"/>
        </w:rPr>
      </w:pPr>
      <w:r>
        <w:rPr>
          <w:rFonts w:hint="eastAsia" w:ascii="宋体" w:hAnsi="宋体"/>
          <w:color w:val="auto"/>
          <w:sz w:val="24"/>
          <w:szCs w:val="20"/>
          <w:highlight w:val="none"/>
        </w:rPr>
        <w:t>2、我方向贵方提交的所有投标文件、资料都是准确的和真实的。</w:t>
      </w:r>
    </w:p>
    <w:p>
      <w:pPr>
        <w:spacing w:line="520" w:lineRule="exact"/>
        <w:ind w:firstLine="482"/>
        <w:rPr>
          <w:rFonts w:hint="eastAsia" w:ascii="宋体" w:hAnsi="宋体"/>
          <w:color w:val="auto"/>
          <w:sz w:val="24"/>
          <w:szCs w:val="20"/>
          <w:highlight w:val="none"/>
        </w:rPr>
      </w:pPr>
      <w:r>
        <w:rPr>
          <w:rFonts w:hint="eastAsia" w:ascii="宋体" w:hAnsi="宋体"/>
          <w:color w:val="auto"/>
          <w:sz w:val="24"/>
          <w:szCs w:val="20"/>
          <w:highlight w:val="none"/>
        </w:rPr>
        <w:t>3、若中标，我方将按招标文件规定履行合同责任和义务。</w:t>
      </w:r>
    </w:p>
    <w:p>
      <w:pPr>
        <w:spacing w:line="520" w:lineRule="exact"/>
        <w:ind w:firstLine="482"/>
        <w:rPr>
          <w:rFonts w:hint="eastAsia" w:ascii="宋体" w:hAnsi="宋体"/>
          <w:color w:val="auto"/>
          <w:sz w:val="24"/>
          <w:szCs w:val="20"/>
          <w:highlight w:val="none"/>
        </w:rPr>
      </w:pPr>
      <w:r>
        <w:rPr>
          <w:rFonts w:hint="eastAsia" w:ascii="宋体" w:hAnsi="宋体"/>
          <w:color w:val="auto"/>
          <w:sz w:val="24"/>
          <w:szCs w:val="20"/>
          <w:highlight w:val="none"/>
        </w:rPr>
        <w:t>4、我方不是采购人的附属机构；在获知本项目采购信息后，与采购人聘请的为此项目提供咨询服务的公司及其附属机构没有任何联系。</w:t>
      </w:r>
    </w:p>
    <w:p>
      <w:pPr>
        <w:spacing w:line="520" w:lineRule="exact"/>
        <w:ind w:firstLine="482"/>
        <w:rPr>
          <w:rFonts w:hint="eastAsia" w:ascii="宋体" w:hAnsi="宋体"/>
          <w:color w:val="auto"/>
          <w:sz w:val="24"/>
          <w:szCs w:val="20"/>
          <w:highlight w:val="none"/>
        </w:rPr>
      </w:pPr>
      <w:r>
        <w:rPr>
          <w:rFonts w:hint="eastAsia" w:ascii="宋体" w:hAnsi="宋体"/>
          <w:color w:val="auto"/>
          <w:sz w:val="24"/>
          <w:szCs w:val="20"/>
          <w:highlight w:val="none"/>
        </w:rPr>
        <w:t>5、投标文件自开标日起有效期为 90 天。</w:t>
      </w:r>
    </w:p>
    <w:p>
      <w:pPr>
        <w:spacing w:line="520" w:lineRule="exact"/>
        <w:ind w:firstLine="482"/>
        <w:rPr>
          <w:rFonts w:hint="eastAsia" w:ascii="宋体" w:hAnsi="宋体"/>
          <w:color w:val="auto"/>
          <w:sz w:val="24"/>
          <w:szCs w:val="20"/>
          <w:highlight w:val="none"/>
        </w:rPr>
      </w:pPr>
      <w:r>
        <w:rPr>
          <w:rFonts w:hint="eastAsia" w:ascii="宋体" w:hAnsi="宋体"/>
          <w:color w:val="auto"/>
          <w:sz w:val="24"/>
          <w:szCs w:val="20"/>
          <w:highlight w:val="none"/>
        </w:rPr>
        <w:t>6、我方参与本项目前 3 年内的经营活动中没有重大违法记录。</w:t>
      </w:r>
    </w:p>
    <w:p>
      <w:pPr>
        <w:spacing w:line="520" w:lineRule="exact"/>
        <w:ind w:firstLine="482"/>
        <w:rPr>
          <w:rFonts w:hint="eastAsia" w:ascii="宋体" w:hAnsi="宋体"/>
          <w:color w:val="auto"/>
          <w:sz w:val="24"/>
          <w:szCs w:val="20"/>
          <w:highlight w:val="none"/>
        </w:rPr>
      </w:pPr>
      <w:r>
        <w:rPr>
          <w:rFonts w:hint="eastAsia" w:ascii="宋体" w:hAnsi="宋体"/>
          <w:color w:val="auto"/>
          <w:sz w:val="24"/>
          <w:szCs w:val="20"/>
          <w:highlight w:val="none"/>
        </w:rPr>
        <w:t>7、我方通过“信用中国”网站（www.creditchina.gov.cn）、中国政府采购网（www.ccgp.gov.cn）查询，未被列入失信被执行人、重大税收违法案件当事人名单、政府采购严重违法失信行为记录名单。</w:t>
      </w:r>
    </w:p>
    <w:p>
      <w:pPr>
        <w:spacing w:line="600" w:lineRule="exact"/>
        <w:ind w:firstLine="482"/>
        <w:rPr>
          <w:rFonts w:ascii="宋体" w:hAnsi="宋体"/>
          <w:color w:val="auto"/>
          <w:sz w:val="24"/>
          <w:szCs w:val="20"/>
          <w:highlight w:val="none"/>
        </w:rPr>
      </w:pPr>
      <w:r>
        <w:rPr>
          <w:rFonts w:hint="eastAsia" w:ascii="宋体" w:hAnsi="宋体"/>
          <w:color w:val="auto"/>
          <w:sz w:val="24"/>
          <w:szCs w:val="20"/>
          <w:highlight w:val="none"/>
        </w:rPr>
        <w:t>8、以上事项如有虚假或隐瞒，我方愿意承担一切后果，并不再寻求任何旨在减轻或免除法律责任的辩解。</w:t>
      </w:r>
    </w:p>
    <w:p>
      <w:pPr>
        <w:spacing w:line="320" w:lineRule="exact"/>
        <w:rPr>
          <w:rFonts w:hint="eastAsia" w:ascii="宋体" w:hAnsi="宋体"/>
          <w:b/>
          <w:color w:val="auto"/>
          <w:sz w:val="24"/>
          <w:szCs w:val="20"/>
          <w:highlight w:val="none"/>
        </w:rPr>
      </w:pPr>
    </w:p>
    <w:p>
      <w:pPr>
        <w:spacing w:line="360" w:lineRule="exact"/>
        <w:rPr>
          <w:rFonts w:hint="eastAsia" w:ascii="宋体" w:hAnsi="宋体"/>
          <w:b/>
          <w:color w:val="auto"/>
          <w:sz w:val="24"/>
          <w:szCs w:val="20"/>
          <w:highlight w:val="none"/>
        </w:rPr>
      </w:pPr>
      <w:r>
        <w:rPr>
          <w:rFonts w:hint="eastAsia" w:ascii="宋体" w:hAnsi="宋体"/>
          <w:b/>
          <w:color w:val="auto"/>
          <w:sz w:val="24"/>
          <w:szCs w:val="20"/>
          <w:highlight w:val="none"/>
        </w:rPr>
        <w:t>投标人（公章）：</w:t>
      </w:r>
      <w:r>
        <w:rPr>
          <w:rFonts w:ascii="宋体" w:hAnsi="宋体"/>
          <w:b/>
          <w:color w:val="auto"/>
          <w:sz w:val="24"/>
          <w:szCs w:val="20"/>
          <w:highlight w:val="none"/>
        </w:rPr>
        <w:t xml:space="preserve">                   </w:t>
      </w:r>
    </w:p>
    <w:p>
      <w:pPr>
        <w:spacing w:line="360" w:lineRule="exact"/>
        <w:rPr>
          <w:rFonts w:hint="eastAsia" w:ascii="宋体" w:hAnsi="宋体"/>
          <w:b/>
          <w:color w:val="auto"/>
          <w:sz w:val="24"/>
          <w:szCs w:val="20"/>
          <w:highlight w:val="none"/>
        </w:rPr>
      </w:pPr>
    </w:p>
    <w:p>
      <w:pPr>
        <w:spacing w:line="360" w:lineRule="exact"/>
        <w:rPr>
          <w:rFonts w:ascii="宋体" w:hAnsi="宋体"/>
          <w:color w:val="auto"/>
          <w:sz w:val="24"/>
          <w:szCs w:val="20"/>
          <w:highlight w:val="none"/>
        </w:rPr>
      </w:pPr>
      <w:r>
        <w:rPr>
          <w:rFonts w:hint="eastAsia" w:ascii="宋体" w:hAnsi="宋体"/>
          <w:b/>
          <w:color w:val="auto"/>
          <w:sz w:val="24"/>
          <w:szCs w:val="20"/>
          <w:highlight w:val="none"/>
        </w:rPr>
        <w:t xml:space="preserve">法定代表人或授权代表（签字或盖章）： </w:t>
      </w:r>
    </w:p>
    <w:p>
      <w:pPr>
        <w:spacing w:line="360" w:lineRule="exact"/>
        <w:rPr>
          <w:rFonts w:hint="eastAsia" w:ascii="宋体" w:hAnsi="宋体"/>
          <w:b/>
          <w:color w:val="auto"/>
          <w:sz w:val="24"/>
          <w:szCs w:val="20"/>
          <w:highlight w:val="none"/>
        </w:rPr>
      </w:pPr>
    </w:p>
    <w:p>
      <w:pPr>
        <w:spacing w:line="360" w:lineRule="exact"/>
        <w:rPr>
          <w:rFonts w:hint="eastAsia" w:ascii="宋体" w:hAnsi="宋体"/>
          <w:b/>
          <w:color w:val="auto"/>
          <w:sz w:val="24"/>
          <w:szCs w:val="20"/>
          <w:highlight w:val="none"/>
        </w:rPr>
      </w:pPr>
      <w:r>
        <w:rPr>
          <w:rFonts w:hint="eastAsia" w:ascii="宋体" w:hAnsi="宋体"/>
          <w:b/>
          <w:color w:val="auto"/>
          <w:sz w:val="24"/>
          <w:szCs w:val="20"/>
          <w:highlight w:val="none"/>
        </w:rPr>
        <w:t>日期：  　年　</w:t>
      </w:r>
      <w:r>
        <w:rPr>
          <w:rFonts w:ascii="宋体" w:hAnsi="宋体"/>
          <w:b/>
          <w:color w:val="auto"/>
          <w:sz w:val="24"/>
          <w:szCs w:val="20"/>
          <w:highlight w:val="none"/>
        </w:rPr>
        <w:t xml:space="preserve"> </w:t>
      </w:r>
      <w:r>
        <w:rPr>
          <w:rFonts w:hint="eastAsia" w:ascii="宋体" w:hAnsi="宋体"/>
          <w:b/>
          <w:color w:val="auto"/>
          <w:sz w:val="24"/>
          <w:szCs w:val="20"/>
          <w:highlight w:val="none"/>
        </w:rPr>
        <w:t>月　</w:t>
      </w:r>
      <w:r>
        <w:rPr>
          <w:rFonts w:ascii="宋体" w:hAnsi="宋体"/>
          <w:b/>
          <w:color w:val="auto"/>
          <w:sz w:val="24"/>
          <w:szCs w:val="20"/>
          <w:highlight w:val="none"/>
        </w:rPr>
        <w:t xml:space="preserve">  </w:t>
      </w:r>
      <w:r>
        <w:rPr>
          <w:rFonts w:hint="eastAsia" w:ascii="宋体" w:hAnsi="宋体"/>
          <w:b/>
          <w:color w:val="auto"/>
          <w:sz w:val="24"/>
          <w:szCs w:val="20"/>
          <w:highlight w:val="none"/>
        </w:rPr>
        <w:t>日</w:t>
      </w:r>
    </w:p>
    <w:bookmarkEnd w:id="182"/>
    <w:p>
      <w:pPr>
        <w:pStyle w:val="4"/>
        <w:spacing w:line="320" w:lineRule="exact"/>
        <w:rPr>
          <w:rFonts w:hint="eastAsia" w:ascii="仿宋_GB2312" w:eastAsia="仿宋_GB2312"/>
          <w:color w:val="auto"/>
          <w:sz w:val="24"/>
          <w:highlight w:val="none"/>
        </w:rPr>
      </w:pPr>
      <w:bookmarkStart w:id="183" w:name="_Toc31347"/>
      <w:r>
        <w:rPr>
          <w:rFonts w:hint="eastAsia" w:ascii="仿宋_GB2312" w:eastAsia="仿宋_GB2312"/>
          <w:color w:val="auto"/>
          <w:sz w:val="24"/>
          <w:highlight w:val="none"/>
        </w:rPr>
        <w:t>附件3： 法定代表人授权委托书</w:t>
      </w:r>
      <w:bookmarkEnd w:id="183"/>
      <w:r>
        <w:rPr>
          <w:rFonts w:hint="eastAsia" w:ascii="仿宋_GB2312" w:eastAsia="仿宋_GB2312"/>
          <w:color w:val="auto"/>
          <w:sz w:val="24"/>
          <w:highlight w:val="none"/>
        </w:rPr>
        <w:t xml:space="preserve"> </w:t>
      </w:r>
    </w:p>
    <w:p>
      <w:pPr>
        <w:overflowPunct w:val="0"/>
        <w:spacing w:line="320" w:lineRule="exact"/>
        <w:jc w:val="center"/>
        <w:rPr>
          <w:rFonts w:hint="eastAsia" w:ascii="楷体_GB2312" w:eastAsia="楷体_GB2312"/>
          <w:b/>
          <w:bCs/>
          <w:color w:val="auto"/>
          <w:sz w:val="36"/>
          <w:highlight w:val="none"/>
        </w:rPr>
      </w:pPr>
    </w:p>
    <w:p>
      <w:pPr>
        <w:spacing w:line="320" w:lineRule="exact"/>
        <w:ind w:firstLine="480"/>
        <w:rPr>
          <w:rFonts w:hint="eastAsia" w:ascii="宋体" w:hAnsi="宋体"/>
          <w:color w:val="auto"/>
          <w:sz w:val="24"/>
          <w:highlight w:val="none"/>
        </w:rPr>
      </w:pPr>
    </w:p>
    <w:p>
      <w:pPr>
        <w:widowControl/>
        <w:spacing w:line="400" w:lineRule="exact"/>
        <w:jc w:val="center"/>
        <w:rPr>
          <w:rFonts w:hint="eastAsia" w:ascii="楷体_GB2312" w:eastAsia="楷体_GB2312"/>
          <w:b/>
          <w:color w:val="auto"/>
          <w:sz w:val="36"/>
          <w:szCs w:val="36"/>
          <w:highlight w:val="none"/>
        </w:rPr>
      </w:pPr>
      <w:r>
        <w:rPr>
          <w:rFonts w:hint="eastAsia" w:ascii="楷体_GB2312" w:eastAsia="楷体_GB2312"/>
          <w:b/>
          <w:color w:val="auto"/>
          <w:sz w:val="36"/>
          <w:szCs w:val="36"/>
          <w:highlight w:val="none"/>
        </w:rPr>
        <w:t>法定代表人授权委托书</w:t>
      </w:r>
    </w:p>
    <w:p>
      <w:pPr>
        <w:overflowPunct w:val="0"/>
        <w:spacing w:line="320" w:lineRule="exact"/>
        <w:jc w:val="center"/>
        <w:rPr>
          <w:rFonts w:hint="eastAsia"/>
          <w:color w:val="auto"/>
          <w:sz w:val="28"/>
          <w:szCs w:val="20"/>
          <w:highlight w:val="none"/>
        </w:rPr>
      </w:pPr>
    </w:p>
    <w:p>
      <w:pPr>
        <w:spacing w:line="320" w:lineRule="exact"/>
        <w:ind w:firstLine="480"/>
        <w:rPr>
          <w:rFonts w:hint="eastAsia" w:ascii="宋体" w:hAnsi="宋体"/>
          <w:color w:val="auto"/>
          <w:sz w:val="24"/>
          <w:szCs w:val="20"/>
          <w:highlight w:val="none"/>
        </w:rPr>
      </w:pPr>
    </w:p>
    <w:p>
      <w:pPr>
        <w:spacing w:line="400" w:lineRule="exact"/>
        <w:rPr>
          <w:rFonts w:ascii="宋体" w:hAnsi="宋体"/>
          <w:color w:val="auto"/>
          <w:sz w:val="24"/>
          <w:highlight w:val="none"/>
        </w:rPr>
      </w:pPr>
      <w:bookmarkStart w:id="184" w:name="_Hlk92230609"/>
      <w:r>
        <w:rPr>
          <w:rFonts w:hint="eastAsia" w:ascii="宋体" w:hAnsi="宋体"/>
          <w:color w:val="auto"/>
          <w:sz w:val="24"/>
          <w:highlight w:val="none"/>
        </w:rPr>
        <w:t>致</w:t>
      </w:r>
      <w:r>
        <w:rPr>
          <w:rFonts w:hint="eastAsia" w:ascii="宋体" w:hAnsi="宋体"/>
          <w:color w:val="auto"/>
          <w:sz w:val="24"/>
          <w:szCs w:val="20"/>
          <w:highlight w:val="none"/>
          <w:u w:val="single"/>
          <w:lang w:eastAsia="zh-CN"/>
        </w:rPr>
        <w:t>海宁乐派芯园科技有限公司</w:t>
      </w:r>
      <w:r>
        <w:rPr>
          <w:rFonts w:hint="eastAsia" w:ascii="宋体" w:hAnsi="宋体"/>
          <w:color w:val="auto"/>
          <w:sz w:val="24"/>
          <w:highlight w:val="none"/>
        </w:rPr>
        <w:t>：</w:t>
      </w:r>
    </w:p>
    <w:bookmarkEnd w:id="184"/>
    <w:p>
      <w:pPr>
        <w:spacing w:line="600" w:lineRule="exact"/>
        <w:ind w:firstLine="482"/>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HNZCCG20241001</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lang w:eastAsia="zh-CN"/>
        </w:rPr>
        <w:t>乐派芯园一期物业开办物资采购项目</w:t>
      </w:r>
      <w:r>
        <w:rPr>
          <w:rFonts w:hint="eastAsia" w:ascii="宋体" w:hAnsi="宋体"/>
          <w:color w:val="auto"/>
          <w:sz w:val="24"/>
          <w:highlight w:val="none"/>
        </w:rPr>
        <w:t>(项目名称)的投标活动，并代表我方全权办理针对上述项目的投标、开标、评标、签约等具体事务和签署相关文件。</w:t>
      </w:r>
    </w:p>
    <w:p>
      <w:pPr>
        <w:spacing w:line="600" w:lineRule="exact"/>
        <w:ind w:firstLine="482"/>
        <w:rPr>
          <w:rFonts w:hint="eastAsia" w:ascii="宋体" w:hAnsi="宋体"/>
          <w:color w:val="auto"/>
          <w:sz w:val="24"/>
          <w:highlight w:val="none"/>
        </w:rPr>
      </w:pPr>
      <w:r>
        <w:rPr>
          <w:rFonts w:hint="eastAsia" w:ascii="宋体" w:hAnsi="宋体"/>
          <w:color w:val="auto"/>
          <w:sz w:val="24"/>
          <w:highlight w:val="none"/>
        </w:rPr>
        <w:t>我方对被授权人的签名事项负全部责任。</w:t>
      </w:r>
    </w:p>
    <w:p>
      <w:pPr>
        <w:spacing w:line="600" w:lineRule="exact"/>
        <w:ind w:firstLine="480" w:firstLineChars="200"/>
        <w:rPr>
          <w:rFonts w:hint="eastAsia" w:ascii="宋体" w:hAnsi="宋体"/>
          <w:color w:val="auto"/>
          <w:sz w:val="24"/>
          <w:highlight w:val="none"/>
        </w:rPr>
      </w:pPr>
      <w:r>
        <w:rPr>
          <w:rFonts w:hint="eastAsia" w:ascii="宋体" w:hAnsi="宋体"/>
          <w:color w:val="auto"/>
          <w:sz w:val="24"/>
          <w:highlight w:val="none"/>
        </w:rPr>
        <w:t>在撤销授权的书面通知以前，本授权书一直有效。被授权人在授权书有效期内签署的所有文件不因授权的撤销而失效。</w:t>
      </w:r>
    </w:p>
    <w:p>
      <w:pPr>
        <w:spacing w:line="600" w:lineRule="exact"/>
        <w:ind w:firstLine="482"/>
        <w:rPr>
          <w:rFonts w:hint="eastAsia" w:ascii="宋体" w:hAnsi="宋体"/>
          <w:color w:val="auto"/>
          <w:sz w:val="24"/>
          <w:highlight w:val="none"/>
        </w:rPr>
      </w:pPr>
      <w:r>
        <w:rPr>
          <w:rFonts w:hint="eastAsia" w:ascii="宋体" w:hAnsi="宋体"/>
          <w:color w:val="auto"/>
          <w:sz w:val="24"/>
          <w:highlight w:val="none"/>
        </w:rPr>
        <w:t>被授权人无转委托权，特此委托。</w:t>
      </w:r>
    </w:p>
    <w:p>
      <w:pPr>
        <w:spacing w:line="400" w:lineRule="exact"/>
        <w:ind w:firstLine="480"/>
        <w:rPr>
          <w:rFonts w:hint="eastAsia" w:ascii="宋体" w:hAnsi="宋体"/>
          <w:color w:val="auto"/>
          <w:sz w:val="24"/>
          <w:highlight w:val="none"/>
        </w:rPr>
      </w:pPr>
      <w:r>
        <w:rPr>
          <w:rFonts w:hint="eastAsia" w:ascii="宋体" w:hAnsi="宋体"/>
          <w:color w:val="auto"/>
          <w:sz w:val="24"/>
          <w:highlight w:val="none"/>
        </w:rPr>
        <w:t xml:space="preserve"> </w:t>
      </w:r>
    </w:p>
    <w:p>
      <w:pPr>
        <w:spacing w:line="600" w:lineRule="exact"/>
        <w:ind w:firstLine="482"/>
        <w:rPr>
          <w:rFonts w:hint="eastAsia" w:ascii="宋体" w:hAnsi="宋体"/>
          <w:color w:val="auto"/>
          <w:sz w:val="24"/>
          <w:highlight w:val="none"/>
        </w:rPr>
      </w:pPr>
      <w:r>
        <w:rPr>
          <w:rFonts w:hint="eastAsia" w:ascii="宋体" w:hAnsi="宋体"/>
          <w:color w:val="auto"/>
          <w:sz w:val="24"/>
          <w:highlight w:val="none"/>
        </w:rPr>
        <w:t xml:space="preserve">被授权人（签字或盖章）：                   法定代表人(签字或盖章)：    </w:t>
      </w:r>
    </w:p>
    <w:p>
      <w:pPr>
        <w:spacing w:line="600" w:lineRule="exact"/>
        <w:ind w:firstLine="482"/>
        <w:rPr>
          <w:rFonts w:hint="eastAsia" w:ascii="宋体" w:hAnsi="宋体"/>
          <w:color w:val="auto"/>
          <w:sz w:val="24"/>
          <w:highlight w:val="none"/>
        </w:rPr>
      </w:pPr>
      <w:r>
        <w:rPr>
          <w:rFonts w:hint="eastAsia" w:ascii="宋体" w:hAnsi="宋体"/>
          <w:color w:val="auto"/>
          <w:sz w:val="24"/>
          <w:highlight w:val="none"/>
        </w:rPr>
        <w:t xml:space="preserve">职务：                                    职务：           </w:t>
      </w:r>
    </w:p>
    <w:p>
      <w:pPr>
        <w:spacing w:line="600" w:lineRule="exact"/>
        <w:ind w:firstLine="482"/>
        <w:rPr>
          <w:rFonts w:hint="eastAsia" w:ascii="宋体" w:hAnsi="宋体"/>
          <w:color w:val="auto"/>
          <w:sz w:val="24"/>
          <w:highlight w:val="none"/>
        </w:rPr>
      </w:pPr>
      <w:r>
        <w:rPr>
          <w:rFonts w:hint="eastAsia" w:ascii="宋体" w:hAnsi="宋体"/>
          <w:color w:val="auto"/>
          <w:sz w:val="24"/>
          <w:highlight w:val="none"/>
        </w:rPr>
        <w:t xml:space="preserve">被授权人身份证号码：                                            </w:t>
      </w:r>
    </w:p>
    <w:p>
      <w:pPr>
        <w:spacing w:line="600" w:lineRule="exact"/>
        <w:ind w:firstLine="480"/>
        <w:rPr>
          <w:rFonts w:hint="eastAsia" w:ascii="宋体" w:hAnsi="宋体"/>
          <w:color w:val="auto"/>
          <w:sz w:val="24"/>
          <w:highlight w:val="none"/>
        </w:rPr>
      </w:pPr>
      <w:r>
        <w:rPr>
          <w:rFonts w:hint="eastAsia" w:ascii="宋体" w:hAnsi="宋体"/>
          <w:color w:val="auto"/>
          <w:sz w:val="24"/>
          <w:highlight w:val="none"/>
        </w:rPr>
        <w:t>手机：</w:t>
      </w:r>
    </w:p>
    <w:p>
      <w:pPr>
        <w:spacing w:line="320" w:lineRule="exact"/>
        <w:ind w:firstLine="480"/>
        <w:rPr>
          <w:rFonts w:ascii="宋体" w:hAnsi="宋体"/>
          <w:color w:val="auto"/>
          <w:sz w:val="24"/>
          <w:highlight w:val="none"/>
        </w:rPr>
      </w:pPr>
      <w:r>
        <w:rPr>
          <w:rFonts w:hint="eastAsia" w:ascii="宋体" w:hAnsi="宋体"/>
          <w:color w:val="auto"/>
          <w:sz w:val="24"/>
          <w:highlight w:val="none"/>
        </w:rPr>
        <w:t xml:space="preserve"> </w:t>
      </w:r>
    </w:p>
    <w:p>
      <w:pPr>
        <w:spacing w:line="320" w:lineRule="exact"/>
        <w:ind w:firstLine="480"/>
        <w:rPr>
          <w:rFonts w:hint="eastAsia" w:ascii="宋体" w:hAnsi="宋体"/>
          <w:color w:val="auto"/>
          <w:sz w:val="24"/>
          <w:highlight w:val="none"/>
        </w:rPr>
      </w:pPr>
    </w:p>
    <w:p>
      <w:pPr>
        <w:spacing w:line="320" w:lineRule="exact"/>
        <w:ind w:firstLine="480"/>
        <w:rPr>
          <w:rFonts w:hint="eastAsia" w:ascii="宋体" w:hAnsi="宋体"/>
          <w:color w:val="auto"/>
          <w:sz w:val="24"/>
          <w:highlight w:val="none"/>
        </w:rPr>
      </w:pPr>
      <w:r>
        <w:rPr>
          <w:rFonts w:hint="eastAsia" w:ascii="宋体" w:hAnsi="宋体"/>
          <w:color w:val="auto"/>
          <w:sz w:val="24"/>
          <w:highlight w:val="none"/>
        </w:rPr>
        <w:t xml:space="preserve"> </w:t>
      </w:r>
    </w:p>
    <w:p>
      <w:pPr>
        <w:spacing w:line="320" w:lineRule="exact"/>
        <w:ind w:firstLine="480"/>
        <w:rPr>
          <w:rFonts w:hint="eastAsia" w:ascii="宋体" w:hAnsi="宋体"/>
          <w:b/>
          <w:color w:val="auto"/>
          <w:sz w:val="24"/>
          <w:highlight w:val="none"/>
        </w:rPr>
      </w:pPr>
      <w:r>
        <w:rPr>
          <w:rFonts w:hint="eastAsia" w:ascii="宋体" w:hAnsi="宋体"/>
          <w:b/>
          <w:color w:val="auto"/>
          <w:sz w:val="24"/>
          <w:highlight w:val="none"/>
        </w:rPr>
        <w:t>投标人（公章）：</w:t>
      </w:r>
      <w:r>
        <w:rPr>
          <w:rFonts w:ascii="宋体" w:hAnsi="宋体"/>
          <w:b/>
          <w:color w:val="auto"/>
          <w:sz w:val="24"/>
          <w:highlight w:val="none"/>
        </w:rPr>
        <w:t xml:space="preserve">                   </w:t>
      </w:r>
    </w:p>
    <w:p>
      <w:pPr>
        <w:spacing w:line="320" w:lineRule="exact"/>
        <w:ind w:firstLine="480"/>
        <w:rPr>
          <w:rFonts w:hint="eastAsia" w:ascii="宋体" w:hAnsi="宋体"/>
          <w:b/>
          <w:color w:val="auto"/>
          <w:sz w:val="24"/>
          <w:highlight w:val="none"/>
        </w:rPr>
      </w:pPr>
    </w:p>
    <w:p>
      <w:pPr>
        <w:spacing w:line="320" w:lineRule="exact"/>
        <w:ind w:firstLine="480"/>
        <w:rPr>
          <w:rFonts w:ascii="宋体" w:hAnsi="宋体"/>
          <w:b/>
          <w:color w:val="auto"/>
          <w:sz w:val="24"/>
          <w:highlight w:val="none"/>
        </w:rPr>
      </w:pPr>
      <w:r>
        <w:rPr>
          <w:rFonts w:hint="eastAsia" w:ascii="宋体" w:hAnsi="宋体"/>
          <w:b/>
          <w:color w:val="auto"/>
          <w:sz w:val="24"/>
          <w:highlight w:val="none"/>
        </w:rPr>
        <w:t xml:space="preserve">法定代表人或授权代表（签字或盖章）： </w:t>
      </w:r>
    </w:p>
    <w:p>
      <w:pPr>
        <w:spacing w:line="320" w:lineRule="exact"/>
        <w:ind w:firstLine="480"/>
        <w:rPr>
          <w:rFonts w:hint="eastAsia" w:ascii="宋体" w:hAnsi="宋体"/>
          <w:b/>
          <w:color w:val="auto"/>
          <w:sz w:val="24"/>
          <w:highlight w:val="none"/>
        </w:rPr>
      </w:pPr>
    </w:p>
    <w:p>
      <w:pPr>
        <w:spacing w:line="320" w:lineRule="exact"/>
        <w:ind w:firstLine="480"/>
        <w:rPr>
          <w:rFonts w:hint="eastAsia" w:ascii="宋体" w:hAnsi="宋体"/>
          <w:b/>
          <w:color w:val="auto"/>
          <w:sz w:val="24"/>
          <w:highlight w:val="none"/>
        </w:rPr>
      </w:pPr>
      <w:r>
        <w:rPr>
          <w:rFonts w:hint="eastAsia" w:ascii="宋体" w:hAnsi="宋体"/>
          <w:b/>
          <w:color w:val="auto"/>
          <w:sz w:val="24"/>
          <w:highlight w:val="none"/>
        </w:rPr>
        <w:t>日期：  　年　</w:t>
      </w:r>
      <w:r>
        <w:rPr>
          <w:rFonts w:ascii="宋体" w:hAnsi="宋体"/>
          <w:b/>
          <w:color w:val="auto"/>
          <w:sz w:val="24"/>
          <w:highlight w:val="none"/>
        </w:rPr>
        <w:t xml:space="preserve"> </w:t>
      </w:r>
      <w:r>
        <w:rPr>
          <w:rFonts w:hint="eastAsia" w:ascii="宋体" w:hAnsi="宋体"/>
          <w:b/>
          <w:color w:val="auto"/>
          <w:sz w:val="24"/>
          <w:highlight w:val="none"/>
        </w:rPr>
        <w:t>月　</w:t>
      </w:r>
      <w:r>
        <w:rPr>
          <w:rFonts w:ascii="宋体" w:hAnsi="宋体"/>
          <w:b/>
          <w:color w:val="auto"/>
          <w:sz w:val="24"/>
          <w:highlight w:val="none"/>
        </w:rPr>
        <w:t xml:space="preserve">  </w:t>
      </w:r>
      <w:r>
        <w:rPr>
          <w:rFonts w:hint="eastAsia" w:ascii="宋体" w:hAnsi="宋体"/>
          <w:b/>
          <w:color w:val="auto"/>
          <w:sz w:val="24"/>
          <w:highlight w:val="none"/>
        </w:rPr>
        <w:t>日</w:t>
      </w:r>
    </w:p>
    <w:p>
      <w:pPr>
        <w:spacing w:line="480" w:lineRule="auto"/>
        <w:rPr>
          <w:rFonts w:hint="eastAsia" w:ascii="宋体" w:hAnsi="宋体"/>
          <w:b/>
          <w:color w:val="auto"/>
          <w:sz w:val="24"/>
          <w:highlight w:val="none"/>
        </w:rPr>
      </w:pPr>
    </w:p>
    <w:p>
      <w:pPr>
        <w:pStyle w:val="4"/>
        <w:spacing w:line="320" w:lineRule="exact"/>
        <w:rPr>
          <w:rFonts w:ascii="仿宋_GB2312" w:eastAsia="仿宋_GB2312"/>
          <w:color w:val="auto"/>
          <w:sz w:val="24"/>
          <w:szCs w:val="24"/>
          <w:highlight w:val="none"/>
        </w:rPr>
      </w:pPr>
      <w:bookmarkStart w:id="185" w:name="_Toc32239"/>
      <w:r>
        <w:rPr>
          <w:rFonts w:hint="eastAsia" w:ascii="仿宋_GB2312" w:eastAsia="仿宋_GB2312"/>
          <w:color w:val="auto"/>
          <w:sz w:val="24"/>
          <w:szCs w:val="24"/>
          <w:highlight w:val="none"/>
        </w:rPr>
        <w:t>附件4： 技术商务文件封面格式及目录</w:t>
      </w:r>
      <w:bookmarkEnd w:id="185"/>
    </w:p>
    <w:p>
      <w:pPr>
        <w:pStyle w:val="20"/>
        <w:snapToGrid w:val="0"/>
        <w:spacing w:before="295" w:after="120"/>
        <w:ind w:firstLine="600"/>
        <w:jc w:val="right"/>
        <w:rPr>
          <w:rFonts w:hAnsi="宋体"/>
          <w:bCs/>
          <w:color w:val="auto"/>
          <w:sz w:val="30"/>
          <w:szCs w:val="30"/>
          <w:highlight w:val="none"/>
        </w:rPr>
      </w:pPr>
    </w:p>
    <w:p>
      <w:pPr>
        <w:snapToGrid w:val="0"/>
        <w:spacing w:before="120" w:beforeLines="50" w:after="50"/>
        <w:rPr>
          <w:rFonts w:ascii="宋体" w:hAnsi="宋体"/>
          <w:bCs/>
          <w:color w:val="auto"/>
          <w:sz w:val="30"/>
          <w:szCs w:val="30"/>
          <w:highlight w:val="none"/>
        </w:rPr>
      </w:pPr>
      <w:r>
        <w:rPr>
          <w:rFonts w:ascii="宋体" w:hAnsi="宋体"/>
          <w:color w:val="auto"/>
          <w:sz w:val="30"/>
          <w:szCs w:val="30"/>
          <w:highlight w:val="none"/>
        </w:rPr>
        <w:t xml:space="preserve">                                            </w:t>
      </w:r>
    </w:p>
    <w:p>
      <w:pPr>
        <w:ind w:right="-110"/>
        <w:jc w:val="center"/>
        <w:rPr>
          <w:rFonts w:hint="eastAsia"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240" w:beforeLines="100" w:line="240" w:lineRule="atLeast"/>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HNZCCG20241001</w:t>
      </w:r>
    </w:p>
    <w:p>
      <w:pPr>
        <w:spacing w:line="600" w:lineRule="exact"/>
        <w:ind w:right="532" w:firstLine="720" w:firstLineChars="200"/>
        <w:rPr>
          <w:rFonts w:hint="eastAsia" w:ascii="宋体" w:hAnsi="宋体"/>
          <w:color w:val="auto"/>
          <w:sz w:val="36"/>
          <w:szCs w:val="36"/>
          <w:highlight w:val="none"/>
        </w:rPr>
      </w:pPr>
    </w:p>
    <w:p>
      <w:pPr>
        <w:spacing w:line="600" w:lineRule="exact"/>
        <w:ind w:right="532" w:firstLine="720" w:firstLineChars="200"/>
        <w:rPr>
          <w:rFonts w:hint="eastAsia" w:ascii="宋体" w:hAnsi="宋体"/>
          <w:color w:val="auto"/>
          <w:sz w:val="36"/>
          <w:szCs w:val="36"/>
          <w:highlight w:val="none"/>
        </w:rPr>
      </w:pPr>
    </w:p>
    <w:p>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技</w:t>
      </w:r>
    </w:p>
    <w:p>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术</w:t>
      </w:r>
    </w:p>
    <w:p>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务</w:t>
      </w:r>
    </w:p>
    <w:p>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pPr>
        <w:spacing w:after="100" w:afterAutospacing="1" w:line="74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pPr>
        <w:spacing w:line="600" w:lineRule="exact"/>
        <w:ind w:right="532" w:firstLine="720" w:firstLineChars="200"/>
        <w:rPr>
          <w:rFonts w:hint="eastAsia" w:ascii="宋体" w:hAnsi="宋体"/>
          <w:color w:val="auto"/>
          <w:sz w:val="36"/>
          <w:szCs w:val="36"/>
          <w:highlight w:val="none"/>
        </w:rPr>
      </w:pPr>
    </w:p>
    <w:p>
      <w:pPr>
        <w:spacing w:line="600" w:lineRule="exact"/>
        <w:ind w:right="532" w:firstLine="720" w:firstLineChars="200"/>
        <w:rPr>
          <w:rFonts w:ascii="宋体" w:hAnsi="宋体"/>
          <w:color w:val="auto"/>
          <w:sz w:val="36"/>
          <w:szCs w:val="36"/>
          <w:highlight w:val="none"/>
        </w:rPr>
      </w:pPr>
    </w:p>
    <w:p>
      <w:pPr>
        <w:spacing w:line="600" w:lineRule="exact"/>
        <w:ind w:right="532" w:firstLine="720" w:firstLineChars="200"/>
        <w:rPr>
          <w:rFonts w:hint="eastAsia" w:ascii="宋体" w:hAnsi="宋体"/>
          <w:color w:val="auto"/>
          <w:sz w:val="36"/>
          <w:szCs w:val="36"/>
          <w:highlight w:val="none"/>
        </w:rPr>
      </w:pPr>
    </w:p>
    <w:p>
      <w:pPr>
        <w:spacing w:line="6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投标人全称（公章）：</w:t>
      </w:r>
    </w:p>
    <w:p>
      <w:pPr>
        <w:spacing w:line="6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pPr>
        <w:spacing w:line="600" w:lineRule="exact"/>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rPr>
          <w:rFonts w:hint="eastAsia" w:ascii="宋体" w:hAnsi="宋体"/>
          <w:b/>
          <w:bCs/>
          <w:color w:val="auto"/>
          <w:sz w:val="36"/>
          <w:szCs w:val="36"/>
          <w:highlight w:val="none"/>
        </w:rPr>
      </w:pPr>
    </w:p>
    <w:p>
      <w:pPr>
        <w:snapToGrid w:val="0"/>
        <w:spacing w:before="50" w:after="50"/>
        <w:jc w:val="center"/>
        <w:rPr>
          <w:rFonts w:hint="eastAsia" w:ascii="宋体" w:hAnsi="宋体"/>
          <w:b/>
          <w:bCs/>
          <w:color w:val="auto"/>
          <w:sz w:val="36"/>
          <w:szCs w:val="36"/>
          <w:highlight w:val="none"/>
        </w:rPr>
      </w:pPr>
    </w:p>
    <w:p>
      <w:pPr>
        <w:snapToGrid w:val="0"/>
        <w:spacing w:before="50" w:after="50"/>
        <w:jc w:val="center"/>
        <w:rPr>
          <w:rFonts w:hint="eastAsia" w:ascii="宋体" w:hAnsi="宋体"/>
          <w:b/>
          <w:bCs/>
          <w:color w:val="auto"/>
          <w:sz w:val="36"/>
          <w:szCs w:val="36"/>
          <w:highlight w:val="none"/>
        </w:rPr>
      </w:pPr>
      <w:r>
        <w:rPr>
          <w:rFonts w:hint="eastAsia" w:ascii="宋体" w:hAnsi="宋体"/>
          <w:b/>
          <w:bCs/>
          <w:color w:val="auto"/>
          <w:sz w:val="36"/>
          <w:szCs w:val="36"/>
          <w:highlight w:val="none"/>
        </w:rPr>
        <w:t>技术</w:t>
      </w:r>
      <w:r>
        <w:rPr>
          <w:rFonts w:hint="eastAsia" w:ascii="宋体" w:hAnsi="宋体"/>
          <w:b/>
          <w:bCs/>
          <w:color w:val="auto"/>
          <w:sz w:val="36"/>
          <w:szCs w:val="36"/>
          <w:highlight w:val="none"/>
          <w:lang w:val="en-US" w:eastAsia="zh-CN"/>
        </w:rPr>
        <w:t>商务</w:t>
      </w:r>
      <w:r>
        <w:rPr>
          <w:rFonts w:hint="eastAsia" w:ascii="宋体" w:hAnsi="宋体"/>
          <w:b/>
          <w:bCs/>
          <w:color w:val="auto"/>
          <w:sz w:val="36"/>
          <w:szCs w:val="36"/>
          <w:highlight w:val="none"/>
        </w:rPr>
        <w:t>标文件目录</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(请标明页码)</w:t>
      </w:r>
    </w:p>
    <w:p>
      <w:pPr>
        <w:spacing w:line="360" w:lineRule="auto"/>
        <w:ind w:firstLine="420" w:firstLineChars="200"/>
        <w:rPr>
          <w:rFonts w:ascii="宋体" w:hAnsi="宋体"/>
          <w:color w:val="auto"/>
          <w:szCs w:val="21"/>
          <w:highlight w:val="none"/>
        </w:rPr>
      </w:pPr>
    </w:p>
    <w:p>
      <w:pPr>
        <w:spacing w:line="380" w:lineRule="exact"/>
        <w:ind w:firstLine="420" w:firstLineChars="200"/>
        <w:rPr>
          <w:rFonts w:ascii="宋体" w:hAnsi="宋体"/>
          <w:color w:val="auto"/>
          <w:szCs w:val="21"/>
          <w:highlight w:val="none"/>
        </w:rPr>
      </w:pPr>
    </w:p>
    <w:p>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评分对应表（附件5）；</w:t>
      </w:r>
    </w:p>
    <w:p>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投标人基本情况表（附件6）；</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技术响应表（附件7）；</w:t>
      </w:r>
    </w:p>
    <w:p>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本项目技术力量配备表（附件</w:t>
      </w: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w:t>
      </w:r>
    </w:p>
    <w:p>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lang w:eastAsia="zh-CN"/>
        </w:rPr>
        <w:t>项目方案</w:t>
      </w:r>
      <w:r>
        <w:rPr>
          <w:rFonts w:hint="eastAsia" w:ascii="宋体" w:hAnsi="宋体" w:cs="Times New Roman"/>
          <w:color w:val="auto"/>
          <w:szCs w:val="21"/>
          <w:highlight w:val="none"/>
        </w:rPr>
        <w:t>；</w:t>
      </w:r>
    </w:p>
    <w:p>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商务响应表（附件</w:t>
      </w:r>
      <w:r>
        <w:rPr>
          <w:rFonts w:hint="eastAsia" w:ascii="宋体" w:hAnsi="宋体" w:cs="Times New Roman"/>
          <w:color w:val="auto"/>
          <w:szCs w:val="21"/>
          <w:highlight w:val="none"/>
          <w:lang w:val="en-US" w:eastAsia="zh-CN"/>
        </w:rPr>
        <w:t>9</w:t>
      </w:r>
      <w:r>
        <w:rPr>
          <w:rFonts w:hint="eastAsia" w:ascii="宋体" w:hAnsi="宋体" w:cs="Times New Roman"/>
          <w:color w:val="auto"/>
          <w:szCs w:val="21"/>
          <w:highlight w:val="none"/>
        </w:rPr>
        <w:t>）；</w:t>
      </w:r>
    </w:p>
    <w:p>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7</w:t>
      </w:r>
      <w:r>
        <w:rPr>
          <w:rFonts w:hint="eastAsia" w:ascii="宋体" w:hAnsi="宋体" w:cs="Times New Roman"/>
          <w:color w:val="auto"/>
          <w:szCs w:val="21"/>
          <w:highlight w:val="none"/>
        </w:rPr>
        <w:t>服务承诺（附件1</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w:t>
      </w:r>
    </w:p>
    <w:p>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8</w:t>
      </w:r>
      <w:r>
        <w:rPr>
          <w:rFonts w:hint="eastAsia" w:ascii="宋体" w:hAnsi="宋体" w:cs="Times New Roman"/>
          <w:color w:val="auto"/>
          <w:szCs w:val="21"/>
          <w:highlight w:val="none"/>
        </w:rPr>
        <w:t>未尽事宜请各投标人按评分细则制作此部分，未提供格式的均自拟。</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pStyle w:val="35"/>
        <w:rPr>
          <w:rFonts w:hint="eastAsia"/>
          <w:color w:val="auto"/>
          <w:highlight w:val="none"/>
        </w:rPr>
      </w:pPr>
    </w:p>
    <w:p>
      <w:pPr>
        <w:pStyle w:val="4"/>
        <w:spacing w:line="320" w:lineRule="exact"/>
        <w:rPr>
          <w:rFonts w:hint="eastAsia" w:ascii="仿宋_GB2312" w:eastAsia="仿宋_GB2312"/>
          <w:color w:val="auto"/>
          <w:sz w:val="24"/>
          <w:highlight w:val="none"/>
        </w:rPr>
      </w:pPr>
      <w:bookmarkStart w:id="186" w:name="_Toc106029794"/>
      <w:bookmarkStart w:id="187" w:name="_Toc106347718"/>
      <w:bookmarkStart w:id="188" w:name="_Toc109311265"/>
      <w:r>
        <w:rPr>
          <w:rFonts w:hint="eastAsia" w:ascii="仿宋_GB2312" w:eastAsia="仿宋_GB2312"/>
          <w:color w:val="auto"/>
          <w:sz w:val="24"/>
          <w:highlight w:val="none"/>
        </w:rPr>
        <w:br w:type="page"/>
      </w:r>
      <w:bookmarkStart w:id="189" w:name="_Toc21984"/>
      <w:r>
        <w:rPr>
          <w:rFonts w:hint="eastAsia" w:ascii="仿宋_GB2312" w:eastAsia="仿宋_GB2312"/>
          <w:color w:val="auto"/>
          <w:sz w:val="24"/>
          <w:highlight w:val="none"/>
        </w:rPr>
        <w:t>附件</w:t>
      </w:r>
      <w:r>
        <w:rPr>
          <w:rFonts w:ascii="仿宋_GB2312" w:eastAsia="仿宋_GB2312"/>
          <w:color w:val="auto"/>
          <w:sz w:val="24"/>
          <w:highlight w:val="none"/>
        </w:rPr>
        <w:t>5</w:t>
      </w:r>
      <w:r>
        <w:rPr>
          <w:rFonts w:hint="eastAsia" w:ascii="仿宋_GB2312" w:eastAsia="仿宋_GB2312"/>
          <w:color w:val="auto"/>
          <w:sz w:val="24"/>
          <w:highlight w:val="none"/>
        </w:rPr>
        <w:t>：评分对应表</w:t>
      </w:r>
      <w:bookmarkEnd w:id="186"/>
      <w:bookmarkEnd w:id="187"/>
      <w:bookmarkEnd w:id="188"/>
      <w:bookmarkEnd w:id="189"/>
      <w:r>
        <w:rPr>
          <w:rFonts w:hint="eastAsia" w:ascii="仿宋_GB2312" w:eastAsia="仿宋_GB2312"/>
          <w:color w:val="auto"/>
          <w:sz w:val="24"/>
          <w:highlight w:val="none"/>
        </w:rPr>
        <w:t xml:space="preserve"> </w:t>
      </w:r>
    </w:p>
    <w:p>
      <w:pPr>
        <w:widowControl/>
        <w:spacing w:line="400" w:lineRule="exact"/>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评分对应表</w:t>
      </w:r>
    </w:p>
    <w:tbl>
      <w:tblPr>
        <w:tblStyle w:val="36"/>
        <w:tblW w:w="98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6"/>
        <w:gridCol w:w="2464"/>
        <w:gridCol w:w="24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101" w:type="dxa"/>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3826" w:type="dxa"/>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评分项目</w:t>
            </w:r>
          </w:p>
        </w:tc>
        <w:tc>
          <w:tcPr>
            <w:tcW w:w="2464" w:type="dxa"/>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投标文件对应资源</w:t>
            </w:r>
          </w:p>
        </w:tc>
        <w:tc>
          <w:tcPr>
            <w:tcW w:w="2464" w:type="dxa"/>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投标文件页码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101" w:type="dxa"/>
            <w:vAlign w:val="center"/>
          </w:tcPr>
          <w:p>
            <w:pPr>
              <w:jc w:val="center"/>
              <w:rPr>
                <w:rFonts w:hint="eastAsia" w:ascii="宋体" w:hAnsi="宋体"/>
                <w:bCs/>
                <w:color w:val="auto"/>
                <w:szCs w:val="21"/>
                <w:highlight w:val="none"/>
              </w:rPr>
            </w:pPr>
          </w:p>
        </w:tc>
        <w:tc>
          <w:tcPr>
            <w:tcW w:w="3826" w:type="dxa"/>
            <w:vAlign w:val="center"/>
          </w:tcPr>
          <w:p>
            <w:pPr>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 xml:space="preserve">对应第四章 </w:t>
            </w:r>
            <w:r>
              <w:rPr>
                <w:rFonts w:hint="eastAsia" w:ascii="宋体" w:hAnsi="宋体"/>
                <w:bCs/>
                <w:color w:val="auto"/>
                <w:szCs w:val="21"/>
                <w:highlight w:val="none"/>
                <w:lang w:eastAsia="zh-CN"/>
              </w:rPr>
              <w:t>评标办法及评分标准</w:t>
            </w:r>
          </w:p>
          <w:p>
            <w:pPr>
              <w:jc w:val="center"/>
              <w:rPr>
                <w:rFonts w:hint="eastAsia" w:ascii="宋体" w:hAnsi="宋体"/>
                <w:bCs/>
                <w:color w:val="auto"/>
                <w:szCs w:val="21"/>
                <w:highlight w:val="none"/>
              </w:rPr>
            </w:pPr>
            <w:r>
              <w:rPr>
                <w:rFonts w:hint="eastAsia" w:ascii="宋体" w:hAnsi="宋体"/>
                <w:bCs/>
                <w:color w:val="auto"/>
                <w:szCs w:val="21"/>
                <w:highlight w:val="none"/>
              </w:rPr>
              <w:t>（报价除外）</w:t>
            </w:r>
          </w:p>
        </w:tc>
        <w:tc>
          <w:tcPr>
            <w:tcW w:w="2464" w:type="dxa"/>
            <w:vAlign w:val="center"/>
          </w:tcPr>
          <w:p>
            <w:pPr>
              <w:jc w:val="center"/>
              <w:rPr>
                <w:rFonts w:hint="eastAsia" w:ascii="宋体" w:hAnsi="宋体"/>
                <w:bCs/>
                <w:color w:val="auto"/>
                <w:szCs w:val="21"/>
                <w:highlight w:val="none"/>
              </w:rPr>
            </w:pPr>
          </w:p>
        </w:tc>
        <w:tc>
          <w:tcPr>
            <w:tcW w:w="2464" w:type="dxa"/>
            <w:vAlign w:val="center"/>
          </w:tcPr>
          <w:p>
            <w:pPr>
              <w:jc w:val="center"/>
              <w:rPr>
                <w:rFonts w:hint="eastAsia"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101" w:type="dxa"/>
            <w:vAlign w:val="center"/>
          </w:tcPr>
          <w:p>
            <w:pPr>
              <w:jc w:val="center"/>
              <w:rPr>
                <w:rFonts w:hint="eastAsia" w:ascii="宋体" w:hAnsi="宋体"/>
                <w:bCs/>
                <w:color w:val="auto"/>
                <w:szCs w:val="21"/>
                <w:highlight w:val="none"/>
              </w:rPr>
            </w:pPr>
          </w:p>
        </w:tc>
        <w:tc>
          <w:tcPr>
            <w:tcW w:w="3826" w:type="dxa"/>
            <w:vAlign w:val="center"/>
          </w:tcPr>
          <w:p>
            <w:pPr>
              <w:jc w:val="center"/>
              <w:rPr>
                <w:rFonts w:hint="eastAsia" w:ascii="宋体" w:hAnsi="宋体"/>
                <w:bCs/>
                <w:color w:val="auto"/>
                <w:szCs w:val="21"/>
                <w:highlight w:val="none"/>
              </w:rPr>
            </w:pPr>
            <w:r>
              <w:rPr>
                <w:rFonts w:hint="eastAsia" w:ascii="宋体" w:hAnsi="宋体"/>
                <w:bCs/>
                <w:color w:val="auto"/>
                <w:szCs w:val="21"/>
                <w:highlight w:val="none"/>
              </w:rPr>
              <w:t>……</w:t>
            </w:r>
          </w:p>
        </w:tc>
        <w:tc>
          <w:tcPr>
            <w:tcW w:w="2464" w:type="dxa"/>
            <w:vAlign w:val="center"/>
          </w:tcPr>
          <w:p>
            <w:pPr>
              <w:jc w:val="center"/>
              <w:rPr>
                <w:rFonts w:hint="eastAsia" w:ascii="宋体" w:hAnsi="宋体"/>
                <w:bCs/>
                <w:color w:val="auto"/>
                <w:szCs w:val="21"/>
                <w:highlight w:val="none"/>
              </w:rPr>
            </w:pPr>
          </w:p>
        </w:tc>
        <w:tc>
          <w:tcPr>
            <w:tcW w:w="2464" w:type="dxa"/>
            <w:vAlign w:val="center"/>
          </w:tcPr>
          <w:p>
            <w:pPr>
              <w:jc w:val="center"/>
              <w:rPr>
                <w:rFonts w:hint="eastAsia"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101" w:type="dxa"/>
            <w:vAlign w:val="center"/>
          </w:tcPr>
          <w:p>
            <w:pPr>
              <w:jc w:val="center"/>
              <w:rPr>
                <w:rFonts w:hint="eastAsia" w:ascii="宋体" w:hAnsi="宋体"/>
                <w:bCs/>
                <w:color w:val="auto"/>
                <w:szCs w:val="21"/>
                <w:highlight w:val="none"/>
              </w:rPr>
            </w:pPr>
          </w:p>
        </w:tc>
        <w:tc>
          <w:tcPr>
            <w:tcW w:w="3826" w:type="dxa"/>
            <w:vAlign w:val="center"/>
          </w:tcPr>
          <w:p>
            <w:pPr>
              <w:jc w:val="center"/>
              <w:rPr>
                <w:rFonts w:hint="eastAsia" w:ascii="宋体" w:hAnsi="宋体"/>
                <w:bCs/>
                <w:color w:val="auto"/>
                <w:szCs w:val="21"/>
                <w:highlight w:val="none"/>
              </w:rPr>
            </w:pPr>
          </w:p>
        </w:tc>
        <w:tc>
          <w:tcPr>
            <w:tcW w:w="2464" w:type="dxa"/>
            <w:vAlign w:val="center"/>
          </w:tcPr>
          <w:p>
            <w:pPr>
              <w:jc w:val="center"/>
              <w:rPr>
                <w:rFonts w:hint="eastAsia" w:ascii="宋体" w:hAnsi="宋体"/>
                <w:bCs/>
                <w:color w:val="auto"/>
                <w:szCs w:val="21"/>
                <w:highlight w:val="none"/>
              </w:rPr>
            </w:pPr>
          </w:p>
        </w:tc>
        <w:tc>
          <w:tcPr>
            <w:tcW w:w="2464" w:type="dxa"/>
            <w:vAlign w:val="center"/>
          </w:tcPr>
          <w:p>
            <w:pPr>
              <w:jc w:val="center"/>
              <w:rPr>
                <w:rFonts w:hint="eastAsia"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101" w:type="dxa"/>
            <w:vAlign w:val="center"/>
          </w:tcPr>
          <w:p>
            <w:pPr>
              <w:jc w:val="center"/>
              <w:rPr>
                <w:rFonts w:hint="eastAsia" w:ascii="宋体" w:hAnsi="宋体"/>
                <w:bCs/>
                <w:color w:val="auto"/>
                <w:szCs w:val="21"/>
                <w:highlight w:val="none"/>
              </w:rPr>
            </w:pPr>
          </w:p>
        </w:tc>
        <w:tc>
          <w:tcPr>
            <w:tcW w:w="3826" w:type="dxa"/>
            <w:vAlign w:val="center"/>
          </w:tcPr>
          <w:p>
            <w:pPr>
              <w:jc w:val="center"/>
              <w:rPr>
                <w:rFonts w:hint="eastAsia" w:ascii="宋体" w:hAnsi="宋体"/>
                <w:bCs/>
                <w:color w:val="auto"/>
                <w:szCs w:val="21"/>
                <w:highlight w:val="none"/>
              </w:rPr>
            </w:pPr>
          </w:p>
        </w:tc>
        <w:tc>
          <w:tcPr>
            <w:tcW w:w="2464" w:type="dxa"/>
            <w:vAlign w:val="center"/>
          </w:tcPr>
          <w:p>
            <w:pPr>
              <w:jc w:val="center"/>
              <w:rPr>
                <w:rFonts w:hint="eastAsia" w:ascii="宋体" w:hAnsi="宋体"/>
                <w:bCs/>
                <w:color w:val="auto"/>
                <w:szCs w:val="21"/>
                <w:highlight w:val="none"/>
              </w:rPr>
            </w:pPr>
          </w:p>
        </w:tc>
        <w:tc>
          <w:tcPr>
            <w:tcW w:w="2464" w:type="dxa"/>
            <w:vAlign w:val="center"/>
          </w:tcPr>
          <w:p>
            <w:pPr>
              <w:jc w:val="center"/>
              <w:rPr>
                <w:rFonts w:hint="eastAsia"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101" w:type="dxa"/>
            <w:vAlign w:val="center"/>
          </w:tcPr>
          <w:p>
            <w:pPr>
              <w:jc w:val="center"/>
              <w:rPr>
                <w:rFonts w:hint="eastAsia" w:ascii="宋体" w:hAnsi="宋体"/>
                <w:bCs/>
                <w:color w:val="auto"/>
                <w:szCs w:val="21"/>
                <w:highlight w:val="none"/>
              </w:rPr>
            </w:pPr>
          </w:p>
        </w:tc>
        <w:tc>
          <w:tcPr>
            <w:tcW w:w="3826" w:type="dxa"/>
            <w:vAlign w:val="center"/>
          </w:tcPr>
          <w:p>
            <w:pPr>
              <w:jc w:val="center"/>
              <w:rPr>
                <w:rFonts w:hint="eastAsia" w:ascii="宋体" w:hAnsi="宋体"/>
                <w:bCs/>
                <w:color w:val="auto"/>
                <w:szCs w:val="21"/>
                <w:highlight w:val="none"/>
              </w:rPr>
            </w:pPr>
          </w:p>
        </w:tc>
        <w:tc>
          <w:tcPr>
            <w:tcW w:w="2464" w:type="dxa"/>
            <w:vAlign w:val="center"/>
          </w:tcPr>
          <w:p>
            <w:pPr>
              <w:jc w:val="center"/>
              <w:rPr>
                <w:rFonts w:hint="eastAsia" w:ascii="宋体" w:hAnsi="宋体"/>
                <w:bCs/>
                <w:color w:val="auto"/>
                <w:szCs w:val="21"/>
                <w:highlight w:val="none"/>
              </w:rPr>
            </w:pPr>
          </w:p>
        </w:tc>
        <w:tc>
          <w:tcPr>
            <w:tcW w:w="2464" w:type="dxa"/>
            <w:vAlign w:val="center"/>
          </w:tcPr>
          <w:p>
            <w:pPr>
              <w:jc w:val="center"/>
              <w:rPr>
                <w:rFonts w:hint="eastAsia" w:ascii="宋体" w:hAnsi="宋体"/>
                <w:bCs/>
                <w:color w:val="auto"/>
                <w:szCs w:val="21"/>
                <w:highlight w:val="none"/>
              </w:rPr>
            </w:pPr>
          </w:p>
        </w:tc>
      </w:tr>
    </w:tbl>
    <w:p>
      <w:pPr>
        <w:spacing w:line="480" w:lineRule="auto"/>
        <w:rPr>
          <w:rFonts w:hint="eastAsia" w:ascii="宋体" w:hAnsi="宋体"/>
          <w:bCs/>
          <w:color w:val="auto"/>
          <w:sz w:val="24"/>
          <w:szCs w:val="20"/>
          <w:highlight w:val="none"/>
        </w:rPr>
      </w:pPr>
      <w:r>
        <w:rPr>
          <w:rFonts w:hint="eastAsia" w:ascii="宋体" w:hAnsi="宋体"/>
          <w:bCs/>
          <w:color w:val="auto"/>
          <w:sz w:val="24"/>
          <w:szCs w:val="20"/>
          <w:highlight w:val="none"/>
        </w:rPr>
        <w:t>注：表格不够，可按同样格式扩展，并分别填写。</w:t>
      </w:r>
    </w:p>
    <w:p>
      <w:pPr>
        <w:spacing w:line="480" w:lineRule="auto"/>
        <w:rPr>
          <w:rFonts w:ascii="宋体" w:hAnsi="宋体"/>
          <w:b/>
          <w:color w:val="auto"/>
          <w:sz w:val="24"/>
          <w:szCs w:val="20"/>
          <w:highlight w:val="none"/>
        </w:rPr>
      </w:pPr>
    </w:p>
    <w:p>
      <w:pPr>
        <w:spacing w:line="480" w:lineRule="auto"/>
        <w:rPr>
          <w:rFonts w:ascii="宋体" w:hAnsi="宋体"/>
          <w:b/>
          <w:color w:val="auto"/>
          <w:sz w:val="24"/>
          <w:szCs w:val="20"/>
          <w:highlight w:val="none"/>
        </w:rPr>
      </w:pPr>
    </w:p>
    <w:p>
      <w:pPr>
        <w:spacing w:line="320" w:lineRule="exact"/>
        <w:ind w:firstLine="480"/>
        <w:rPr>
          <w:rFonts w:hint="eastAsia" w:ascii="宋体" w:hAnsi="宋体"/>
          <w:b/>
          <w:color w:val="auto"/>
          <w:sz w:val="24"/>
          <w:highlight w:val="none"/>
        </w:rPr>
      </w:pPr>
      <w:r>
        <w:rPr>
          <w:rFonts w:hint="eastAsia" w:ascii="宋体" w:hAnsi="宋体"/>
          <w:b/>
          <w:color w:val="auto"/>
          <w:sz w:val="24"/>
          <w:highlight w:val="none"/>
        </w:rPr>
        <w:t>投标人（公章）：</w:t>
      </w:r>
      <w:r>
        <w:rPr>
          <w:rFonts w:ascii="宋体" w:hAnsi="宋体"/>
          <w:b/>
          <w:color w:val="auto"/>
          <w:sz w:val="24"/>
          <w:highlight w:val="none"/>
        </w:rPr>
        <w:t xml:space="preserve">                   </w:t>
      </w:r>
    </w:p>
    <w:p>
      <w:pPr>
        <w:spacing w:line="320" w:lineRule="exact"/>
        <w:ind w:firstLine="480"/>
        <w:rPr>
          <w:rFonts w:hint="eastAsia" w:ascii="宋体" w:hAnsi="宋体"/>
          <w:b/>
          <w:color w:val="auto"/>
          <w:sz w:val="24"/>
          <w:highlight w:val="none"/>
        </w:rPr>
      </w:pPr>
    </w:p>
    <w:p>
      <w:pPr>
        <w:spacing w:line="320" w:lineRule="exact"/>
        <w:ind w:firstLine="480"/>
        <w:rPr>
          <w:rFonts w:ascii="宋体" w:hAnsi="宋体"/>
          <w:b/>
          <w:color w:val="auto"/>
          <w:sz w:val="24"/>
          <w:highlight w:val="none"/>
        </w:rPr>
      </w:pPr>
      <w:r>
        <w:rPr>
          <w:rFonts w:hint="eastAsia" w:ascii="宋体" w:hAnsi="宋体"/>
          <w:b/>
          <w:color w:val="auto"/>
          <w:sz w:val="24"/>
          <w:highlight w:val="none"/>
        </w:rPr>
        <w:t xml:space="preserve">法定代表人或授权代表（签字或盖章）： </w:t>
      </w:r>
    </w:p>
    <w:p>
      <w:pPr>
        <w:spacing w:line="320" w:lineRule="exact"/>
        <w:ind w:firstLine="480"/>
        <w:rPr>
          <w:rFonts w:hint="eastAsia" w:ascii="宋体" w:hAnsi="宋体"/>
          <w:b/>
          <w:color w:val="auto"/>
          <w:sz w:val="24"/>
          <w:highlight w:val="none"/>
        </w:rPr>
      </w:pPr>
    </w:p>
    <w:p>
      <w:pPr>
        <w:spacing w:line="320" w:lineRule="exact"/>
        <w:ind w:firstLine="480"/>
        <w:rPr>
          <w:rFonts w:hint="eastAsia" w:ascii="宋体" w:hAnsi="宋体"/>
          <w:b/>
          <w:color w:val="auto"/>
          <w:sz w:val="24"/>
          <w:highlight w:val="none"/>
        </w:rPr>
      </w:pPr>
      <w:r>
        <w:rPr>
          <w:rFonts w:hint="eastAsia" w:ascii="宋体" w:hAnsi="宋体"/>
          <w:b/>
          <w:color w:val="auto"/>
          <w:sz w:val="24"/>
          <w:highlight w:val="none"/>
        </w:rPr>
        <w:t>日期：  　年　</w:t>
      </w:r>
      <w:r>
        <w:rPr>
          <w:rFonts w:ascii="宋体" w:hAnsi="宋体"/>
          <w:b/>
          <w:color w:val="auto"/>
          <w:sz w:val="24"/>
          <w:highlight w:val="none"/>
        </w:rPr>
        <w:t xml:space="preserve"> </w:t>
      </w:r>
      <w:r>
        <w:rPr>
          <w:rFonts w:hint="eastAsia" w:ascii="宋体" w:hAnsi="宋体"/>
          <w:b/>
          <w:color w:val="auto"/>
          <w:sz w:val="24"/>
          <w:highlight w:val="none"/>
        </w:rPr>
        <w:t>月　</w:t>
      </w:r>
      <w:r>
        <w:rPr>
          <w:rFonts w:ascii="宋体" w:hAnsi="宋体"/>
          <w:b/>
          <w:color w:val="auto"/>
          <w:sz w:val="24"/>
          <w:highlight w:val="none"/>
        </w:rPr>
        <w:t xml:space="preserve">  </w:t>
      </w:r>
      <w:r>
        <w:rPr>
          <w:rFonts w:hint="eastAsia" w:ascii="宋体" w:hAnsi="宋体"/>
          <w:b/>
          <w:color w:val="auto"/>
          <w:sz w:val="24"/>
          <w:highlight w:val="none"/>
        </w:rPr>
        <w:t>日</w:t>
      </w:r>
    </w:p>
    <w:p>
      <w:pPr>
        <w:pStyle w:val="4"/>
        <w:spacing w:line="320" w:lineRule="exact"/>
        <w:rPr>
          <w:rFonts w:hint="eastAsia" w:ascii="仿宋_GB2312" w:eastAsia="仿宋_GB2312"/>
          <w:color w:val="auto"/>
          <w:sz w:val="24"/>
          <w:highlight w:val="none"/>
        </w:rPr>
      </w:pPr>
      <w:r>
        <w:rPr>
          <w:rFonts w:ascii="仿宋_GB2312" w:eastAsia="仿宋_GB2312"/>
          <w:color w:val="auto"/>
          <w:sz w:val="24"/>
          <w:highlight w:val="none"/>
        </w:rPr>
        <w:br w:type="page"/>
      </w:r>
      <w:bookmarkStart w:id="190" w:name="_Toc12049"/>
      <w:r>
        <w:rPr>
          <w:rFonts w:hint="eastAsia" w:ascii="仿宋_GB2312" w:eastAsia="仿宋_GB2312"/>
          <w:color w:val="auto"/>
          <w:sz w:val="24"/>
          <w:highlight w:val="none"/>
        </w:rPr>
        <w:t>附件</w:t>
      </w:r>
      <w:r>
        <w:rPr>
          <w:rFonts w:ascii="仿宋_GB2312" w:eastAsia="仿宋_GB2312"/>
          <w:color w:val="auto"/>
          <w:sz w:val="24"/>
          <w:highlight w:val="none"/>
        </w:rPr>
        <w:t>6</w:t>
      </w:r>
      <w:r>
        <w:rPr>
          <w:rFonts w:hint="eastAsia" w:ascii="仿宋_GB2312" w:eastAsia="仿宋_GB2312"/>
          <w:color w:val="auto"/>
          <w:sz w:val="24"/>
          <w:highlight w:val="none"/>
        </w:rPr>
        <w:t>： 投标人基本情况表</w:t>
      </w:r>
      <w:bookmarkEnd w:id="190"/>
    </w:p>
    <w:p>
      <w:pPr>
        <w:widowControl/>
        <w:spacing w:line="400" w:lineRule="exact"/>
        <w:jc w:val="center"/>
        <w:rPr>
          <w:rFonts w:hint="eastAsia" w:ascii="楷体_GB2312" w:eastAsia="楷体_GB2312"/>
          <w:b/>
          <w:color w:val="auto"/>
          <w:sz w:val="36"/>
          <w:szCs w:val="36"/>
          <w:highlight w:val="none"/>
        </w:rPr>
      </w:pPr>
      <w:r>
        <w:rPr>
          <w:rFonts w:hint="eastAsia" w:ascii="楷体_GB2312" w:eastAsia="楷体_GB2312"/>
          <w:b/>
          <w:color w:val="auto"/>
          <w:sz w:val="36"/>
          <w:szCs w:val="36"/>
          <w:highlight w:val="none"/>
        </w:rPr>
        <w:t>投标人基本情况表</w:t>
      </w:r>
    </w:p>
    <w:tbl>
      <w:tblPr>
        <w:tblStyle w:val="36"/>
        <w:tblW w:w="92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Align w:val="center"/>
          </w:tcPr>
          <w:p>
            <w:pPr>
              <w:spacing w:line="320" w:lineRule="exact"/>
              <w:jc w:val="center"/>
              <w:rPr>
                <w:rFonts w:ascii="宋体" w:hAnsi="宋体"/>
                <w:bCs/>
                <w:color w:val="auto"/>
                <w:szCs w:val="21"/>
                <w:highlight w:val="none"/>
              </w:rPr>
            </w:pPr>
            <w:r>
              <w:rPr>
                <w:rFonts w:hint="eastAsia" w:ascii="宋体" w:hAnsi="宋体"/>
                <w:bCs/>
                <w:color w:val="auto"/>
                <w:szCs w:val="21"/>
                <w:highlight w:val="none"/>
              </w:rPr>
              <w:t>投标人名称</w:t>
            </w:r>
          </w:p>
        </w:tc>
        <w:tc>
          <w:tcPr>
            <w:tcW w:w="7700" w:type="dxa"/>
            <w:gridSpan w:val="6"/>
            <w:vAlign w:val="center"/>
          </w:tcPr>
          <w:p>
            <w:pPr>
              <w:spacing w:line="240" w:lineRule="exac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Align w:val="center"/>
          </w:tcPr>
          <w:p>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法定代表人</w:t>
            </w:r>
          </w:p>
        </w:tc>
        <w:tc>
          <w:tcPr>
            <w:tcW w:w="1434" w:type="dxa"/>
            <w:vAlign w:val="center"/>
          </w:tcPr>
          <w:p>
            <w:pPr>
              <w:spacing w:line="240" w:lineRule="exact"/>
              <w:jc w:val="center"/>
              <w:rPr>
                <w:rFonts w:ascii="宋体" w:hAnsi="宋体"/>
                <w:bCs/>
                <w:color w:val="auto"/>
                <w:szCs w:val="21"/>
                <w:highlight w:val="none"/>
              </w:rPr>
            </w:pPr>
          </w:p>
        </w:tc>
        <w:tc>
          <w:tcPr>
            <w:tcW w:w="1423" w:type="dxa"/>
            <w:vAlign w:val="center"/>
          </w:tcPr>
          <w:p>
            <w:pPr>
              <w:spacing w:line="320" w:lineRule="exact"/>
              <w:ind w:left="-38" w:leftChars="-51" w:right="-107" w:rightChars="-51" w:hanging="69" w:hangingChars="33"/>
              <w:jc w:val="center"/>
              <w:rPr>
                <w:rFonts w:ascii="宋体" w:hAnsi="宋体"/>
                <w:bCs/>
                <w:color w:val="auto"/>
                <w:szCs w:val="21"/>
                <w:highlight w:val="none"/>
              </w:rPr>
            </w:pPr>
            <w:r>
              <w:rPr>
                <w:rFonts w:hint="eastAsia" w:ascii="宋体" w:hAnsi="宋体"/>
                <w:bCs/>
                <w:color w:val="auto"/>
                <w:szCs w:val="21"/>
                <w:highlight w:val="none"/>
              </w:rPr>
              <w:t>授权代表人</w:t>
            </w:r>
          </w:p>
        </w:tc>
        <w:tc>
          <w:tcPr>
            <w:tcW w:w="1431" w:type="dxa"/>
            <w:vAlign w:val="center"/>
          </w:tcPr>
          <w:p>
            <w:pPr>
              <w:spacing w:line="240" w:lineRule="exact"/>
              <w:jc w:val="center"/>
              <w:rPr>
                <w:rFonts w:ascii="宋体" w:hAnsi="宋体"/>
                <w:bCs/>
                <w:color w:val="auto"/>
                <w:szCs w:val="21"/>
                <w:highlight w:val="none"/>
              </w:rPr>
            </w:pPr>
          </w:p>
        </w:tc>
        <w:tc>
          <w:tcPr>
            <w:tcW w:w="1533" w:type="dxa"/>
            <w:vAlign w:val="center"/>
          </w:tcPr>
          <w:p>
            <w:pPr>
              <w:spacing w:line="320" w:lineRule="exact"/>
              <w:jc w:val="center"/>
              <w:rPr>
                <w:rFonts w:ascii="宋体" w:hAnsi="宋体"/>
                <w:bCs/>
                <w:color w:val="auto"/>
                <w:szCs w:val="21"/>
                <w:highlight w:val="none"/>
              </w:rPr>
            </w:pPr>
            <w:r>
              <w:rPr>
                <w:rFonts w:hint="eastAsia" w:ascii="宋体" w:hAnsi="宋体"/>
                <w:bCs/>
                <w:color w:val="auto"/>
                <w:szCs w:val="21"/>
                <w:highlight w:val="none"/>
              </w:rPr>
              <w:t>营业（经营）执照号码</w:t>
            </w:r>
          </w:p>
        </w:tc>
        <w:tc>
          <w:tcPr>
            <w:tcW w:w="1879" w:type="dxa"/>
            <w:gridSpan w:val="2"/>
            <w:vAlign w:val="center"/>
          </w:tcPr>
          <w:p>
            <w:pPr>
              <w:spacing w:line="240" w:lineRule="exact"/>
              <w:rPr>
                <w:rFonts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Align w:val="center"/>
          </w:tcPr>
          <w:p>
            <w:pPr>
              <w:spacing w:line="320" w:lineRule="exact"/>
              <w:jc w:val="center"/>
              <w:rPr>
                <w:rFonts w:ascii="宋体" w:hAnsi="宋体"/>
                <w:bCs/>
                <w:color w:val="auto"/>
                <w:szCs w:val="21"/>
                <w:highlight w:val="none"/>
              </w:rPr>
            </w:pPr>
            <w:r>
              <w:rPr>
                <w:rFonts w:hint="eastAsia" w:ascii="宋体" w:hAnsi="宋体"/>
                <w:bCs/>
                <w:color w:val="auto"/>
                <w:szCs w:val="21"/>
                <w:highlight w:val="none"/>
              </w:rPr>
              <w:t>职工人数</w:t>
            </w:r>
          </w:p>
        </w:tc>
        <w:tc>
          <w:tcPr>
            <w:tcW w:w="1434" w:type="dxa"/>
            <w:vAlign w:val="center"/>
          </w:tcPr>
          <w:p>
            <w:pPr>
              <w:spacing w:line="240" w:lineRule="exact"/>
              <w:jc w:val="center"/>
              <w:rPr>
                <w:rFonts w:ascii="宋体" w:hAnsi="宋体"/>
                <w:bCs/>
                <w:color w:val="auto"/>
                <w:szCs w:val="21"/>
                <w:highlight w:val="none"/>
              </w:rPr>
            </w:pPr>
          </w:p>
        </w:tc>
        <w:tc>
          <w:tcPr>
            <w:tcW w:w="1423" w:type="dxa"/>
            <w:vAlign w:val="center"/>
          </w:tcPr>
          <w:p>
            <w:pPr>
              <w:spacing w:line="320" w:lineRule="exact"/>
              <w:jc w:val="center"/>
              <w:rPr>
                <w:rFonts w:ascii="宋体" w:hAnsi="宋体"/>
                <w:bCs/>
                <w:color w:val="auto"/>
                <w:szCs w:val="21"/>
                <w:highlight w:val="none"/>
              </w:rPr>
            </w:pPr>
            <w:r>
              <w:rPr>
                <w:rFonts w:hint="eastAsia" w:ascii="宋体" w:hAnsi="宋体"/>
                <w:bCs/>
                <w:color w:val="auto"/>
                <w:szCs w:val="21"/>
                <w:highlight w:val="none"/>
              </w:rPr>
              <w:t>注册时间</w:t>
            </w:r>
          </w:p>
        </w:tc>
        <w:tc>
          <w:tcPr>
            <w:tcW w:w="1431" w:type="dxa"/>
            <w:vAlign w:val="center"/>
          </w:tcPr>
          <w:p>
            <w:pPr>
              <w:spacing w:line="240" w:lineRule="exact"/>
              <w:ind w:right="-89"/>
              <w:jc w:val="center"/>
              <w:rPr>
                <w:rFonts w:ascii="宋体" w:hAnsi="宋体"/>
                <w:bCs/>
                <w:color w:val="auto"/>
                <w:szCs w:val="21"/>
                <w:highlight w:val="none"/>
              </w:rPr>
            </w:pPr>
          </w:p>
        </w:tc>
        <w:tc>
          <w:tcPr>
            <w:tcW w:w="1533" w:type="dxa"/>
            <w:vAlign w:val="center"/>
          </w:tcPr>
          <w:p>
            <w:pPr>
              <w:spacing w:line="320" w:lineRule="exact"/>
              <w:ind w:left="-38" w:leftChars="-51" w:hanging="69" w:hangingChars="33"/>
              <w:jc w:val="center"/>
              <w:rPr>
                <w:rFonts w:ascii="宋体" w:hAnsi="宋体"/>
                <w:bCs/>
                <w:color w:val="auto"/>
                <w:szCs w:val="21"/>
                <w:highlight w:val="none"/>
              </w:rPr>
            </w:pPr>
            <w:r>
              <w:rPr>
                <w:rFonts w:hint="eastAsia" w:ascii="宋体" w:hAnsi="宋体"/>
                <w:bCs/>
                <w:color w:val="auto"/>
                <w:szCs w:val="21"/>
                <w:highlight w:val="none"/>
              </w:rPr>
              <w:t>注册资金</w:t>
            </w:r>
          </w:p>
        </w:tc>
        <w:tc>
          <w:tcPr>
            <w:tcW w:w="1879" w:type="dxa"/>
            <w:gridSpan w:val="2"/>
            <w:vAlign w:val="center"/>
          </w:tcPr>
          <w:p>
            <w:pPr>
              <w:spacing w:line="320" w:lineRule="exact"/>
              <w:rPr>
                <w:rFonts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联系人</w:t>
            </w:r>
          </w:p>
        </w:tc>
        <w:tc>
          <w:tcPr>
            <w:tcW w:w="2857" w:type="dxa"/>
            <w:gridSpan w:val="2"/>
            <w:vAlign w:val="center"/>
          </w:tcPr>
          <w:p>
            <w:pPr>
              <w:spacing w:line="240" w:lineRule="exact"/>
              <w:jc w:val="center"/>
              <w:rPr>
                <w:rFonts w:hint="eastAsia" w:ascii="宋体" w:hAnsi="宋体"/>
                <w:bCs/>
                <w:color w:val="auto"/>
                <w:szCs w:val="21"/>
                <w:highlight w:val="none"/>
              </w:rPr>
            </w:pPr>
          </w:p>
        </w:tc>
        <w:tc>
          <w:tcPr>
            <w:tcW w:w="1431" w:type="dxa"/>
            <w:vAlign w:val="center"/>
          </w:tcPr>
          <w:p>
            <w:pPr>
              <w:spacing w:line="240" w:lineRule="exact"/>
              <w:jc w:val="center"/>
              <w:rPr>
                <w:rFonts w:ascii="宋体" w:hAnsi="宋体"/>
                <w:bCs/>
                <w:color w:val="auto"/>
                <w:szCs w:val="21"/>
                <w:highlight w:val="none"/>
              </w:rPr>
            </w:pPr>
            <w:r>
              <w:rPr>
                <w:rFonts w:hint="eastAsia" w:ascii="宋体" w:hAnsi="宋体"/>
                <w:bCs/>
                <w:color w:val="auto"/>
                <w:szCs w:val="21"/>
                <w:highlight w:val="none"/>
              </w:rPr>
              <w:t>联系电话</w:t>
            </w:r>
          </w:p>
        </w:tc>
        <w:tc>
          <w:tcPr>
            <w:tcW w:w="3412" w:type="dxa"/>
            <w:gridSpan w:val="3"/>
            <w:vAlign w:val="center"/>
          </w:tcPr>
          <w:p>
            <w:pPr>
              <w:spacing w:line="240" w:lineRule="exact"/>
              <w:jc w:val="center"/>
              <w:rPr>
                <w:rFonts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地   址</w:t>
            </w:r>
          </w:p>
        </w:tc>
        <w:tc>
          <w:tcPr>
            <w:tcW w:w="7700" w:type="dxa"/>
            <w:gridSpan w:val="6"/>
            <w:vAlign w:val="center"/>
          </w:tcPr>
          <w:p>
            <w:pPr>
              <w:spacing w:line="240" w:lineRule="exact"/>
              <w:jc w:val="center"/>
              <w:rPr>
                <w:rFonts w:hint="eastAsia" w:ascii="宋体" w:hAnsi="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restart"/>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所获资质</w:t>
            </w:r>
          </w:p>
          <w:p>
            <w:pPr>
              <w:spacing w:line="320" w:lineRule="exact"/>
              <w:jc w:val="center"/>
              <w:rPr>
                <w:rFonts w:ascii="宋体" w:hAnsi="宋体"/>
                <w:color w:val="auto"/>
                <w:szCs w:val="21"/>
                <w:highlight w:val="none"/>
              </w:rPr>
            </w:pPr>
            <w:r>
              <w:rPr>
                <w:rFonts w:hint="eastAsia" w:ascii="宋体" w:hAnsi="宋体"/>
                <w:color w:val="auto"/>
                <w:szCs w:val="21"/>
                <w:highlight w:val="none"/>
              </w:rPr>
              <w:t>或认证</w:t>
            </w:r>
          </w:p>
        </w:tc>
        <w:tc>
          <w:tcPr>
            <w:tcW w:w="1434" w:type="dxa"/>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证书或证件名称及等级</w:t>
            </w:r>
          </w:p>
        </w:tc>
        <w:tc>
          <w:tcPr>
            <w:tcW w:w="2854" w:type="dxa"/>
            <w:gridSpan w:val="2"/>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颁发时间</w:t>
            </w:r>
          </w:p>
        </w:tc>
        <w:tc>
          <w:tcPr>
            <w:tcW w:w="1571" w:type="dxa"/>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continue"/>
            <w:vAlign w:val="center"/>
          </w:tcPr>
          <w:p>
            <w:pPr>
              <w:spacing w:line="240" w:lineRule="exact"/>
              <w:jc w:val="center"/>
              <w:rPr>
                <w:rFonts w:hint="eastAsia" w:ascii="宋体" w:hAnsi="宋体"/>
                <w:color w:val="auto"/>
                <w:szCs w:val="21"/>
                <w:highlight w:val="none"/>
              </w:rPr>
            </w:pPr>
          </w:p>
        </w:tc>
        <w:tc>
          <w:tcPr>
            <w:tcW w:w="1434" w:type="dxa"/>
            <w:vAlign w:val="center"/>
          </w:tcPr>
          <w:p>
            <w:pPr>
              <w:spacing w:line="240" w:lineRule="exact"/>
              <w:rPr>
                <w:rFonts w:hint="eastAsia" w:ascii="宋体" w:hAnsi="宋体"/>
                <w:color w:val="auto"/>
                <w:szCs w:val="21"/>
                <w:highlight w:val="none"/>
                <w:u w:val="single"/>
              </w:rPr>
            </w:pPr>
          </w:p>
        </w:tc>
        <w:tc>
          <w:tcPr>
            <w:tcW w:w="2854" w:type="dxa"/>
            <w:gridSpan w:val="2"/>
            <w:vAlign w:val="center"/>
          </w:tcPr>
          <w:p>
            <w:pPr>
              <w:spacing w:line="240" w:lineRule="exact"/>
              <w:rPr>
                <w:rFonts w:hint="eastAsia" w:ascii="宋体" w:hAnsi="宋体"/>
                <w:color w:val="auto"/>
                <w:szCs w:val="21"/>
                <w:highlight w:val="none"/>
                <w:u w:val="single"/>
              </w:rPr>
            </w:pPr>
          </w:p>
        </w:tc>
        <w:tc>
          <w:tcPr>
            <w:tcW w:w="1841" w:type="dxa"/>
            <w:gridSpan w:val="2"/>
            <w:vAlign w:val="center"/>
          </w:tcPr>
          <w:p>
            <w:pPr>
              <w:spacing w:line="240" w:lineRule="exact"/>
              <w:rPr>
                <w:rFonts w:hint="eastAsia" w:ascii="宋体" w:hAnsi="宋体"/>
                <w:color w:val="auto"/>
                <w:szCs w:val="21"/>
                <w:highlight w:val="none"/>
                <w:u w:val="single"/>
              </w:rPr>
            </w:pPr>
          </w:p>
        </w:tc>
        <w:tc>
          <w:tcPr>
            <w:tcW w:w="1571" w:type="dxa"/>
            <w:vAlign w:val="center"/>
          </w:tcPr>
          <w:p>
            <w:pPr>
              <w:spacing w:line="240" w:lineRule="exact"/>
              <w:rPr>
                <w:rFonts w:hint="eastAsia" w:ascii="宋体" w:hAnsi="宋体"/>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continue"/>
            <w:vAlign w:val="center"/>
          </w:tcPr>
          <w:p>
            <w:pPr>
              <w:spacing w:line="240" w:lineRule="exact"/>
              <w:jc w:val="center"/>
              <w:rPr>
                <w:rFonts w:hint="eastAsia" w:ascii="宋体" w:hAnsi="宋体"/>
                <w:color w:val="auto"/>
                <w:szCs w:val="21"/>
                <w:highlight w:val="none"/>
              </w:rPr>
            </w:pPr>
          </w:p>
        </w:tc>
        <w:tc>
          <w:tcPr>
            <w:tcW w:w="1434" w:type="dxa"/>
            <w:vAlign w:val="center"/>
          </w:tcPr>
          <w:p>
            <w:pPr>
              <w:spacing w:line="240" w:lineRule="exact"/>
              <w:rPr>
                <w:rFonts w:hint="eastAsia" w:ascii="宋体" w:hAnsi="宋体"/>
                <w:color w:val="auto"/>
                <w:szCs w:val="21"/>
                <w:highlight w:val="none"/>
                <w:u w:val="single"/>
              </w:rPr>
            </w:pPr>
          </w:p>
        </w:tc>
        <w:tc>
          <w:tcPr>
            <w:tcW w:w="2854" w:type="dxa"/>
            <w:gridSpan w:val="2"/>
            <w:vAlign w:val="center"/>
          </w:tcPr>
          <w:p>
            <w:pPr>
              <w:spacing w:line="240" w:lineRule="exact"/>
              <w:rPr>
                <w:rFonts w:hint="eastAsia" w:ascii="宋体" w:hAnsi="宋体"/>
                <w:color w:val="auto"/>
                <w:szCs w:val="21"/>
                <w:highlight w:val="none"/>
                <w:u w:val="single"/>
              </w:rPr>
            </w:pPr>
          </w:p>
        </w:tc>
        <w:tc>
          <w:tcPr>
            <w:tcW w:w="1841" w:type="dxa"/>
            <w:gridSpan w:val="2"/>
            <w:vAlign w:val="center"/>
          </w:tcPr>
          <w:p>
            <w:pPr>
              <w:spacing w:line="240" w:lineRule="exact"/>
              <w:rPr>
                <w:rFonts w:hint="eastAsia" w:ascii="宋体" w:hAnsi="宋体"/>
                <w:color w:val="auto"/>
                <w:szCs w:val="21"/>
                <w:highlight w:val="none"/>
                <w:u w:val="single"/>
              </w:rPr>
            </w:pPr>
          </w:p>
        </w:tc>
        <w:tc>
          <w:tcPr>
            <w:tcW w:w="1571" w:type="dxa"/>
            <w:vAlign w:val="center"/>
          </w:tcPr>
          <w:p>
            <w:pPr>
              <w:spacing w:line="240" w:lineRule="exact"/>
              <w:rPr>
                <w:rFonts w:hint="eastAsia" w:ascii="宋体" w:hAnsi="宋体"/>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continue"/>
            <w:vAlign w:val="center"/>
          </w:tcPr>
          <w:p>
            <w:pPr>
              <w:spacing w:line="240" w:lineRule="exact"/>
              <w:jc w:val="center"/>
              <w:rPr>
                <w:rFonts w:hint="eastAsia" w:ascii="宋体" w:hAnsi="宋体"/>
                <w:color w:val="auto"/>
                <w:szCs w:val="21"/>
                <w:highlight w:val="none"/>
              </w:rPr>
            </w:pPr>
          </w:p>
        </w:tc>
        <w:tc>
          <w:tcPr>
            <w:tcW w:w="1434" w:type="dxa"/>
            <w:vAlign w:val="center"/>
          </w:tcPr>
          <w:p>
            <w:pPr>
              <w:spacing w:line="240" w:lineRule="exact"/>
              <w:rPr>
                <w:rFonts w:hint="eastAsia" w:ascii="宋体" w:hAnsi="宋体"/>
                <w:color w:val="auto"/>
                <w:szCs w:val="21"/>
                <w:highlight w:val="none"/>
                <w:u w:val="single"/>
              </w:rPr>
            </w:pPr>
          </w:p>
        </w:tc>
        <w:tc>
          <w:tcPr>
            <w:tcW w:w="2854" w:type="dxa"/>
            <w:gridSpan w:val="2"/>
            <w:vAlign w:val="center"/>
          </w:tcPr>
          <w:p>
            <w:pPr>
              <w:spacing w:line="240" w:lineRule="exact"/>
              <w:rPr>
                <w:rFonts w:hint="eastAsia" w:ascii="宋体" w:hAnsi="宋体"/>
                <w:color w:val="auto"/>
                <w:szCs w:val="21"/>
                <w:highlight w:val="none"/>
                <w:u w:val="single"/>
              </w:rPr>
            </w:pPr>
          </w:p>
        </w:tc>
        <w:tc>
          <w:tcPr>
            <w:tcW w:w="1841" w:type="dxa"/>
            <w:gridSpan w:val="2"/>
            <w:vAlign w:val="center"/>
          </w:tcPr>
          <w:p>
            <w:pPr>
              <w:spacing w:line="240" w:lineRule="exact"/>
              <w:rPr>
                <w:rFonts w:hint="eastAsia" w:ascii="宋体" w:hAnsi="宋体"/>
                <w:color w:val="auto"/>
                <w:szCs w:val="21"/>
                <w:highlight w:val="none"/>
                <w:u w:val="single"/>
              </w:rPr>
            </w:pPr>
          </w:p>
        </w:tc>
        <w:tc>
          <w:tcPr>
            <w:tcW w:w="1571" w:type="dxa"/>
            <w:vAlign w:val="center"/>
          </w:tcPr>
          <w:p>
            <w:pPr>
              <w:spacing w:line="240" w:lineRule="exact"/>
              <w:rPr>
                <w:rFonts w:hint="eastAsia" w:ascii="宋体" w:hAnsi="宋体"/>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continue"/>
            <w:vAlign w:val="center"/>
          </w:tcPr>
          <w:p>
            <w:pPr>
              <w:spacing w:line="240" w:lineRule="exact"/>
              <w:jc w:val="center"/>
              <w:rPr>
                <w:rFonts w:hint="eastAsia" w:ascii="宋体" w:hAnsi="宋体"/>
                <w:color w:val="auto"/>
                <w:szCs w:val="21"/>
                <w:highlight w:val="none"/>
              </w:rPr>
            </w:pPr>
          </w:p>
        </w:tc>
        <w:tc>
          <w:tcPr>
            <w:tcW w:w="1434" w:type="dxa"/>
            <w:vAlign w:val="center"/>
          </w:tcPr>
          <w:p>
            <w:pPr>
              <w:spacing w:line="240" w:lineRule="exact"/>
              <w:rPr>
                <w:rFonts w:hint="eastAsia" w:ascii="宋体" w:hAnsi="宋体"/>
                <w:color w:val="auto"/>
                <w:szCs w:val="21"/>
                <w:highlight w:val="none"/>
                <w:u w:val="single"/>
              </w:rPr>
            </w:pPr>
          </w:p>
        </w:tc>
        <w:tc>
          <w:tcPr>
            <w:tcW w:w="2854" w:type="dxa"/>
            <w:gridSpan w:val="2"/>
            <w:vAlign w:val="center"/>
          </w:tcPr>
          <w:p>
            <w:pPr>
              <w:spacing w:line="240" w:lineRule="exact"/>
              <w:rPr>
                <w:rFonts w:hint="eastAsia" w:ascii="宋体" w:hAnsi="宋体"/>
                <w:color w:val="auto"/>
                <w:szCs w:val="21"/>
                <w:highlight w:val="none"/>
                <w:u w:val="single"/>
              </w:rPr>
            </w:pPr>
          </w:p>
        </w:tc>
        <w:tc>
          <w:tcPr>
            <w:tcW w:w="1841" w:type="dxa"/>
            <w:gridSpan w:val="2"/>
            <w:vAlign w:val="center"/>
          </w:tcPr>
          <w:p>
            <w:pPr>
              <w:spacing w:line="240" w:lineRule="exact"/>
              <w:rPr>
                <w:rFonts w:hint="eastAsia" w:ascii="宋体" w:hAnsi="宋体"/>
                <w:color w:val="auto"/>
                <w:szCs w:val="21"/>
                <w:highlight w:val="none"/>
                <w:u w:val="single"/>
              </w:rPr>
            </w:pPr>
          </w:p>
        </w:tc>
        <w:tc>
          <w:tcPr>
            <w:tcW w:w="1571" w:type="dxa"/>
            <w:vAlign w:val="center"/>
          </w:tcPr>
          <w:p>
            <w:pPr>
              <w:spacing w:line="240" w:lineRule="exact"/>
              <w:rPr>
                <w:rFonts w:hint="eastAsia" w:ascii="宋体" w:hAnsi="宋体"/>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restart"/>
            <w:vAlign w:val="center"/>
          </w:tcPr>
          <w:p>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所获荣誉</w:t>
            </w:r>
          </w:p>
        </w:tc>
        <w:tc>
          <w:tcPr>
            <w:tcW w:w="1434" w:type="dxa"/>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荣誉名称</w:t>
            </w:r>
          </w:p>
        </w:tc>
        <w:tc>
          <w:tcPr>
            <w:tcW w:w="2854" w:type="dxa"/>
            <w:gridSpan w:val="2"/>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颁发部门</w:t>
            </w:r>
          </w:p>
        </w:tc>
        <w:tc>
          <w:tcPr>
            <w:tcW w:w="1841" w:type="dxa"/>
            <w:gridSpan w:val="2"/>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颁发时间</w:t>
            </w:r>
          </w:p>
        </w:tc>
        <w:tc>
          <w:tcPr>
            <w:tcW w:w="1571" w:type="dxa"/>
            <w:vAlign w:val="center"/>
          </w:tcPr>
          <w:p>
            <w:pPr>
              <w:widowControl/>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有效期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continue"/>
            <w:vAlign w:val="center"/>
          </w:tcPr>
          <w:p>
            <w:pPr>
              <w:spacing w:line="240" w:lineRule="exact"/>
              <w:jc w:val="center"/>
              <w:rPr>
                <w:rFonts w:hint="eastAsia" w:ascii="宋体" w:hAnsi="宋体"/>
                <w:color w:val="auto"/>
                <w:szCs w:val="21"/>
                <w:highlight w:val="none"/>
              </w:rPr>
            </w:pPr>
          </w:p>
        </w:tc>
        <w:tc>
          <w:tcPr>
            <w:tcW w:w="1434" w:type="dxa"/>
            <w:vAlign w:val="center"/>
          </w:tcPr>
          <w:p>
            <w:pPr>
              <w:spacing w:line="240" w:lineRule="exact"/>
              <w:rPr>
                <w:rFonts w:hint="eastAsia" w:ascii="宋体" w:hAnsi="宋体"/>
                <w:color w:val="auto"/>
                <w:szCs w:val="21"/>
                <w:highlight w:val="none"/>
                <w:u w:val="single"/>
              </w:rPr>
            </w:pPr>
          </w:p>
        </w:tc>
        <w:tc>
          <w:tcPr>
            <w:tcW w:w="2854" w:type="dxa"/>
            <w:gridSpan w:val="2"/>
            <w:vAlign w:val="center"/>
          </w:tcPr>
          <w:p>
            <w:pPr>
              <w:spacing w:line="240" w:lineRule="exact"/>
              <w:rPr>
                <w:rFonts w:ascii="宋体" w:hAnsi="宋体"/>
                <w:color w:val="auto"/>
                <w:szCs w:val="21"/>
                <w:highlight w:val="none"/>
                <w:u w:val="single"/>
              </w:rPr>
            </w:pPr>
          </w:p>
        </w:tc>
        <w:tc>
          <w:tcPr>
            <w:tcW w:w="1841" w:type="dxa"/>
            <w:gridSpan w:val="2"/>
            <w:vAlign w:val="center"/>
          </w:tcPr>
          <w:p>
            <w:pPr>
              <w:spacing w:line="240" w:lineRule="exact"/>
              <w:rPr>
                <w:rFonts w:ascii="宋体" w:hAnsi="宋体"/>
                <w:color w:val="auto"/>
                <w:szCs w:val="21"/>
                <w:highlight w:val="none"/>
                <w:u w:val="single"/>
              </w:rPr>
            </w:pPr>
          </w:p>
        </w:tc>
        <w:tc>
          <w:tcPr>
            <w:tcW w:w="1571" w:type="dxa"/>
            <w:vAlign w:val="center"/>
          </w:tcPr>
          <w:p>
            <w:pPr>
              <w:spacing w:line="240" w:lineRule="exact"/>
              <w:rPr>
                <w:rFonts w:ascii="宋体" w:hAnsi="宋体"/>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continue"/>
            <w:vAlign w:val="center"/>
          </w:tcPr>
          <w:p>
            <w:pPr>
              <w:spacing w:line="240" w:lineRule="exact"/>
              <w:jc w:val="center"/>
              <w:rPr>
                <w:rFonts w:hint="eastAsia" w:ascii="宋体" w:hAnsi="宋体"/>
                <w:color w:val="auto"/>
                <w:szCs w:val="21"/>
                <w:highlight w:val="none"/>
              </w:rPr>
            </w:pPr>
          </w:p>
        </w:tc>
        <w:tc>
          <w:tcPr>
            <w:tcW w:w="1434" w:type="dxa"/>
            <w:vAlign w:val="center"/>
          </w:tcPr>
          <w:p>
            <w:pPr>
              <w:spacing w:line="240" w:lineRule="exact"/>
              <w:rPr>
                <w:rFonts w:hint="eastAsia" w:ascii="宋体" w:hAnsi="宋体"/>
                <w:color w:val="auto"/>
                <w:szCs w:val="21"/>
                <w:highlight w:val="none"/>
                <w:u w:val="single"/>
              </w:rPr>
            </w:pPr>
          </w:p>
        </w:tc>
        <w:tc>
          <w:tcPr>
            <w:tcW w:w="2854" w:type="dxa"/>
            <w:gridSpan w:val="2"/>
            <w:vAlign w:val="center"/>
          </w:tcPr>
          <w:p>
            <w:pPr>
              <w:spacing w:line="240" w:lineRule="exact"/>
              <w:rPr>
                <w:rFonts w:ascii="宋体" w:hAnsi="宋体"/>
                <w:color w:val="auto"/>
                <w:szCs w:val="21"/>
                <w:highlight w:val="none"/>
                <w:u w:val="single"/>
              </w:rPr>
            </w:pPr>
          </w:p>
        </w:tc>
        <w:tc>
          <w:tcPr>
            <w:tcW w:w="1841" w:type="dxa"/>
            <w:gridSpan w:val="2"/>
            <w:vAlign w:val="center"/>
          </w:tcPr>
          <w:p>
            <w:pPr>
              <w:spacing w:line="240" w:lineRule="exact"/>
              <w:rPr>
                <w:rFonts w:ascii="宋体" w:hAnsi="宋体"/>
                <w:color w:val="auto"/>
                <w:szCs w:val="21"/>
                <w:highlight w:val="none"/>
                <w:u w:val="single"/>
              </w:rPr>
            </w:pPr>
          </w:p>
        </w:tc>
        <w:tc>
          <w:tcPr>
            <w:tcW w:w="1571" w:type="dxa"/>
            <w:vAlign w:val="center"/>
          </w:tcPr>
          <w:p>
            <w:pPr>
              <w:spacing w:line="240" w:lineRule="exact"/>
              <w:rPr>
                <w:rFonts w:ascii="宋体" w:hAnsi="宋体"/>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43" w:type="dxa"/>
            <w:vMerge w:val="continue"/>
            <w:vAlign w:val="center"/>
          </w:tcPr>
          <w:p>
            <w:pPr>
              <w:spacing w:line="240" w:lineRule="exact"/>
              <w:jc w:val="center"/>
              <w:rPr>
                <w:rFonts w:hint="eastAsia" w:ascii="宋体" w:hAnsi="宋体"/>
                <w:color w:val="auto"/>
                <w:szCs w:val="21"/>
                <w:highlight w:val="none"/>
              </w:rPr>
            </w:pPr>
          </w:p>
        </w:tc>
        <w:tc>
          <w:tcPr>
            <w:tcW w:w="1434" w:type="dxa"/>
            <w:vAlign w:val="center"/>
          </w:tcPr>
          <w:p>
            <w:pPr>
              <w:spacing w:line="240" w:lineRule="exact"/>
              <w:rPr>
                <w:rFonts w:hint="eastAsia" w:ascii="宋体" w:hAnsi="宋体"/>
                <w:color w:val="auto"/>
                <w:szCs w:val="21"/>
                <w:highlight w:val="none"/>
                <w:u w:val="single"/>
              </w:rPr>
            </w:pPr>
          </w:p>
        </w:tc>
        <w:tc>
          <w:tcPr>
            <w:tcW w:w="2854" w:type="dxa"/>
            <w:gridSpan w:val="2"/>
            <w:vAlign w:val="center"/>
          </w:tcPr>
          <w:p>
            <w:pPr>
              <w:spacing w:line="240" w:lineRule="exact"/>
              <w:rPr>
                <w:rFonts w:ascii="宋体" w:hAnsi="宋体"/>
                <w:color w:val="auto"/>
                <w:szCs w:val="21"/>
                <w:highlight w:val="none"/>
                <w:u w:val="single"/>
              </w:rPr>
            </w:pPr>
          </w:p>
        </w:tc>
        <w:tc>
          <w:tcPr>
            <w:tcW w:w="1841" w:type="dxa"/>
            <w:gridSpan w:val="2"/>
            <w:vAlign w:val="center"/>
          </w:tcPr>
          <w:p>
            <w:pPr>
              <w:spacing w:line="240" w:lineRule="exact"/>
              <w:rPr>
                <w:rFonts w:ascii="宋体" w:hAnsi="宋体"/>
                <w:color w:val="auto"/>
                <w:szCs w:val="21"/>
                <w:highlight w:val="none"/>
                <w:u w:val="single"/>
              </w:rPr>
            </w:pPr>
          </w:p>
        </w:tc>
        <w:tc>
          <w:tcPr>
            <w:tcW w:w="1571" w:type="dxa"/>
            <w:vAlign w:val="center"/>
          </w:tcPr>
          <w:p>
            <w:pPr>
              <w:spacing w:line="240" w:lineRule="exact"/>
              <w:rPr>
                <w:rFonts w:ascii="宋体" w:hAnsi="宋体"/>
                <w:color w:val="auto"/>
                <w:szCs w:val="21"/>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1543" w:type="dxa"/>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经营范围</w:t>
            </w:r>
          </w:p>
        </w:tc>
        <w:tc>
          <w:tcPr>
            <w:tcW w:w="7700" w:type="dxa"/>
            <w:gridSpan w:val="6"/>
            <w:vAlign w:val="center"/>
          </w:tcPr>
          <w:p>
            <w:pPr>
              <w:pStyle w:val="16"/>
              <w:tabs>
                <w:tab w:val="left" w:pos="1800"/>
                <w:tab w:val="left" w:pos="1980"/>
              </w:tabs>
              <w:spacing w:line="240" w:lineRule="exact"/>
              <w:ind w:firstLine="0"/>
              <w:rPr>
                <w:rFonts w:hint="eastAsia"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543" w:type="dxa"/>
            <w:vAlign w:val="center"/>
          </w:tcPr>
          <w:p>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其他</w:t>
            </w:r>
          </w:p>
        </w:tc>
        <w:tc>
          <w:tcPr>
            <w:tcW w:w="7700" w:type="dxa"/>
            <w:gridSpan w:val="6"/>
            <w:vAlign w:val="center"/>
          </w:tcPr>
          <w:p>
            <w:pPr>
              <w:spacing w:line="240" w:lineRule="exact"/>
              <w:rPr>
                <w:rFonts w:hint="eastAsia" w:ascii="宋体" w:hAnsi="宋体"/>
                <w:bCs/>
                <w:color w:val="auto"/>
                <w:szCs w:val="21"/>
                <w:highlight w:val="none"/>
              </w:rPr>
            </w:pPr>
          </w:p>
        </w:tc>
      </w:tr>
    </w:tbl>
    <w:p>
      <w:pPr>
        <w:spacing w:line="320" w:lineRule="exact"/>
        <w:ind w:firstLine="90"/>
        <w:rPr>
          <w:rFonts w:hint="eastAsia"/>
          <w:color w:val="auto"/>
          <w:sz w:val="18"/>
          <w:szCs w:val="18"/>
          <w:highlight w:val="none"/>
        </w:rPr>
      </w:pPr>
      <w:r>
        <w:rPr>
          <w:rFonts w:hint="eastAsia"/>
          <w:color w:val="auto"/>
          <w:sz w:val="18"/>
          <w:szCs w:val="18"/>
          <w:highlight w:val="none"/>
        </w:rPr>
        <w:t>注：1、表格内容不够，可另附页。</w:t>
      </w:r>
    </w:p>
    <w:p>
      <w:pPr>
        <w:spacing w:line="320" w:lineRule="exact"/>
        <w:ind w:firstLine="435"/>
        <w:rPr>
          <w:rFonts w:hint="eastAsia"/>
          <w:color w:val="auto"/>
          <w:sz w:val="18"/>
          <w:szCs w:val="18"/>
          <w:highlight w:val="none"/>
        </w:rPr>
      </w:pPr>
      <w:r>
        <w:rPr>
          <w:rFonts w:hint="eastAsia"/>
          <w:color w:val="auto"/>
          <w:sz w:val="18"/>
          <w:szCs w:val="18"/>
          <w:highlight w:val="none"/>
        </w:rPr>
        <w:t>2、投标人各类资质证书、认证证书、资信等级、荣誉证书等复印件（盖单位公章）附后。</w:t>
      </w:r>
    </w:p>
    <w:p>
      <w:pPr>
        <w:spacing w:line="320" w:lineRule="exact"/>
        <w:rPr>
          <w:rFonts w:hint="eastAsia" w:ascii="仿宋_GB2312" w:eastAsia="仿宋_GB2312"/>
          <w:b/>
          <w:color w:val="auto"/>
          <w:sz w:val="24"/>
          <w:highlight w:val="none"/>
        </w:rPr>
      </w:pPr>
    </w:p>
    <w:p>
      <w:pPr>
        <w:spacing w:line="320" w:lineRule="exact"/>
        <w:rPr>
          <w:rFonts w:hint="eastAsia" w:ascii="仿宋_GB2312" w:eastAsia="仿宋_GB2312"/>
          <w:b/>
          <w:color w:val="auto"/>
          <w:sz w:val="24"/>
          <w:highlight w:val="none"/>
        </w:rPr>
      </w:pPr>
    </w:p>
    <w:p>
      <w:pPr>
        <w:spacing w:line="320" w:lineRule="exact"/>
        <w:rPr>
          <w:rFonts w:hint="eastAsia" w:ascii="仿宋_GB2312" w:eastAsia="仿宋_GB2312"/>
          <w:b/>
          <w:color w:val="auto"/>
          <w:sz w:val="24"/>
          <w:highlight w:val="none"/>
        </w:rPr>
      </w:pPr>
    </w:p>
    <w:p>
      <w:pPr>
        <w:spacing w:line="320" w:lineRule="exact"/>
        <w:ind w:firstLine="480"/>
        <w:rPr>
          <w:rFonts w:hint="eastAsia" w:ascii="宋体" w:hAnsi="宋体"/>
          <w:b/>
          <w:color w:val="auto"/>
          <w:sz w:val="24"/>
          <w:highlight w:val="none"/>
        </w:rPr>
      </w:pPr>
      <w:r>
        <w:rPr>
          <w:rFonts w:hint="eastAsia" w:ascii="宋体" w:hAnsi="宋体"/>
          <w:b/>
          <w:color w:val="auto"/>
          <w:sz w:val="24"/>
          <w:highlight w:val="none"/>
        </w:rPr>
        <w:t>投标人（公章）：</w:t>
      </w:r>
      <w:r>
        <w:rPr>
          <w:rFonts w:ascii="宋体" w:hAnsi="宋体"/>
          <w:b/>
          <w:color w:val="auto"/>
          <w:sz w:val="24"/>
          <w:highlight w:val="none"/>
        </w:rPr>
        <w:t xml:space="preserve">                   </w:t>
      </w:r>
    </w:p>
    <w:p>
      <w:pPr>
        <w:spacing w:line="320" w:lineRule="exact"/>
        <w:ind w:firstLine="480"/>
        <w:rPr>
          <w:rFonts w:hint="eastAsia" w:ascii="宋体" w:hAnsi="宋体"/>
          <w:b/>
          <w:color w:val="auto"/>
          <w:sz w:val="24"/>
          <w:highlight w:val="none"/>
        </w:rPr>
      </w:pPr>
    </w:p>
    <w:p>
      <w:pPr>
        <w:spacing w:line="320" w:lineRule="exact"/>
        <w:ind w:firstLine="480"/>
        <w:rPr>
          <w:rFonts w:ascii="宋体" w:hAnsi="宋体"/>
          <w:b/>
          <w:color w:val="auto"/>
          <w:sz w:val="24"/>
          <w:highlight w:val="none"/>
        </w:rPr>
      </w:pPr>
      <w:r>
        <w:rPr>
          <w:rFonts w:hint="eastAsia" w:ascii="宋体" w:hAnsi="宋体"/>
          <w:b/>
          <w:color w:val="auto"/>
          <w:sz w:val="24"/>
          <w:highlight w:val="none"/>
        </w:rPr>
        <w:t xml:space="preserve">法定代表人或授权代表（签字或盖章）： </w:t>
      </w:r>
    </w:p>
    <w:p>
      <w:pPr>
        <w:spacing w:line="320" w:lineRule="exact"/>
        <w:ind w:firstLine="480"/>
        <w:rPr>
          <w:rFonts w:hint="eastAsia" w:ascii="宋体" w:hAnsi="宋体"/>
          <w:b/>
          <w:color w:val="auto"/>
          <w:sz w:val="24"/>
          <w:highlight w:val="none"/>
        </w:rPr>
      </w:pPr>
    </w:p>
    <w:p>
      <w:pPr>
        <w:spacing w:line="320" w:lineRule="exact"/>
        <w:ind w:firstLine="480"/>
        <w:rPr>
          <w:rFonts w:ascii="宋体" w:hAnsi="宋体"/>
          <w:b/>
          <w:color w:val="auto"/>
          <w:sz w:val="24"/>
          <w:highlight w:val="none"/>
        </w:rPr>
      </w:pPr>
      <w:r>
        <w:rPr>
          <w:rFonts w:hint="eastAsia" w:ascii="宋体" w:hAnsi="宋体"/>
          <w:b/>
          <w:color w:val="auto"/>
          <w:sz w:val="24"/>
          <w:highlight w:val="none"/>
        </w:rPr>
        <w:t>日期：  　年　</w:t>
      </w:r>
      <w:r>
        <w:rPr>
          <w:rFonts w:ascii="宋体" w:hAnsi="宋体"/>
          <w:b/>
          <w:color w:val="auto"/>
          <w:sz w:val="24"/>
          <w:highlight w:val="none"/>
        </w:rPr>
        <w:t xml:space="preserve"> </w:t>
      </w:r>
      <w:r>
        <w:rPr>
          <w:rFonts w:hint="eastAsia" w:ascii="宋体" w:hAnsi="宋体"/>
          <w:b/>
          <w:color w:val="auto"/>
          <w:sz w:val="24"/>
          <w:highlight w:val="none"/>
        </w:rPr>
        <w:t>月　</w:t>
      </w:r>
      <w:r>
        <w:rPr>
          <w:rFonts w:ascii="宋体" w:hAnsi="宋体"/>
          <w:b/>
          <w:color w:val="auto"/>
          <w:sz w:val="24"/>
          <w:highlight w:val="none"/>
        </w:rPr>
        <w:t xml:space="preserve">  </w:t>
      </w:r>
      <w:r>
        <w:rPr>
          <w:rFonts w:hint="eastAsia" w:ascii="宋体" w:hAnsi="宋体"/>
          <w:b/>
          <w:color w:val="auto"/>
          <w:sz w:val="24"/>
          <w:highlight w:val="none"/>
        </w:rPr>
        <w:t>日</w:t>
      </w:r>
      <w:bookmarkEnd w:id="179"/>
      <w:bookmarkStart w:id="191" w:name="_Toc189451713"/>
      <w:bookmarkStart w:id="192" w:name="_Toc417633393"/>
      <w:bookmarkStart w:id="193" w:name="_Toc256155373"/>
      <w:bookmarkStart w:id="194" w:name="_Toc180565966"/>
      <w:bookmarkStart w:id="195" w:name="_Toc41831450"/>
      <w:bookmarkStart w:id="196" w:name="_Toc528412152"/>
      <w:bookmarkStart w:id="197" w:name="_Toc170554915"/>
      <w:bookmarkStart w:id="198" w:name="_Toc202174499"/>
      <w:bookmarkStart w:id="199" w:name="_Toc156101628"/>
      <w:bookmarkStart w:id="200" w:name="_Toc178668988"/>
      <w:bookmarkStart w:id="201" w:name="_Toc146533811"/>
    </w:p>
    <w:p>
      <w:pPr>
        <w:pStyle w:val="4"/>
        <w:spacing w:line="320" w:lineRule="exact"/>
        <w:rPr>
          <w:rFonts w:hint="eastAsia" w:ascii="仿宋_GB2312" w:eastAsia="仿宋_GB2312"/>
          <w:color w:val="auto"/>
          <w:sz w:val="24"/>
          <w:highlight w:val="none"/>
        </w:rPr>
      </w:pPr>
      <w:bookmarkStart w:id="202" w:name="_Toc18910"/>
      <w:bookmarkStart w:id="203" w:name="_Toc127468921"/>
      <w:bookmarkStart w:id="204" w:name="_Toc10213"/>
      <w:bookmarkStart w:id="205" w:name="_Toc46835040"/>
      <w:bookmarkStart w:id="206" w:name="_Toc4574604"/>
      <w:bookmarkStart w:id="207" w:name="_Toc8984420"/>
      <w:bookmarkStart w:id="208" w:name="_Toc9952767"/>
      <w:bookmarkStart w:id="209" w:name="_Toc105489197"/>
      <w:bookmarkStart w:id="210" w:name="_Toc106878687"/>
      <w:r>
        <w:rPr>
          <w:rFonts w:hint="eastAsia" w:ascii="仿宋_GB2312" w:eastAsia="仿宋_GB2312"/>
          <w:color w:val="auto"/>
          <w:sz w:val="24"/>
          <w:highlight w:val="none"/>
        </w:rPr>
        <w:t>附件7： 技术响应表</w:t>
      </w:r>
      <w:bookmarkEnd w:id="202"/>
      <w:bookmarkEnd w:id="203"/>
      <w:bookmarkEnd w:id="204"/>
      <w:bookmarkEnd w:id="205"/>
      <w:bookmarkEnd w:id="206"/>
      <w:bookmarkEnd w:id="207"/>
    </w:p>
    <w:p>
      <w:pPr>
        <w:jc w:val="center"/>
        <w:rPr>
          <w:rFonts w:ascii="宋体" w:hAnsi="宋体"/>
          <w:b/>
          <w:color w:val="auto"/>
          <w:sz w:val="28"/>
          <w:szCs w:val="28"/>
          <w:highlight w:val="none"/>
        </w:rPr>
      </w:pPr>
    </w:p>
    <w:p>
      <w:pPr>
        <w:widowControl/>
        <w:spacing w:line="400" w:lineRule="exact"/>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技术响应表</w:t>
      </w:r>
    </w:p>
    <w:tbl>
      <w:tblPr>
        <w:tblStyle w:val="36"/>
        <w:tblW w:w="97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789"/>
        <w:gridCol w:w="2168"/>
        <w:gridCol w:w="1804"/>
        <w:gridCol w:w="2107"/>
        <w:gridCol w:w="11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90" w:hRule="atLeast"/>
          <w:jc w:val="center"/>
        </w:trPr>
        <w:tc>
          <w:tcPr>
            <w:tcW w:w="4617"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bookmarkStart w:id="211" w:name="_Toc385854110"/>
            <w:bookmarkStart w:id="212" w:name="_Toc402963095"/>
            <w:bookmarkStart w:id="213" w:name="_Toc377028119"/>
            <w:bookmarkStart w:id="214" w:name="_Toc382928118"/>
            <w:bookmarkStart w:id="215" w:name="_Toc401570290"/>
            <w:bookmarkStart w:id="216" w:name="_Toc401570314"/>
            <w:bookmarkStart w:id="217" w:name="_Toc381081903"/>
            <w:bookmarkStart w:id="218" w:name="_Toc402963128"/>
            <w:bookmarkStart w:id="219" w:name="_Toc382928236"/>
            <w:bookmarkStart w:id="220" w:name="_Toc377028057"/>
            <w:bookmarkStart w:id="221" w:name="_Toc385854156"/>
            <w:bookmarkStart w:id="222" w:name="_Toc406402957"/>
            <w:bookmarkStart w:id="223" w:name="_Toc406403001"/>
            <w:bookmarkStart w:id="224" w:name="_Toc377653976"/>
            <w:r>
              <w:rPr>
                <w:rFonts w:hint="eastAsia" w:hAnsi="宋体"/>
                <w:color w:val="auto"/>
                <w:szCs w:val="21"/>
                <w:highlight w:val="none"/>
              </w:rPr>
              <w:t>招标文件要求</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c>
          <w:tcPr>
            <w:tcW w:w="3911"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bookmarkStart w:id="225" w:name="_Toc401570315"/>
            <w:bookmarkStart w:id="226" w:name="_Toc382928119"/>
            <w:bookmarkStart w:id="227" w:name="_Toc377028058"/>
            <w:bookmarkStart w:id="228" w:name="_Toc382928237"/>
            <w:bookmarkStart w:id="229" w:name="_Toc402963129"/>
            <w:bookmarkStart w:id="230" w:name="_Toc377653977"/>
            <w:bookmarkStart w:id="231" w:name="_Toc406402958"/>
            <w:bookmarkStart w:id="232" w:name="_Toc406403002"/>
            <w:bookmarkStart w:id="233" w:name="_Toc377028120"/>
            <w:bookmarkStart w:id="234" w:name="_Toc402963096"/>
            <w:bookmarkStart w:id="235" w:name="_Toc385854157"/>
            <w:bookmarkStart w:id="236" w:name="_Toc381081904"/>
            <w:bookmarkStart w:id="237" w:name="_Toc401570291"/>
            <w:bookmarkStart w:id="238" w:name="_Toc385854111"/>
            <w:r>
              <w:rPr>
                <w:rFonts w:hint="eastAsia" w:hAnsi="宋体"/>
                <w:color w:val="auto"/>
                <w:szCs w:val="21"/>
                <w:highlight w:val="none"/>
              </w:rPr>
              <w:t>投标文件响应</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tc>
        <w:tc>
          <w:tcPr>
            <w:tcW w:w="11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bookmarkStart w:id="239" w:name="_Toc402963097"/>
            <w:bookmarkStart w:id="240" w:name="_Toc377653978"/>
            <w:bookmarkStart w:id="241" w:name="_Toc401570316"/>
            <w:bookmarkStart w:id="242" w:name="_Toc382928238"/>
            <w:bookmarkStart w:id="243" w:name="_Toc401570292"/>
            <w:bookmarkStart w:id="244" w:name="_Toc377028121"/>
            <w:bookmarkStart w:id="245" w:name="_Toc381081905"/>
            <w:bookmarkStart w:id="246" w:name="_Toc385854158"/>
            <w:bookmarkStart w:id="247" w:name="_Toc382928120"/>
            <w:bookmarkStart w:id="248" w:name="_Toc406402959"/>
            <w:bookmarkStart w:id="249" w:name="_Toc385854112"/>
            <w:bookmarkStart w:id="250" w:name="_Toc377028059"/>
            <w:bookmarkStart w:id="251" w:name="_Toc402963130"/>
            <w:bookmarkStart w:id="252" w:name="_Toc406403003"/>
            <w:r>
              <w:rPr>
                <w:rFonts w:hint="eastAsia" w:hAnsi="宋体"/>
                <w:color w:val="auto"/>
                <w:szCs w:val="21"/>
                <w:highlight w:val="none"/>
              </w:rPr>
              <w:t>偏离</w:t>
            </w:r>
            <w:r>
              <w:rPr>
                <w:rFonts w:hAnsi="宋体"/>
                <w:color w:val="auto"/>
                <w:szCs w:val="21"/>
                <w:highlight w:val="none"/>
              </w:rPr>
              <w:br w:type="textWrapping"/>
            </w:r>
            <w:r>
              <w:rPr>
                <w:rFonts w:hint="eastAsia" w:hAnsi="宋体"/>
                <w:color w:val="auto"/>
                <w:szCs w:val="21"/>
                <w:highlight w:val="none"/>
              </w:rPr>
              <w:t>情况</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序号</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名称</w:t>
            </w: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bookmarkStart w:id="253" w:name="_Toc385854114"/>
            <w:bookmarkStart w:id="254" w:name="_Toc381081907"/>
            <w:bookmarkStart w:id="255" w:name="_Toc377028123"/>
            <w:bookmarkStart w:id="256" w:name="_Toc377653980"/>
            <w:bookmarkStart w:id="257" w:name="_Toc402963132"/>
            <w:bookmarkStart w:id="258" w:name="_Toc402963099"/>
            <w:bookmarkStart w:id="259" w:name="_Toc406402961"/>
            <w:bookmarkStart w:id="260" w:name="_Toc377028061"/>
            <w:bookmarkStart w:id="261" w:name="_Toc406403005"/>
            <w:bookmarkStart w:id="262" w:name="_Toc382928240"/>
            <w:bookmarkStart w:id="263" w:name="_Toc382928122"/>
            <w:bookmarkStart w:id="264" w:name="_Toc385854160"/>
            <w:bookmarkStart w:id="265" w:name="_Toc401570318"/>
            <w:bookmarkStart w:id="266" w:name="_Toc401570294"/>
            <w:r>
              <w:rPr>
                <w:rFonts w:hint="eastAsia" w:hAnsi="宋体"/>
                <w:color w:val="auto"/>
                <w:szCs w:val="21"/>
                <w:highlight w:val="none"/>
              </w:rPr>
              <w:t>要求</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r>
              <w:rPr>
                <w:rFonts w:hint="eastAsia" w:hAnsi="宋体"/>
                <w:color w:val="auto"/>
                <w:szCs w:val="21"/>
                <w:highlight w:val="none"/>
              </w:rPr>
              <w:t>品牌及规格型号</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bookmarkStart w:id="267" w:name="_Toc377653982"/>
            <w:bookmarkStart w:id="268" w:name="_Toc402963101"/>
            <w:bookmarkStart w:id="269" w:name="_Toc385854116"/>
            <w:bookmarkStart w:id="270" w:name="_Toc382928242"/>
            <w:bookmarkStart w:id="271" w:name="_Toc381081909"/>
            <w:bookmarkStart w:id="272" w:name="_Toc406403007"/>
            <w:bookmarkStart w:id="273" w:name="_Toc382928124"/>
            <w:bookmarkStart w:id="274" w:name="_Toc401570320"/>
            <w:bookmarkStart w:id="275" w:name="_Toc385854162"/>
            <w:bookmarkStart w:id="276" w:name="_Toc406402963"/>
            <w:bookmarkStart w:id="277" w:name="_Toc402963134"/>
            <w:bookmarkStart w:id="278" w:name="_Toc401570296"/>
            <w:bookmarkStart w:id="279" w:name="_Toc377028063"/>
            <w:bookmarkStart w:id="280" w:name="_Toc377028125"/>
            <w:r>
              <w:rPr>
                <w:rFonts w:hint="eastAsia" w:hAnsi="宋体"/>
                <w:color w:val="auto"/>
                <w:szCs w:val="21"/>
                <w:highlight w:val="none"/>
              </w:rPr>
              <w:t>性能及指标</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tc>
        <w:tc>
          <w:tcPr>
            <w:tcW w:w="11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2168"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Cs w:val="21"/>
                <w:highlight w:val="none"/>
              </w:rPr>
            </w:pPr>
          </w:p>
        </w:tc>
      </w:tr>
    </w:tbl>
    <w:p>
      <w:pPr>
        <w:rPr>
          <w:rFonts w:ascii="宋体" w:hAnsi="宋体" w:cs="宋体"/>
          <w:color w:val="auto"/>
          <w:kern w:val="0"/>
          <w:sz w:val="20"/>
          <w:highlight w:val="none"/>
        </w:rPr>
      </w:pPr>
      <w:r>
        <w:rPr>
          <w:rFonts w:hint="eastAsia" w:ascii="宋体" w:hAnsi="宋体" w:cs="宋体"/>
          <w:color w:val="auto"/>
          <w:kern w:val="0"/>
          <w:sz w:val="20"/>
          <w:highlight w:val="none"/>
        </w:rPr>
        <w:t>注：1、详细技术参数要求详见第二章“招标需求”，请按照“招标需求”中的技术要求逐条填写投标文件响应情况，“偏离”一栏中填写所投设备的配置与“型号、配置及技术要求”有偏离的部分，如无偏离则不填。</w:t>
      </w: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rPr>
          <w:rFonts w:ascii="宋体" w:hAnsi="宋体"/>
          <w:b/>
          <w:color w:val="auto"/>
          <w:sz w:val="24"/>
          <w:highlight w:val="none"/>
        </w:rPr>
      </w:pPr>
    </w:p>
    <w:p>
      <w:pPr>
        <w:pStyle w:val="35"/>
        <w:rPr>
          <w:rFonts w:ascii="宋体" w:hAnsi="宋体"/>
          <w:b/>
          <w:color w:val="auto"/>
          <w:sz w:val="24"/>
          <w:highlight w:val="none"/>
        </w:rPr>
      </w:pPr>
    </w:p>
    <w:p>
      <w:pPr>
        <w:pStyle w:val="35"/>
        <w:rPr>
          <w:rFonts w:ascii="宋体" w:hAnsi="宋体"/>
          <w:b/>
          <w:color w:val="auto"/>
          <w:sz w:val="24"/>
          <w:highlight w:val="none"/>
        </w:rPr>
      </w:pPr>
    </w:p>
    <w:p>
      <w:pPr>
        <w:pStyle w:val="35"/>
        <w:rPr>
          <w:rFonts w:ascii="宋体" w:hAnsi="宋体"/>
          <w:b/>
          <w:color w:val="auto"/>
          <w:sz w:val="24"/>
          <w:highlight w:val="none"/>
        </w:rPr>
      </w:pPr>
    </w:p>
    <w:p>
      <w:pPr>
        <w:pStyle w:val="35"/>
        <w:rPr>
          <w:rFonts w:ascii="宋体" w:hAnsi="宋体"/>
          <w:b/>
          <w:color w:val="auto"/>
          <w:sz w:val="24"/>
          <w:highlight w:val="none"/>
        </w:rPr>
      </w:pPr>
    </w:p>
    <w:p>
      <w:pPr>
        <w:pStyle w:val="35"/>
        <w:rPr>
          <w:rFonts w:ascii="宋体" w:hAnsi="宋体"/>
          <w:b/>
          <w:color w:val="auto"/>
          <w:sz w:val="24"/>
          <w:highlight w:val="none"/>
        </w:rPr>
      </w:pPr>
    </w:p>
    <w:p>
      <w:pPr>
        <w:pStyle w:val="35"/>
        <w:rPr>
          <w:rFonts w:ascii="宋体" w:hAnsi="宋体"/>
          <w:b/>
          <w:color w:val="auto"/>
          <w:sz w:val="24"/>
          <w:highlight w:val="none"/>
        </w:rPr>
      </w:pPr>
    </w:p>
    <w:p>
      <w:pPr>
        <w:rPr>
          <w:rFonts w:ascii="宋体" w:hAnsi="宋体"/>
          <w:b/>
          <w:color w:val="auto"/>
          <w:sz w:val="24"/>
          <w:highlight w:val="none"/>
        </w:rPr>
      </w:pPr>
    </w:p>
    <w:p>
      <w:pPr>
        <w:spacing w:line="720" w:lineRule="auto"/>
        <w:rPr>
          <w:rFonts w:ascii="宋体" w:hAnsi="宋体"/>
          <w:b/>
          <w:bCs/>
          <w:color w:val="auto"/>
          <w:sz w:val="24"/>
          <w:highlight w:val="none"/>
        </w:rPr>
      </w:pPr>
      <w:r>
        <w:rPr>
          <w:rFonts w:hint="eastAsia" w:ascii="宋体" w:hAnsi="宋体"/>
          <w:b/>
          <w:bCs/>
          <w:color w:val="auto"/>
          <w:sz w:val="24"/>
          <w:highlight w:val="none"/>
        </w:rPr>
        <w:t>投标人（公章）：</w:t>
      </w:r>
      <w:r>
        <w:rPr>
          <w:rFonts w:ascii="宋体" w:hAnsi="宋体"/>
          <w:b/>
          <w:bCs/>
          <w:color w:val="auto"/>
          <w:sz w:val="24"/>
          <w:highlight w:val="none"/>
        </w:rPr>
        <w:t xml:space="preserve">                   </w:t>
      </w:r>
    </w:p>
    <w:p>
      <w:pPr>
        <w:spacing w:line="720" w:lineRule="auto"/>
        <w:rPr>
          <w:rFonts w:ascii="宋体" w:hAnsi="宋体"/>
          <w:b/>
          <w:bCs/>
          <w:color w:val="auto"/>
          <w:sz w:val="24"/>
          <w:highlight w:val="none"/>
        </w:rPr>
      </w:pPr>
      <w:r>
        <w:rPr>
          <w:rFonts w:hint="eastAsia" w:ascii="宋体" w:hAnsi="宋体"/>
          <w:b/>
          <w:bCs/>
          <w:color w:val="auto"/>
          <w:sz w:val="24"/>
          <w:highlight w:val="none"/>
        </w:rPr>
        <w:t xml:space="preserve">法定代表人或授权代表（签字或盖章）： </w:t>
      </w:r>
    </w:p>
    <w:p>
      <w:pPr>
        <w:spacing w:line="720" w:lineRule="auto"/>
        <w:rPr>
          <w:rFonts w:ascii="宋体" w:hAnsi="宋体"/>
          <w:b/>
          <w:bCs/>
          <w:color w:val="auto"/>
          <w:sz w:val="24"/>
          <w:highlight w:val="none"/>
        </w:rPr>
      </w:pPr>
      <w:r>
        <w:rPr>
          <w:rFonts w:hint="eastAsia" w:ascii="宋体" w:hAnsi="宋体"/>
          <w:b/>
          <w:bCs/>
          <w:color w:val="auto"/>
          <w:sz w:val="24"/>
          <w:highlight w:val="none"/>
        </w:rPr>
        <w:t>日期：  　年　</w:t>
      </w:r>
      <w:r>
        <w:rPr>
          <w:rFonts w:ascii="宋体" w:hAnsi="宋体"/>
          <w:b/>
          <w:bCs/>
          <w:color w:val="auto"/>
          <w:sz w:val="24"/>
          <w:highlight w:val="none"/>
        </w:rPr>
        <w:t xml:space="preserve"> </w:t>
      </w:r>
      <w:r>
        <w:rPr>
          <w:rFonts w:hint="eastAsia" w:ascii="宋体" w:hAnsi="宋体"/>
          <w:b/>
          <w:bCs/>
          <w:color w:val="auto"/>
          <w:sz w:val="24"/>
          <w:highlight w:val="none"/>
        </w:rPr>
        <w:t>月　</w:t>
      </w:r>
      <w:r>
        <w:rPr>
          <w:rFonts w:ascii="宋体" w:hAnsi="宋体"/>
          <w:b/>
          <w:bCs/>
          <w:color w:val="auto"/>
          <w:sz w:val="24"/>
          <w:highlight w:val="none"/>
        </w:rPr>
        <w:t xml:space="preserve">  </w:t>
      </w:r>
      <w:r>
        <w:rPr>
          <w:rFonts w:hint="eastAsia" w:ascii="宋体" w:hAnsi="宋体"/>
          <w:b/>
          <w:bCs/>
          <w:color w:val="auto"/>
          <w:sz w:val="24"/>
          <w:highlight w:val="none"/>
        </w:rPr>
        <w:t>日</w:t>
      </w:r>
    </w:p>
    <w:bookmarkEnd w:id="208"/>
    <w:bookmarkEnd w:id="209"/>
    <w:bookmarkEnd w:id="210"/>
    <w:p>
      <w:pPr>
        <w:spacing w:line="320" w:lineRule="exact"/>
        <w:ind w:firstLine="480"/>
        <w:rPr>
          <w:rFonts w:ascii="宋体" w:hAnsi="宋体"/>
          <w:b/>
          <w:color w:val="auto"/>
          <w:sz w:val="24"/>
          <w:highlight w:val="none"/>
        </w:rPr>
      </w:pPr>
    </w:p>
    <w:p>
      <w:pPr>
        <w:spacing w:line="320" w:lineRule="exact"/>
        <w:rPr>
          <w:rFonts w:hint="eastAsia" w:ascii="宋体" w:hAnsi="宋体" w:eastAsia="宋体" w:cs="Times New Roman"/>
          <w:b/>
          <w:color w:val="auto"/>
          <w:sz w:val="24"/>
          <w:highlight w:val="none"/>
        </w:rPr>
      </w:pPr>
      <w:bookmarkStart w:id="281" w:name="_Toc514751922"/>
      <w:bookmarkStart w:id="282" w:name="_Toc8984421"/>
      <w:bookmarkStart w:id="283" w:name="_Toc86682863"/>
      <w:bookmarkStart w:id="284" w:name="_Toc31203"/>
      <w:bookmarkStart w:id="285" w:name="_Toc109837957"/>
    </w:p>
    <w:p>
      <w:pPr>
        <w:pStyle w:val="4"/>
        <w:numPr>
          <w:ilvl w:val="0"/>
          <w:numId w:val="0"/>
        </w:numPr>
        <w:spacing w:line="32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附件</w:t>
      </w:r>
      <w:r>
        <w:rPr>
          <w:rFonts w:hint="eastAsia" w:ascii="仿宋_GB2312" w:eastAsia="仿宋_GB2312"/>
          <w:color w:val="auto"/>
          <w:sz w:val="24"/>
          <w:szCs w:val="24"/>
          <w:highlight w:val="none"/>
          <w:lang w:val="en-US" w:eastAsia="zh-CN"/>
        </w:rPr>
        <w:t>8</w:t>
      </w:r>
      <w:r>
        <w:rPr>
          <w:rFonts w:hint="eastAsia" w:ascii="仿宋_GB2312" w:eastAsia="仿宋_GB2312"/>
          <w:color w:val="auto"/>
          <w:sz w:val="24"/>
          <w:szCs w:val="24"/>
          <w:highlight w:val="none"/>
        </w:rPr>
        <w:t>：本项目技术力量配备表</w:t>
      </w:r>
    </w:p>
    <w:p>
      <w:pPr>
        <w:keepNext/>
        <w:keepLines/>
        <w:spacing w:before="260" w:after="260" w:line="360" w:lineRule="auto"/>
        <w:jc w:val="center"/>
        <w:outlineLvl w:val="1"/>
        <w:rPr>
          <w:rFonts w:hint="eastAsia" w:eastAsia="楷体_GB2312"/>
          <w:b/>
          <w:bCs/>
          <w:color w:val="auto"/>
          <w:sz w:val="36"/>
          <w:szCs w:val="36"/>
          <w:highlight w:val="none"/>
        </w:rPr>
      </w:pPr>
      <w:r>
        <w:rPr>
          <w:rFonts w:hint="eastAsia" w:eastAsia="楷体_GB2312"/>
          <w:b/>
          <w:bCs/>
          <w:color w:val="auto"/>
          <w:sz w:val="36"/>
          <w:szCs w:val="36"/>
          <w:highlight w:val="none"/>
        </w:rPr>
        <w:t>本项目技术力量配备表</w:t>
      </w:r>
    </w:p>
    <w:tbl>
      <w:tblPr>
        <w:tblStyle w:val="36"/>
        <w:tblW w:w="9810" w:type="dxa"/>
        <w:jc w:val="center"/>
        <w:tblInd w:w="0" w:type="dxa"/>
        <w:tblLayout w:type="fixed"/>
        <w:tblCellMar>
          <w:top w:w="0" w:type="dxa"/>
          <w:left w:w="108" w:type="dxa"/>
          <w:bottom w:w="0" w:type="dxa"/>
          <w:right w:w="108" w:type="dxa"/>
        </w:tblCellMar>
      </w:tblPr>
      <w:tblGrid>
        <w:gridCol w:w="1120"/>
        <w:gridCol w:w="1660"/>
        <w:gridCol w:w="664"/>
        <w:gridCol w:w="630"/>
        <w:gridCol w:w="1420"/>
        <w:gridCol w:w="866"/>
        <w:gridCol w:w="696"/>
        <w:gridCol w:w="1279"/>
        <w:gridCol w:w="1475"/>
      </w:tblGrid>
      <w:tr>
        <w:tblPrEx>
          <w:tblLayout w:type="fixed"/>
          <w:tblCellMar>
            <w:top w:w="0" w:type="dxa"/>
            <w:left w:w="108" w:type="dxa"/>
            <w:bottom w:w="0" w:type="dxa"/>
            <w:right w:w="108" w:type="dxa"/>
          </w:tblCellMar>
        </w:tblPrEx>
        <w:trPr>
          <w:trHeight w:val="480" w:hRule="atLeast"/>
          <w:jc w:val="center"/>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姓名</w:t>
            </w:r>
          </w:p>
        </w:tc>
        <w:tc>
          <w:tcPr>
            <w:tcW w:w="166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本项目拟任岗位</w:t>
            </w:r>
          </w:p>
        </w:tc>
        <w:tc>
          <w:tcPr>
            <w:tcW w:w="66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年龄</w:t>
            </w:r>
          </w:p>
        </w:tc>
        <w:tc>
          <w:tcPr>
            <w:tcW w:w="63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性别</w:t>
            </w:r>
          </w:p>
        </w:tc>
        <w:tc>
          <w:tcPr>
            <w:tcW w:w="142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上岗资格证明</w:t>
            </w:r>
          </w:p>
        </w:tc>
        <w:tc>
          <w:tcPr>
            <w:tcW w:w="86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专业</w:t>
            </w:r>
          </w:p>
        </w:tc>
        <w:tc>
          <w:tcPr>
            <w:tcW w:w="69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宋体"/>
                <w:color w:val="auto"/>
                <w:kern w:val="0"/>
                <w:sz w:val="20"/>
                <w:highlight w:val="none"/>
              </w:rPr>
            </w:pPr>
            <w:r>
              <w:rPr>
                <w:rFonts w:hint="eastAsia" w:ascii="宋体" w:hAnsi="宋体" w:cs="宋体"/>
                <w:color w:val="auto"/>
                <w:kern w:val="0"/>
                <w:sz w:val="18"/>
                <w:szCs w:val="18"/>
                <w:highlight w:val="none"/>
              </w:rPr>
              <w:t>专业年限</w:t>
            </w:r>
          </w:p>
        </w:tc>
        <w:tc>
          <w:tcPr>
            <w:tcW w:w="127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职务和职称</w:t>
            </w:r>
          </w:p>
        </w:tc>
        <w:tc>
          <w:tcPr>
            <w:tcW w:w="147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安排上岗</w:t>
            </w:r>
          </w:p>
          <w:p>
            <w:pPr>
              <w:spacing w:line="320" w:lineRule="exact"/>
              <w:jc w:val="center"/>
              <w:rPr>
                <w:rFonts w:ascii="宋体" w:hAnsi="宋体" w:cs="宋体"/>
                <w:color w:val="auto"/>
                <w:kern w:val="0"/>
                <w:sz w:val="20"/>
                <w:highlight w:val="none"/>
              </w:rPr>
            </w:pPr>
            <w:r>
              <w:rPr>
                <w:rFonts w:hint="eastAsia" w:ascii="宋体" w:hAnsi="宋体" w:cs="宋体"/>
                <w:color w:val="auto"/>
                <w:kern w:val="0"/>
                <w:sz w:val="20"/>
                <w:highlight w:val="none"/>
              </w:rPr>
              <w:t>起止时间</w:t>
            </w: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r>
        <w:tblPrEx>
          <w:tblLayout w:type="fixed"/>
          <w:tblCellMar>
            <w:top w:w="0" w:type="dxa"/>
            <w:left w:w="108" w:type="dxa"/>
            <w:bottom w:w="0" w:type="dxa"/>
            <w:right w:w="108" w:type="dxa"/>
          </w:tblCellMar>
        </w:tblPrEx>
        <w:trPr>
          <w:trHeight w:val="510" w:hRule="atLeast"/>
          <w:jc w:val="center"/>
        </w:trPr>
        <w:tc>
          <w:tcPr>
            <w:tcW w:w="1120"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66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64"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3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20"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279"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c>
          <w:tcPr>
            <w:tcW w:w="1475" w:type="dxa"/>
            <w:tcBorders>
              <w:top w:val="nil"/>
              <w:left w:val="nil"/>
              <w:bottom w:val="single" w:color="auto" w:sz="4" w:space="0"/>
              <w:right w:val="single" w:color="auto" w:sz="4" w:space="0"/>
            </w:tcBorders>
            <w:noWrap w:val="0"/>
            <w:vAlign w:val="center"/>
          </w:tcPr>
          <w:p>
            <w:pPr>
              <w:spacing w:line="240" w:lineRule="exact"/>
              <w:jc w:val="center"/>
              <w:rPr>
                <w:rFonts w:ascii="宋体" w:hAnsi="宋体" w:cs="宋体"/>
                <w:color w:val="auto"/>
                <w:kern w:val="0"/>
                <w:sz w:val="20"/>
                <w:highlight w:val="none"/>
              </w:rPr>
            </w:pPr>
          </w:p>
        </w:tc>
      </w:tr>
    </w:tbl>
    <w:p>
      <w:pPr>
        <w:tabs>
          <w:tab w:val="left" w:pos="525"/>
        </w:tabs>
        <w:spacing w:line="380" w:lineRule="exact"/>
        <w:ind w:firstLine="420" w:firstLineChars="200"/>
        <w:rPr>
          <w:rFonts w:hint="eastAsia"/>
          <w:color w:val="auto"/>
          <w:szCs w:val="21"/>
          <w:highlight w:val="none"/>
        </w:rPr>
      </w:pPr>
      <w:r>
        <w:rPr>
          <w:rFonts w:hint="eastAsia"/>
          <w:color w:val="auto"/>
          <w:szCs w:val="21"/>
          <w:highlight w:val="none"/>
        </w:rPr>
        <w:t>注：1、表格如不够</w:t>
      </w:r>
      <w:r>
        <w:rPr>
          <w:rFonts w:hint="eastAsia"/>
          <w:color w:val="auto"/>
          <w:szCs w:val="21"/>
          <w:highlight w:val="none"/>
          <w:lang w:eastAsia="zh-CN"/>
        </w:rPr>
        <w:t>，</w:t>
      </w:r>
      <w:r>
        <w:rPr>
          <w:rFonts w:hint="eastAsia"/>
          <w:color w:val="auto"/>
          <w:szCs w:val="21"/>
          <w:highlight w:val="none"/>
        </w:rPr>
        <w:t>可按同样格式扩展。</w:t>
      </w:r>
    </w:p>
    <w:p>
      <w:pPr>
        <w:tabs>
          <w:tab w:val="left" w:pos="525"/>
        </w:tabs>
        <w:spacing w:line="380" w:lineRule="exact"/>
        <w:ind w:firstLine="840" w:firstLineChars="400"/>
        <w:rPr>
          <w:rFonts w:hint="eastAsia"/>
          <w:color w:val="auto"/>
          <w:szCs w:val="21"/>
          <w:highlight w:val="none"/>
        </w:rPr>
      </w:pPr>
      <w:r>
        <w:rPr>
          <w:rFonts w:hint="eastAsia"/>
          <w:color w:val="auto"/>
          <w:szCs w:val="21"/>
          <w:highlight w:val="none"/>
        </w:rPr>
        <w:t>2、所获职称证书复印件附后。</w:t>
      </w:r>
    </w:p>
    <w:p>
      <w:pPr>
        <w:pStyle w:val="14"/>
        <w:rPr>
          <w:rFonts w:hint="eastAsia"/>
          <w:color w:val="auto"/>
          <w:szCs w:val="21"/>
          <w:highlight w:val="none"/>
        </w:rPr>
      </w:pPr>
    </w:p>
    <w:p>
      <w:pPr>
        <w:pStyle w:val="14"/>
        <w:ind w:left="0" w:leftChars="0" w:firstLine="0" w:firstLineChars="0"/>
        <w:rPr>
          <w:rFonts w:hint="eastAsia"/>
          <w:color w:val="auto"/>
          <w:szCs w:val="21"/>
          <w:highlight w:val="none"/>
        </w:rPr>
      </w:pPr>
    </w:p>
    <w:p>
      <w:pPr>
        <w:pStyle w:val="14"/>
        <w:ind w:firstLine="0"/>
        <w:rPr>
          <w:rFonts w:hint="eastAsia"/>
          <w:color w:val="auto"/>
          <w:szCs w:val="21"/>
          <w:highlight w:val="none"/>
        </w:rPr>
      </w:pPr>
    </w:p>
    <w:p>
      <w:pPr>
        <w:spacing w:line="720" w:lineRule="auto"/>
        <w:rPr>
          <w:rFonts w:hint="eastAsia" w:ascii="宋体" w:hAnsi="宋体" w:cs="Times New Roman"/>
          <w:b/>
          <w:bCs/>
          <w:color w:val="auto"/>
          <w:sz w:val="24"/>
          <w:highlight w:val="none"/>
        </w:rPr>
      </w:pPr>
      <w:r>
        <w:rPr>
          <w:rFonts w:hint="eastAsia" w:ascii="宋体" w:hAnsi="宋体" w:cs="Times New Roman"/>
          <w:b/>
          <w:bCs/>
          <w:color w:val="auto"/>
          <w:sz w:val="24"/>
          <w:highlight w:val="none"/>
        </w:rPr>
        <w:t xml:space="preserve">投标人（公章）：                   </w:t>
      </w:r>
    </w:p>
    <w:p>
      <w:pPr>
        <w:spacing w:line="720" w:lineRule="auto"/>
        <w:rPr>
          <w:rFonts w:hint="eastAsia" w:ascii="宋体" w:hAnsi="宋体" w:cs="Times New Roman"/>
          <w:b/>
          <w:bCs/>
          <w:color w:val="auto"/>
          <w:sz w:val="24"/>
          <w:highlight w:val="none"/>
        </w:rPr>
      </w:pPr>
      <w:r>
        <w:rPr>
          <w:rFonts w:hint="eastAsia" w:ascii="宋体" w:hAnsi="宋体" w:cs="Times New Roman"/>
          <w:b/>
          <w:bCs/>
          <w:color w:val="auto"/>
          <w:sz w:val="24"/>
          <w:highlight w:val="none"/>
        </w:rPr>
        <w:t xml:space="preserve">法定代表人或授权代表（签字或盖章）： </w:t>
      </w:r>
    </w:p>
    <w:p>
      <w:pPr>
        <w:spacing w:line="720" w:lineRule="auto"/>
        <w:rPr>
          <w:rFonts w:hint="eastAsia" w:ascii="仿宋_GB2312" w:eastAsia="仿宋_GB2312"/>
          <w:color w:val="auto"/>
          <w:sz w:val="24"/>
          <w:highlight w:val="none"/>
        </w:rPr>
      </w:pPr>
      <w:r>
        <w:rPr>
          <w:rFonts w:hint="eastAsia" w:ascii="宋体" w:hAnsi="宋体" w:cs="Times New Roman"/>
          <w:b/>
          <w:bCs/>
          <w:color w:val="auto"/>
          <w:sz w:val="24"/>
          <w:highlight w:val="none"/>
        </w:rPr>
        <w:t>日期：  　年　 月　  日</w:t>
      </w:r>
    </w:p>
    <w:p>
      <w:pPr>
        <w:pStyle w:val="4"/>
        <w:spacing w:line="320" w:lineRule="exact"/>
        <w:rPr>
          <w:rFonts w:ascii="仿宋_GB2312" w:eastAsia="仿宋_GB2312"/>
          <w:color w:val="auto"/>
          <w:sz w:val="24"/>
          <w:highlight w:val="none"/>
        </w:rPr>
      </w:pPr>
      <w:r>
        <w:rPr>
          <w:rFonts w:hint="eastAsia" w:ascii="仿宋_GB2312" w:eastAsia="仿宋_GB2312"/>
          <w:color w:val="auto"/>
          <w:sz w:val="24"/>
          <w:highlight w:val="none"/>
        </w:rPr>
        <w:t>附件</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 商务响应表</w:t>
      </w:r>
      <w:bookmarkEnd w:id="281"/>
      <w:bookmarkEnd w:id="282"/>
      <w:bookmarkEnd w:id="283"/>
      <w:bookmarkEnd w:id="284"/>
      <w:bookmarkEnd w:id="285"/>
    </w:p>
    <w:p>
      <w:pPr>
        <w:widowControl/>
        <w:spacing w:line="400" w:lineRule="exact"/>
        <w:jc w:val="center"/>
        <w:rPr>
          <w:rFonts w:ascii="楷体_GB2312" w:eastAsia="楷体_GB2312"/>
          <w:b/>
          <w:color w:val="auto"/>
          <w:sz w:val="36"/>
          <w:szCs w:val="36"/>
          <w:highlight w:val="none"/>
        </w:rPr>
      </w:pPr>
    </w:p>
    <w:p>
      <w:pPr>
        <w:widowControl/>
        <w:spacing w:line="400" w:lineRule="exact"/>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商务响应表</w:t>
      </w:r>
    </w:p>
    <w:p>
      <w:pPr>
        <w:ind w:firstLine="210" w:firstLineChars="100"/>
        <w:rPr>
          <w:rFonts w:ascii="宋体" w:hAnsi="宋体"/>
          <w:color w:val="auto"/>
          <w:szCs w:val="21"/>
          <w:highlight w:val="none"/>
        </w:rPr>
      </w:pPr>
      <w:r>
        <w:rPr>
          <w:rFonts w:hint="eastAsia" w:ascii="宋体" w:hAnsi="宋体"/>
          <w:color w:val="auto"/>
          <w:szCs w:val="21"/>
          <w:highlight w:val="none"/>
        </w:rPr>
        <w:t>单位名称（盖章）：</w:t>
      </w:r>
    </w:p>
    <w:tbl>
      <w:tblPr>
        <w:tblStyle w:val="36"/>
        <w:tblW w:w="9921" w:type="dxa"/>
        <w:tblInd w:w="1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605"/>
        <w:gridCol w:w="3605"/>
        <w:gridCol w:w="1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063" w:type="dxa"/>
            <w:vAlign w:val="center"/>
          </w:tcPr>
          <w:p>
            <w:pPr>
              <w:spacing w:before="240" w:after="240"/>
              <w:jc w:val="center"/>
              <w:rPr>
                <w:rFonts w:ascii="宋体" w:hAnsi="宋体"/>
                <w:color w:val="auto"/>
                <w:szCs w:val="21"/>
                <w:highlight w:val="none"/>
              </w:rPr>
            </w:pPr>
            <w:r>
              <w:rPr>
                <w:rFonts w:hint="eastAsia" w:ascii="宋体" w:hAnsi="宋体"/>
                <w:color w:val="auto"/>
                <w:szCs w:val="21"/>
                <w:highlight w:val="none"/>
              </w:rPr>
              <w:t>序号</w:t>
            </w:r>
          </w:p>
        </w:tc>
        <w:tc>
          <w:tcPr>
            <w:tcW w:w="3605" w:type="dxa"/>
            <w:vAlign w:val="center"/>
          </w:tcPr>
          <w:p>
            <w:pPr>
              <w:spacing w:before="240" w:after="240"/>
              <w:jc w:val="center"/>
              <w:rPr>
                <w:rFonts w:ascii="宋体" w:hAnsi="宋体"/>
                <w:color w:val="auto"/>
                <w:szCs w:val="21"/>
                <w:highlight w:val="none"/>
              </w:rPr>
            </w:pPr>
            <w:r>
              <w:rPr>
                <w:rFonts w:hint="eastAsia" w:ascii="宋体" w:hAnsi="宋体"/>
                <w:color w:val="auto"/>
                <w:szCs w:val="21"/>
                <w:highlight w:val="none"/>
              </w:rPr>
              <w:t>招标文件的规定</w:t>
            </w:r>
          </w:p>
        </w:tc>
        <w:tc>
          <w:tcPr>
            <w:tcW w:w="3605" w:type="dxa"/>
            <w:vAlign w:val="center"/>
          </w:tcPr>
          <w:p>
            <w:pPr>
              <w:spacing w:before="240" w:after="240"/>
              <w:jc w:val="center"/>
              <w:rPr>
                <w:rFonts w:ascii="宋体" w:hAnsi="宋体"/>
                <w:color w:val="auto"/>
                <w:szCs w:val="21"/>
                <w:highlight w:val="none"/>
              </w:rPr>
            </w:pPr>
            <w:r>
              <w:rPr>
                <w:rFonts w:hint="eastAsia" w:ascii="宋体" w:hAnsi="宋体"/>
                <w:color w:val="auto"/>
                <w:szCs w:val="21"/>
                <w:highlight w:val="none"/>
              </w:rPr>
              <w:t>投标文件的响应</w:t>
            </w:r>
          </w:p>
        </w:tc>
        <w:tc>
          <w:tcPr>
            <w:tcW w:w="1648" w:type="dxa"/>
            <w:vAlign w:val="center"/>
          </w:tcPr>
          <w:p>
            <w:pPr>
              <w:spacing w:before="240" w:after="240"/>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063" w:type="dxa"/>
            <w:vAlign w:val="center"/>
          </w:tcPr>
          <w:p>
            <w:pPr>
              <w:spacing w:before="240" w:after="240"/>
              <w:jc w:val="center"/>
              <w:rPr>
                <w:rFonts w:ascii="宋体" w:hAnsi="宋体"/>
                <w:color w:val="auto"/>
                <w:szCs w:val="21"/>
                <w:highlight w:val="none"/>
              </w:rPr>
            </w:pPr>
          </w:p>
        </w:tc>
        <w:tc>
          <w:tcPr>
            <w:tcW w:w="3605" w:type="dxa"/>
            <w:vAlign w:val="center"/>
          </w:tcPr>
          <w:p>
            <w:pPr>
              <w:spacing w:before="240" w:after="240"/>
              <w:jc w:val="center"/>
              <w:rPr>
                <w:rFonts w:ascii="宋体" w:hAnsi="宋体"/>
                <w:color w:val="auto"/>
                <w:szCs w:val="21"/>
                <w:highlight w:val="none"/>
              </w:rPr>
            </w:pPr>
          </w:p>
        </w:tc>
        <w:tc>
          <w:tcPr>
            <w:tcW w:w="3605" w:type="dxa"/>
            <w:vAlign w:val="center"/>
          </w:tcPr>
          <w:p>
            <w:pPr>
              <w:spacing w:before="240" w:after="240"/>
              <w:jc w:val="center"/>
              <w:rPr>
                <w:rFonts w:ascii="宋体" w:hAnsi="宋体"/>
                <w:color w:val="auto"/>
                <w:szCs w:val="21"/>
                <w:highlight w:val="none"/>
              </w:rPr>
            </w:pPr>
          </w:p>
        </w:tc>
        <w:tc>
          <w:tcPr>
            <w:tcW w:w="1648" w:type="dxa"/>
            <w:vAlign w:val="center"/>
          </w:tcPr>
          <w:p>
            <w:pPr>
              <w:spacing w:before="240" w:after="24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063" w:type="dxa"/>
            <w:vAlign w:val="center"/>
          </w:tcPr>
          <w:p>
            <w:pPr>
              <w:spacing w:before="240" w:after="240"/>
              <w:jc w:val="center"/>
              <w:rPr>
                <w:rFonts w:ascii="宋体" w:hAnsi="宋体"/>
                <w:color w:val="auto"/>
                <w:szCs w:val="21"/>
                <w:highlight w:val="none"/>
              </w:rPr>
            </w:pPr>
          </w:p>
        </w:tc>
        <w:tc>
          <w:tcPr>
            <w:tcW w:w="3605" w:type="dxa"/>
            <w:vAlign w:val="center"/>
          </w:tcPr>
          <w:p>
            <w:pPr>
              <w:spacing w:before="240" w:after="240"/>
              <w:jc w:val="center"/>
              <w:rPr>
                <w:rFonts w:ascii="宋体" w:hAnsi="宋体"/>
                <w:color w:val="auto"/>
                <w:szCs w:val="21"/>
                <w:highlight w:val="none"/>
              </w:rPr>
            </w:pPr>
          </w:p>
        </w:tc>
        <w:tc>
          <w:tcPr>
            <w:tcW w:w="3605" w:type="dxa"/>
            <w:vAlign w:val="center"/>
          </w:tcPr>
          <w:p>
            <w:pPr>
              <w:spacing w:before="240" w:after="240"/>
              <w:jc w:val="center"/>
              <w:rPr>
                <w:rFonts w:ascii="宋体" w:hAnsi="宋体"/>
                <w:color w:val="auto"/>
                <w:szCs w:val="21"/>
                <w:highlight w:val="none"/>
              </w:rPr>
            </w:pPr>
          </w:p>
        </w:tc>
        <w:tc>
          <w:tcPr>
            <w:tcW w:w="1648" w:type="dxa"/>
            <w:vAlign w:val="center"/>
          </w:tcPr>
          <w:p>
            <w:pPr>
              <w:spacing w:before="240" w:after="24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1063" w:type="dxa"/>
            <w:vAlign w:val="center"/>
          </w:tcPr>
          <w:p>
            <w:pPr>
              <w:spacing w:before="240" w:after="240"/>
              <w:jc w:val="center"/>
              <w:rPr>
                <w:rFonts w:ascii="宋体" w:hAnsi="宋体"/>
                <w:color w:val="auto"/>
                <w:szCs w:val="21"/>
                <w:highlight w:val="none"/>
              </w:rPr>
            </w:pPr>
          </w:p>
        </w:tc>
        <w:tc>
          <w:tcPr>
            <w:tcW w:w="3605" w:type="dxa"/>
            <w:vAlign w:val="center"/>
          </w:tcPr>
          <w:p>
            <w:pPr>
              <w:spacing w:before="240" w:after="240"/>
              <w:jc w:val="center"/>
              <w:rPr>
                <w:rFonts w:ascii="宋体" w:hAnsi="宋体"/>
                <w:color w:val="auto"/>
                <w:szCs w:val="21"/>
                <w:highlight w:val="none"/>
              </w:rPr>
            </w:pPr>
          </w:p>
        </w:tc>
        <w:tc>
          <w:tcPr>
            <w:tcW w:w="3605" w:type="dxa"/>
            <w:vAlign w:val="center"/>
          </w:tcPr>
          <w:p>
            <w:pPr>
              <w:spacing w:before="240" w:after="240"/>
              <w:jc w:val="center"/>
              <w:rPr>
                <w:rFonts w:ascii="宋体" w:hAnsi="宋体"/>
                <w:color w:val="auto"/>
                <w:szCs w:val="21"/>
                <w:highlight w:val="none"/>
              </w:rPr>
            </w:pPr>
          </w:p>
        </w:tc>
        <w:tc>
          <w:tcPr>
            <w:tcW w:w="1648" w:type="dxa"/>
            <w:vAlign w:val="center"/>
          </w:tcPr>
          <w:p>
            <w:pPr>
              <w:spacing w:before="240" w:after="240"/>
              <w:jc w:val="center"/>
              <w:rPr>
                <w:rFonts w:ascii="宋体" w:hAnsi="宋体"/>
                <w:color w:val="auto"/>
                <w:szCs w:val="21"/>
                <w:highlight w:val="none"/>
              </w:rPr>
            </w:pPr>
          </w:p>
        </w:tc>
      </w:tr>
    </w:tbl>
    <w:p>
      <w:pPr>
        <w:rPr>
          <w:rFonts w:ascii="宋体" w:hAnsi="宋体" w:cs="宋体"/>
          <w:color w:val="auto"/>
          <w:kern w:val="0"/>
          <w:sz w:val="20"/>
          <w:highlight w:val="none"/>
        </w:rPr>
      </w:pPr>
      <w:bookmarkStart w:id="286" w:name="_Hlk92235887"/>
      <w:r>
        <w:rPr>
          <w:rFonts w:hint="eastAsia" w:ascii="宋体" w:hAnsi="宋体" w:cs="宋体"/>
          <w:color w:val="auto"/>
          <w:kern w:val="0"/>
          <w:sz w:val="20"/>
          <w:highlight w:val="none"/>
        </w:rPr>
        <w:t>注：投标人的投标文件（除技术部分）与招标文件之规定存在偏离的，应在此表中如实说明。未在上表中说明的，将被认为完全响应招标文件的规定。</w:t>
      </w:r>
    </w:p>
    <w:p>
      <w:pPr>
        <w:spacing w:line="340" w:lineRule="exact"/>
        <w:rPr>
          <w:rFonts w:ascii="宋体" w:hAnsi="宋体"/>
          <w:b/>
          <w:color w:val="auto"/>
          <w:sz w:val="24"/>
          <w:highlight w:val="none"/>
        </w:rPr>
      </w:pPr>
    </w:p>
    <w:p>
      <w:pPr>
        <w:spacing w:line="340" w:lineRule="exact"/>
        <w:rPr>
          <w:rFonts w:ascii="宋体" w:hAnsi="宋体"/>
          <w:b/>
          <w:color w:val="auto"/>
          <w:sz w:val="24"/>
          <w:highlight w:val="none"/>
        </w:rPr>
      </w:pPr>
    </w:p>
    <w:p>
      <w:pPr>
        <w:spacing w:line="340" w:lineRule="exact"/>
        <w:rPr>
          <w:rFonts w:ascii="宋体" w:hAnsi="宋体"/>
          <w:b/>
          <w:color w:val="auto"/>
          <w:sz w:val="24"/>
          <w:highlight w:val="none"/>
        </w:rPr>
      </w:pPr>
    </w:p>
    <w:p>
      <w:pPr>
        <w:spacing w:line="340" w:lineRule="exact"/>
        <w:rPr>
          <w:rFonts w:ascii="宋体" w:hAnsi="宋体"/>
          <w:b/>
          <w:color w:val="auto"/>
          <w:sz w:val="24"/>
          <w:highlight w:val="none"/>
        </w:rPr>
      </w:pPr>
    </w:p>
    <w:p>
      <w:pPr>
        <w:pStyle w:val="35"/>
        <w:rPr>
          <w:rFonts w:ascii="宋体" w:hAnsi="宋体"/>
          <w:b/>
          <w:color w:val="auto"/>
          <w:sz w:val="24"/>
          <w:highlight w:val="none"/>
        </w:rPr>
      </w:pPr>
    </w:p>
    <w:p>
      <w:pPr>
        <w:pStyle w:val="35"/>
        <w:rPr>
          <w:rFonts w:ascii="宋体" w:hAnsi="宋体"/>
          <w:b/>
          <w:color w:val="auto"/>
          <w:sz w:val="24"/>
          <w:highlight w:val="none"/>
        </w:rPr>
      </w:pPr>
    </w:p>
    <w:p>
      <w:pPr>
        <w:pStyle w:val="35"/>
        <w:rPr>
          <w:rFonts w:ascii="宋体" w:hAnsi="宋体"/>
          <w:b/>
          <w:color w:val="auto"/>
          <w:sz w:val="24"/>
          <w:highlight w:val="none"/>
        </w:rPr>
      </w:pPr>
    </w:p>
    <w:p>
      <w:pPr>
        <w:pStyle w:val="35"/>
        <w:rPr>
          <w:rFonts w:ascii="宋体" w:hAnsi="宋体"/>
          <w:b/>
          <w:color w:val="auto"/>
          <w:sz w:val="24"/>
          <w:highlight w:val="none"/>
        </w:rPr>
      </w:pPr>
    </w:p>
    <w:p>
      <w:pPr>
        <w:spacing w:line="340" w:lineRule="exact"/>
        <w:rPr>
          <w:rFonts w:ascii="宋体" w:hAnsi="宋体"/>
          <w:b/>
          <w:color w:val="auto"/>
          <w:sz w:val="24"/>
          <w:highlight w:val="none"/>
        </w:rPr>
      </w:pPr>
    </w:p>
    <w:p>
      <w:pPr>
        <w:spacing w:line="720" w:lineRule="auto"/>
        <w:rPr>
          <w:rFonts w:ascii="宋体" w:hAnsi="宋体"/>
          <w:b/>
          <w:color w:val="auto"/>
          <w:sz w:val="24"/>
          <w:highlight w:val="none"/>
        </w:rPr>
      </w:pPr>
      <w:r>
        <w:rPr>
          <w:rFonts w:hint="eastAsia" w:ascii="宋体" w:hAnsi="宋体"/>
          <w:b/>
          <w:color w:val="auto"/>
          <w:sz w:val="24"/>
          <w:highlight w:val="none"/>
        </w:rPr>
        <w:t>投标人（公章）：</w:t>
      </w:r>
      <w:r>
        <w:rPr>
          <w:rFonts w:ascii="宋体" w:hAnsi="宋体"/>
          <w:b/>
          <w:color w:val="auto"/>
          <w:sz w:val="24"/>
          <w:highlight w:val="none"/>
        </w:rPr>
        <w:t xml:space="preserve">                   </w:t>
      </w:r>
    </w:p>
    <w:p>
      <w:pPr>
        <w:spacing w:line="720" w:lineRule="auto"/>
        <w:rPr>
          <w:rFonts w:ascii="宋体" w:hAnsi="宋体"/>
          <w:color w:val="auto"/>
          <w:sz w:val="24"/>
          <w:highlight w:val="none"/>
        </w:rPr>
      </w:pPr>
      <w:r>
        <w:rPr>
          <w:rFonts w:hint="eastAsia" w:ascii="宋体" w:hAnsi="宋体"/>
          <w:b/>
          <w:color w:val="auto"/>
          <w:sz w:val="24"/>
          <w:highlight w:val="none"/>
        </w:rPr>
        <w:t xml:space="preserve">法定代表人或授权代表（签字或盖章）： </w:t>
      </w:r>
    </w:p>
    <w:p>
      <w:pPr>
        <w:spacing w:line="320" w:lineRule="exact"/>
        <w:rPr>
          <w:rFonts w:hint="eastAsia" w:ascii="宋体" w:hAnsi="宋体"/>
          <w:b/>
          <w:color w:val="auto"/>
          <w:sz w:val="24"/>
          <w:highlight w:val="none"/>
        </w:rPr>
      </w:pPr>
      <w:r>
        <w:rPr>
          <w:rFonts w:hint="eastAsia" w:ascii="宋体" w:hAnsi="宋体"/>
          <w:b/>
          <w:color w:val="auto"/>
          <w:sz w:val="24"/>
          <w:highlight w:val="none"/>
        </w:rPr>
        <w:t>日期：  　年　</w:t>
      </w:r>
      <w:r>
        <w:rPr>
          <w:rFonts w:ascii="宋体" w:hAnsi="宋体"/>
          <w:b/>
          <w:color w:val="auto"/>
          <w:sz w:val="24"/>
          <w:highlight w:val="none"/>
        </w:rPr>
        <w:t xml:space="preserve"> </w:t>
      </w:r>
      <w:r>
        <w:rPr>
          <w:rFonts w:hint="eastAsia" w:ascii="宋体" w:hAnsi="宋体"/>
          <w:b/>
          <w:color w:val="auto"/>
          <w:sz w:val="24"/>
          <w:highlight w:val="none"/>
        </w:rPr>
        <w:t>月　</w:t>
      </w:r>
      <w:r>
        <w:rPr>
          <w:rFonts w:ascii="宋体" w:hAnsi="宋体"/>
          <w:b/>
          <w:color w:val="auto"/>
          <w:sz w:val="24"/>
          <w:highlight w:val="none"/>
        </w:rPr>
        <w:t xml:space="preserve">  </w:t>
      </w:r>
      <w:r>
        <w:rPr>
          <w:rFonts w:hint="eastAsia" w:ascii="宋体" w:hAnsi="宋体"/>
          <w:b/>
          <w:color w:val="auto"/>
          <w:sz w:val="24"/>
          <w:highlight w:val="none"/>
        </w:rPr>
        <w:t>日</w:t>
      </w:r>
    </w:p>
    <w:bookmarkEnd w:id="286"/>
    <w:p>
      <w:pPr>
        <w:spacing w:line="320" w:lineRule="exact"/>
        <w:ind w:firstLine="480"/>
        <w:rPr>
          <w:rFonts w:ascii="宋体" w:hAnsi="宋体"/>
          <w:b/>
          <w:color w:val="auto"/>
          <w:sz w:val="24"/>
          <w:highlight w:val="none"/>
        </w:rPr>
      </w:pPr>
    </w:p>
    <w:p>
      <w:pPr>
        <w:spacing w:line="320" w:lineRule="exact"/>
        <w:ind w:firstLine="480"/>
        <w:rPr>
          <w:rFonts w:ascii="宋体" w:hAnsi="宋体"/>
          <w:b/>
          <w:color w:val="auto"/>
          <w:sz w:val="24"/>
          <w:highlight w:val="none"/>
        </w:rPr>
      </w:pPr>
    </w:p>
    <w:bookmarkEnd w:id="191"/>
    <w:bookmarkEnd w:id="192"/>
    <w:bookmarkEnd w:id="193"/>
    <w:bookmarkEnd w:id="194"/>
    <w:bookmarkEnd w:id="195"/>
    <w:bookmarkEnd w:id="196"/>
    <w:bookmarkEnd w:id="197"/>
    <w:bookmarkEnd w:id="198"/>
    <w:p>
      <w:pPr>
        <w:pStyle w:val="4"/>
        <w:spacing w:line="320" w:lineRule="exact"/>
        <w:rPr>
          <w:rFonts w:hint="eastAsia" w:ascii="仿宋_GB2312" w:eastAsia="仿宋_GB2312"/>
          <w:color w:val="auto"/>
          <w:sz w:val="24"/>
          <w:highlight w:val="none"/>
        </w:rPr>
      </w:pPr>
      <w:bookmarkStart w:id="287" w:name="_Toc202174500"/>
      <w:bookmarkStart w:id="288" w:name="_Toc256155374"/>
      <w:bookmarkStart w:id="289" w:name="_Toc417633394"/>
      <w:r>
        <w:rPr>
          <w:rFonts w:hint="eastAsia" w:ascii="仿宋_GB2312" w:eastAsia="仿宋_GB2312"/>
          <w:color w:val="auto"/>
          <w:sz w:val="24"/>
          <w:highlight w:val="none"/>
        </w:rPr>
        <w:br w:type="page"/>
      </w:r>
      <w:bookmarkStart w:id="290" w:name="_Toc21612"/>
      <w:r>
        <w:rPr>
          <w:rFonts w:hint="eastAsia" w:ascii="仿宋_GB2312" w:eastAsia="仿宋_GB2312"/>
          <w:color w:val="auto"/>
          <w:sz w:val="24"/>
          <w:highlight w:val="none"/>
        </w:rPr>
        <w:t>附件</w:t>
      </w:r>
      <w:r>
        <w:rPr>
          <w:rFonts w:ascii="仿宋_GB2312" w:eastAsia="仿宋_GB2312"/>
          <w:color w:val="auto"/>
          <w:sz w:val="24"/>
          <w:highlight w:val="none"/>
        </w:rPr>
        <w:t>1</w:t>
      </w:r>
      <w:r>
        <w:rPr>
          <w:rFonts w:hint="eastAsia" w:ascii="仿宋_GB2312" w:eastAsia="仿宋_GB2312"/>
          <w:color w:val="auto"/>
          <w:sz w:val="24"/>
          <w:highlight w:val="none"/>
          <w:lang w:val="en-US" w:eastAsia="zh-CN"/>
        </w:rPr>
        <w:t>0</w:t>
      </w:r>
      <w:r>
        <w:rPr>
          <w:rFonts w:hint="eastAsia" w:ascii="仿宋_GB2312" w:eastAsia="仿宋_GB2312"/>
          <w:color w:val="auto"/>
          <w:sz w:val="24"/>
          <w:highlight w:val="none"/>
        </w:rPr>
        <w:t>： 服务</w:t>
      </w:r>
      <w:bookmarkEnd w:id="199"/>
      <w:r>
        <w:rPr>
          <w:rFonts w:hint="eastAsia" w:ascii="仿宋_GB2312" w:eastAsia="仿宋_GB2312"/>
          <w:color w:val="auto"/>
          <w:sz w:val="24"/>
          <w:highlight w:val="none"/>
        </w:rPr>
        <w:t>承诺</w:t>
      </w:r>
      <w:bookmarkEnd w:id="200"/>
      <w:bookmarkEnd w:id="287"/>
      <w:bookmarkEnd w:id="288"/>
      <w:bookmarkEnd w:id="289"/>
      <w:bookmarkEnd w:id="290"/>
    </w:p>
    <w:bookmarkEnd w:id="201"/>
    <w:p>
      <w:pPr>
        <w:jc w:val="center"/>
        <w:rPr>
          <w:rFonts w:hint="eastAsia" w:eastAsia="楷体_GB2312"/>
          <w:b/>
          <w:bCs/>
          <w:color w:val="auto"/>
          <w:sz w:val="36"/>
          <w:szCs w:val="36"/>
          <w:highlight w:val="none"/>
        </w:rPr>
      </w:pPr>
      <w:r>
        <w:rPr>
          <w:rFonts w:hint="eastAsia" w:eastAsia="楷体_GB2312"/>
          <w:b/>
          <w:bCs/>
          <w:color w:val="auto"/>
          <w:sz w:val="36"/>
          <w:szCs w:val="36"/>
          <w:highlight w:val="none"/>
        </w:rPr>
        <w:t>服务承诺</w:t>
      </w:r>
    </w:p>
    <w:p>
      <w:pPr>
        <w:numPr>
          <w:ilvl w:val="0"/>
          <w:numId w:val="4"/>
        </w:numPr>
        <w:tabs>
          <w:tab w:val="left" w:pos="525"/>
        </w:tabs>
        <w:spacing w:line="380" w:lineRule="exact"/>
        <w:ind w:firstLine="420" w:firstLineChars="200"/>
        <w:rPr>
          <w:rFonts w:hint="eastAsia"/>
          <w:color w:val="auto"/>
          <w:szCs w:val="21"/>
          <w:highlight w:val="none"/>
        </w:rPr>
      </w:pPr>
      <w:r>
        <w:rPr>
          <w:rFonts w:hint="eastAsia"/>
          <w:color w:val="auto"/>
          <w:szCs w:val="21"/>
          <w:highlight w:val="none"/>
        </w:rPr>
        <w:t>我单位承诺，一旦我方中标，我们将根据招标文件的规定，提供不低于招标文件要求的服务和相关规定。</w:t>
      </w:r>
    </w:p>
    <w:p>
      <w:pPr>
        <w:numPr>
          <w:ilvl w:val="0"/>
          <w:numId w:val="4"/>
        </w:numPr>
        <w:tabs>
          <w:tab w:val="left" w:pos="525"/>
        </w:tabs>
        <w:spacing w:line="380" w:lineRule="exact"/>
        <w:ind w:firstLine="420" w:firstLineChars="200"/>
        <w:rPr>
          <w:rFonts w:hint="eastAsia"/>
          <w:color w:val="auto"/>
          <w:szCs w:val="21"/>
          <w:highlight w:val="none"/>
        </w:rPr>
      </w:pPr>
      <w:r>
        <w:rPr>
          <w:rFonts w:hint="eastAsia"/>
          <w:color w:val="auto"/>
          <w:szCs w:val="21"/>
          <w:highlight w:val="none"/>
        </w:rPr>
        <w:t>其他服务承诺：</w:t>
      </w:r>
    </w:p>
    <w:p>
      <w:pPr>
        <w:spacing w:line="360" w:lineRule="exact"/>
        <w:ind w:firstLine="561"/>
        <w:rPr>
          <w:rFonts w:hint="eastAsia"/>
          <w:color w:val="auto"/>
          <w:szCs w:val="21"/>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ind w:firstLine="561"/>
        <w:rPr>
          <w:rFonts w:hint="eastAsia"/>
          <w:color w:val="auto"/>
          <w:sz w:val="24"/>
          <w:highlight w:val="none"/>
        </w:rPr>
      </w:pPr>
    </w:p>
    <w:p>
      <w:pPr>
        <w:spacing w:line="360" w:lineRule="exact"/>
        <w:rPr>
          <w:rFonts w:hint="eastAsia"/>
          <w:color w:val="auto"/>
          <w:sz w:val="24"/>
          <w:highlight w:val="none"/>
        </w:rPr>
      </w:pPr>
    </w:p>
    <w:p>
      <w:pPr>
        <w:spacing w:line="360" w:lineRule="exact"/>
        <w:rPr>
          <w:rFonts w:hint="eastAsia"/>
          <w:color w:val="auto"/>
          <w:sz w:val="24"/>
          <w:highlight w:val="none"/>
        </w:rPr>
      </w:pPr>
    </w:p>
    <w:p>
      <w:pPr>
        <w:spacing w:line="600" w:lineRule="exact"/>
        <w:rPr>
          <w:rFonts w:hint="eastAsia" w:ascii="宋体" w:hAnsi="宋体"/>
          <w:b/>
          <w:color w:val="auto"/>
          <w:sz w:val="24"/>
          <w:highlight w:val="none"/>
        </w:rPr>
      </w:pPr>
      <w:r>
        <w:rPr>
          <w:rFonts w:hint="eastAsia" w:ascii="宋体" w:hAnsi="宋体"/>
          <w:b/>
          <w:color w:val="auto"/>
          <w:sz w:val="24"/>
          <w:highlight w:val="none"/>
        </w:rPr>
        <w:t>投标人（公章）：</w:t>
      </w:r>
    </w:p>
    <w:p>
      <w:pPr>
        <w:spacing w:line="600" w:lineRule="exact"/>
        <w:rPr>
          <w:rFonts w:hint="eastAsia" w:ascii="宋体" w:hAnsi="宋体"/>
          <w:b/>
          <w:color w:val="auto"/>
          <w:spacing w:val="4"/>
          <w:sz w:val="24"/>
          <w:highlight w:val="none"/>
        </w:rPr>
      </w:pPr>
      <w:r>
        <w:rPr>
          <w:rFonts w:hint="eastAsia" w:ascii="宋体" w:hAnsi="宋体"/>
          <w:b/>
          <w:color w:val="auto"/>
          <w:sz w:val="24"/>
          <w:highlight w:val="none"/>
        </w:rPr>
        <w:t>法定代表人或</w:t>
      </w:r>
      <w:r>
        <w:rPr>
          <w:rFonts w:hint="eastAsia" w:ascii="宋体" w:hAnsi="宋体"/>
          <w:b/>
          <w:color w:val="auto"/>
          <w:spacing w:val="4"/>
          <w:sz w:val="24"/>
          <w:highlight w:val="none"/>
        </w:rPr>
        <w:t>授权代表</w:t>
      </w:r>
      <w:r>
        <w:rPr>
          <w:rFonts w:hint="eastAsia" w:ascii="宋体" w:hAnsi="宋体"/>
          <w:b/>
          <w:color w:val="auto"/>
          <w:sz w:val="24"/>
          <w:highlight w:val="none"/>
        </w:rPr>
        <w:t xml:space="preserve">（签字或盖章）：         </w:t>
      </w:r>
    </w:p>
    <w:p>
      <w:pPr>
        <w:spacing w:line="600" w:lineRule="exact"/>
        <w:rPr>
          <w:rFonts w:hint="eastAsia" w:ascii="宋体" w:hAnsi="宋体"/>
          <w:b/>
          <w:color w:val="auto"/>
          <w:sz w:val="24"/>
          <w:highlight w:val="none"/>
        </w:rPr>
      </w:pPr>
      <w:r>
        <w:rPr>
          <w:rFonts w:hint="eastAsia" w:ascii="宋体" w:hAnsi="宋体"/>
          <w:b/>
          <w:color w:val="auto"/>
          <w:sz w:val="24"/>
          <w:highlight w:val="none"/>
        </w:rPr>
        <w:t>日  期：  年　 月　 日</w:t>
      </w:r>
    </w:p>
    <w:p>
      <w:pPr>
        <w:spacing w:line="600" w:lineRule="exact"/>
        <w:rPr>
          <w:rFonts w:hint="eastAsia" w:ascii="宋体" w:hAnsi="宋体"/>
          <w:b/>
          <w:color w:val="auto"/>
          <w:sz w:val="24"/>
          <w:highlight w:val="none"/>
        </w:rPr>
      </w:pPr>
    </w:p>
    <w:p>
      <w:pPr>
        <w:pStyle w:val="4"/>
        <w:spacing w:line="320" w:lineRule="exact"/>
        <w:rPr>
          <w:rFonts w:hint="eastAsia" w:ascii="仿宋_GB2312" w:eastAsia="仿宋_GB2312"/>
          <w:color w:val="auto"/>
          <w:sz w:val="24"/>
          <w:highlight w:val="none"/>
        </w:rPr>
      </w:pPr>
      <w:bookmarkStart w:id="291" w:name="_Toc189"/>
      <w:r>
        <w:rPr>
          <w:rFonts w:hint="eastAsia" w:ascii="仿宋_GB2312" w:eastAsia="仿宋_GB2312"/>
          <w:color w:val="auto"/>
          <w:sz w:val="24"/>
          <w:highlight w:val="none"/>
        </w:rPr>
        <w:t>附件1</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 报价文件封面格式及目录</w:t>
      </w:r>
      <w:bookmarkEnd w:id="291"/>
    </w:p>
    <w:p>
      <w:pPr>
        <w:pStyle w:val="20"/>
        <w:snapToGrid w:val="0"/>
        <w:spacing w:before="295" w:after="120"/>
        <w:ind w:firstLine="600"/>
        <w:rPr>
          <w:rFonts w:hint="eastAsia" w:hAnsi="宋体"/>
          <w:color w:val="auto"/>
          <w:sz w:val="30"/>
          <w:szCs w:val="30"/>
          <w:highlight w:val="none"/>
        </w:rPr>
      </w:pPr>
      <w:r>
        <w:rPr>
          <w:rFonts w:hint="eastAsia" w:hAnsi="宋体"/>
          <w:bCs/>
          <w:color w:val="auto"/>
          <w:sz w:val="30"/>
          <w:szCs w:val="30"/>
          <w:highlight w:val="none"/>
        </w:rPr>
        <w:t xml:space="preserve">                                              </w:t>
      </w:r>
    </w:p>
    <w:p>
      <w:pPr>
        <w:ind w:right="-110"/>
        <w:jc w:val="center"/>
        <w:rPr>
          <w:rFonts w:hint="eastAsia"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240" w:beforeLines="100" w:line="240" w:lineRule="atLeast"/>
        <w:ind w:right="-108"/>
        <w:jc w:val="center"/>
        <w:rPr>
          <w:rFonts w:hint="eastAsia"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HNZCCG20241001</w:t>
      </w:r>
    </w:p>
    <w:p>
      <w:pPr>
        <w:spacing w:after="100" w:afterAutospacing="1" w:line="800" w:lineRule="exact"/>
        <w:ind w:right="-108"/>
        <w:jc w:val="center"/>
        <w:rPr>
          <w:rFonts w:hint="eastAsia" w:ascii="黑体" w:hAnsi="宋体" w:eastAsia="黑体"/>
          <w:b/>
          <w:color w:val="auto"/>
          <w:spacing w:val="40"/>
          <w:sz w:val="84"/>
          <w:szCs w:val="84"/>
          <w:highlight w:val="none"/>
        </w:rPr>
      </w:pPr>
    </w:p>
    <w:p>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500" w:lineRule="exact"/>
        <w:ind w:right="532"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投标人全称（公章）：</w:t>
      </w:r>
    </w:p>
    <w:p>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地    址：</w:t>
      </w:r>
    </w:p>
    <w:p>
      <w:pPr>
        <w:wordWrap w:val="0"/>
        <w:spacing w:line="500" w:lineRule="exact"/>
        <w:ind w:right="-108" w:firstLine="720" w:firstLineChars="200"/>
        <w:rPr>
          <w:rFonts w:hint="eastAsia" w:ascii="宋体" w:hAnsi="宋体"/>
          <w:color w:val="auto"/>
          <w:sz w:val="36"/>
          <w:szCs w:val="36"/>
          <w:highlight w:val="none"/>
        </w:rPr>
      </w:pPr>
      <w:r>
        <w:rPr>
          <w:rFonts w:hint="eastAsia" w:ascii="宋体" w:hAnsi="宋体"/>
          <w:color w:val="auto"/>
          <w:sz w:val="36"/>
          <w:szCs w:val="36"/>
          <w:highlight w:val="none"/>
        </w:rPr>
        <w:t>时    间：</w:t>
      </w:r>
    </w:p>
    <w:p>
      <w:pPr>
        <w:wordWrap w:val="0"/>
        <w:spacing w:line="500" w:lineRule="exact"/>
        <w:ind w:right="-108" w:firstLine="720" w:firstLineChars="200"/>
        <w:rPr>
          <w:rFonts w:hint="eastAsia" w:ascii="宋体" w:hAnsi="宋体"/>
          <w:color w:val="auto"/>
          <w:sz w:val="36"/>
          <w:szCs w:val="36"/>
          <w:highlight w:val="none"/>
        </w:rPr>
      </w:pPr>
    </w:p>
    <w:p>
      <w:pPr>
        <w:pStyle w:val="21"/>
        <w:snapToGrid w:val="0"/>
        <w:spacing w:after="120"/>
        <w:rPr>
          <w:rFonts w:hint="eastAsia" w:ascii="仿宋_GB2312" w:hAnsi="宋体" w:eastAsia="仿宋_GB2312"/>
          <w:color w:val="auto"/>
          <w:sz w:val="36"/>
          <w:szCs w:val="36"/>
          <w:highlight w:val="none"/>
        </w:rPr>
      </w:pPr>
    </w:p>
    <w:p>
      <w:pPr>
        <w:rPr>
          <w:rFonts w:hint="eastAsia"/>
          <w:color w:val="auto"/>
          <w:highlight w:val="none"/>
        </w:rPr>
      </w:pPr>
    </w:p>
    <w:p>
      <w:pPr>
        <w:pStyle w:val="21"/>
        <w:snapToGrid w:val="0"/>
        <w:spacing w:after="120"/>
        <w:ind w:firstLine="542" w:firstLineChars="150"/>
        <w:jc w:val="center"/>
        <w:rPr>
          <w:rFonts w:ascii="仿宋_GB2312" w:hAnsi="宋体" w:eastAsia="仿宋_GB2312"/>
          <w:b/>
          <w:color w:val="auto"/>
          <w:sz w:val="36"/>
          <w:szCs w:val="36"/>
          <w:highlight w:val="none"/>
        </w:rPr>
      </w:pPr>
    </w:p>
    <w:p>
      <w:pPr>
        <w:pStyle w:val="21"/>
        <w:snapToGrid w:val="0"/>
        <w:spacing w:after="120"/>
        <w:ind w:firstLine="542" w:firstLineChars="150"/>
        <w:jc w:val="center"/>
        <w:rPr>
          <w:rFonts w:hint="eastAsia"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报价文件目录</w:t>
      </w:r>
    </w:p>
    <w:p>
      <w:pPr>
        <w:rPr>
          <w:rFonts w:hint="eastAsia" w:ascii="仿宋" w:hAnsi="仿宋" w:eastAsia="仿宋"/>
          <w:color w:val="auto"/>
          <w:highlight w:val="none"/>
        </w:rPr>
      </w:pPr>
    </w:p>
    <w:p>
      <w:pPr>
        <w:spacing w:line="380" w:lineRule="exact"/>
        <w:ind w:firstLine="420" w:firstLineChars="200"/>
        <w:rPr>
          <w:color w:val="auto"/>
          <w:szCs w:val="21"/>
          <w:highlight w:val="none"/>
        </w:rPr>
      </w:pPr>
      <w:r>
        <w:rPr>
          <w:rFonts w:hint="eastAsia"/>
          <w:color w:val="auto"/>
          <w:szCs w:val="21"/>
          <w:highlight w:val="none"/>
        </w:rPr>
        <w:t>1</w:t>
      </w:r>
      <w:r>
        <w:rPr>
          <w:color w:val="auto"/>
          <w:szCs w:val="21"/>
          <w:highlight w:val="none"/>
        </w:rPr>
        <w:t>报价一览表（附件1</w:t>
      </w:r>
      <w:r>
        <w:rPr>
          <w:rFonts w:hint="eastAsia"/>
          <w:color w:val="auto"/>
          <w:szCs w:val="21"/>
          <w:highlight w:val="none"/>
          <w:lang w:val="en-US" w:eastAsia="zh-CN"/>
        </w:rPr>
        <w:t>2</w:t>
      </w:r>
      <w:r>
        <w:rPr>
          <w:color w:val="auto"/>
          <w:szCs w:val="21"/>
          <w:highlight w:val="none"/>
        </w:rPr>
        <w:t>）；</w:t>
      </w:r>
    </w:p>
    <w:p>
      <w:pPr>
        <w:spacing w:line="380" w:lineRule="exact"/>
        <w:ind w:firstLine="420" w:firstLineChars="200"/>
        <w:rPr>
          <w:color w:val="auto"/>
          <w:szCs w:val="21"/>
          <w:highlight w:val="none"/>
        </w:rPr>
      </w:pPr>
      <w:r>
        <w:rPr>
          <w:rFonts w:hint="eastAsia"/>
          <w:color w:val="auto"/>
          <w:szCs w:val="21"/>
          <w:highlight w:val="none"/>
          <w:lang w:val="en-US" w:eastAsia="zh-CN"/>
        </w:rPr>
        <w:t>2报价明细</w:t>
      </w:r>
      <w:r>
        <w:rPr>
          <w:color w:val="auto"/>
          <w:szCs w:val="21"/>
          <w:highlight w:val="none"/>
        </w:rPr>
        <w:t>表（附件1</w:t>
      </w:r>
      <w:r>
        <w:rPr>
          <w:rFonts w:hint="eastAsia"/>
          <w:color w:val="auto"/>
          <w:szCs w:val="21"/>
          <w:highlight w:val="none"/>
          <w:lang w:val="en-US" w:eastAsia="zh-CN"/>
        </w:rPr>
        <w:t>3</w:t>
      </w:r>
      <w:r>
        <w:rPr>
          <w:color w:val="auto"/>
          <w:szCs w:val="21"/>
          <w:highlight w:val="none"/>
        </w:rPr>
        <w:t>）；</w:t>
      </w:r>
    </w:p>
    <w:p>
      <w:pPr>
        <w:spacing w:line="380" w:lineRule="exact"/>
        <w:ind w:firstLine="420" w:firstLineChars="200"/>
        <w:rPr>
          <w:color w:val="auto"/>
          <w:szCs w:val="21"/>
          <w:highlight w:val="none"/>
        </w:rPr>
      </w:pPr>
      <w:r>
        <w:rPr>
          <w:rFonts w:hint="eastAsia"/>
          <w:color w:val="auto"/>
          <w:szCs w:val="21"/>
          <w:highlight w:val="none"/>
          <w:lang w:val="en-US" w:eastAsia="zh-CN"/>
        </w:rPr>
        <w:t>3</w:t>
      </w:r>
      <w:r>
        <w:rPr>
          <w:color w:val="auto"/>
          <w:szCs w:val="21"/>
          <w:highlight w:val="none"/>
        </w:rPr>
        <w:t>投标人针对报价需要说明的其他文件和说明。</w:t>
      </w:r>
    </w:p>
    <w:p>
      <w:pPr>
        <w:pStyle w:val="20"/>
        <w:snapToGrid w:val="0"/>
        <w:spacing w:before="295" w:after="120"/>
        <w:ind w:firstLine="600"/>
        <w:rPr>
          <w:rFonts w:hint="eastAsia" w:hAnsi="宋体"/>
          <w:color w:val="auto"/>
          <w:sz w:val="30"/>
          <w:szCs w:val="30"/>
          <w:highlight w:val="none"/>
        </w:rPr>
      </w:pPr>
    </w:p>
    <w:p>
      <w:pPr>
        <w:pStyle w:val="20"/>
        <w:snapToGrid w:val="0"/>
        <w:spacing w:before="295" w:after="120"/>
        <w:ind w:firstLine="600"/>
        <w:rPr>
          <w:rFonts w:hint="eastAsia" w:hAnsi="宋体"/>
          <w:color w:val="auto"/>
          <w:sz w:val="30"/>
          <w:szCs w:val="30"/>
          <w:highlight w:val="none"/>
        </w:rPr>
      </w:pPr>
    </w:p>
    <w:p>
      <w:pPr>
        <w:pStyle w:val="20"/>
        <w:snapToGrid w:val="0"/>
        <w:spacing w:before="295" w:after="120"/>
        <w:ind w:firstLine="600"/>
        <w:rPr>
          <w:rFonts w:hint="eastAsia" w:hAnsi="宋体"/>
          <w:color w:val="auto"/>
          <w:sz w:val="30"/>
          <w:szCs w:val="30"/>
          <w:highlight w:val="none"/>
        </w:rPr>
      </w:pPr>
    </w:p>
    <w:p>
      <w:pPr>
        <w:pStyle w:val="20"/>
        <w:snapToGrid w:val="0"/>
        <w:spacing w:before="295" w:after="120"/>
        <w:ind w:firstLine="600"/>
        <w:rPr>
          <w:rFonts w:hint="eastAsia" w:hAnsi="宋体"/>
          <w:color w:val="auto"/>
          <w:sz w:val="30"/>
          <w:szCs w:val="30"/>
          <w:highlight w:val="none"/>
        </w:rPr>
      </w:pPr>
    </w:p>
    <w:p>
      <w:pPr>
        <w:pStyle w:val="20"/>
        <w:snapToGrid w:val="0"/>
        <w:spacing w:before="295" w:after="120"/>
        <w:ind w:firstLine="600"/>
        <w:rPr>
          <w:rFonts w:hint="eastAsia" w:hAnsi="宋体"/>
          <w:color w:val="auto"/>
          <w:sz w:val="30"/>
          <w:szCs w:val="30"/>
          <w:highlight w:val="none"/>
        </w:rPr>
      </w:pPr>
    </w:p>
    <w:p>
      <w:pPr>
        <w:pStyle w:val="20"/>
        <w:snapToGrid w:val="0"/>
        <w:spacing w:before="295" w:after="120"/>
        <w:ind w:firstLine="600"/>
        <w:rPr>
          <w:rFonts w:hint="eastAsia" w:hAnsi="宋体"/>
          <w:color w:val="auto"/>
          <w:sz w:val="30"/>
          <w:szCs w:val="30"/>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5"/>
        <w:rPr>
          <w:rFonts w:hint="eastAsia"/>
          <w:color w:val="auto"/>
          <w:highlight w:val="none"/>
        </w:rPr>
      </w:pPr>
    </w:p>
    <w:p>
      <w:pPr>
        <w:pStyle w:val="4"/>
        <w:spacing w:line="320" w:lineRule="exact"/>
        <w:rPr>
          <w:rFonts w:hint="eastAsia" w:ascii="仿宋_GB2312" w:eastAsia="仿宋_GB2312"/>
          <w:color w:val="auto"/>
          <w:sz w:val="24"/>
          <w:highlight w:val="none"/>
        </w:rPr>
      </w:pPr>
      <w:bookmarkStart w:id="292" w:name="_Toc32253"/>
      <w:r>
        <w:rPr>
          <w:rFonts w:hint="eastAsia" w:ascii="仿宋_GB2312" w:eastAsia="仿宋_GB2312"/>
          <w:color w:val="auto"/>
          <w:sz w:val="24"/>
          <w:highlight w:val="none"/>
        </w:rPr>
        <w:t>附件1</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 报价一览表</w:t>
      </w:r>
      <w:bookmarkEnd w:id="292"/>
    </w:p>
    <w:p>
      <w:pPr>
        <w:widowControl/>
        <w:spacing w:line="460" w:lineRule="exact"/>
        <w:jc w:val="left"/>
        <w:rPr>
          <w:rFonts w:hint="eastAsia" w:ascii="宋体" w:hAnsi="宋体"/>
          <w:b/>
          <w:color w:val="auto"/>
          <w:sz w:val="24"/>
          <w:szCs w:val="21"/>
          <w:highlight w:val="none"/>
        </w:rPr>
      </w:pPr>
    </w:p>
    <w:p>
      <w:pPr>
        <w:jc w:val="center"/>
        <w:rPr>
          <w:rFonts w:ascii="楷体_GB2312" w:eastAsia="楷体_GB2312"/>
          <w:b/>
          <w:color w:val="auto"/>
          <w:sz w:val="36"/>
          <w:szCs w:val="36"/>
          <w:highlight w:val="none"/>
        </w:rPr>
      </w:pPr>
      <w:bookmarkStart w:id="293" w:name="_Hlk112053486"/>
      <w:bookmarkStart w:id="294" w:name="_Hlk92230850"/>
      <w:bookmarkStart w:id="295" w:name="_Toc536190173"/>
      <w:bookmarkStart w:id="296" w:name="_Toc8984431"/>
      <w:bookmarkStart w:id="297" w:name="_Toc4574613"/>
      <w:r>
        <w:rPr>
          <w:rFonts w:hint="eastAsia" w:ascii="楷体_GB2312" w:eastAsia="楷体_GB2312"/>
          <w:b/>
          <w:color w:val="auto"/>
          <w:sz w:val="36"/>
          <w:szCs w:val="36"/>
          <w:highlight w:val="none"/>
        </w:rPr>
        <w:t>报价一览表</w:t>
      </w:r>
      <w:bookmarkEnd w:id="293"/>
    </w:p>
    <w:p>
      <w:pPr>
        <w:jc w:val="center"/>
        <w:rPr>
          <w:rFonts w:hint="eastAsia" w:ascii="楷体_GB2312" w:eastAsia="楷体_GB2312"/>
          <w:b/>
          <w:color w:val="auto"/>
          <w:sz w:val="36"/>
          <w:szCs w:val="36"/>
          <w:highlight w:val="none"/>
        </w:rPr>
      </w:pPr>
      <w:r>
        <w:rPr>
          <w:rFonts w:hint="eastAsia" w:ascii="楷体_GB2312" w:eastAsia="楷体_GB2312"/>
          <w:b/>
          <w:color w:val="auto"/>
          <w:sz w:val="28"/>
          <w:szCs w:val="28"/>
          <w:highlight w:val="none"/>
        </w:rPr>
        <w:t xml:space="preserve"> </w:t>
      </w:r>
    </w:p>
    <w:p>
      <w:pPr>
        <w:spacing w:line="360" w:lineRule="auto"/>
        <w:ind w:firstLine="210" w:firstLineChars="100"/>
        <w:jc w:val="left"/>
        <w:rPr>
          <w:rFonts w:hint="eastAsia" w:ascii="楷体_GB2312" w:eastAsia="楷体_GB2312"/>
          <w:bCs/>
          <w:color w:val="auto"/>
          <w:sz w:val="28"/>
          <w:szCs w:val="28"/>
          <w:highlight w:val="none"/>
        </w:rPr>
      </w:pPr>
      <w:r>
        <w:rPr>
          <w:rFonts w:hint="eastAsia" w:ascii="宋体" w:hAnsi="宋体" w:cs="Arial"/>
          <w:bCs/>
          <w:color w:val="auto"/>
          <w:szCs w:val="21"/>
          <w:highlight w:val="none"/>
        </w:rPr>
        <w:t xml:space="preserve">项目名称: </w:t>
      </w:r>
      <w:r>
        <w:rPr>
          <w:rFonts w:hint="eastAsia" w:ascii="宋体" w:hAnsi="宋体" w:cs="Arial"/>
          <w:bCs/>
          <w:color w:val="auto"/>
          <w:szCs w:val="21"/>
          <w:highlight w:val="none"/>
          <w:lang w:eastAsia="zh-CN"/>
        </w:rPr>
        <w:t>乐派芯园一期物业开办物资采购项目</w:t>
      </w:r>
      <w:r>
        <w:rPr>
          <w:rFonts w:ascii="宋体" w:hAnsi="宋体" w:cs="Arial"/>
          <w:b/>
          <w:color w:val="auto"/>
          <w:szCs w:val="21"/>
          <w:highlight w:val="none"/>
        </w:rPr>
        <w:t xml:space="preserve">    </w:t>
      </w:r>
      <w:r>
        <w:rPr>
          <w:rFonts w:hint="eastAsia" w:ascii="宋体" w:hAnsi="宋体" w:cs="Arial"/>
          <w:b/>
          <w:color w:val="auto"/>
          <w:szCs w:val="21"/>
          <w:highlight w:val="none"/>
          <w:lang w:val="en-US" w:eastAsia="zh-CN"/>
        </w:rPr>
        <w:t xml:space="preserve">      </w:t>
      </w:r>
      <w:r>
        <w:rPr>
          <w:rFonts w:hint="eastAsia" w:ascii="宋体" w:hAnsi="宋体" w:cs="Arial"/>
          <w:b/>
          <w:color w:val="auto"/>
          <w:szCs w:val="21"/>
          <w:highlight w:val="none"/>
        </w:rPr>
        <w:t xml:space="preserve"> </w:t>
      </w:r>
      <w:r>
        <w:rPr>
          <w:rFonts w:hint="eastAsia" w:ascii="宋体" w:hAnsi="宋体" w:cs="Arial"/>
          <w:color w:val="auto"/>
          <w:szCs w:val="21"/>
          <w:highlight w:val="none"/>
        </w:rPr>
        <w:t>单位</w:t>
      </w:r>
      <w:r>
        <w:rPr>
          <w:rFonts w:ascii="宋体" w:hAnsi="宋体" w:cs="Arial"/>
          <w:color w:val="auto"/>
          <w:szCs w:val="21"/>
          <w:highlight w:val="none"/>
        </w:rPr>
        <w:t>：人民币元</w:t>
      </w:r>
    </w:p>
    <w:tbl>
      <w:tblPr>
        <w:tblStyle w:val="36"/>
        <w:tblW w:w="9875" w:type="dxa"/>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817"/>
        <w:gridCol w:w="885"/>
        <w:gridCol w:w="1095"/>
        <w:gridCol w:w="2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963"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4817"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标项名称</w:t>
            </w:r>
          </w:p>
        </w:tc>
        <w:tc>
          <w:tcPr>
            <w:tcW w:w="88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109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211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963"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817" w:type="dxa"/>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乐派芯园一期物业开办物资采购项目</w:t>
            </w:r>
          </w:p>
        </w:tc>
        <w:tc>
          <w:tcPr>
            <w:tcW w:w="88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1095" w:type="dxa"/>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115" w:type="dxa"/>
            <w:vAlign w:val="center"/>
          </w:tcPr>
          <w:p>
            <w:pPr>
              <w:widowControl/>
              <w:jc w:val="center"/>
              <w:rPr>
                <w:rFonts w:hint="eastAsia" w:ascii="宋体"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9875" w:type="dxa"/>
            <w:gridSpan w:val="5"/>
            <w:vAlign w:val="center"/>
          </w:tcPr>
          <w:p>
            <w:pPr>
              <w:widowControl/>
              <w:rPr>
                <w:rFonts w:hint="eastAsia" w:ascii="宋体" w:hAnsi="宋体" w:cs="宋体"/>
                <w:color w:val="auto"/>
                <w:kern w:val="0"/>
                <w:szCs w:val="21"/>
                <w:highlight w:val="none"/>
              </w:rPr>
            </w:pPr>
          </w:p>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合计人民币（大写）：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元整  （小写）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tc>
      </w:tr>
    </w:tbl>
    <w:p>
      <w:pPr>
        <w:widowControl/>
        <w:jc w:val="left"/>
        <w:rPr>
          <w:rFonts w:hint="eastAsia" w:ascii="宋体" w:hAnsi="宋体" w:cs="宋体"/>
          <w:color w:val="auto"/>
          <w:kern w:val="0"/>
          <w:sz w:val="24"/>
          <w:highlight w:val="none"/>
        </w:rPr>
      </w:pPr>
    </w:p>
    <w:p>
      <w:pPr>
        <w:spacing w:line="720" w:lineRule="auto"/>
        <w:rPr>
          <w:rFonts w:ascii="宋体" w:hAnsi="宋体"/>
          <w:b/>
          <w:color w:val="auto"/>
          <w:sz w:val="24"/>
          <w:szCs w:val="20"/>
          <w:highlight w:val="none"/>
        </w:rPr>
      </w:pPr>
    </w:p>
    <w:p>
      <w:pPr>
        <w:spacing w:line="720" w:lineRule="auto"/>
        <w:rPr>
          <w:rFonts w:hint="eastAsia" w:ascii="宋体" w:hAnsi="宋体"/>
          <w:b/>
          <w:color w:val="auto"/>
          <w:sz w:val="24"/>
          <w:szCs w:val="20"/>
          <w:highlight w:val="none"/>
        </w:rPr>
      </w:pPr>
    </w:p>
    <w:p>
      <w:pPr>
        <w:spacing w:line="600" w:lineRule="exact"/>
        <w:rPr>
          <w:rFonts w:hint="eastAsia" w:ascii="宋体" w:hAnsi="宋体"/>
          <w:b/>
          <w:color w:val="auto"/>
          <w:sz w:val="24"/>
          <w:szCs w:val="20"/>
          <w:highlight w:val="none"/>
        </w:rPr>
      </w:pPr>
      <w:r>
        <w:rPr>
          <w:rFonts w:hint="eastAsia" w:ascii="宋体" w:hAnsi="宋体"/>
          <w:b/>
          <w:color w:val="auto"/>
          <w:sz w:val="24"/>
          <w:szCs w:val="20"/>
          <w:highlight w:val="none"/>
        </w:rPr>
        <w:t>投标人（公章）：</w:t>
      </w:r>
    </w:p>
    <w:p>
      <w:pPr>
        <w:spacing w:line="600" w:lineRule="exact"/>
        <w:rPr>
          <w:rFonts w:hint="eastAsia" w:ascii="宋体" w:hAnsi="宋体"/>
          <w:b/>
          <w:color w:val="auto"/>
          <w:sz w:val="24"/>
          <w:szCs w:val="20"/>
          <w:highlight w:val="none"/>
        </w:rPr>
      </w:pPr>
      <w:r>
        <w:rPr>
          <w:rFonts w:hint="eastAsia" w:ascii="宋体" w:hAnsi="宋体"/>
          <w:b/>
          <w:color w:val="auto"/>
          <w:sz w:val="24"/>
          <w:szCs w:val="20"/>
          <w:highlight w:val="none"/>
        </w:rPr>
        <w:t xml:space="preserve">法定代表人或授权代表（签字或盖章）：  </w:t>
      </w:r>
    </w:p>
    <w:p>
      <w:pPr>
        <w:spacing w:line="600" w:lineRule="exact"/>
        <w:rPr>
          <w:rFonts w:ascii="宋体" w:hAnsi="宋体"/>
          <w:b/>
          <w:color w:val="auto"/>
          <w:sz w:val="24"/>
          <w:szCs w:val="20"/>
          <w:highlight w:val="none"/>
        </w:rPr>
      </w:pPr>
      <w:r>
        <w:rPr>
          <w:rFonts w:hint="eastAsia" w:ascii="宋体" w:hAnsi="宋体"/>
          <w:b/>
          <w:color w:val="auto"/>
          <w:sz w:val="24"/>
          <w:szCs w:val="20"/>
          <w:highlight w:val="none"/>
        </w:rPr>
        <w:t>日 期：    年  月  日</w:t>
      </w:r>
      <w:bookmarkEnd w:id="294"/>
    </w:p>
    <w:p>
      <w:pPr>
        <w:spacing w:line="600" w:lineRule="exact"/>
        <w:rPr>
          <w:rFonts w:ascii="宋体" w:hAnsi="宋体"/>
          <w:b/>
          <w:color w:val="auto"/>
          <w:sz w:val="24"/>
          <w:szCs w:val="20"/>
          <w:highlight w:val="none"/>
        </w:rPr>
      </w:pPr>
    </w:p>
    <w:p>
      <w:pPr>
        <w:spacing w:line="600" w:lineRule="exact"/>
        <w:rPr>
          <w:rFonts w:ascii="宋体" w:hAnsi="宋体"/>
          <w:b/>
          <w:color w:val="auto"/>
          <w:sz w:val="24"/>
          <w:szCs w:val="20"/>
          <w:highlight w:val="none"/>
        </w:rPr>
      </w:pPr>
    </w:p>
    <w:p>
      <w:pPr>
        <w:spacing w:line="600" w:lineRule="exact"/>
        <w:rPr>
          <w:rFonts w:ascii="宋体" w:hAnsi="宋体"/>
          <w:b/>
          <w:color w:val="auto"/>
          <w:sz w:val="24"/>
          <w:szCs w:val="20"/>
          <w:highlight w:val="none"/>
        </w:rPr>
      </w:pPr>
    </w:p>
    <w:p>
      <w:pPr>
        <w:spacing w:line="600" w:lineRule="exact"/>
        <w:rPr>
          <w:rFonts w:ascii="宋体" w:hAnsi="宋体"/>
          <w:b/>
          <w:color w:val="auto"/>
          <w:sz w:val="24"/>
          <w:szCs w:val="20"/>
          <w:highlight w:val="none"/>
        </w:rPr>
      </w:pPr>
    </w:p>
    <w:p>
      <w:pPr>
        <w:spacing w:line="600" w:lineRule="exact"/>
        <w:rPr>
          <w:rFonts w:ascii="宋体" w:hAnsi="宋体"/>
          <w:b/>
          <w:color w:val="auto"/>
          <w:sz w:val="24"/>
          <w:szCs w:val="20"/>
          <w:highlight w:val="none"/>
        </w:rPr>
      </w:pPr>
    </w:p>
    <w:p>
      <w:pPr>
        <w:spacing w:line="320" w:lineRule="exact"/>
        <w:outlineLvl w:val="9"/>
        <w:rPr>
          <w:rFonts w:hint="eastAsia" w:ascii="仿宋_GB2312" w:eastAsia="仿宋_GB2312"/>
          <w:color w:val="auto"/>
          <w:sz w:val="24"/>
          <w:highlight w:val="none"/>
        </w:rPr>
      </w:pPr>
      <w:bookmarkStart w:id="298" w:name="_Toc106462259"/>
      <w:bookmarkStart w:id="299" w:name="_Toc108112765"/>
      <w:bookmarkStart w:id="300" w:name="_Toc144932399"/>
    </w:p>
    <w:p>
      <w:pPr>
        <w:pStyle w:val="4"/>
        <w:spacing w:line="320" w:lineRule="exact"/>
        <w:rPr>
          <w:rFonts w:ascii="仿宋_GB2312" w:eastAsia="仿宋_GB2312"/>
          <w:color w:val="auto"/>
          <w:sz w:val="24"/>
          <w:highlight w:val="none"/>
        </w:rPr>
      </w:pPr>
      <w:bookmarkStart w:id="301" w:name="_Toc15643"/>
      <w:r>
        <w:rPr>
          <w:rFonts w:hint="eastAsia" w:ascii="仿宋_GB2312" w:eastAsia="仿宋_GB2312"/>
          <w:color w:val="auto"/>
          <w:sz w:val="24"/>
          <w:highlight w:val="none"/>
        </w:rPr>
        <w:t>附件1</w:t>
      </w:r>
      <w:r>
        <w:rPr>
          <w:rFonts w:hint="eastAsia" w:ascii="仿宋_GB2312" w:eastAsia="仿宋_GB2312"/>
          <w:color w:val="auto"/>
          <w:sz w:val="24"/>
          <w:highlight w:val="none"/>
          <w:lang w:val="en-US" w:eastAsia="zh-CN"/>
        </w:rPr>
        <w:t>3</w:t>
      </w:r>
      <w:r>
        <w:rPr>
          <w:rFonts w:ascii="仿宋_GB2312" w:eastAsia="仿宋_GB2312"/>
          <w:color w:val="auto"/>
          <w:sz w:val="24"/>
          <w:highlight w:val="none"/>
        </w:rPr>
        <w:t>：</w:t>
      </w:r>
      <w:bookmarkEnd w:id="298"/>
      <w:r>
        <w:rPr>
          <w:rFonts w:hint="eastAsia" w:ascii="仿宋_GB2312" w:eastAsia="仿宋_GB2312"/>
          <w:color w:val="auto"/>
          <w:sz w:val="24"/>
          <w:highlight w:val="none"/>
        </w:rPr>
        <w:t xml:space="preserve"> 报价明细表</w:t>
      </w:r>
      <w:bookmarkEnd w:id="299"/>
      <w:bookmarkEnd w:id="300"/>
      <w:bookmarkEnd w:id="301"/>
    </w:p>
    <w:p>
      <w:pPr>
        <w:widowControl/>
        <w:spacing w:line="460" w:lineRule="exact"/>
        <w:jc w:val="center"/>
        <w:rPr>
          <w:rFonts w:hint="eastAsia" w:ascii="楷体_GB2312" w:eastAsia="楷体_GB2312"/>
          <w:b/>
          <w:color w:val="auto"/>
          <w:sz w:val="36"/>
          <w:szCs w:val="36"/>
          <w:highlight w:val="none"/>
        </w:rPr>
      </w:pPr>
      <w:r>
        <w:rPr>
          <w:rFonts w:hint="eastAsia" w:ascii="楷体_GB2312" w:eastAsia="楷体_GB2312"/>
          <w:b/>
          <w:color w:val="auto"/>
          <w:sz w:val="36"/>
          <w:szCs w:val="36"/>
          <w:highlight w:val="none"/>
        </w:rPr>
        <w:t>报价明细表</w:t>
      </w:r>
    </w:p>
    <w:p>
      <w:pPr>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单位：人民币元</w:t>
      </w:r>
    </w:p>
    <w:tbl>
      <w:tblPr>
        <w:tblStyle w:val="36"/>
        <w:tblW w:w="977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50"/>
        <w:gridCol w:w="630"/>
        <w:gridCol w:w="3750"/>
        <w:gridCol w:w="945"/>
        <w:gridCol w:w="900"/>
        <w:gridCol w:w="1440"/>
        <w:gridCol w:w="14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0" w:hRule="atLeast"/>
        </w:trPr>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类别</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物资名称</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单位</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数量</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cs="宋体"/>
                <w:b/>
                <w:i w:val="0"/>
                <w:color w:val="auto"/>
                <w:kern w:val="0"/>
                <w:sz w:val="20"/>
                <w:szCs w:val="20"/>
                <w:highlight w:val="none"/>
                <w:u w:val="none"/>
                <w:lang w:val="en-US" w:eastAsia="zh-CN" w:bidi="ar"/>
              </w:rPr>
              <w:t>单价</w:t>
            </w: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0"/>
                <w:szCs w:val="20"/>
                <w:highlight w:val="none"/>
                <w:u w:val="none"/>
                <w:lang w:val="en-US" w:eastAsia="zh-CN" w:bidi="ar"/>
              </w:rPr>
            </w:pPr>
            <w:r>
              <w:rPr>
                <w:rFonts w:hint="eastAsia" w:ascii="宋体" w:hAnsi="宋体" w:cs="宋体"/>
                <w:b/>
                <w:i w:val="0"/>
                <w:color w:val="auto"/>
                <w:kern w:val="0"/>
                <w:sz w:val="20"/>
                <w:szCs w:val="20"/>
                <w:highlight w:val="none"/>
                <w:u w:val="none"/>
                <w:lang w:val="en-US" w:eastAsia="zh-CN" w:bidi="ar"/>
              </w:rPr>
              <w:t>合价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restart"/>
            <w:tcBorders>
              <w:tl2br w:val="nil"/>
              <w:tr2bl w:val="nil"/>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工程类</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铝合金人字梯</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铝合金人字梯</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铝合金升缩人字梯</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w:t>
            </w:r>
          </w:p>
        </w:tc>
        <w:tc>
          <w:tcPr>
            <w:tcW w:w="9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铝合金人字伸缩梯</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w:t>
            </w:r>
          </w:p>
        </w:tc>
        <w:tc>
          <w:tcPr>
            <w:tcW w:w="9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插线板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移动线盘</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移动线盘</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20V充电电锤冲击钻</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220V电镐</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充电角磨机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角磨机木锯片</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角磨机金属切割片</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角磨机混凝土切割片</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充电手电钻</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马刀锯手持充电式锂电往复锯</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马刀锯条往复锯条金属</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马刀锯条往复锯条木材</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激光测距仪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棘轮网线钳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PPR熔接器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拉铆枪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304不锈钢抽芯铆钉圆头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自攻螺丝</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麻花钻一套</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冲击电锤钻头圆</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螺丝批头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金属开孔器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木工开孔器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老虎钳</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尖嘴钳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斜口钳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全不锈钢污水泵220V</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数显电笔</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氖泡测电笔</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英制内六角加长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公制折叠内六角</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内六角扳手加长套装</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扳手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扳手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纤维柄羊角锤子</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插地皮尺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不锈钢卷尺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大力钳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穿心十字螺丝刀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穿心一字螺丝刀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十字螺丝刀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十字螺丝刀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一字螺丝刀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一字螺丝刀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微型螺丝刀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美工刀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LED小手电</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玻璃胶枪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玻璃胶枪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机油壶长嘴高压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工具箱</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工具包</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棘轮套筒扳手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两用板手开口+梅花</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活动扳手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活动扳手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管子钳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管子钳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多功能剥线钳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锉刀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锉刀什锦锉</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PVC管子割刀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强光灯</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纤维柄圆头锤子</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锤子</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大锤子</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洋镐</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数显调温焊台</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电烙铁+配0.5焊丝1卷</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鹰嘴断线钳钢筋剪钳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万用表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钳形万用表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机械万用表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寻线仪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插座检测器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兆欧表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水平尺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水平尺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红外测温仪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不锈钢平板车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辆</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雨衣雨裤</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男士雨鞋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塑料扎带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塑料扎带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塑料扎带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自锁式不锈钢扎带304</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自锁式不锈钢扎带304</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撬棍</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撬棍</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铁锹</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铁锹</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猪毛刷</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羊毛刷</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水砂纸</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铁砂纸</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铁砂纸</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免钉胶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发泡剂</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罐</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松锈剂</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罐</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润滑油</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润滑脂</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单芯电源线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单芯电源线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两芯护套线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消防信号线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网络水晶头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电话水晶头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电工绝缘胶布</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封</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防水胶布</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生料带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安全帽</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护目镜</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安全绳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户外安全绳钢丝芯高空作业绳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铝合金玻璃吸盘</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折叠式安全围档</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片</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不锈钢火钳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不锈钢井盖钩 </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垂直把漏勺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劳保手套</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黄油抢</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五金耗材</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批</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仓储货架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组</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小型多功能台钻</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台式老虎钳</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重型钳工台</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张</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管道疏通机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疏通机弹簧</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方形零件盒</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标签机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木工电刨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148</w:t>
            </w:r>
          </w:p>
        </w:tc>
        <w:tc>
          <w:tcPr>
            <w:tcW w:w="375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角磨机</w:t>
            </w:r>
          </w:p>
        </w:tc>
        <w:tc>
          <w:tcPr>
            <w:tcW w:w="94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149</w:t>
            </w:r>
          </w:p>
        </w:tc>
        <w:tc>
          <w:tcPr>
            <w:tcW w:w="375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手电钻</w:t>
            </w:r>
          </w:p>
        </w:tc>
        <w:tc>
          <w:tcPr>
            <w:tcW w:w="94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150</w:t>
            </w:r>
          </w:p>
        </w:tc>
        <w:tc>
          <w:tcPr>
            <w:tcW w:w="375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云石切割机</w:t>
            </w:r>
          </w:p>
        </w:tc>
        <w:tc>
          <w:tcPr>
            <w:tcW w:w="94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吸锡器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热风枪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示波表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头灯</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restart"/>
            <w:tcBorders>
              <w:tl2br w:val="nil"/>
              <w:tr2bl w:val="nil"/>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环境类</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外围扫地车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辆</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洗地机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吸水吸尘器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吸水吸尘器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三合一地毯清洗机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吹地机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单擦机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高压水枪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多功能保洁车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辆</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保洁垃圾运送车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辆</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塑料扫把套装</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竹扫把</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毛巾（红、黄、棕、蓝、绿)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尘推罩</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尘推罩</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平板拖</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平板拖</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乳胶手套</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小心地滑防风告示牌</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正在作业告示牌</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四色挂架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四色喷壶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除尘掸</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伸缩杆</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伸缩杆</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伸缩杆</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腰包</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户外涂水器蓝色</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室内涂水器白色</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旋钮玻璃刮</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橡胶胶条</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胶棉地刮</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胶棉地刮</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涤棉地拖</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不锈钢垃圾夹</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长柄木头刷</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马桶刷</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马桶刷</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快消消毒水</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玻璃清洁剂</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不锈钢保养清洁剂</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204</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皂液盒</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洗手液</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静电除尘液</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自动除味机</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消泡剂</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洗洁精</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211</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212</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垃圾桶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restart"/>
            <w:tcBorders>
              <w:tl2br w:val="nil"/>
              <w:tr2bl w:val="nil"/>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安保类</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214</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消防水枪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215</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消防水带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盘</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216</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消火栓扳手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217</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干粉灭火器（4kg）</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218</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强光手电筒</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219</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疏散荧光棒</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多功能水枪</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221</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消防斧、腰斧</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222</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消防员灭火防护服</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223</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消防员灭火防护靴</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224</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消防安全腰带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条</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225</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消防手套</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消防过滤式综合防毒面具</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227</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消防头盔</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228</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手持扬声器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229</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反光背心</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强光手电</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231</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柜体</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232</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防刺服</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233</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防护头盔</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234</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警用防割手套</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付</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235</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伸缩警棍</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236</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防暴自卫喷射器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瓶</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237</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伸缩制暴钢叉</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238</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多功能约束式抓捕器</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239</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防暴盾牌</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240</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警用多功能腰带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241</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盘</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242</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防爆柜</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243</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钥匙箱</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244</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防汛挡板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245</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安全警示锥</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1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246</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门岗服务台</w:t>
            </w:r>
          </w:p>
        </w:tc>
        <w:tc>
          <w:tcPr>
            <w:tcW w:w="94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247</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防汛沙袋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248</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门岗遮阳伞</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restart"/>
            <w:tcBorders>
              <w:tl2br w:val="nil"/>
              <w:tr2bl w:val="nil"/>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行政办公类</w:t>
            </w: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249</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台式电脑</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250</w:t>
            </w:r>
          </w:p>
        </w:tc>
        <w:tc>
          <w:tcPr>
            <w:tcW w:w="37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笔记本电脑</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251</w:t>
            </w:r>
          </w:p>
        </w:tc>
        <w:tc>
          <w:tcPr>
            <w:tcW w:w="37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办公桌+柜</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eastAsia="zh-CN"/>
              </w:rPr>
              <w:t>套</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6</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252</w:t>
            </w:r>
          </w:p>
        </w:tc>
        <w:tc>
          <w:tcPr>
            <w:tcW w:w="37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休闲办公桌椅</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套</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4</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253</w:t>
            </w:r>
          </w:p>
        </w:tc>
        <w:tc>
          <w:tcPr>
            <w:tcW w:w="37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职员桌+柜</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sz w:val="20"/>
                <w:szCs w:val="20"/>
                <w:highlight w:val="none"/>
                <w:u w:val="none"/>
                <w:lang w:eastAsia="zh-CN"/>
              </w:rPr>
              <w:t>套</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val="en-US" w:eastAsia="zh-CN" w:bidi="ar"/>
              </w:rPr>
              <w:t>254</w:t>
            </w:r>
          </w:p>
        </w:tc>
        <w:tc>
          <w:tcPr>
            <w:tcW w:w="37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eastAsia="zh-CN" w:bidi="ar"/>
              </w:rPr>
              <w:t>办公椅</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val="en-US" w:eastAsia="zh-CN" w:bidi="ar"/>
              </w:rPr>
              <w:t>31</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val="en-US" w:eastAsia="zh-CN" w:bidi="ar"/>
              </w:rPr>
              <w:t>55</w:t>
            </w:r>
          </w:p>
        </w:tc>
        <w:tc>
          <w:tcPr>
            <w:tcW w:w="37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打印复印一体机</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台</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256</w:t>
            </w:r>
          </w:p>
        </w:tc>
        <w:tc>
          <w:tcPr>
            <w:tcW w:w="37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文件柜</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组</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10</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257</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钥匙箱</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258</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保险柜</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259</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饮水机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260</w:t>
            </w:r>
          </w:p>
        </w:tc>
        <w:tc>
          <w:tcPr>
            <w:tcW w:w="375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更衣柜</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个</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10</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261</w:t>
            </w:r>
          </w:p>
        </w:tc>
        <w:tc>
          <w:tcPr>
            <w:tcW w:w="375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仓储货架</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组</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15</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262</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水性笔</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263</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水性笔</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264</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记号笔</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265</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钉书机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266</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美工刀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267</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剪纸刀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268</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回形针</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269</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A4文件袋</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270</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燕尾夹</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盒</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271</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木质文件架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272</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A4文件夹</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273</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A4档案盒</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274</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A4板夹</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块</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275</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透明胶带</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276</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固体胶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277</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双面胶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卷</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278</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A4纸</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箱</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279</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A4纸</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箱</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280</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塑封机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281</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裁纸刀</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282</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塑封膜</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283</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塑封膜</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284</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笔记本</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285</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碎纸机</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286</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药箱</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287</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雨伞</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把</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288</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雨伞架</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289</w:t>
            </w:r>
          </w:p>
        </w:tc>
        <w:tc>
          <w:tcPr>
            <w:tcW w:w="37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插线板</w:t>
            </w:r>
          </w:p>
        </w:tc>
        <w:tc>
          <w:tcPr>
            <w:tcW w:w="94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90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44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2</w:t>
            </w:r>
            <w:r>
              <w:rPr>
                <w:rFonts w:hint="eastAsia" w:ascii="宋体" w:hAnsi="宋体" w:cs="宋体"/>
                <w:color w:val="auto"/>
                <w:kern w:val="0"/>
                <w:sz w:val="20"/>
                <w:szCs w:val="20"/>
                <w:highlight w:val="none"/>
                <w:lang w:val="en-US" w:eastAsia="zh-CN" w:bidi="ar"/>
              </w:rPr>
              <w:t>90</w:t>
            </w:r>
          </w:p>
        </w:tc>
        <w:tc>
          <w:tcPr>
            <w:tcW w:w="375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微波炉</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bidi="ar"/>
              </w:rPr>
              <w:t>台</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sz w:val="20"/>
                <w:szCs w:val="20"/>
                <w:highlight w:val="none"/>
                <w:u w:val="none"/>
              </w:rPr>
            </w:pPr>
            <w:r>
              <w:rPr>
                <w:rFonts w:hint="eastAsia" w:ascii="宋体" w:hAnsi="宋体" w:cs="宋体"/>
                <w:color w:val="auto"/>
                <w:kern w:val="0"/>
                <w:sz w:val="20"/>
                <w:szCs w:val="20"/>
                <w:highlight w:val="none"/>
                <w:lang w:val="en-US" w:eastAsia="zh-CN" w:bidi="ar"/>
              </w:rPr>
              <w:t>2</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283" w:hRule="exact"/>
        </w:trPr>
        <w:tc>
          <w:tcPr>
            <w:tcW w:w="650" w:type="dxa"/>
            <w:vMerge w:val="continue"/>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63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color w:val="auto"/>
                <w:kern w:val="0"/>
                <w:sz w:val="20"/>
                <w:szCs w:val="20"/>
                <w:highlight w:val="none"/>
                <w:lang w:bidi="ar"/>
              </w:rPr>
              <w:t>29</w:t>
            </w:r>
            <w:r>
              <w:rPr>
                <w:rFonts w:hint="eastAsia" w:ascii="宋体" w:hAnsi="宋体" w:cs="宋体"/>
                <w:color w:val="auto"/>
                <w:kern w:val="0"/>
                <w:sz w:val="20"/>
                <w:szCs w:val="20"/>
                <w:highlight w:val="none"/>
                <w:lang w:val="en-US" w:eastAsia="zh-CN" w:bidi="ar"/>
              </w:rPr>
              <w:t>1</w:t>
            </w:r>
          </w:p>
        </w:tc>
        <w:tc>
          <w:tcPr>
            <w:tcW w:w="375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color w:val="auto"/>
                <w:kern w:val="0"/>
                <w:sz w:val="20"/>
                <w:szCs w:val="20"/>
                <w:highlight w:val="none"/>
                <w:lang w:bidi="ar"/>
              </w:rPr>
              <w:t>冰箱</w:t>
            </w:r>
          </w:p>
        </w:tc>
        <w:tc>
          <w:tcPr>
            <w:tcW w:w="94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color w:val="auto"/>
                <w:kern w:val="0"/>
                <w:sz w:val="20"/>
                <w:szCs w:val="20"/>
                <w:highlight w:val="none"/>
                <w:lang w:bidi="ar"/>
              </w:rPr>
              <w:t>台</w:t>
            </w:r>
          </w:p>
        </w:tc>
        <w:tc>
          <w:tcPr>
            <w:tcW w:w="90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color w:val="auto"/>
                <w:kern w:val="0"/>
                <w:sz w:val="20"/>
                <w:szCs w:val="20"/>
                <w:highlight w:val="none"/>
                <w:lang w:bidi="ar"/>
              </w:rPr>
              <w:t>1</w:t>
            </w:r>
          </w:p>
        </w:tc>
        <w:tc>
          <w:tcPr>
            <w:tcW w:w="1440"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4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93" w:hRule="exact"/>
        </w:trPr>
        <w:tc>
          <w:tcPr>
            <w:tcW w:w="650" w:type="dxa"/>
            <w:tcBorders>
              <w:tl2br w:val="nil"/>
              <w:tr2bl w:val="nil"/>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auto"/>
                <w:sz w:val="20"/>
                <w:szCs w:val="20"/>
                <w:highlight w:val="none"/>
                <w:u w:val="none"/>
              </w:rPr>
            </w:pPr>
          </w:p>
        </w:tc>
        <w:tc>
          <w:tcPr>
            <w:tcW w:w="9120" w:type="dxa"/>
            <w:gridSpan w:val="6"/>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b/>
                <w:bCs/>
                <w:color w:val="auto"/>
                <w:highlight w:val="none"/>
              </w:rPr>
              <w:t>合计人民币（大写）</w:t>
            </w:r>
            <w:r>
              <w:rPr>
                <w:rFonts w:hint="eastAsia"/>
                <w:b/>
                <w:bCs/>
                <w:color w:val="auto"/>
                <w:highlight w:val="none"/>
                <w:lang w:eastAsia="zh-CN"/>
              </w:rPr>
              <w:t>：</w:t>
            </w:r>
            <w:r>
              <w:rPr>
                <w:rFonts w:hint="eastAsia"/>
                <w:b/>
                <w:bCs/>
                <w:color w:val="auto"/>
                <w:highlight w:val="none"/>
                <w:u w:val="single"/>
              </w:rPr>
              <w:t xml:space="preserve">                   </w:t>
            </w:r>
            <w:r>
              <w:rPr>
                <w:rFonts w:hint="eastAsia"/>
                <w:b/>
                <w:bCs/>
                <w:color w:val="auto"/>
                <w:highlight w:val="none"/>
              </w:rPr>
              <w:t>元整 （小写）：</w:t>
            </w:r>
            <w:r>
              <w:rPr>
                <w:rFonts w:hint="eastAsia"/>
                <w:b/>
                <w:bCs/>
                <w:color w:val="auto"/>
                <w:highlight w:val="none"/>
                <w:u w:val="single"/>
              </w:rPr>
              <w:t xml:space="preserve">              </w:t>
            </w:r>
            <w:r>
              <w:rPr>
                <w:rFonts w:hint="eastAsia"/>
                <w:b/>
                <w:bCs/>
                <w:color w:val="auto"/>
                <w:highlight w:val="none"/>
              </w:rPr>
              <w:t>元</w:t>
            </w:r>
          </w:p>
        </w:tc>
      </w:tr>
    </w:tbl>
    <w:p>
      <w:pPr>
        <w:pStyle w:val="49"/>
        <w:rPr>
          <w:rFonts w:hint="eastAsia" w:ascii="宋体" w:hAnsi="宋体" w:cs="宋体"/>
          <w:color w:val="auto"/>
          <w:kern w:val="0"/>
          <w:szCs w:val="21"/>
          <w:highlight w:val="none"/>
        </w:rPr>
      </w:pPr>
    </w:p>
    <w:p>
      <w:pPr>
        <w:spacing w:line="360" w:lineRule="auto"/>
        <w:ind w:firstLine="422" w:firstLineChars="200"/>
        <w:jc w:val="left"/>
        <w:rPr>
          <w:rFonts w:hint="eastAsia"/>
          <w:b/>
          <w:color w:val="auto"/>
          <w:szCs w:val="21"/>
          <w:highlight w:val="none"/>
        </w:rPr>
      </w:pPr>
      <w:r>
        <w:rPr>
          <w:rFonts w:hint="eastAsia"/>
          <w:b/>
          <w:color w:val="auto"/>
          <w:szCs w:val="21"/>
          <w:highlight w:val="none"/>
        </w:rPr>
        <w:t xml:space="preserve">注: </w:t>
      </w:r>
      <w:r>
        <w:rPr>
          <w:rFonts w:hint="eastAsia"/>
          <w:b/>
          <w:color w:val="auto"/>
          <w:szCs w:val="21"/>
          <w:highlight w:val="none"/>
          <w:lang w:val="en-US" w:eastAsia="zh-CN"/>
        </w:rPr>
        <w:t>1.报价</w:t>
      </w:r>
      <w:r>
        <w:rPr>
          <w:rFonts w:hint="eastAsia"/>
          <w:b/>
          <w:color w:val="auto"/>
          <w:szCs w:val="21"/>
          <w:highlight w:val="none"/>
        </w:rPr>
        <w:t>应包括货款、标准附件、备品备件、专用工具、包装、运输、装卸、设备保管、货到就位以及安装调试及保修、验收和管理费、</w:t>
      </w:r>
      <w:r>
        <w:rPr>
          <w:rFonts w:hint="eastAsia"/>
          <w:b/>
          <w:color w:val="auto"/>
          <w:szCs w:val="21"/>
          <w:highlight w:val="none"/>
          <w:lang w:val="en-US" w:eastAsia="zh-CN"/>
        </w:rPr>
        <w:t>培训、</w:t>
      </w:r>
      <w:r>
        <w:rPr>
          <w:rFonts w:hint="eastAsia"/>
          <w:b/>
          <w:color w:val="auto"/>
          <w:szCs w:val="21"/>
          <w:highlight w:val="none"/>
        </w:rPr>
        <w:t>保险、税金、政策性风险等完成本项目的一切含税费用（包含一切不可预见费，直至正常使用为止）。</w:t>
      </w:r>
    </w:p>
    <w:p>
      <w:pPr>
        <w:spacing w:line="360" w:lineRule="auto"/>
        <w:ind w:firstLine="632" w:firstLineChars="300"/>
        <w:jc w:val="left"/>
        <w:rPr>
          <w:rFonts w:hint="eastAsia"/>
          <w:b/>
          <w:color w:val="auto"/>
          <w:szCs w:val="21"/>
          <w:highlight w:val="none"/>
          <w:lang w:val="en-US" w:eastAsia="zh-CN"/>
        </w:rPr>
      </w:pPr>
      <w:r>
        <w:rPr>
          <w:rFonts w:hint="eastAsia"/>
          <w:b/>
          <w:color w:val="auto"/>
          <w:szCs w:val="21"/>
          <w:highlight w:val="none"/>
        </w:rPr>
        <w:t>2</w:t>
      </w:r>
      <w:r>
        <w:rPr>
          <w:rFonts w:hint="eastAsia"/>
          <w:b/>
          <w:color w:val="auto"/>
          <w:szCs w:val="21"/>
          <w:highlight w:val="none"/>
          <w:lang w:eastAsia="zh-CN"/>
        </w:rPr>
        <w:t>.</w:t>
      </w:r>
      <w:r>
        <w:rPr>
          <w:rFonts w:hint="eastAsia"/>
          <w:b/>
          <w:color w:val="auto"/>
          <w:szCs w:val="21"/>
          <w:highlight w:val="none"/>
        </w:rPr>
        <w:t>配置要求详见第二章招标需求。</w:t>
      </w:r>
    </w:p>
    <w:p>
      <w:pPr>
        <w:spacing w:line="360" w:lineRule="auto"/>
        <w:ind w:firstLine="632" w:firstLineChars="300"/>
        <w:jc w:val="left"/>
        <w:rPr>
          <w:rFonts w:hint="eastAsia"/>
          <w:b/>
          <w:color w:val="auto"/>
          <w:szCs w:val="21"/>
          <w:highlight w:val="none"/>
        </w:rPr>
      </w:pPr>
      <w:r>
        <w:rPr>
          <w:rFonts w:hint="eastAsia"/>
          <w:b/>
          <w:color w:val="auto"/>
          <w:szCs w:val="21"/>
          <w:highlight w:val="none"/>
          <w:lang w:val="en-US" w:eastAsia="zh-CN"/>
        </w:rPr>
        <w:t>3</w:t>
      </w:r>
      <w:r>
        <w:rPr>
          <w:rFonts w:hint="eastAsia"/>
          <w:b/>
          <w:color w:val="auto"/>
          <w:szCs w:val="21"/>
          <w:highlight w:val="none"/>
        </w:rPr>
        <w:t>.《报价明细表》的合计金额须与《报价一览表》报价相一致。</w:t>
      </w:r>
    </w:p>
    <w:p>
      <w:pPr>
        <w:rPr>
          <w:rFonts w:hint="eastAsia"/>
          <w:color w:val="auto"/>
          <w:szCs w:val="21"/>
          <w:highlight w:val="none"/>
        </w:rPr>
      </w:pPr>
    </w:p>
    <w:p>
      <w:pPr>
        <w:spacing w:line="600" w:lineRule="exact"/>
        <w:rPr>
          <w:rFonts w:hint="eastAsia" w:ascii="宋体" w:hAnsi="宋体"/>
          <w:b/>
          <w:color w:val="auto"/>
          <w:sz w:val="24"/>
          <w:szCs w:val="20"/>
          <w:highlight w:val="none"/>
        </w:rPr>
      </w:pPr>
      <w:r>
        <w:rPr>
          <w:rFonts w:hint="eastAsia" w:ascii="宋体" w:hAnsi="宋体"/>
          <w:b/>
          <w:color w:val="auto"/>
          <w:sz w:val="24"/>
          <w:szCs w:val="20"/>
          <w:highlight w:val="none"/>
        </w:rPr>
        <w:t>投标人（公章）：</w:t>
      </w:r>
    </w:p>
    <w:p>
      <w:pPr>
        <w:spacing w:line="600" w:lineRule="exact"/>
        <w:rPr>
          <w:rFonts w:hint="eastAsia" w:ascii="宋体" w:hAnsi="宋体"/>
          <w:b/>
          <w:color w:val="auto"/>
          <w:sz w:val="24"/>
          <w:szCs w:val="20"/>
          <w:highlight w:val="none"/>
        </w:rPr>
      </w:pPr>
      <w:r>
        <w:rPr>
          <w:rFonts w:hint="eastAsia" w:ascii="宋体" w:hAnsi="宋体"/>
          <w:b/>
          <w:color w:val="auto"/>
          <w:sz w:val="24"/>
          <w:szCs w:val="20"/>
          <w:highlight w:val="none"/>
        </w:rPr>
        <w:t xml:space="preserve">法定代表人或授权代表（签字或盖章）：  </w:t>
      </w:r>
    </w:p>
    <w:p>
      <w:pPr>
        <w:spacing w:line="600" w:lineRule="exact"/>
        <w:rPr>
          <w:rFonts w:hint="default" w:ascii="宋体" w:hAnsi="宋体" w:eastAsia="宋体"/>
          <w:color w:val="auto"/>
          <w:sz w:val="24"/>
          <w:szCs w:val="20"/>
          <w:highlight w:val="none"/>
          <w:lang w:val="en-US" w:eastAsia="zh-CN"/>
        </w:rPr>
        <w:sectPr>
          <w:pgSz w:w="11907" w:h="16840"/>
          <w:pgMar w:top="96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b/>
          <w:color w:val="auto"/>
          <w:sz w:val="24"/>
          <w:szCs w:val="20"/>
          <w:highlight w:val="none"/>
        </w:rPr>
        <w:t>日 期：    年  月</w:t>
      </w:r>
      <w:r>
        <w:rPr>
          <w:rFonts w:hint="eastAsia" w:ascii="宋体" w:hAnsi="宋体"/>
          <w:b/>
          <w:color w:val="auto"/>
          <w:sz w:val="24"/>
          <w:szCs w:val="20"/>
          <w:highlight w:val="none"/>
          <w:lang w:val="en-US" w:eastAsia="zh-CN"/>
        </w:rPr>
        <w:t xml:space="preserve">  日</w:t>
      </w:r>
    </w:p>
    <w:bookmarkEnd w:id="295"/>
    <w:bookmarkEnd w:id="296"/>
    <w:bookmarkEnd w:id="297"/>
    <w:p>
      <w:pPr>
        <w:spacing w:line="360" w:lineRule="auto"/>
        <w:outlineLvl w:val="0"/>
        <w:rPr>
          <w:rFonts w:hint="eastAsia" w:ascii="宋体" w:hAnsi="宋体"/>
          <w:color w:val="auto"/>
          <w:szCs w:val="21"/>
          <w:highlight w:val="none"/>
        </w:rPr>
      </w:pPr>
    </w:p>
    <w:sectPr>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auto"/>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Arial Narrow">
    <w:panose1 w:val="020B050602020203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ˎ̥">
    <w:altName w:val="Times New Roman"/>
    <w:panose1 w:val="020B0604020202020204"/>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szCs w:val="18"/>
      </w:rPr>
    </w:pPr>
    <w:r>
      <w:rPr>
        <w:rFonts w:hint="eastAsia"/>
        <w:szCs w:val="18"/>
      </w:rPr>
      <w:t>第</w:t>
    </w:r>
    <w:r>
      <w:rPr>
        <w:szCs w:val="18"/>
        <w:lang w:val="zh-CN"/>
      </w:rPr>
      <w:t xml:space="preserve"> </w:t>
    </w:r>
    <w:r>
      <w:rPr>
        <w:szCs w:val="18"/>
      </w:rPr>
      <w:fldChar w:fldCharType="begin"/>
    </w:r>
    <w:r>
      <w:rPr>
        <w:szCs w:val="18"/>
      </w:rPr>
      <w:instrText xml:space="preserve">PAGE</w:instrText>
    </w:r>
    <w:r>
      <w:rPr>
        <w:szCs w:val="18"/>
      </w:rPr>
      <w:fldChar w:fldCharType="separate"/>
    </w:r>
    <w:r>
      <w:rPr>
        <w:szCs w:val="18"/>
        <w:lang w:val="en-US" w:eastAsia="zh-CN"/>
      </w:rPr>
      <w:t>48</w:t>
    </w:r>
    <w:r>
      <w:rPr>
        <w:szCs w:val="18"/>
      </w:rPr>
      <w:fldChar w:fldCharType="end"/>
    </w:r>
    <w:r>
      <w:rPr>
        <w:szCs w:val="18"/>
        <w:lang w:val="zh-CN"/>
      </w:rPr>
      <w:t xml:space="preserve"> </w:t>
    </w:r>
    <w:r>
      <w:rPr>
        <w:rFonts w:hint="eastAsia"/>
        <w:szCs w:val="18"/>
        <w:lang w:val="zh-CN"/>
      </w:rPr>
      <w:t>页</w:t>
    </w:r>
    <w:r>
      <w:rPr>
        <w:szCs w:val="18"/>
        <w:lang w:val="zh-CN"/>
      </w:rPr>
      <w:t>/</w:t>
    </w:r>
    <w:r>
      <w:rPr>
        <w:rFonts w:hint="eastAsia"/>
        <w:szCs w:val="18"/>
        <w:lang w:val="zh-CN"/>
      </w:rPr>
      <w:t>共</w:t>
    </w:r>
    <w:r>
      <w:rPr>
        <w:rFonts w:hint="eastAsia"/>
        <w:szCs w:val="18"/>
        <w:lang w:val="en-US" w:eastAsia="zh-CN"/>
      </w:rPr>
      <w:t>62</w:t>
    </w:r>
    <w:r>
      <w:rPr>
        <w:rFonts w:hint="eastAsia"/>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wordWrap w:val="0"/>
      <w:snapToGrid w:val="0"/>
      <w:ind w:right="360"/>
      <w:rPr>
        <w:rFonts w:hint="eastAsia" w:ascii="宋体" w:hAnsi="宋体" w:eastAsia="宋体" w:cs="宋体"/>
        <w:sz w:val="18"/>
        <w:szCs w:val="20"/>
        <w:lang w:eastAsia="zh-CN"/>
      </w:rPr>
    </w:pPr>
    <w:r>
      <w:rPr>
        <w:rFonts w:hint="eastAsia" w:ascii="宋体" w:hAnsi="宋体" w:cs="宋体"/>
        <w:sz w:val="18"/>
        <w:szCs w:val="20"/>
        <w:lang w:eastAsia="zh-CN"/>
      </w:rPr>
      <w:t>嘉兴市中诚建设咨询有限公司</w:t>
    </w:r>
    <w:r>
      <w:rPr>
        <w:rFonts w:hint="eastAsia" w:ascii="宋体" w:hAnsi="宋体" w:cs="宋体"/>
        <w:sz w:val="18"/>
        <w:szCs w:val="20"/>
      </w:rPr>
      <w:t xml:space="preserve">采购文件        </w:t>
    </w:r>
    <w:r>
      <w:rPr>
        <w:rFonts w:hint="eastAsia" w:ascii="宋体" w:hAnsi="宋体" w:cs="宋体"/>
        <w:sz w:val="18"/>
        <w:szCs w:val="20"/>
        <w:lang w:val="en-US" w:eastAsia="zh-CN"/>
      </w:rPr>
      <w:t xml:space="preserve">   </w:t>
    </w:r>
    <w:r>
      <w:rPr>
        <w:rFonts w:hint="eastAsia" w:ascii="宋体" w:hAnsi="宋体" w:cs="宋体"/>
        <w:sz w:val="18"/>
        <w:szCs w:val="20"/>
      </w:rPr>
      <w:t xml:space="preserve">                                 项目编号：</w:t>
    </w:r>
    <w:r>
      <w:rPr>
        <w:rFonts w:hint="eastAsia" w:ascii="宋体" w:hAnsi="宋体" w:cs="宋体"/>
        <w:sz w:val="18"/>
        <w:szCs w:val="20"/>
        <w:lang w:eastAsia="zh-CN"/>
      </w:rPr>
      <w:t>HNZCCG20241001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7DC65"/>
    <w:multiLevelType w:val="singleLevel"/>
    <w:tmpl w:val="AE67DC65"/>
    <w:lvl w:ilvl="0" w:tentative="0">
      <w:start w:val="1"/>
      <w:numFmt w:val="chineseCounting"/>
      <w:suff w:val="nothing"/>
      <w:lvlText w:val="%1、"/>
      <w:lvlJc w:val="left"/>
      <w:rPr>
        <w:rFonts w:hint="eastAsia"/>
      </w:rPr>
    </w:lvl>
  </w:abstractNum>
  <w:abstractNum w:abstractNumId="1">
    <w:nsid w:val="DA294D09"/>
    <w:multiLevelType w:val="singleLevel"/>
    <w:tmpl w:val="DA294D09"/>
    <w:lvl w:ilvl="0" w:tentative="0">
      <w:start w:val="1"/>
      <w:numFmt w:val="decimal"/>
      <w:suff w:val="nothing"/>
      <w:lvlText w:val="%1、"/>
      <w:lvlJc w:val="left"/>
    </w:lvl>
  </w:abstractNum>
  <w:abstractNum w:abstractNumId="2">
    <w:nsid w:val="09FBEA77"/>
    <w:multiLevelType w:val="singleLevel"/>
    <w:tmpl w:val="09FBEA77"/>
    <w:lvl w:ilvl="0" w:tentative="0">
      <w:start w:val="4"/>
      <w:numFmt w:val="chineseCounting"/>
      <w:suff w:val="space"/>
      <w:lvlText w:val="第%1章"/>
      <w:lvlJc w:val="left"/>
      <w:rPr>
        <w:rFonts w:hint="eastAsia"/>
      </w:rPr>
    </w:lvl>
  </w:abstractNum>
  <w:abstractNum w:abstractNumId="3">
    <w:nsid w:val="57285AF4"/>
    <w:multiLevelType w:val="singleLevel"/>
    <w:tmpl w:val="57285AF4"/>
    <w:lvl w:ilvl="0" w:tentative="0">
      <w:start w:val="1"/>
      <w:numFmt w:val="chineseCounting"/>
      <w:suff w:val="nothing"/>
      <w:lvlText w:val="（%1）"/>
      <w:lvlJc w:val="left"/>
      <w:pPr>
        <w:tabs>
          <w:tab w:val="left" w:pos="0"/>
        </w:tabs>
        <w:ind w:left="0" w:firstLine="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N2ZiN2Y5NGZkZmZlM2ZhMWIxMmMwZDFjN2UzMWMifQ=="/>
  </w:docVars>
  <w:rsids>
    <w:rsidRoot w:val="00F8315C"/>
    <w:rsid w:val="00000485"/>
    <w:rsid w:val="00000C65"/>
    <w:rsid w:val="00001058"/>
    <w:rsid w:val="0000105C"/>
    <w:rsid w:val="00001CBD"/>
    <w:rsid w:val="00001DFE"/>
    <w:rsid w:val="00002211"/>
    <w:rsid w:val="0000245E"/>
    <w:rsid w:val="00002C2F"/>
    <w:rsid w:val="00002D23"/>
    <w:rsid w:val="00003783"/>
    <w:rsid w:val="000040E6"/>
    <w:rsid w:val="00004363"/>
    <w:rsid w:val="000046B3"/>
    <w:rsid w:val="00004709"/>
    <w:rsid w:val="0000666F"/>
    <w:rsid w:val="000068E5"/>
    <w:rsid w:val="0000692F"/>
    <w:rsid w:val="00006B41"/>
    <w:rsid w:val="00006C8C"/>
    <w:rsid w:val="00006E5C"/>
    <w:rsid w:val="000074AD"/>
    <w:rsid w:val="00007FA2"/>
    <w:rsid w:val="000104A4"/>
    <w:rsid w:val="00010594"/>
    <w:rsid w:val="00011086"/>
    <w:rsid w:val="000110C6"/>
    <w:rsid w:val="0001186E"/>
    <w:rsid w:val="000118D1"/>
    <w:rsid w:val="00011C1E"/>
    <w:rsid w:val="00012667"/>
    <w:rsid w:val="000127F2"/>
    <w:rsid w:val="0001286C"/>
    <w:rsid w:val="00012FC7"/>
    <w:rsid w:val="00013431"/>
    <w:rsid w:val="00013480"/>
    <w:rsid w:val="00014033"/>
    <w:rsid w:val="0001443E"/>
    <w:rsid w:val="00014EB2"/>
    <w:rsid w:val="000150E8"/>
    <w:rsid w:val="00015B85"/>
    <w:rsid w:val="00016008"/>
    <w:rsid w:val="00016839"/>
    <w:rsid w:val="00016AF8"/>
    <w:rsid w:val="00016B97"/>
    <w:rsid w:val="00016E9B"/>
    <w:rsid w:val="0001735C"/>
    <w:rsid w:val="00017B79"/>
    <w:rsid w:val="00020018"/>
    <w:rsid w:val="000200D7"/>
    <w:rsid w:val="00020159"/>
    <w:rsid w:val="000203DC"/>
    <w:rsid w:val="0002072E"/>
    <w:rsid w:val="0002075A"/>
    <w:rsid w:val="00020C21"/>
    <w:rsid w:val="00021127"/>
    <w:rsid w:val="000218C7"/>
    <w:rsid w:val="00021CB2"/>
    <w:rsid w:val="00021E53"/>
    <w:rsid w:val="000221D8"/>
    <w:rsid w:val="00022765"/>
    <w:rsid w:val="000230E3"/>
    <w:rsid w:val="00023392"/>
    <w:rsid w:val="000238F1"/>
    <w:rsid w:val="000238F7"/>
    <w:rsid w:val="00023B8E"/>
    <w:rsid w:val="00023BA2"/>
    <w:rsid w:val="00023CFA"/>
    <w:rsid w:val="000241EE"/>
    <w:rsid w:val="000248F2"/>
    <w:rsid w:val="00024B4F"/>
    <w:rsid w:val="0002504D"/>
    <w:rsid w:val="00025981"/>
    <w:rsid w:val="00025993"/>
    <w:rsid w:val="00026222"/>
    <w:rsid w:val="0002675F"/>
    <w:rsid w:val="00026A23"/>
    <w:rsid w:val="00027A95"/>
    <w:rsid w:val="00030221"/>
    <w:rsid w:val="00030D71"/>
    <w:rsid w:val="0003138C"/>
    <w:rsid w:val="000313B3"/>
    <w:rsid w:val="0003285B"/>
    <w:rsid w:val="000329BF"/>
    <w:rsid w:val="00032BFA"/>
    <w:rsid w:val="00032D48"/>
    <w:rsid w:val="00032DEB"/>
    <w:rsid w:val="00032ED0"/>
    <w:rsid w:val="0003332B"/>
    <w:rsid w:val="0003389F"/>
    <w:rsid w:val="000338A7"/>
    <w:rsid w:val="0003397C"/>
    <w:rsid w:val="00034043"/>
    <w:rsid w:val="0003407A"/>
    <w:rsid w:val="00034333"/>
    <w:rsid w:val="0003475E"/>
    <w:rsid w:val="000347A3"/>
    <w:rsid w:val="00034B5B"/>
    <w:rsid w:val="00034E36"/>
    <w:rsid w:val="000351F9"/>
    <w:rsid w:val="000352D1"/>
    <w:rsid w:val="00035C09"/>
    <w:rsid w:val="00035D59"/>
    <w:rsid w:val="00036092"/>
    <w:rsid w:val="00036192"/>
    <w:rsid w:val="00036456"/>
    <w:rsid w:val="00036AC2"/>
    <w:rsid w:val="00036FC4"/>
    <w:rsid w:val="00037D41"/>
    <w:rsid w:val="00037DB6"/>
    <w:rsid w:val="00037EBB"/>
    <w:rsid w:val="00040A88"/>
    <w:rsid w:val="00040FC9"/>
    <w:rsid w:val="000412C4"/>
    <w:rsid w:val="00041E75"/>
    <w:rsid w:val="00042C92"/>
    <w:rsid w:val="00042C9B"/>
    <w:rsid w:val="00042D35"/>
    <w:rsid w:val="00042F5B"/>
    <w:rsid w:val="00043237"/>
    <w:rsid w:val="00043378"/>
    <w:rsid w:val="000434A2"/>
    <w:rsid w:val="000436DC"/>
    <w:rsid w:val="00044344"/>
    <w:rsid w:val="0004469D"/>
    <w:rsid w:val="0004472C"/>
    <w:rsid w:val="0004478C"/>
    <w:rsid w:val="00045051"/>
    <w:rsid w:val="000456D5"/>
    <w:rsid w:val="000458EB"/>
    <w:rsid w:val="0004735B"/>
    <w:rsid w:val="00047738"/>
    <w:rsid w:val="000478D3"/>
    <w:rsid w:val="000504D0"/>
    <w:rsid w:val="000506E6"/>
    <w:rsid w:val="00050A2E"/>
    <w:rsid w:val="00050BC5"/>
    <w:rsid w:val="00051007"/>
    <w:rsid w:val="00051A27"/>
    <w:rsid w:val="00051E05"/>
    <w:rsid w:val="00052301"/>
    <w:rsid w:val="0005234F"/>
    <w:rsid w:val="0005256C"/>
    <w:rsid w:val="0005299F"/>
    <w:rsid w:val="000531CD"/>
    <w:rsid w:val="00053AB7"/>
    <w:rsid w:val="000540C5"/>
    <w:rsid w:val="000540CB"/>
    <w:rsid w:val="0005415F"/>
    <w:rsid w:val="00054438"/>
    <w:rsid w:val="0005444F"/>
    <w:rsid w:val="000547BD"/>
    <w:rsid w:val="0005484E"/>
    <w:rsid w:val="00054D83"/>
    <w:rsid w:val="00054E6D"/>
    <w:rsid w:val="000555DF"/>
    <w:rsid w:val="00055899"/>
    <w:rsid w:val="00055CDD"/>
    <w:rsid w:val="00056178"/>
    <w:rsid w:val="0005619F"/>
    <w:rsid w:val="0005657F"/>
    <w:rsid w:val="00056AB5"/>
    <w:rsid w:val="00056C98"/>
    <w:rsid w:val="000570E4"/>
    <w:rsid w:val="00057F39"/>
    <w:rsid w:val="000603E9"/>
    <w:rsid w:val="000605DD"/>
    <w:rsid w:val="00061633"/>
    <w:rsid w:val="00061CDA"/>
    <w:rsid w:val="000620E0"/>
    <w:rsid w:val="000620E3"/>
    <w:rsid w:val="000628EF"/>
    <w:rsid w:val="00062AE1"/>
    <w:rsid w:val="00062DFE"/>
    <w:rsid w:val="000630B6"/>
    <w:rsid w:val="00063721"/>
    <w:rsid w:val="000638C3"/>
    <w:rsid w:val="00063D0E"/>
    <w:rsid w:val="00063E65"/>
    <w:rsid w:val="00064A2C"/>
    <w:rsid w:val="00064AF5"/>
    <w:rsid w:val="00064B01"/>
    <w:rsid w:val="00065951"/>
    <w:rsid w:val="00065CE2"/>
    <w:rsid w:val="00065D1F"/>
    <w:rsid w:val="00066592"/>
    <w:rsid w:val="00066829"/>
    <w:rsid w:val="0006700E"/>
    <w:rsid w:val="0006728B"/>
    <w:rsid w:val="0006736D"/>
    <w:rsid w:val="00067C9D"/>
    <w:rsid w:val="00070006"/>
    <w:rsid w:val="00070275"/>
    <w:rsid w:val="000706FB"/>
    <w:rsid w:val="0007081E"/>
    <w:rsid w:val="0007145C"/>
    <w:rsid w:val="000718E7"/>
    <w:rsid w:val="00071B0C"/>
    <w:rsid w:val="00071D1E"/>
    <w:rsid w:val="0007253C"/>
    <w:rsid w:val="000725BD"/>
    <w:rsid w:val="00072ACA"/>
    <w:rsid w:val="000734AA"/>
    <w:rsid w:val="0007362E"/>
    <w:rsid w:val="00073768"/>
    <w:rsid w:val="000745F6"/>
    <w:rsid w:val="00074748"/>
    <w:rsid w:val="0007506D"/>
    <w:rsid w:val="000751F3"/>
    <w:rsid w:val="0007540C"/>
    <w:rsid w:val="00075668"/>
    <w:rsid w:val="000756F2"/>
    <w:rsid w:val="00075B03"/>
    <w:rsid w:val="00075D18"/>
    <w:rsid w:val="00075E8E"/>
    <w:rsid w:val="000764F4"/>
    <w:rsid w:val="00076738"/>
    <w:rsid w:val="0007691F"/>
    <w:rsid w:val="00080462"/>
    <w:rsid w:val="00080E84"/>
    <w:rsid w:val="00081435"/>
    <w:rsid w:val="000823D5"/>
    <w:rsid w:val="00082C66"/>
    <w:rsid w:val="00083258"/>
    <w:rsid w:val="00083825"/>
    <w:rsid w:val="00083BDA"/>
    <w:rsid w:val="00083D14"/>
    <w:rsid w:val="000841B9"/>
    <w:rsid w:val="00084259"/>
    <w:rsid w:val="00084327"/>
    <w:rsid w:val="00084DA4"/>
    <w:rsid w:val="00084DB3"/>
    <w:rsid w:val="00085503"/>
    <w:rsid w:val="00085786"/>
    <w:rsid w:val="00086A13"/>
    <w:rsid w:val="00087590"/>
    <w:rsid w:val="00087D9C"/>
    <w:rsid w:val="0009004A"/>
    <w:rsid w:val="00091937"/>
    <w:rsid w:val="00091A55"/>
    <w:rsid w:val="00091E4D"/>
    <w:rsid w:val="00092079"/>
    <w:rsid w:val="00092160"/>
    <w:rsid w:val="000925A6"/>
    <w:rsid w:val="00092608"/>
    <w:rsid w:val="00092748"/>
    <w:rsid w:val="00092FBE"/>
    <w:rsid w:val="000931E2"/>
    <w:rsid w:val="0009340D"/>
    <w:rsid w:val="00093564"/>
    <w:rsid w:val="00093797"/>
    <w:rsid w:val="00094305"/>
    <w:rsid w:val="000945BD"/>
    <w:rsid w:val="00094BCA"/>
    <w:rsid w:val="00095186"/>
    <w:rsid w:val="0009552B"/>
    <w:rsid w:val="00095A51"/>
    <w:rsid w:val="00096022"/>
    <w:rsid w:val="00096889"/>
    <w:rsid w:val="00096B98"/>
    <w:rsid w:val="00097770"/>
    <w:rsid w:val="0009784F"/>
    <w:rsid w:val="00097BFD"/>
    <w:rsid w:val="00097C73"/>
    <w:rsid w:val="000A0204"/>
    <w:rsid w:val="000A0229"/>
    <w:rsid w:val="000A0F6F"/>
    <w:rsid w:val="000A1555"/>
    <w:rsid w:val="000A1DF3"/>
    <w:rsid w:val="000A20D5"/>
    <w:rsid w:val="000A27F8"/>
    <w:rsid w:val="000A2B8C"/>
    <w:rsid w:val="000A2C54"/>
    <w:rsid w:val="000A4468"/>
    <w:rsid w:val="000A52A5"/>
    <w:rsid w:val="000A544A"/>
    <w:rsid w:val="000A56E5"/>
    <w:rsid w:val="000A5C27"/>
    <w:rsid w:val="000A5ED7"/>
    <w:rsid w:val="000A63D8"/>
    <w:rsid w:val="000A66BE"/>
    <w:rsid w:val="000A66CD"/>
    <w:rsid w:val="000A7225"/>
    <w:rsid w:val="000A7263"/>
    <w:rsid w:val="000A74C3"/>
    <w:rsid w:val="000A7C3A"/>
    <w:rsid w:val="000B051D"/>
    <w:rsid w:val="000B165B"/>
    <w:rsid w:val="000B1CDA"/>
    <w:rsid w:val="000B2283"/>
    <w:rsid w:val="000B22D0"/>
    <w:rsid w:val="000B2449"/>
    <w:rsid w:val="000B2F81"/>
    <w:rsid w:val="000B2FAB"/>
    <w:rsid w:val="000B3052"/>
    <w:rsid w:val="000B391D"/>
    <w:rsid w:val="000B3C23"/>
    <w:rsid w:val="000B4233"/>
    <w:rsid w:val="000B477E"/>
    <w:rsid w:val="000B516B"/>
    <w:rsid w:val="000B5887"/>
    <w:rsid w:val="000B5A2F"/>
    <w:rsid w:val="000B5EB5"/>
    <w:rsid w:val="000B62B3"/>
    <w:rsid w:val="000B6374"/>
    <w:rsid w:val="000B63B6"/>
    <w:rsid w:val="000B650C"/>
    <w:rsid w:val="000B6D91"/>
    <w:rsid w:val="000B7273"/>
    <w:rsid w:val="000B727B"/>
    <w:rsid w:val="000B75E8"/>
    <w:rsid w:val="000B7788"/>
    <w:rsid w:val="000B7DE2"/>
    <w:rsid w:val="000B7EBC"/>
    <w:rsid w:val="000C0CED"/>
    <w:rsid w:val="000C0D0C"/>
    <w:rsid w:val="000C176C"/>
    <w:rsid w:val="000C220D"/>
    <w:rsid w:val="000C2319"/>
    <w:rsid w:val="000C26D9"/>
    <w:rsid w:val="000C2FE0"/>
    <w:rsid w:val="000C3072"/>
    <w:rsid w:val="000C38A1"/>
    <w:rsid w:val="000C3AD9"/>
    <w:rsid w:val="000C475B"/>
    <w:rsid w:val="000C47CC"/>
    <w:rsid w:val="000C4853"/>
    <w:rsid w:val="000C48A7"/>
    <w:rsid w:val="000C492E"/>
    <w:rsid w:val="000C4BF9"/>
    <w:rsid w:val="000C4C6D"/>
    <w:rsid w:val="000C599A"/>
    <w:rsid w:val="000C5A5F"/>
    <w:rsid w:val="000C6078"/>
    <w:rsid w:val="000C6267"/>
    <w:rsid w:val="000C6329"/>
    <w:rsid w:val="000C6602"/>
    <w:rsid w:val="000C6A5C"/>
    <w:rsid w:val="000C76F1"/>
    <w:rsid w:val="000C791F"/>
    <w:rsid w:val="000D0D6F"/>
    <w:rsid w:val="000D0DDB"/>
    <w:rsid w:val="000D113D"/>
    <w:rsid w:val="000D1348"/>
    <w:rsid w:val="000D1536"/>
    <w:rsid w:val="000D15C8"/>
    <w:rsid w:val="000D1A34"/>
    <w:rsid w:val="000D1BCF"/>
    <w:rsid w:val="000D210F"/>
    <w:rsid w:val="000D21B0"/>
    <w:rsid w:val="000D231B"/>
    <w:rsid w:val="000D24B3"/>
    <w:rsid w:val="000D266E"/>
    <w:rsid w:val="000D2ACA"/>
    <w:rsid w:val="000D39B6"/>
    <w:rsid w:val="000D434A"/>
    <w:rsid w:val="000D4478"/>
    <w:rsid w:val="000D472D"/>
    <w:rsid w:val="000D4CED"/>
    <w:rsid w:val="000D4D6E"/>
    <w:rsid w:val="000D55A6"/>
    <w:rsid w:val="000D5D65"/>
    <w:rsid w:val="000D606B"/>
    <w:rsid w:val="000D6096"/>
    <w:rsid w:val="000D6253"/>
    <w:rsid w:val="000D6816"/>
    <w:rsid w:val="000D69D5"/>
    <w:rsid w:val="000D70CD"/>
    <w:rsid w:val="000D7595"/>
    <w:rsid w:val="000D75F4"/>
    <w:rsid w:val="000D775C"/>
    <w:rsid w:val="000E008D"/>
    <w:rsid w:val="000E0215"/>
    <w:rsid w:val="000E0664"/>
    <w:rsid w:val="000E0BE8"/>
    <w:rsid w:val="000E1175"/>
    <w:rsid w:val="000E21C4"/>
    <w:rsid w:val="000E2316"/>
    <w:rsid w:val="000E269E"/>
    <w:rsid w:val="000E3116"/>
    <w:rsid w:val="000E35F2"/>
    <w:rsid w:val="000E36BE"/>
    <w:rsid w:val="000E3929"/>
    <w:rsid w:val="000E3C03"/>
    <w:rsid w:val="000E3E1C"/>
    <w:rsid w:val="000E44BC"/>
    <w:rsid w:val="000E47C1"/>
    <w:rsid w:val="000E4963"/>
    <w:rsid w:val="000E5AB3"/>
    <w:rsid w:val="000E5FD1"/>
    <w:rsid w:val="000E6798"/>
    <w:rsid w:val="000E68D6"/>
    <w:rsid w:val="000E70AA"/>
    <w:rsid w:val="000E74BE"/>
    <w:rsid w:val="000E77CA"/>
    <w:rsid w:val="000F0134"/>
    <w:rsid w:val="000F0148"/>
    <w:rsid w:val="000F0490"/>
    <w:rsid w:val="000F05AD"/>
    <w:rsid w:val="000F0913"/>
    <w:rsid w:val="000F0C0E"/>
    <w:rsid w:val="000F1989"/>
    <w:rsid w:val="000F20BF"/>
    <w:rsid w:val="000F24CE"/>
    <w:rsid w:val="000F2A33"/>
    <w:rsid w:val="000F2B66"/>
    <w:rsid w:val="000F2D1F"/>
    <w:rsid w:val="000F3584"/>
    <w:rsid w:val="000F4813"/>
    <w:rsid w:val="000F4C51"/>
    <w:rsid w:val="000F4F3A"/>
    <w:rsid w:val="000F5251"/>
    <w:rsid w:val="000F58B3"/>
    <w:rsid w:val="000F5923"/>
    <w:rsid w:val="000F59EC"/>
    <w:rsid w:val="000F5B48"/>
    <w:rsid w:val="000F5D71"/>
    <w:rsid w:val="000F5E2A"/>
    <w:rsid w:val="000F626B"/>
    <w:rsid w:val="000F632F"/>
    <w:rsid w:val="000F6378"/>
    <w:rsid w:val="000F6ADF"/>
    <w:rsid w:val="000F6E4D"/>
    <w:rsid w:val="0010012C"/>
    <w:rsid w:val="0010073D"/>
    <w:rsid w:val="00100860"/>
    <w:rsid w:val="00100B79"/>
    <w:rsid w:val="00100D8C"/>
    <w:rsid w:val="00101406"/>
    <w:rsid w:val="00101DB4"/>
    <w:rsid w:val="00102070"/>
    <w:rsid w:val="00102071"/>
    <w:rsid w:val="00102959"/>
    <w:rsid w:val="001030A4"/>
    <w:rsid w:val="00103341"/>
    <w:rsid w:val="0010341B"/>
    <w:rsid w:val="001034F0"/>
    <w:rsid w:val="00104116"/>
    <w:rsid w:val="001044C7"/>
    <w:rsid w:val="00104628"/>
    <w:rsid w:val="00105C8D"/>
    <w:rsid w:val="00105D13"/>
    <w:rsid w:val="0010618E"/>
    <w:rsid w:val="00106208"/>
    <w:rsid w:val="001066C7"/>
    <w:rsid w:val="00106A92"/>
    <w:rsid w:val="00106AE6"/>
    <w:rsid w:val="001070E3"/>
    <w:rsid w:val="001076DE"/>
    <w:rsid w:val="00107911"/>
    <w:rsid w:val="00107B70"/>
    <w:rsid w:val="00107CD4"/>
    <w:rsid w:val="00110D98"/>
    <w:rsid w:val="00110EDE"/>
    <w:rsid w:val="001111CA"/>
    <w:rsid w:val="001112B2"/>
    <w:rsid w:val="00111389"/>
    <w:rsid w:val="00111AF2"/>
    <w:rsid w:val="00111B39"/>
    <w:rsid w:val="00111F7F"/>
    <w:rsid w:val="001123B1"/>
    <w:rsid w:val="0011260C"/>
    <w:rsid w:val="001127D4"/>
    <w:rsid w:val="00113880"/>
    <w:rsid w:val="00113953"/>
    <w:rsid w:val="00114362"/>
    <w:rsid w:val="00114743"/>
    <w:rsid w:val="00114CA1"/>
    <w:rsid w:val="00114DD2"/>
    <w:rsid w:val="0011563C"/>
    <w:rsid w:val="0011564F"/>
    <w:rsid w:val="001159C7"/>
    <w:rsid w:val="00116382"/>
    <w:rsid w:val="001163F5"/>
    <w:rsid w:val="0011654E"/>
    <w:rsid w:val="0011671C"/>
    <w:rsid w:val="00116934"/>
    <w:rsid w:val="0011725E"/>
    <w:rsid w:val="001179B6"/>
    <w:rsid w:val="00117A6E"/>
    <w:rsid w:val="00117BE1"/>
    <w:rsid w:val="00117DD0"/>
    <w:rsid w:val="00120043"/>
    <w:rsid w:val="00120661"/>
    <w:rsid w:val="001216BB"/>
    <w:rsid w:val="00121BCB"/>
    <w:rsid w:val="00122072"/>
    <w:rsid w:val="00122357"/>
    <w:rsid w:val="00122529"/>
    <w:rsid w:val="00122A00"/>
    <w:rsid w:val="00123080"/>
    <w:rsid w:val="001231CF"/>
    <w:rsid w:val="00123BFF"/>
    <w:rsid w:val="00124144"/>
    <w:rsid w:val="00124212"/>
    <w:rsid w:val="001249C7"/>
    <w:rsid w:val="00124A39"/>
    <w:rsid w:val="00126810"/>
    <w:rsid w:val="00126995"/>
    <w:rsid w:val="00126B7F"/>
    <w:rsid w:val="00126D5C"/>
    <w:rsid w:val="00126E05"/>
    <w:rsid w:val="00126E0B"/>
    <w:rsid w:val="0012742A"/>
    <w:rsid w:val="0012774A"/>
    <w:rsid w:val="001301A0"/>
    <w:rsid w:val="001302ED"/>
    <w:rsid w:val="00130B00"/>
    <w:rsid w:val="00130F49"/>
    <w:rsid w:val="001314EE"/>
    <w:rsid w:val="0013194C"/>
    <w:rsid w:val="00132003"/>
    <w:rsid w:val="0013203D"/>
    <w:rsid w:val="0013286B"/>
    <w:rsid w:val="00132F59"/>
    <w:rsid w:val="00133379"/>
    <w:rsid w:val="00133CF5"/>
    <w:rsid w:val="00133F13"/>
    <w:rsid w:val="00134172"/>
    <w:rsid w:val="00134710"/>
    <w:rsid w:val="00134B5D"/>
    <w:rsid w:val="00134D3C"/>
    <w:rsid w:val="001359F5"/>
    <w:rsid w:val="0013626B"/>
    <w:rsid w:val="0013660F"/>
    <w:rsid w:val="00136958"/>
    <w:rsid w:val="00137597"/>
    <w:rsid w:val="00140D58"/>
    <w:rsid w:val="00141299"/>
    <w:rsid w:val="001417AC"/>
    <w:rsid w:val="00141862"/>
    <w:rsid w:val="00141FF5"/>
    <w:rsid w:val="00142B46"/>
    <w:rsid w:val="001434C8"/>
    <w:rsid w:val="00143DE9"/>
    <w:rsid w:val="00143EFB"/>
    <w:rsid w:val="001445C0"/>
    <w:rsid w:val="00144B30"/>
    <w:rsid w:val="00144B5B"/>
    <w:rsid w:val="00144DFE"/>
    <w:rsid w:val="00145091"/>
    <w:rsid w:val="00145C2C"/>
    <w:rsid w:val="0014625F"/>
    <w:rsid w:val="00146818"/>
    <w:rsid w:val="00146880"/>
    <w:rsid w:val="001469C7"/>
    <w:rsid w:val="001470F4"/>
    <w:rsid w:val="001471DB"/>
    <w:rsid w:val="0014743B"/>
    <w:rsid w:val="00147588"/>
    <w:rsid w:val="00147833"/>
    <w:rsid w:val="001478D2"/>
    <w:rsid w:val="0015033C"/>
    <w:rsid w:val="0015036B"/>
    <w:rsid w:val="00150B0F"/>
    <w:rsid w:val="00150F6A"/>
    <w:rsid w:val="001517DD"/>
    <w:rsid w:val="0015197E"/>
    <w:rsid w:val="00151BA0"/>
    <w:rsid w:val="0015225A"/>
    <w:rsid w:val="001523E6"/>
    <w:rsid w:val="00152503"/>
    <w:rsid w:val="00153007"/>
    <w:rsid w:val="001530C4"/>
    <w:rsid w:val="0015366A"/>
    <w:rsid w:val="001545D8"/>
    <w:rsid w:val="00155075"/>
    <w:rsid w:val="001550B1"/>
    <w:rsid w:val="00155129"/>
    <w:rsid w:val="00155856"/>
    <w:rsid w:val="00155B77"/>
    <w:rsid w:val="00155E4B"/>
    <w:rsid w:val="0015632C"/>
    <w:rsid w:val="00157036"/>
    <w:rsid w:val="0015735F"/>
    <w:rsid w:val="00157375"/>
    <w:rsid w:val="0016062C"/>
    <w:rsid w:val="00160D05"/>
    <w:rsid w:val="001615C7"/>
    <w:rsid w:val="00161BF6"/>
    <w:rsid w:val="00162350"/>
    <w:rsid w:val="001629D1"/>
    <w:rsid w:val="00162CDC"/>
    <w:rsid w:val="0016342A"/>
    <w:rsid w:val="00163AA7"/>
    <w:rsid w:val="00163B9A"/>
    <w:rsid w:val="001640DC"/>
    <w:rsid w:val="00164BAE"/>
    <w:rsid w:val="00164EC8"/>
    <w:rsid w:val="00165489"/>
    <w:rsid w:val="0016558F"/>
    <w:rsid w:val="0016572F"/>
    <w:rsid w:val="0016584D"/>
    <w:rsid w:val="00165975"/>
    <w:rsid w:val="001659B2"/>
    <w:rsid w:val="00165B21"/>
    <w:rsid w:val="00165E91"/>
    <w:rsid w:val="00166205"/>
    <w:rsid w:val="001664D7"/>
    <w:rsid w:val="00166934"/>
    <w:rsid w:val="00166F5B"/>
    <w:rsid w:val="001679CA"/>
    <w:rsid w:val="00167F29"/>
    <w:rsid w:val="00167F98"/>
    <w:rsid w:val="00170591"/>
    <w:rsid w:val="00170C04"/>
    <w:rsid w:val="00171575"/>
    <w:rsid w:val="00172B7B"/>
    <w:rsid w:val="00172D29"/>
    <w:rsid w:val="00172FD6"/>
    <w:rsid w:val="00173747"/>
    <w:rsid w:val="00174151"/>
    <w:rsid w:val="00174591"/>
    <w:rsid w:val="00174D36"/>
    <w:rsid w:val="00174DF7"/>
    <w:rsid w:val="001755D9"/>
    <w:rsid w:val="00175A48"/>
    <w:rsid w:val="00175BE9"/>
    <w:rsid w:val="00176C6D"/>
    <w:rsid w:val="001773A4"/>
    <w:rsid w:val="00177A0D"/>
    <w:rsid w:val="00177FBE"/>
    <w:rsid w:val="00180F6E"/>
    <w:rsid w:val="001817F7"/>
    <w:rsid w:val="00181FF5"/>
    <w:rsid w:val="00182212"/>
    <w:rsid w:val="00182B24"/>
    <w:rsid w:val="00182DFD"/>
    <w:rsid w:val="001830B9"/>
    <w:rsid w:val="0018351C"/>
    <w:rsid w:val="00183878"/>
    <w:rsid w:val="00183A82"/>
    <w:rsid w:val="00183C3F"/>
    <w:rsid w:val="001843C2"/>
    <w:rsid w:val="00184518"/>
    <w:rsid w:val="00184B83"/>
    <w:rsid w:val="00184D6D"/>
    <w:rsid w:val="00184F00"/>
    <w:rsid w:val="00185954"/>
    <w:rsid w:val="00185D69"/>
    <w:rsid w:val="00185E00"/>
    <w:rsid w:val="00185EC7"/>
    <w:rsid w:val="001864E6"/>
    <w:rsid w:val="00186DA0"/>
    <w:rsid w:val="0018739E"/>
    <w:rsid w:val="00187651"/>
    <w:rsid w:val="00187EC8"/>
    <w:rsid w:val="00191167"/>
    <w:rsid w:val="001914E3"/>
    <w:rsid w:val="0019192F"/>
    <w:rsid w:val="00192279"/>
    <w:rsid w:val="001926A0"/>
    <w:rsid w:val="00192B3C"/>
    <w:rsid w:val="00193376"/>
    <w:rsid w:val="0019391F"/>
    <w:rsid w:val="0019429D"/>
    <w:rsid w:val="001949A8"/>
    <w:rsid w:val="00195929"/>
    <w:rsid w:val="0019783A"/>
    <w:rsid w:val="001978BD"/>
    <w:rsid w:val="001979B1"/>
    <w:rsid w:val="001A109A"/>
    <w:rsid w:val="001A1102"/>
    <w:rsid w:val="001A1171"/>
    <w:rsid w:val="001A126D"/>
    <w:rsid w:val="001A2005"/>
    <w:rsid w:val="001A295D"/>
    <w:rsid w:val="001A3879"/>
    <w:rsid w:val="001A39FC"/>
    <w:rsid w:val="001A3E91"/>
    <w:rsid w:val="001A40D9"/>
    <w:rsid w:val="001A4277"/>
    <w:rsid w:val="001A447C"/>
    <w:rsid w:val="001A493A"/>
    <w:rsid w:val="001A4C2A"/>
    <w:rsid w:val="001A4D8C"/>
    <w:rsid w:val="001A4F37"/>
    <w:rsid w:val="001A541E"/>
    <w:rsid w:val="001A545D"/>
    <w:rsid w:val="001A552F"/>
    <w:rsid w:val="001A5555"/>
    <w:rsid w:val="001A564A"/>
    <w:rsid w:val="001A5774"/>
    <w:rsid w:val="001A59AE"/>
    <w:rsid w:val="001A5A10"/>
    <w:rsid w:val="001A5E66"/>
    <w:rsid w:val="001A65D0"/>
    <w:rsid w:val="001A6C88"/>
    <w:rsid w:val="001A6F9B"/>
    <w:rsid w:val="001A6FC8"/>
    <w:rsid w:val="001A74F7"/>
    <w:rsid w:val="001A7B48"/>
    <w:rsid w:val="001B067B"/>
    <w:rsid w:val="001B0861"/>
    <w:rsid w:val="001B0DCC"/>
    <w:rsid w:val="001B0E5E"/>
    <w:rsid w:val="001B10A9"/>
    <w:rsid w:val="001B1938"/>
    <w:rsid w:val="001B214F"/>
    <w:rsid w:val="001B25BC"/>
    <w:rsid w:val="001B2D1A"/>
    <w:rsid w:val="001B30EC"/>
    <w:rsid w:val="001B34C4"/>
    <w:rsid w:val="001B3797"/>
    <w:rsid w:val="001B3EF6"/>
    <w:rsid w:val="001B4720"/>
    <w:rsid w:val="001B5605"/>
    <w:rsid w:val="001B5F89"/>
    <w:rsid w:val="001B6CE3"/>
    <w:rsid w:val="001B7248"/>
    <w:rsid w:val="001B72FC"/>
    <w:rsid w:val="001B74BB"/>
    <w:rsid w:val="001B783F"/>
    <w:rsid w:val="001B7997"/>
    <w:rsid w:val="001B7D80"/>
    <w:rsid w:val="001B7E57"/>
    <w:rsid w:val="001C06D8"/>
    <w:rsid w:val="001C074F"/>
    <w:rsid w:val="001C0D04"/>
    <w:rsid w:val="001C14BF"/>
    <w:rsid w:val="001C1586"/>
    <w:rsid w:val="001C188F"/>
    <w:rsid w:val="001C1CA7"/>
    <w:rsid w:val="001C1F48"/>
    <w:rsid w:val="001C23DB"/>
    <w:rsid w:val="001C268B"/>
    <w:rsid w:val="001C26B6"/>
    <w:rsid w:val="001C3003"/>
    <w:rsid w:val="001C3129"/>
    <w:rsid w:val="001C3A50"/>
    <w:rsid w:val="001C3B11"/>
    <w:rsid w:val="001C3D12"/>
    <w:rsid w:val="001C46E7"/>
    <w:rsid w:val="001C4845"/>
    <w:rsid w:val="001C508E"/>
    <w:rsid w:val="001C5092"/>
    <w:rsid w:val="001C57C7"/>
    <w:rsid w:val="001C59B0"/>
    <w:rsid w:val="001C6026"/>
    <w:rsid w:val="001C65E7"/>
    <w:rsid w:val="001C678A"/>
    <w:rsid w:val="001C6C66"/>
    <w:rsid w:val="001C6CFA"/>
    <w:rsid w:val="001C734A"/>
    <w:rsid w:val="001C737B"/>
    <w:rsid w:val="001C7937"/>
    <w:rsid w:val="001C79B6"/>
    <w:rsid w:val="001C7BC3"/>
    <w:rsid w:val="001D0077"/>
    <w:rsid w:val="001D05DF"/>
    <w:rsid w:val="001D0725"/>
    <w:rsid w:val="001D12F8"/>
    <w:rsid w:val="001D1748"/>
    <w:rsid w:val="001D1DBD"/>
    <w:rsid w:val="001D2BEA"/>
    <w:rsid w:val="001D2DDB"/>
    <w:rsid w:val="001D2F2C"/>
    <w:rsid w:val="001D317E"/>
    <w:rsid w:val="001D3B4D"/>
    <w:rsid w:val="001D3BC7"/>
    <w:rsid w:val="001D3EDC"/>
    <w:rsid w:val="001D3F92"/>
    <w:rsid w:val="001D3FFE"/>
    <w:rsid w:val="001D488B"/>
    <w:rsid w:val="001D4B51"/>
    <w:rsid w:val="001D4E11"/>
    <w:rsid w:val="001D4F35"/>
    <w:rsid w:val="001D53D6"/>
    <w:rsid w:val="001D53F4"/>
    <w:rsid w:val="001D5A6C"/>
    <w:rsid w:val="001D6646"/>
    <w:rsid w:val="001D680C"/>
    <w:rsid w:val="001D6826"/>
    <w:rsid w:val="001D6AED"/>
    <w:rsid w:val="001D6F0A"/>
    <w:rsid w:val="001D71EF"/>
    <w:rsid w:val="001D76FD"/>
    <w:rsid w:val="001E012E"/>
    <w:rsid w:val="001E01EE"/>
    <w:rsid w:val="001E03CB"/>
    <w:rsid w:val="001E0564"/>
    <w:rsid w:val="001E10E7"/>
    <w:rsid w:val="001E126D"/>
    <w:rsid w:val="001E1AAD"/>
    <w:rsid w:val="001E220D"/>
    <w:rsid w:val="001E2269"/>
    <w:rsid w:val="001E23A8"/>
    <w:rsid w:val="001E2A5E"/>
    <w:rsid w:val="001E32CE"/>
    <w:rsid w:val="001E3870"/>
    <w:rsid w:val="001E3B6E"/>
    <w:rsid w:val="001E3C6A"/>
    <w:rsid w:val="001E408B"/>
    <w:rsid w:val="001E40F6"/>
    <w:rsid w:val="001E4528"/>
    <w:rsid w:val="001E46D9"/>
    <w:rsid w:val="001E543F"/>
    <w:rsid w:val="001E5CA1"/>
    <w:rsid w:val="001E640E"/>
    <w:rsid w:val="001E6791"/>
    <w:rsid w:val="001E6AEA"/>
    <w:rsid w:val="001E6FD8"/>
    <w:rsid w:val="001E6FFF"/>
    <w:rsid w:val="001E7BD8"/>
    <w:rsid w:val="001E7BFF"/>
    <w:rsid w:val="001F01EE"/>
    <w:rsid w:val="001F0E9B"/>
    <w:rsid w:val="001F159F"/>
    <w:rsid w:val="001F1825"/>
    <w:rsid w:val="001F1B26"/>
    <w:rsid w:val="001F1BD7"/>
    <w:rsid w:val="001F1DE2"/>
    <w:rsid w:val="001F2056"/>
    <w:rsid w:val="001F26E0"/>
    <w:rsid w:val="001F2CAB"/>
    <w:rsid w:val="001F333B"/>
    <w:rsid w:val="001F346B"/>
    <w:rsid w:val="001F3866"/>
    <w:rsid w:val="001F398C"/>
    <w:rsid w:val="001F3E50"/>
    <w:rsid w:val="001F3E64"/>
    <w:rsid w:val="001F4A3D"/>
    <w:rsid w:val="001F4B83"/>
    <w:rsid w:val="001F4BE5"/>
    <w:rsid w:val="001F4CF4"/>
    <w:rsid w:val="001F53CE"/>
    <w:rsid w:val="001F56E5"/>
    <w:rsid w:val="001F59B0"/>
    <w:rsid w:val="001F5B37"/>
    <w:rsid w:val="001F63D2"/>
    <w:rsid w:val="001F671A"/>
    <w:rsid w:val="001F6B16"/>
    <w:rsid w:val="001F6E37"/>
    <w:rsid w:val="001F6E79"/>
    <w:rsid w:val="001F7689"/>
    <w:rsid w:val="001F7AAE"/>
    <w:rsid w:val="001F7ADA"/>
    <w:rsid w:val="001F7BB5"/>
    <w:rsid w:val="001F7C1F"/>
    <w:rsid w:val="001F7F33"/>
    <w:rsid w:val="002005C6"/>
    <w:rsid w:val="002010C1"/>
    <w:rsid w:val="00201E58"/>
    <w:rsid w:val="00203D85"/>
    <w:rsid w:val="00204353"/>
    <w:rsid w:val="002047E2"/>
    <w:rsid w:val="002050D8"/>
    <w:rsid w:val="00205577"/>
    <w:rsid w:val="002055BB"/>
    <w:rsid w:val="00205D20"/>
    <w:rsid w:val="0020606C"/>
    <w:rsid w:val="002061F8"/>
    <w:rsid w:val="00206368"/>
    <w:rsid w:val="00206903"/>
    <w:rsid w:val="00206B69"/>
    <w:rsid w:val="00206B7D"/>
    <w:rsid w:val="00206C9A"/>
    <w:rsid w:val="00206D22"/>
    <w:rsid w:val="00206D8A"/>
    <w:rsid w:val="00207419"/>
    <w:rsid w:val="00207560"/>
    <w:rsid w:val="002075C6"/>
    <w:rsid w:val="00207C77"/>
    <w:rsid w:val="002101B2"/>
    <w:rsid w:val="002102CF"/>
    <w:rsid w:val="0021053D"/>
    <w:rsid w:val="002107FF"/>
    <w:rsid w:val="00211611"/>
    <w:rsid w:val="002116CE"/>
    <w:rsid w:val="00211EDF"/>
    <w:rsid w:val="00212665"/>
    <w:rsid w:val="00212EEC"/>
    <w:rsid w:val="00213199"/>
    <w:rsid w:val="002138AB"/>
    <w:rsid w:val="002144DF"/>
    <w:rsid w:val="002147B1"/>
    <w:rsid w:val="002147DA"/>
    <w:rsid w:val="00214BC0"/>
    <w:rsid w:val="00214E26"/>
    <w:rsid w:val="00214EED"/>
    <w:rsid w:val="00215B93"/>
    <w:rsid w:val="002166CF"/>
    <w:rsid w:val="002168A4"/>
    <w:rsid w:val="002169E4"/>
    <w:rsid w:val="002175C1"/>
    <w:rsid w:val="00217613"/>
    <w:rsid w:val="002178D4"/>
    <w:rsid w:val="002207A6"/>
    <w:rsid w:val="00221225"/>
    <w:rsid w:val="002215DB"/>
    <w:rsid w:val="002218C4"/>
    <w:rsid w:val="00221A71"/>
    <w:rsid w:val="00222126"/>
    <w:rsid w:val="00222485"/>
    <w:rsid w:val="00222BA1"/>
    <w:rsid w:val="00222EB6"/>
    <w:rsid w:val="00223669"/>
    <w:rsid w:val="00223985"/>
    <w:rsid w:val="00223D1D"/>
    <w:rsid w:val="00223DCB"/>
    <w:rsid w:val="00223DEC"/>
    <w:rsid w:val="0022439A"/>
    <w:rsid w:val="00224C1D"/>
    <w:rsid w:val="00224C78"/>
    <w:rsid w:val="002255E2"/>
    <w:rsid w:val="00225C17"/>
    <w:rsid w:val="00226158"/>
    <w:rsid w:val="002263E5"/>
    <w:rsid w:val="00226487"/>
    <w:rsid w:val="0022665B"/>
    <w:rsid w:val="00227832"/>
    <w:rsid w:val="00227F01"/>
    <w:rsid w:val="002300AC"/>
    <w:rsid w:val="002302DE"/>
    <w:rsid w:val="002304FB"/>
    <w:rsid w:val="00230578"/>
    <w:rsid w:val="00230944"/>
    <w:rsid w:val="00231567"/>
    <w:rsid w:val="00231756"/>
    <w:rsid w:val="00231998"/>
    <w:rsid w:val="0023199D"/>
    <w:rsid w:val="002319DE"/>
    <w:rsid w:val="00231CA9"/>
    <w:rsid w:val="00232510"/>
    <w:rsid w:val="002328CE"/>
    <w:rsid w:val="00232D1D"/>
    <w:rsid w:val="002330FB"/>
    <w:rsid w:val="00233599"/>
    <w:rsid w:val="00234219"/>
    <w:rsid w:val="002344A6"/>
    <w:rsid w:val="002344B3"/>
    <w:rsid w:val="00234A66"/>
    <w:rsid w:val="00234CA0"/>
    <w:rsid w:val="00234DA9"/>
    <w:rsid w:val="00234FBC"/>
    <w:rsid w:val="002352B0"/>
    <w:rsid w:val="00235600"/>
    <w:rsid w:val="00235B69"/>
    <w:rsid w:val="00237C7F"/>
    <w:rsid w:val="00240547"/>
    <w:rsid w:val="0024063B"/>
    <w:rsid w:val="00240703"/>
    <w:rsid w:val="00240C74"/>
    <w:rsid w:val="00240F5A"/>
    <w:rsid w:val="00241301"/>
    <w:rsid w:val="00241B36"/>
    <w:rsid w:val="0024215E"/>
    <w:rsid w:val="002428E2"/>
    <w:rsid w:val="00242D3F"/>
    <w:rsid w:val="00242D82"/>
    <w:rsid w:val="00242F03"/>
    <w:rsid w:val="002430AC"/>
    <w:rsid w:val="00243DA8"/>
    <w:rsid w:val="002443B8"/>
    <w:rsid w:val="002444D3"/>
    <w:rsid w:val="00244E6C"/>
    <w:rsid w:val="0024523A"/>
    <w:rsid w:val="0024552B"/>
    <w:rsid w:val="0024589F"/>
    <w:rsid w:val="00245A2A"/>
    <w:rsid w:val="00246071"/>
    <w:rsid w:val="00246DE1"/>
    <w:rsid w:val="00246FD4"/>
    <w:rsid w:val="00247447"/>
    <w:rsid w:val="00247C9A"/>
    <w:rsid w:val="00247DCE"/>
    <w:rsid w:val="00250897"/>
    <w:rsid w:val="00250D8E"/>
    <w:rsid w:val="00251206"/>
    <w:rsid w:val="002522AD"/>
    <w:rsid w:val="00252595"/>
    <w:rsid w:val="00252669"/>
    <w:rsid w:val="002535B1"/>
    <w:rsid w:val="002537D9"/>
    <w:rsid w:val="002537E9"/>
    <w:rsid w:val="00255E90"/>
    <w:rsid w:val="00255F93"/>
    <w:rsid w:val="002561BB"/>
    <w:rsid w:val="00256876"/>
    <w:rsid w:val="00256B6A"/>
    <w:rsid w:val="00256E25"/>
    <w:rsid w:val="0025716D"/>
    <w:rsid w:val="00257302"/>
    <w:rsid w:val="00257475"/>
    <w:rsid w:val="002577DF"/>
    <w:rsid w:val="00257C3A"/>
    <w:rsid w:val="00260CDD"/>
    <w:rsid w:val="00260D0B"/>
    <w:rsid w:val="00260D48"/>
    <w:rsid w:val="00261106"/>
    <w:rsid w:val="0026120A"/>
    <w:rsid w:val="002618E4"/>
    <w:rsid w:val="0026208D"/>
    <w:rsid w:val="00262C01"/>
    <w:rsid w:val="00262D7A"/>
    <w:rsid w:val="00263816"/>
    <w:rsid w:val="00263E37"/>
    <w:rsid w:val="00264021"/>
    <w:rsid w:val="0026460C"/>
    <w:rsid w:val="002655E2"/>
    <w:rsid w:val="00265CE5"/>
    <w:rsid w:val="00265F88"/>
    <w:rsid w:val="0026601B"/>
    <w:rsid w:val="00266B3E"/>
    <w:rsid w:val="0026705A"/>
    <w:rsid w:val="00267501"/>
    <w:rsid w:val="002678F1"/>
    <w:rsid w:val="002679B5"/>
    <w:rsid w:val="00267B94"/>
    <w:rsid w:val="00270108"/>
    <w:rsid w:val="00270846"/>
    <w:rsid w:val="00270933"/>
    <w:rsid w:val="00271206"/>
    <w:rsid w:val="0027122D"/>
    <w:rsid w:val="002720EF"/>
    <w:rsid w:val="0027256A"/>
    <w:rsid w:val="00272840"/>
    <w:rsid w:val="0027302C"/>
    <w:rsid w:val="00273085"/>
    <w:rsid w:val="002735F6"/>
    <w:rsid w:val="0027384A"/>
    <w:rsid w:val="00274850"/>
    <w:rsid w:val="00275795"/>
    <w:rsid w:val="00276164"/>
    <w:rsid w:val="002765C5"/>
    <w:rsid w:val="002766B8"/>
    <w:rsid w:val="002767DC"/>
    <w:rsid w:val="002768DA"/>
    <w:rsid w:val="00276A34"/>
    <w:rsid w:val="00276AA6"/>
    <w:rsid w:val="00276D33"/>
    <w:rsid w:val="00276F42"/>
    <w:rsid w:val="00277069"/>
    <w:rsid w:val="00277494"/>
    <w:rsid w:val="00277C08"/>
    <w:rsid w:val="00277D1E"/>
    <w:rsid w:val="002800E7"/>
    <w:rsid w:val="0028041C"/>
    <w:rsid w:val="002804CF"/>
    <w:rsid w:val="00280662"/>
    <w:rsid w:val="00281286"/>
    <w:rsid w:val="0028199A"/>
    <w:rsid w:val="00281BF8"/>
    <w:rsid w:val="00281CF9"/>
    <w:rsid w:val="00281D0B"/>
    <w:rsid w:val="00281D0D"/>
    <w:rsid w:val="00281F1D"/>
    <w:rsid w:val="00282B52"/>
    <w:rsid w:val="00283EE0"/>
    <w:rsid w:val="002843B8"/>
    <w:rsid w:val="002849E4"/>
    <w:rsid w:val="00284B54"/>
    <w:rsid w:val="00284E18"/>
    <w:rsid w:val="00285546"/>
    <w:rsid w:val="00285932"/>
    <w:rsid w:val="00285EFD"/>
    <w:rsid w:val="0028677A"/>
    <w:rsid w:val="00286AD6"/>
    <w:rsid w:val="00286CE7"/>
    <w:rsid w:val="00286DC2"/>
    <w:rsid w:val="00287078"/>
    <w:rsid w:val="00287542"/>
    <w:rsid w:val="00287BBD"/>
    <w:rsid w:val="00291559"/>
    <w:rsid w:val="00291AE8"/>
    <w:rsid w:val="00291B42"/>
    <w:rsid w:val="00291BCE"/>
    <w:rsid w:val="00291CB1"/>
    <w:rsid w:val="00292137"/>
    <w:rsid w:val="00292148"/>
    <w:rsid w:val="002924F5"/>
    <w:rsid w:val="00292552"/>
    <w:rsid w:val="00292682"/>
    <w:rsid w:val="00293031"/>
    <w:rsid w:val="00293394"/>
    <w:rsid w:val="00293936"/>
    <w:rsid w:val="00293A88"/>
    <w:rsid w:val="00293B4D"/>
    <w:rsid w:val="00293EBB"/>
    <w:rsid w:val="00293FB4"/>
    <w:rsid w:val="00295308"/>
    <w:rsid w:val="00296318"/>
    <w:rsid w:val="002966B8"/>
    <w:rsid w:val="00296C38"/>
    <w:rsid w:val="00297141"/>
    <w:rsid w:val="00297B2C"/>
    <w:rsid w:val="00297C78"/>
    <w:rsid w:val="002A0042"/>
    <w:rsid w:val="002A018C"/>
    <w:rsid w:val="002A0E9A"/>
    <w:rsid w:val="002A156D"/>
    <w:rsid w:val="002A1E1B"/>
    <w:rsid w:val="002A20A1"/>
    <w:rsid w:val="002A20C1"/>
    <w:rsid w:val="002A21B4"/>
    <w:rsid w:val="002A2544"/>
    <w:rsid w:val="002A28D4"/>
    <w:rsid w:val="002A2E80"/>
    <w:rsid w:val="002A456E"/>
    <w:rsid w:val="002A46D6"/>
    <w:rsid w:val="002A4CD5"/>
    <w:rsid w:val="002A4F4E"/>
    <w:rsid w:val="002A5E8E"/>
    <w:rsid w:val="002A5EDB"/>
    <w:rsid w:val="002A6A17"/>
    <w:rsid w:val="002A6F56"/>
    <w:rsid w:val="002B0055"/>
    <w:rsid w:val="002B0497"/>
    <w:rsid w:val="002B083C"/>
    <w:rsid w:val="002B097F"/>
    <w:rsid w:val="002B1178"/>
    <w:rsid w:val="002B19E5"/>
    <w:rsid w:val="002B1AB7"/>
    <w:rsid w:val="002B1B34"/>
    <w:rsid w:val="002B1D3A"/>
    <w:rsid w:val="002B258D"/>
    <w:rsid w:val="002B2C45"/>
    <w:rsid w:val="002B2DCB"/>
    <w:rsid w:val="002B3260"/>
    <w:rsid w:val="002B3377"/>
    <w:rsid w:val="002B370A"/>
    <w:rsid w:val="002B3BDB"/>
    <w:rsid w:val="002B412E"/>
    <w:rsid w:val="002B4322"/>
    <w:rsid w:val="002B4334"/>
    <w:rsid w:val="002B4A06"/>
    <w:rsid w:val="002B4B77"/>
    <w:rsid w:val="002B5E97"/>
    <w:rsid w:val="002B6091"/>
    <w:rsid w:val="002B63FD"/>
    <w:rsid w:val="002B6802"/>
    <w:rsid w:val="002B699E"/>
    <w:rsid w:val="002B6D5C"/>
    <w:rsid w:val="002B70CE"/>
    <w:rsid w:val="002B725F"/>
    <w:rsid w:val="002B78F0"/>
    <w:rsid w:val="002B78FA"/>
    <w:rsid w:val="002B7A29"/>
    <w:rsid w:val="002B7AFC"/>
    <w:rsid w:val="002B7BC0"/>
    <w:rsid w:val="002B7C2D"/>
    <w:rsid w:val="002C0295"/>
    <w:rsid w:val="002C032F"/>
    <w:rsid w:val="002C085D"/>
    <w:rsid w:val="002C0B2A"/>
    <w:rsid w:val="002C1292"/>
    <w:rsid w:val="002C163D"/>
    <w:rsid w:val="002C1F20"/>
    <w:rsid w:val="002C26D2"/>
    <w:rsid w:val="002C31FE"/>
    <w:rsid w:val="002C35DF"/>
    <w:rsid w:val="002C3A98"/>
    <w:rsid w:val="002C4246"/>
    <w:rsid w:val="002C4263"/>
    <w:rsid w:val="002C4275"/>
    <w:rsid w:val="002C511F"/>
    <w:rsid w:val="002C52C4"/>
    <w:rsid w:val="002C5338"/>
    <w:rsid w:val="002C54F2"/>
    <w:rsid w:val="002C580F"/>
    <w:rsid w:val="002C5901"/>
    <w:rsid w:val="002C5BF0"/>
    <w:rsid w:val="002C5DAC"/>
    <w:rsid w:val="002C6579"/>
    <w:rsid w:val="002D00E6"/>
    <w:rsid w:val="002D0401"/>
    <w:rsid w:val="002D063C"/>
    <w:rsid w:val="002D06B8"/>
    <w:rsid w:val="002D1166"/>
    <w:rsid w:val="002D11EE"/>
    <w:rsid w:val="002D2D5D"/>
    <w:rsid w:val="002D2F34"/>
    <w:rsid w:val="002D2FBD"/>
    <w:rsid w:val="002D3288"/>
    <w:rsid w:val="002D3ACB"/>
    <w:rsid w:val="002D3F81"/>
    <w:rsid w:val="002D464E"/>
    <w:rsid w:val="002D4697"/>
    <w:rsid w:val="002D4E90"/>
    <w:rsid w:val="002D5097"/>
    <w:rsid w:val="002D52C0"/>
    <w:rsid w:val="002D5F5D"/>
    <w:rsid w:val="002D6924"/>
    <w:rsid w:val="002D69E3"/>
    <w:rsid w:val="002D772B"/>
    <w:rsid w:val="002D79EF"/>
    <w:rsid w:val="002E0D24"/>
    <w:rsid w:val="002E12D5"/>
    <w:rsid w:val="002E13C1"/>
    <w:rsid w:val="002E14A6"/>
    <w:rsid w:val="002E1D25"/>
    <w:rsid w:val="002E2046"/>
    <w:rsid w:val="002E246C"/>
    <w:rsid w:val="002E2BBB"/>
    <w:rsid w:val="002E2F53"/>
    <w:rsid w:val="002E32D8"/>
    <w:rsid w:val="002E388F"/>
    <w:rsid w:val="002E4403"/>
    <w:rsid w:val="002E4BD8"/>
    <w:rsid w:val="002E4D82"/>
    <w:rsid w:val="002E4F9A"/>
    <w:rsid w:val="002E5605"/>
    <w:rsid w:val="002E59D6"/>
    <w:rsid w:val="002E5A8E"/>
    <w:rsid w:val="002E5B75"/>
    <w:rsid w:val="002E5B9F"/>
    <w:rsid w:val="002E5FB1"/>
    <w:rsid w:val="002E6032"/>
    <w:rsid w:val="002E7827"/>
    <w:rsid w:val="002E79A6"/>
    <w:rsid w:val="002F0227"/>
    <w:rsid w:val="002F08DA"/>
    <w:rsid w:val="002F13CF"/>
    <w:rsid w:val="002F19C3"/>
    <w:rsid w:val="002F3FDC"/>
    <w:rsid w:val="002F43AC"/>
    <w:rsid w:val="002F465B"/>
    <w:rsid w:val="002F4676"/>
    <w:rsid w:val="002F490C"/>
    <w:rsid w:val="002F4983"/>
    <w:rsid w:val="002F566C"/>
    <w:rsid w:val="002F58E6"/>
    <w:rsid w:val="002F5C01"/>
    <w:rsid w:val="002F618D"/>
    <w:rsid w:val="002F6C27"/>
    <w:rsid w:val="002F6C7A"/>
    <w:rsid w:val="002F7221"/>
    <w:rsid w:val="002F75C6"/>
    <w:rsid w:val="00300317"/>
    <w:rsid w:val="00300661"/>
    <w:rsid w:val="00300C3D"/>
    <w:rsid w:val="00300F1F"/>
    <w:rsid w:val="003012C9"/>
    <w:rsid w:val="003015AB"/>
    <w:rsid w:val="003015AC"/>
    <w:rsid w:val="00301B0E"/>
    <w:rsid w:val="0030216C"/>
    <w:rsid w:val="00302412"/>
    <w:rsid w:val="003025B2"/>
    <w:rsid w:val="00302978"/>
    <w:rsid w:val="00302A8E"/>
    <w:rsid w:val="00303376"/>
    <w:rsid w:val="0030365E"/>
    <w:rsid w:val="00303A58"/>
    <w:rsid w:val="00303B1F"/>
    <w:rsid w:val="00303E7B"/>
    <w:rsid w:val="00303F18"/>
    <w:rsid w:val="00303F3B"/>
    <w:rsid w:val="0030450E"/>
    <w:rsid w:val="00304563"/>
    <w:rsid w:val="003051B5"/>
    <w:rsid w:val="003054CB"/>
    <w:rsid w:val="00305675"/>
    <w:rsid w:val="00305732"/>
    <w:rsid w:val="00305B9B"/>
    <w:rsid w:val="003064FF"/>
    <w:rsid w:val="00307203"/>
    <w:rsid w:val="00307453"/>
    <w:rsid w:val="00307801"/>
    <w:rsid w:val="00312202"/>
    <w:rsid w:val="003126C6"/>
    <w:rsid w:val="00312B1F"/>
    <w:rsid w:val="003132D6"/>
    <w:rsid w:val="00313694"/>
    <w:rsid w:val="003139CB"/>
    <w:rsid w:val="00313C33"/>
    <w:rsid w:val="00313D21"/>
    <w:rsid w:val="00313D64"/>
    <w:rsid w:val="003141FB"/>
    <w:rsid w:val="003143B7"/>
    <w:rsid w:val="003154D3"/>
    <w:rsid w:val="00315928"/>
    <w:rsid w:val="00315A2E"/>
    <w:rsid w:val="00315A41"/>
    <w:rsid w:val="00315F3C"/>
    <w:rsid w:val="00316062"/>
    <w:rsid w:val="0031659A"/>
    <w:rsid w:val="003169C4"/>
    <w:rsid w:val="00316F69"/>
    <w:rsid w:val="00320205"/>
    <w:rsid w:val="00321693"/>
    <w:rsid w:val="003220F9"/>
    <w:rsid w:val="0032210E"/>
    <w:rsid w:val="00322274"/>
    <w:rsid w:val="00322564"/>
    <w:rsid w:val="003225E7"/>
    <w:rsid w:val="0032284D"/>
    <w:rsid w:val="00322A24"/>
    <w:rsid w:val="00322F5D"/>
    <w:rsid w:val="00323175"/>
    <w:rsid w:val="003232A8"/>
    <w:rsid w:val="003239CD"/>
    <w:rsid w:val="00323D37"/>
    <w:rsid w:val="00324135"/>
    <w:rsid w:val="003244C6"/>
    <w:rsid w:val="003244EE"/>
    <w:rsid w:val="00324A36"/>
    <w:rsid w:val="00324AF3"/>
    <w:rsid w:val="00324E61"/>
    <w:rsid w:val="003252C3"/>
    <w:rsid w:val="00325452"/>
    <w:rsid w:val="00325533"/>
    <w:rsid w:val="00325770"/>
    <w:rsid w:val="00325A30"/>
    <w:rsid w:val="003261D0"/>
    <w:rsid w:val="00326358"/>
    <w:rsid w:val="00327494"/>
    <w:rsid w:val="003277A0"/>
    <w:rsid w:val="00327F9C"/>
    <w:rsid w:val="00330134"/>
    <w:rsid w:val="00330161"/>
    <w:rsid w:val="003303DE"/>
    <w:rsid w:val="0033062D"/>
    <w:rsid w:val="00330C38"/>
    <w:rsid w:val="00330DE8"/>
    <w:rsid w:val="00330F70"/>
    <w:rsid w:val="00330FC4"/>
    <w:rsid w:val="00331030"/>
    <w:rsid w:val="0033120E"/>
    <w:rsid w:val="003312D8"/>
    <w:rsid w:val="003314CE"/>
    <w:rsid w:val="00331802"/>
    <w:rsid w:val="00331AA6"/>
    <w:rsid w:val="00331ADD"/>
    <w:rsid w:val="00331CD6"/>
    <w:rsid w:val="00332235"/>
    <w:rsid w:val="00332614"/>
    <w:rsid w:val="00333BB6"/>
    <w:rsid w:val="00333E90"/>
    <w:rsid w:val="00334DBD"/>
    <w:rsid w:val="00335083"/>
    <w:rsid w:val="00335519"/>
    <w:rsid w:val="00335E65"/>
    <w:rsid w:val="00337616"/>
    <w:rsid w:val="003378B6"/>
    <w:rsid w:val="00337D37"/>
    <w:rsid w:val="00340042"/>
    <w:rsid w:val="003400CC"/>
    <w:rsid w:val="00340942"/>
    <w:rsid w:val="00340B64"/>
    <w:rsid w:val="00340DAC"/>
    <w:rsid w:val="00341378"/>
    <w:rsid w:val="00341705"/>
    <w:rsid w:val="00341940"/>
    <w:rsid w:val="00342223"/>
    <w:rsid w:val="00342EE4"/>
    <w:rsid w:val="00343238"/>
    <w:rsid w:val="00343870"/>
    <w:rsid w:val="0034435F"/>
    <w:rsid w:val="00344940"/>
    <w:rsid w:val="00345DB2"/>
    <w:rsid w:val="00345DEE"/>
    <w:rsid w:val="0034620A"/>
    <w:rsid w:val="00346350"/>
    <w:rsid w:val="00346400"/>
    <w:rsid w:val="0034695F"/>
    <w:rsid w:val="00346E1C"/>
    <w:rsid w:val="003470FB"/>
    <w:rsid w:val="0034792D"/>
    <w:rsid w:val="00347BCC"/>
    <w:rsid w:val="00347BE5"/>
    <w:rsid w:val="00347C2C"/>
    <w:rsid w:val="00347DAA"/>
    <w:rsid w:val="0035019E"/>
    <w:rsid w:val="00350503"/>
    <w:rsid w:val="00350521"/>
    <w:rsid w:val="0035077C"/>
    <w:rsid w:val="00350912"/>
    <w:rsid w:val="00350C49"/>
    <w:rsid w:val="00350ECB"/>
    <w:rsid w:val="00350ED0"/>
    <w:rsid w:val="00351CE0"/>
    <w:rsid w:val="00353A2B"/>
    <w:rsid w:val="003545C8"/>
    <w:rsid w:val="003550BA"/>
    <w:rsid w:val="003552D5"/>
    <w:rsid w:val="003554A5"/>
    <w:rsid w:val="00355CCD"/>
    <w:rsid w:val="0035701E"/>
    <w:rsid w:val="00357035"/>
    <w:rsid w:val="00357113"/>
    <w:rsid w:val="0036039E"/>
    <w:rsid w:val="00360A31"/>
    <w:rsid w:val="00360D0E"/>
    <w:rsid w:val="00360FF9"/>
    <w:rsid w:val="00361ADF"/>
    <w:rsid w:val="00362536"/>
    <w:rsid w:val="003630F2"/>
    <w:rsid w:val="00364AD0"/>
    <w:rsid w:val="00364C96"/>
    <w:rsid w:val="00365A99"/>
    <w:rsid w:val="00366773"/>
    <w:rsid w:val="00367E69"/>
    <w:rsid w:val="00370363"/>
    <w:rsid w:val="00370935"/>
    <w:rsid w:val="00371287"/>
    <w:rsid w:val="0037184D"/>
    <w:rsid w:val="00371C33"/>
    <w:rsid w:val="00371F9A"/>
    <w:rsid w:val="003721C6"/>
    <w:rsid w:val="00372820"/>
    <w:rsid w:val="00372921"/>
    <w:rsid w:val="00372A3C"/>
    <w:rsid w:val="00372D15"/>
    <w:rsid w:val="00372E38"/>
    <w:rsid w:val="00372F74"/>
    <w:rsid w:val="00373931"/>
    <w:rsid w:val="00373B2B"/>
    <w:rsid w:val="0037482A"/>
    <w:rsid w:val="003748C6"/>
    <w:rsid w:val="00374DF2"/>
    <w:rsid w:val="00374F28"/>
    <w:rsid w:val="00374F45"/>
    <w:rsid w:val="003753F5"/>
    <w:rsid w:val="00375541"/>
    <w:rsid w:val="00376425"/>
    <w:rsid w:val="00376C67"/>
    <w:rsid w:val="00376FF6"/>
    <w:rsid w:val="003771FB"/>
    <w:rsid w:val="00377D52"/>
    <w:rsid w:val="00380061"/>
    <w:rsid w:val="003809F3"/>
    <w:rsid w:val="00381189"/>
    <w:rsid w:val="003814CC"/>
    <w:rsid w:val="0038195C"/>
    <w:rsid w:val="00381A68"/>
    <w:rsid w:val="00381E90"/>
    <w:rsid w:val="00382235"/>
    <w:rsid w:val="00382E9A"/>
    <w:rsid w:val="00382EFE"/>
    <w:rsid w:val="00382F9D"/>
    <w:rsid w:val="003837BB"/>
    <w:rsid w:val="003838C2"/>
    <w:rsid w:val="00383942"/>
    <w:rsid w:val="00383A09"/>
    <w:rsid w:val="00383AAB"/>
    <w:rsid w:val="0038406D"/>
    <w:rsid w:val="0038434F"/>
    <w:rsid w:val="00384626"/>
    <w:rsid w:val="00384C5A"/>
    <w:rsid w:val="00384C86"/>
    <w:rsid w:val="00384F6D"/>
    <w:rsid w:val="00385CFA"/>
    <w:rsid w:val="00386040"/>
    <w:rsid w:val="00386709"/>
    <w:rsid w:val="003868D7"/>
    <w:rsid w:val="00386ABC"/>
    <w:rsid w:val="00386D7A"/>
    <w:rsid w:val="00387A19"/>
    <w:rsid w:val="00387E32"/>
    <w:rsid w:val="00390130"/>
    <w:rsid w:val="003908D4"/>
    <w:rsid w:val="003912ED"/>
    <w:rsid w:val="00391C52"/>
    <w:rsid w:val="003923D4"/>
    <w:rsid w:val="0039248A"/>
    <w:rsid w:val="00392D09"/>
    <w:rsid w:val="00392D27"/>
    <w:rsid w:val="00393CF5"/>
    <w:rsid w:val="00393D4D"/>
    <w:rsid w:val="00394242"/>
    <w:rsid w:val="00394261"/>
    <w:rsid w:val="003946DB"/>
    <w:rsid w:val="00395978"/>
    <w:rsid w:val="003964D9"/>
    <w:rsid w:val="00396897"/>
    <w:rsid w:val="003969AF"/>
    <w:rsid w:val="00396EF0"/>
    <w:rsid w:val="0039702C"/>
    <w:rsid w:val="0039750E"/>
    <w:rsid w:val="00397695"/>
    <w:rsid w:val="00397CBF"/>
    <w:rsid w:val="00397CE0"/>
    <w:rsid w:val="003A03F2"/>
    <w:rsid w:val="003A0B03"/>
    <w:rsid w:val="003A0DA5"/>
    <w:rsid w:val="003A136E"/>
    <w:rsid w:val="003A1512"/>
    <w:rsid w:val="003A186C"/>
    <w:rsid w:val="003A1D68"/>
    <w:rsid w:val="003A25D9"/>
    <w:rsid w:val="003A29E5"/>
    <w:rsid w:val="003A3365"/>
    <w:rsid w:val="003A3A97"/>
    <w:rsid w:val="003A3CBB"/>
    <w:rsid w:val="003A4312"/>
    <w:rsid w:val="003A475A"/>
    <w:rsid w:val="003A4A00"/>
    <w:rsid w:val="003A4A2C"/>
    <w:rsid w:val="003A4C90"/>
    <w:rsid w:val="003A5001"/>
    <w:rsid w:val="003A5186"/>
    <w:rsid w:val="003A5234"/>
    <w:rsid w:val="003A569D"/>
    <w:rsid w:val="003A56BA"/>
    <w:rsid w:val="003A5D6E"/>
    <w:rsid w:val="003A627E"/>
    <w:rsid w:val="003A6325"/>
    <w:rsid w:val="003A6D49"/>
    <w:rsid w:val="003A6E65"/>
    <w:rsid w:val="003A7165"/>
    <w:rsid w:val="003A754B"/>
    <w:rsid w:val="003A768F"/>
    <w:rsid w:val="003B01A2"/>
    <w:rsid w:val="003B0740"/>
    <w:rsid w:val="003B088E"/>
    <w:rsid w:val="003B101C"/>
    <w:rsid w:val="003B106F"/>
    <w:rsid w:val="003B1635"/>
    <w:rsid w:val="003B210B"/>
    <w:rsid w:val="003B22E5"/>
    <w:rsid w:val="003B2C28"/>
    <w:rsid w:val="003B3584"/>
    <w:rsid w:val="003B35AF"/>
    <w:rsid w:val="003B37C5"/>
    <w:rsid w:val="003B3CD2"/>
    <w:rsid w:val="003B3D08"/>
    <w:rsid w:val="003B4758"/>
    <w:rsid w:val="003B5048"/>
    <w:rsid w:val="003B53E0"/>
    <w:rsid w:val="003B579E"/>
    <w:rsid w:val="003B5AA4"/>
    <w:rsid w:val="003B5C4E"/>
    <w:rsid w:val="003B60CB"/>
    <w:rsid w:val="003B614A"/>
    <w:rsid w:val="003B62C2"/>
    <w:rsid w:val="003B65DF"/>
    <w:rsid w:val="003B6948"/>
    <w:rsid w:val="003B7212"/>
    <w:rsid w:val="003B73C2"/>
    <w:rsid w:val="003B7809"/>
    <w:rsid w:val="003B7E6E"/>
    <w:rsid w:val="003B7FA7"/>
    <w:rsid w:val="003C07FD"/>
    <w:rsid w:val="003C08C9"/>
    <w:rsid w:val="003C1078"/>
    <w:rsid w:val="003C1B3F"/>
    <w:rsid w:val="003C254C"/>
    <w:rsid w:val="003C29E7"/>
    <w:rsid w:val="003C382E"/>
    <w:rsid w:val="003C3C96"/>
    <w:rsid w:val="003C4136"/>
    <w:rsid w:val="003C460E"/>
    <w:rsid w:val="003C4D84"/>
    <w:rsid w:val="003C5497"/>
    <w:rsid w:val="003C58C7"/>
    <w:rsid w:val="003C5E50"/>
    <w:rsid w:val="003C6217"/>
    <w:rsid w:val="003C6414"/>
    <w:rsid w:val="003C6596"/>
    <w:rsid w:val="003C69A4"/>
    <w:rsid w:val="003C76CC"/>
    <w:rsid w:val="003C77C1"/>
    <w:rsid w:val="003C78E1"/>
    <w:rsid w:val="003C7A47"/>
    <w:rsid w:val="003C7FB6"/>
    <w:rsid w:val="003D022E"/>
    <w:rsid w:val="003D0709"/>
    <w:rsid w:val="003D0895"/>
    <w:rsid w:val="003D08A0"/>
    <w:rsid w:val="003D0ED5"/>
    <w:rsid w:val="003D0FE4"/>
    <w:rsid w:val="003D111C"/>
    <w:rsid w:val="003D113A"/>
    <w:rsid w:val="003D131B"/>
    <w:rsid w:val="003D13F5"/>
    <w:rsid w:val="003D1B51"/>
    <w:rsid w:val="003D2C69"/>
    <w:rsid w:val="003D31B2"/>
    <w:rsid w:val="003D33B1"/>
    <w:rsid w:val="003D36BD"/>
    <w:rsid w:val="003D38BA"/>
    <w:rsid w:val="003D3DB0"/>
    <w:rsid w:val="003D40E5"/>
    <w:rsid w:val="003D40F5"/>
    <w:rsid w:val="003D439F"/>
    <w:rsid w:val="003D4580"/>
    <w:rsid w:val="003D4C8F"/>
    <w:rsid w:val="003D51F2"/>
    <w:rsid w:val="003D52A3"/>
    <w:rsid w:val="003D531B"/>
    <w:rsid w:val="003D558C"/>
    <w:rsid w:val="003D5F4B"/>
    <w:rsid w:val="003D62DB"/>
    <w:rsid w:val="003D6741"/>
    <w:rsid w:val="003D696F"/>
    <w:rsid w:val="003D72D6"/>
    <w:rsid w:val="003E05CD"/>
    <w:rsid w:val="003E08CA"/>
    <w:rsid w:val="003E1083"/>
    <w:rsid w:val="003E20DB"/>
    <w:rsid w:val="003E2441"/>
    <w:rsid w:val="003E25D3"/>
    <w:rsid w:val="003E278C"/>
    <w:rsid w:val="003E31FB"/>
    <w:rsid w:val="003E3A4F"/>
    <w:rsid w:val="003E3B1E"/>
    <w:rsid w:val="003E4BCF"/>
    <w:rsid w:val="003E5092"/>
    <w:rsid w:val="003E51BA"/>
    <w:rsid w:val="003E60DA"/>
    <w:rsid w:val="003E66CB"/>
    <w:rsid w:val="003E73FB"/>
    <w:rsid w:val="003F0474"/>
    <w:rsid w:val="003F0D8C"/>
    <w:rsid w:val="003F0DBA"/>
    <w:rsid w:val="003F0EF4"/>
    <w:rsid w:val="003F1D9C"/>
    <w:rsid w:val="003F2557"/>
    <w:rsid w:val="003F32C2"/>
    <w:rsid w:val="003F3354"/>
    <w:rsid w:val="003F349E"/>
    <w:rsid w:val="003F41EA"/>
    <w:rsid w:val="003F47A2"/>
    <w:rsid w:val="003F4873"/>
    <w:rsid w:val="003F503C"/>
    <w:rsid w:val="003F52B4"/>
    <w:rsid w:val="003F5A60"/>
    <w:rsid w:val="003F6035"/>
    <w:rsid w:val="003F6505"/>
    <w:rsid w:val="003F6BED"/>
    <w:rsid w:val="003F6D50"/>
    <w:rsid w:val="003F6D7E"/>
    <w:rsid w:val="003F6F40"/>
    <w:rsid w:val="003F7221"/>
    <w:rsid w:val="003F774E"/>
    <w:rsid w:val="003F7EA3"/>
    <w:rsid w:val="004000BB"/>
    <w:rsid w:val="00400710"/>
    <w:rsid w:val="00400AC6"/>
    <w:rsid w:val="00400C17"/>
    <w:rsid w:val="00400E44"/>
    <w:rsid w:val="004015CE"/>
    <w:rsid w:val="00401708"/>
    <w:rsid w:val="00401E65"/>
    <w:rsid w:val="00402576"/>
    <w:rsid w:val="004027F9"/>
    <w:rsid w:val="0040285C"/>
    <w:rsid w:val="00402EB8"/>
    <w:rsid w:val="004037C4"/>
    <w:rsid w:val="00403BC1"/>
    <w:rsid w:val="004046BE"/>
    <w:rsid w:val="00404AC6"/>
    <w:rsid w:val="004055FE"/>
    <w:rsid w:val="00405F1A"/>
    <w:rsid w:val="004060B0"/>
    <w:rsid w:val="0040690B"/>
    <w:rsid w:val="00406E42"/>
    <w:rsid w:val="00407EF2"/>
    <w:rsid w:val="00410501"/>
    <w:rsid w:val="00410A63"/>
    <w:rsid w:val="00410FFB"/>
    <w:rsid w:val="0041123D"/>
    <w:rsid w:val="00411475"/>
    <w:rsid w:val="00411A4A"/>
    <w:rsid w:val="00411EB4"/>
    <w:rsid w:val="0041336B"/>
    <w:rsid w:val="004144BF"/>
    <w:rsid w:val="00414C5A"/>
    <w:rsid w:val="004154EE"/>
    <w:rsid w:val="004156FB"/>
    <w:rsid w:val="00415A92"/>
    <w:rsid w:val="00415AE3"/>
    <w:rsid w:val="00415C7E"/>
    <w:rsid w:val="00416766"/>
    <w:rsid w:val="00417AD7"/>
    <w:rsid w:val="00417E9A"/>
    <w:rsid w:val="004200D8"/>
    <w:rsid w:val="004203BB"/>
    <w:rsid w:val="00420736"/>
    <w:rsid w:val="00420740"/>
    <w:rsid w:val="004207F9"/>
    <w:rsid w:val="00420837"/>
    <w:rsid w:val="00420A32"/>
    <w:rsid w:val="004213C6"/>
    <w:rsid w:val="00421756"/>
    <w:rsid w:val="00421CF2"/>
    <w:rsid w:val="00422A08"/>
    <w:rsid w:val="00423432"/>
    <w:rsid w:val="0042357F"/>
    <w:rsid w:val="00423BE6"/>
    <w:rsid w:val="00423EB4"/>
    <w:rsid w:val="00424480"/>
    <w:rsid w:val="00424B8A"/>
    <w:rsid w:val="00424EB0"/>
    <w:rsid w:val="00425A20"/>
    <w:rsid w:val="004260EA"/>
    <w:rsid w:val="00426C64"/>
    <w:rsid w:val="004270C6"/>
    <w:rsid w:val="004277C9"/>
    <w:rsid w:val="00427DB9"/>
    <w:rsid w:val="00427EE2"/>
    <w:rsid w:val="00430673"/>
    <w:rsid w:val="004309FE"/>
    <w:rsid w:val="00430E4C"/>
    <w:rsid w:val="00430ECC"/>
    <w:rsid w:val="00430F12"/>
    <w:rsid w:val="00431199"/>
    <w:rsid w:val="004312A6"/>
    <w:rsid w:val="00431AD5"/>
    <w:rsid w:val="004325A4"/>
    <w:rsid w:val="00432CA6"/>
    <w:rsid w:val="004331F5"/>
    <w:rsid w:val="004331FD"/>
    <w:rsid w:val="00433ACD"/>
    <w:rsid w:val="00433E2F"/>
    <w:rsid w:val="004342AB"/>
    <w:rsid w:val="0043477F"/>
    <w:rsid w:val="00435368"/>
    <w:rsid w:val="00435AA9"/>
    <w:rsid w:val="00435B61"/>
    <w:rsid w:val="00435D99"/>
    <w:rsid w:val="0043627C"/>
    <w:rsid w:val="00436824"/>
    <w:rsid w:val="00436AFE"/>
    <w:rsid w:val="00437374"/>
    <w:rsid w:val="00440806"/>
    <w:rsid w:val="00440CD8"/>
    <w:rsid w:val="0044102C"/>
    <w:rsid w:val="004415C6"/>
    <w:rsid w:val="00441880"/>
    <w:rsid w:val="00441CB1"/>
    <w:rsid w:val="004422C9"/>
    <w:rsid w:val="0044289F"/>
    <w:rsid w:val="00442DD9"/>
    <w:rsid w:val="004435D6"/>
    <w:rsid w:val="00443761"/>
    <w:rsid w:val="00443975"/>
    <w:rsid w:val="00443C26"/>
    <w:rsid w:val="00444468"/>
    <w:rsid w:val="004447C4"/>
    <w:rsid w:val="004448B3"/>
    <w:rsid w:val="00444BE8"/>
    <w:rsid w:val="00444E55"/>
    <w:rsid w:val="004453B8"/>
    <w:rsid w:val="00445A88"/>
    <w:rsid w:val="004463C5"/>
    <w:rsid w:val="004469A5"/>
    <w:rsid w:val="00446B6A"/>
    <w:rsid w:val="00447429"/>
    <w:rsid w:val="00447658"/>
    <w:rsid w:val="00450142"/>
    <w:rsid w:val="00451A7F"/>
    <w:rsid w:val="00451FEB"/>
    <w:rsid w:val="00452204"/>
    <w:rsid w:val="00452889"/>
    <w:rsid w:val="004528BD"/>
    <w:rsid w:val="004529AE"/>
    <w:rsid w:val="00453116"/>
    <w:rsid w:val="00453350"/>
    <w:rsid w:val="00453422"/>
    <w:rsid w:val="00453721"/>
    <w:rsid w:val="00454A28"/>
    <w:rsid w:val="0045579E"/>
    <w:rsid w:val="00455A01"/>
    <w:rsid w:val="00456B37"/>
    <w:rsid w:val="00456B60"/>
    <w:rsid w:val="004570BA"/>
    <w:rsid w:val="00457330"/>
    <w:rsid w:val="0046064E"/>
    <w:rsid w:val="004608E5"/>
    <w:rsid w:val="00460BD4"/>
    <w:rsid w:val="00461140"/>
    <w:rsid w:val="0046123D"/>
    <w:rsid w:val="0046129C"/>
    <w:rsid w:val="00461561"/>
    <w:rsid w:val="00462A34"/>
    <w:rsid w:val="00463003"/>
    <w:rsid w:val="00463709"/>
    <w:rsid w:val="0046417D"/>
    <w:rsid w:val="00464AB0"/>
    <w:rsid w:val="004654C1"/>
    <w:rsid w:val="004656F8"/>
    <w:rsid w:val="00465A4C"/>
    <w:rsid w:val="00465D3C"/>
    <w:rsid w:val="00466159"/>
    <w:rsid w:val="00466DB3"/>
    <w:rsid w:val="004673F0"/>
    <w:rsid w:val="00467442"/>
    <w:rsid w:val="004678FB"/>
    <w:rsid w:val="004679F4"/>
    <w:rsid w:val="00467B9B"/>
    <w:rsid w:val="00467BB8"/>
    <w:rsid w:val="004700CE"/>
    <w:rsid w:val="00471122"/>
    <w:rsid w:val="004714DB"/>
    <w:rsid w:val="00471C63"/>
    <w:rsid w:val="004721DD"/>
    <w:rsid w:val="00472BF8"/>
    <w:rsid w:val="0047356F"/>
    <w:rsid w:val="00473AFE"/>
    <w:rsid w:val="004742B2"/>
    <w:rsid w:val="004745F6"/>
    <w:rsid w:val="004749FD"/>
    <w:rsid w:val="00474F65"/>
    <w:rsid w:val="00475894"/>
    <w:rsid w:val="00475E04"/>
    <w:rsid w:val="00475E70"/>
    <w:rsid w:val="00475F9F"/>
    <w:rsid w:val="00476363"/>
    <w:rsid w:val="00476F3A"/>
    <w:rsid w:val="0048017C"/>
    <w:rsid w:val="004803A8"/>
    <w:rsid w:val="0048042D"/>
    <w:rsid w:val="00480ECC"/>
    <w:rsid w:val="00480F8A"/>
    <w:rsid w:val="0048170A"/>
    <w:rsid w:val="00482557"/>
    <w:rsid w:val="004835EF"/>
    <w:rsid w:val="00483A5D"/>
    <w:rsid w:val="00483E5C"/>
    <w:rsid w:val="00483FAE"/>
    <w:rsid w:val="0048410F"/>
    <w:rsid w:val="0048477D"/>
    <w:rsid w:val="00484904"/>
    <w:rsid w:val="0048557F"/>
    <w:rsid w:val="00485B67"/>
    <w:rsid w:val="00486111"/>
    <w:rsid w:val="004866C1"/>
    <w:rsid w:val="00486823"/>
    <w:rsid w:val="00486E3F"/>
    <w:rsid w:val="0048729E"/>
    <w:rsid w:val="0048732F"/>
    <w:rsid w:val="00490300"/>
    <w:rsid w:val="004905F5"/>
    <w:rsid w:val="00490C6C"/>
    <w:rsid w:val="00490FDA"/>
    <w:rsid w:val="00491A21"/>
    <w:rsid w:val="00491BF1"/>
    <w:rsid w:val="00491D3E"/>
    <w:rsid w:val="00491FCE"/>
    <w:rsid w:val="004928A0"/>
    <w:rsid w:val="00492A3E"/>
    <w:rsid w:val="00492E75"/>
    <w:rsid w:val="0049334C"/>
    <w:rsid w:val="004938D8"/>
    <w:rsid w:val="00493A96"/>
    <w:rsid w:val="00493BF2"/>
    <w:rsid w:val="00493F29"/>
    <w:rsid w:val="00494309"/>
    <w:rsid w:val="00494702"/>
    <w:rsid w:val="0049485C"/>
    <w:rsid w:val="00494880"/>
    <w:rsid w:val="004948F7"/>
    <w:rsid w:val="00494EFC"/>
    <w:rsid w:val="00495113"/>
    <w:rsid w:val="004955CC"/>
    <w:rsid w:val="004958F8"/>
    <w:rsid w:val="00496486"/>
    <w:rsid w:val="00496BBB"/>
    <w:rsid w:val="00496BED"/>
    <w:rsid w:val="00497A73"/>
    <w:rsid w:val="00497EE6"/>
    <w:rsid w:val="004A05D2"/>
    <w:rsid w:val="004A06E6"/>
    <w:rsid w:val="004A07B4"/>
    <w:rsid w:val="004A089F"/>
    <w:rsid w:val="004A0A45"/>
    <w:rsid w:val="004A0B51"/>
    <w:rsid w:val="004A0BE1"/>
    <w:rsid w:val="004A0D45"/>
    <w:rsid w:val="004A10CA"/>
    <w:rsid w:val="004A160F"/>
    <w:rsid w:val="004A192B"/>
    <w:rsid w:val="004A1B53"/>
    <w:rsid w:val="004A202D"/>
    <w:rsid w:val="004A20B0"/>
    <w:rsid w:val="004A2558"/>
    <w:rsid w:val="004A30B4"/>
    <w:rsid w:val="004A3148"/>
    <w:rsid w:val="004A3291"/>
    <w:rsid w:val="004A32BC"/>
    <w:rsid w:val="004A3AE3"/>
    <w:rsid w:val="004A48BD"/>
    <w:rsid w:val="004A4E87"/>
    <w:rsid w:val="004A50DC"/>
    <w:rsid w:val="004A525C"/>
    <w:rsid w:val="004A5589"/>
    <w:rsid w:val="004A578B"/>
    <w:rsid w:val="004A5BA0"/>
    <w:rsid w:val="004A5C7C"/>
    <w:rsid w:val="004A66FA"/>
    <w:rsid w:val="004A6728"/>
    <w:rsid w:val="004A67AA"/>
    <w:rsid w:val="004A69C6"/>
    <w:rsid w:val="004A69F6"/>
    <w:rsid w:val="004A6DA0"/>
    <w:rsid w:val="004A6E7E"/>
    <w:rsid w:val="004A7051"/>
    <w:rsid w:val="004A70D4"/>
    <w:rsid w:val="004A7178"/>
    <w:rsid w:val="004B03E6"/>
    <w:rsid w:val="004B0429"/>
    <w:rsid w:val="004B06AC"/>
    <w:rsid w:val="004B0C86"/>
    <w:rsid w:val="004B1612"/>
    <w:rsid w:val="004B1F7C"/>
    <w:rsid w:val="004B248F"/>
    <w:rsid w:val="004B2D24"/>
    <w:rsid w:val="004B2E35"/>
    <w:rsid w:val="004B30CC"/>
    <w:rsid w:val="004B380E"/>
    <w:rsid w:val="004B3B93"/>
    <w:rsid w:val="004B3DD1"/>
    <w:rsid w:val="004B421B"/>
    <w:rsid w:val="004B4B94"/>
    <w:rsid w:val="004B50A5"/>
    <w:rsid w:val="004B51DF"/>
    <w:rsid w:val="004B54E9"/>
    <w:rsid w:val="004B5E15"/>
    <w:rsid w:val="004B5E4E"/>
    <w:rsid w:val="004B64DF"/>
    <w:rsid w:val="004B71AD"/>
    <w:rsid w:val="004C00CD"/>
    <w:rsid w:val="004C03E8"/>
    <w:rsid w:val="004C0980"/>
    <w:rsid w:val="004C0A02"/>
    <w:rsid w:val="004C22E1"/>
    <w:rsid w:val="004C2617"/>
    <w:rsid w:val="004C2DE4"/>
    <w:rsid w:val="004C3CD2"/>
    <w:rsid w:val="004C3FF4"/>
    <w:rsid w:val="004C41C2"/>
    <w:rsid w:val="004C43ED"/>
    <w:rsid w:val="004C4B57"/>
    <w:rsid w:val="004C5172"/>
    <w:rsid w:val="004C55D3"/>
    <w:rsid w:val="004C5A6C"/>
    <w:rsid w:val="004C5F2E"/>
    <w:rsid w:val="004C61FD"/>
    <w:rsid w:val="004D0047"/>
    <w:rsid w:val="004D03D6"/>
    <w:rsid w:val="004D08F7"/>
    <w:rsid w:val="004D0B55"/>
    <w:rsid w:val="004D0E49"/>
    <w:rsid w:val="004D11E6"/>
    <w:rsid w:val="004D13EB"/>
    <w:rsid w:val="004D15EE"/>
    <w:rsid w:val="004D19EF"/>
    <w:rsid w:val="004D1A2D"/>
    <w:rsid w:val="004D1B70"/>
    <w:rsid w:val="004D26B5"/>
    <w:rsid w:val="004D26F3"/>
    <w:rsid w:val="004D3223"/>
    <w:rsid w:val="004D39C0"/>
    <w:rsid w:val="004D3E47"/>
    <w:rsid w:val="004D42DB"/>
    <w:rsid w:val="004D4D0C"/>
    <w:rsid w:val="004D508B"/>
    <w:rsid w:val="004D5101"/>
    <w:rsid w:val="004D5548"/>
    <w:rsid w:val="004D564E"/>
    <w:rsid w:val="004D5BA9"/>
    <w:rsid w:val="004D6478"/>
    <w:rsid w:val="004D69F1"/>
    <w:rsid w:val="004D6CFA"/>
    <w:rsid w:val="004E024C"/>
    <w:rsid w:val="004E02B4"/>
    <w:rsid w:val="004E064C"/>
    <w:rsid w:val="004E0A94"/>
    <w:rsid w:val="004E0ED1"/>
    <w:rsid w:val="004E1689"/>
    <w:rsid w:val="004E1FFB"/>
    <w:rsid w:val="004E206E"/>
    <w:rsid w:val="004E2272"/>
    <w:rsid w:val="004E233C"/>
    <w:rsid w:val="004E2525"/>
    <w:rsid w:val="004E25E8"/>
    <w:rsid w:val="004E2B48"/>
    <w:rsid w:val="004E2E72"/>
    <w:rsid w:val="004E3EBB"/>
    <w:rsid w:val="004E3F2A"/>
    <w:rsid w:val="004E49EE"/>
    <w:rsid w:val="004E4CAB"/>
    <w:rsid w:val="004E5163"/>
    <w:rsid w:val="004E51D9"/>
    <w:rsid w:val="004E5D4D"/>
    <w:rsid w:val="004E5F04"/>
    <w:rsid w:val="004E5FA6"/>
    <w:rsid w:val="004E6129"/>
    <w:rsid w:val="004E618C"/>
    <w:rsid w:val="004E6D29"/>
    <w:rsid w:val="004E6EDA"/>
    <w:rsid w:val="004E7284"/>
    <w:rsid w:val="004E7742"/>
    <w:rsid w:val="004E7834"/>
    <w:rsid w:val="004F05C8"/>
    <w:rsid w:val="004F088E"/>
    <w:rsid w:val="004F0AB5"/>
    <w:rsid w:val="004F0D33"/>
    <w:rsid w:val="004F0E54"/>
    <w:rsid w:val="004F118A"/>
    <w:rsid w:val="004F12D4"/>
    <w:rsid w:val="004F139F"/>
    <w:rsid w:val="004F14BC"/>
    <w:rsid w:val="004F170B"/>
    <w:rsid w:val="004F1A29"/>
    <w:rsid w:val="004F1D17"/>
    <w:rsid w:val="004F1FEF"/>
    <w:rsid w:val="004F2D7E"/>
    <w:rsid w:val="004F2F37"/>
    <w:rsid w:val="004F3AF0"/>
    <w:rsid w:val="004F4B39"/>
    <w:rsid w:val="004F4D11"/>
    <w:rsid w:val="004F505C"/>
    <w:rsid w:val="004F5108"/>
    <w:rsid w:val="004F5125"/>
    <w:rsid w:val="004F52E7"/>
    <w:rsid w:val="004F5324"/>
    <w:rsid w:val="004F5BF5"/>
    <w:rsid w:val="004F65CB"/>
    <w:rsid w:val="004F684D"/>
    <w:rsid w:val="004F6B36"/>
    <w:rsid w:val="004F6DF6"/>
    <w:rsid w:val="004F7064"/>
    <w:rsid w:val="004F76BC"/>
    <w:rsid w:val="004F7CD0"/>
    <w:rsid w:val="0050128B"/>
    <w:rsid w:val="005013BE"/>
    <w:rsid w:val="005037B0"/>
    <w:rsid w:val="00504398"/>
    <w:rsid w:val="00504CB0"/>
    <w:rsid w:val="00504D54"/>
    <w:rsid w:val="00504F54"/>
    <w:rsid w:val="005051D2"/>
    <w:rsid w:val="00505CD0"/>
    <w:rsid w:val="00505CEB"/>
    <w:rsid w:val="005068B2"/>
    <w:rsid w:val="00506C9D"/>
    <w:rsid w:val="00507834"/>
    <w:rsid w:val="0051036B"/>
    <w:rsid w:val="005104D1"/>
    <w:rsid w:val="0051151E"/>
    <w:rsid w:val="00511DD3"/>
    <w:rsid w:val="0051209F"/>
    <w:rsid w:val="00512479"/>
    <w:rsid w:val="00512698"/>
    <w:rsid w:val="00513D65"/>
    <w:rsid w:val="0051475B"/>
    <w:rsid w:val="00514E6B"/>
    <w:rsid w:val="00514FFF"/>
    <w:rsid w:val="005151AE"/>
    <w:rsid w:val="00515470"/>
    <w:rsid w:val="00516450"/>
    <w:rsid w:val="00516470"/>
    <w:rsid w:val="00516701"/>
    <w:rsid w:val="0051687D"/>
    <w:rsid w:val="00516A46"/>
    <w:rsid w:val="005171AE"/>
    <w:rsid w:val="00517C4F"/>
    <w:rsid w:val="005203FF"/>
    <w:rsid w:val="00520684"/>
    <w:rsid w:val="00520935"/>
    <w:rsid w:val="005209DD"/>
    <w:rsid w:val="005211EA"/>
    <w:rsid w:val="005215C5"/>
    <w:rsid w:val="00522102"/>
    <w:rsid w:val="00522120"/>
    <w:rsid w:val="0052226D"/>
    <w:rsid w:val="00522982"/>
    <w:rsid w:val="00522A53"/>
    <w:rsid w:val="005232D0"/>
    <w:rsid w:val="0052398E"/>
    <w:rsid w:val="00523A35"/>
    <w:rsid w:val="005240E7"/>
    <w:rsid w:val="0052450D"/>
    <w:rsid w:val="00524A1D"/>
    <w:rsid w:val="00524CE4"/>
    <w:rsid w:val="00524FEC"/>
    <w:rsid w:val="005255E8"/>
    <w:rsid w:val="005257E3"/>
    <w:rsid w:val="0052609D"/>
    <w:rsid w:val="00526DFC"/>
    <w:rsid w:val="00527B60"/>
    <w:rsid w:val="0053001B"/>
    <w:rsid w:val="005304C4"/>
    <w:rsid w:val="00530798"/>
    <w:rsid w:val="00530F37"/>
    <w:rsid w:val="00531026"/>
    <w:rsid w:val="0053195E"/>
    <w:rsid w:val="00532046"/>
    <w:rsid w:val="00532615"/>
    <w:rsid w:val="005331B9"/>
    <w:rsid w:val="00533689"/>
    <w:rsid w:val="005336F9"/>
    <w:rsid w:val="00533AC3"/>
    <w:rsid w:val="00533B89"/>
    <w:rsid w:val="00534667"/>
    <w:rsid w:val="0053469A"/>
    <w:rsid w:val="00534792"/>
    <w:rsid w:val="00534B9E"/>
    <w:rsid w:val="00534C8A"/>
    <w:rsid w:val="00534CED"/>
    <w:rsid w:val="005354D2"/>
    <w:rsid w:val="0053579C"/>
    <w:rsid w:val="00535BF5"/>
    <w:rsid w:val="0053661B"/>
    <w:rsid w:val="00540206"/>
    <w:rsid w:val="0054078F"/>
    <w:rsid w:val="00540881"/>
    <w:rsid w:val="00540DA1"/>
    <w:rsid w:val="00541879"/>
    <w:rsid w:val="00541C7F"/>
    <w:rsid w:val="005428FA"/>
    <w:rsid w:val="00542BD7"/>
    <w:rsid w:val="0054321E"/>
    <w:rsid w:val="00543856"/>
    <w:rsid w:val="00543885"/>
    <w:rsid w:val="00543BDD"/>
    <w:rsid w:val="00543DA9"/>
    <w:rsid w:val="00543E4A"/>
    <w:rsid w:val="005441EE"/>
    <w:rsid w:val="00544788"/>
    <w:rsid w:val="00545C71"/>
    <w:rsid w:val="0054650E"/>
    <w:rsid w:val="00546756"/>
    <w:rsid w:val="00546FB7"/>
    <w:rsid w:val="00547407"/>
    <w:rsid w:val="00547C5C"/>
    <w:rsid w:val="00547DFA"/>
    <w:rsid w:val="00550560"/>
    <w:rsid w:val="00550612"/>
    <w:rsid w:val="00550708"/>
    <w:rsid w:val="00550F4D"/>
    <w:rsid w:val="00551051"/>
    <w:rsid w:val="00551ACB"/>
    <w:rsid w:val="00551F09"/>
    <w:rsid w:val="00552825"/>
    <w:rsid w:val="00553033"/>
    <w:rsid w:val="0055312A"/>
    <w:rsid w:val="00553284"/>
    <w:rsid w:val="005533DD"/>
    <w:rsid w:val="00553448"/>
    <w:rsid w:val="00553AE3"/>
    <w:rsid w:val="00553EB5"/>
    <w:rsid w:val="00553F3D"/>
    <w:rsid w:val="00554001"/>
    <w:rsid w:val="0055578B"/>
    <w:rsid w:val="00555DCA"/>
    <w:rsid w:val="00555E87"/>
    <w:rsid w:val="00556E12"/>
    <w:rsid w:val="00557141"/>
    <w:rsid w:val="00557D59"/>
    <w:rsid w:val="005605EA"/>
    <w:rsid w:val="00560C24"/>
    <w:rsid w:val="00560CDF"/>
    <w:rsid w:val="00560D30"/>
    <w:rsid w:val="00560DA0"/>
    <w:rsid w:val="00560E39"/>
    <w:rsid w:val="005616B2"/>
    <w:rsid w:val="005617A9"/>
    <w:rsid w:val="00562218"/>
    <w:rsid w:val="00562759"/>
    <w:rsid w:val="005629A4"/>
    <w:rsid w:val="00562CAB"/>
    <w:rsid w:val="00562E89"/>
    <w:rsid w:val="005632AE"/>
    <w:rsid w:val="005636F0"/>
    <w:rsid w:val="00564792"/>
    <w:rsid w:val="00564B63"/>
    <w:rsid w:val="00565FCD"/>
    <w:rsid w:val="00566244"/>
    <w:rsid w:val="005662E3"/>
    <w:rsid w:val="00566BEF"/>
    <w:rsid w:val="00566D54"/>
    <w:rsid w:val="005671A7"/>
    <w:rsid w:val="0056745D"/>
    <w:rsid w:val="00567A49"/>
    <w:rsid w:val="00570053"/>
    <w:rsid w:val="0057095A"/>
    <w:rsid w:val="0057095E"/>
    <w:rsid w:val="00570C23"/>
    <w:rsid w:val="005712B6"/>
    <w:rsid w:val="00571672"/>
    <w:rsid w:val="005716B1"/>
    <w:rsid w:val="00571B37"/>
    <w:rsid w:val="00572260"/>
    <w:rsid w:val="005723A5"/>
    <w:rsid w:val="0057278D"/>
    <w:rsid w:val="0057285C"/>
    <w:rsid w:val="00572D18"/>
    <w:rsid w:val="00572E6B"/>
    <w:rsid w:val="0057311E"/>
    <w:rsid w:val="0057316B"/>
    <w:rsid w:val="0057318C"/>
    <w:rsid w:val="0057354D"/>
    <w:rsid w:val="00573EB4"/>
    <w:rsid w:val="00573FB9"/>
    <w:rsid w:val="00574B63"/>
    <w:rsid w:val="00574F3B"/>
    <w:rsid w:val="005757E1"/>
    <w:rsid w:val="00575B23"/>
    <w:rsid w:val="00575FF5"/>
    <w:rsid w:val="005766D3"/>
    <w:rsid w:val="00576AA7"/>
    <w:rsid w:val="00577438"/>
    <w:rsid w:val="0057748A"/>
    <w:rsid w:val="005807EA"/>
    <w:rsid w:val="00580E3B"/>
    <w:rsid w:val="00581A20"/>
    <w:rsid w:val="005833C9"/>
    <w:rsid w:val="00583591"/>
    <w:rsid w:val="00583598"/>
    <w:rsid w:val="00583C1E"/>
    <w:rsid w:val="00584292"/>
    <w:rsid w:val="00585475"/>
    <w:rsid w:val="00585F21"/>
    <w:rsid w:val="0058633F"/>
    <w:rsid w:val="005865DA"/>
    <w:rsid w:val="00586829"/>
    <w:rsid w:val="00586E26"/>
    <w:rsid w:val="00587159"/>
    <w:rsid w:val="00587CC8"/>
    <w:rsid w:val="005906E4"/>
    <w:rsid w:val="00590975"/>
    <w:rsid w:val="00590D73"/>
    <w:rsid w:val="00590D75"/>
    <w:rsid w:val="00590F2B"/>
    <w:rsid w:val="00591337"/>
    <w:rsid w:val="005913A4"/>
    <w:rsid w:val="005915B3"/>
    <w:rsid w:val="00592324"/>
    <w:rsid w:val="0059263B"/>
    <w:rsid w:val="005931C1"/>
    <w:rsid w:val="005939FC"/>
    <w:rsid w:val="00593DB0"/>
    <w:rsid w:val="005952B9"/>
    <w:rsid w:val="005955DB"/>
    <w:rsid w:val="0059581E"/>
    <w:rsid w:val="00595A42"/>
    <w:rsid w:val="00595C60"/>
    <w:rsid w:val="00596240"/>
    <w:rsid w:val="00596A1A"/>
    <w:rsid w:val="0059763E"/>
    <w:rsid w:val="005979F0"/>
    <w:rsid w:val="00597CB8"/>
    <w:rsid w:val="00597F19"/>
    <w:rsid w:val="005A00BD"/>
    <w:rsid w:val="005A0196"/>
    <w:rsid w:val="005A07E7"/>
    <w:rsid w:val="005A094E"/>
    <w:rsid w:val="005A15B5"/>
    <w:rsid w:val="005A23F3"/>
    <w:rsid w:val="005A2A12"/>
    <w:rsid w:val="005A2ECD"/>
    <w:rsid w:val="005A31C7"/>
    <w:rsid w:val="005A35A3"/>
    <w:rsid w:val="005A3A33"/>
    <w:rsid w:val="005A3C24"/>
    <w:rsid w:val="005A3F45"/>
    <w:rsid w:val="005A496D"/>
    <w:rsid w:val="005A4A40"/>
    <w:rsid w:val="005A4B6B"/>
    <w:rsid w:val="005A4C0E"/>
    <w:rsid w:val="005A5071"/>
    <w:rsid w:val="005A5324"/>
    <w:rsid w:val="005A559C"/>
    <w:rsid w:val="005A586A"/>
    <w:rsid w:val="005A617C"/>
    <w:rsid w:val="005A6289"/>
    <w:rsid w:val="005A66B4"/>
    <w:rsid w:val="005A6A0C"/>
    <w:rsid w:val="005A6B02"/>
    <w:rsid w:val="005A6BFA"/>
    <w:rsid w:val="005A6DFA"/>
    <w:rsid w:val="005A7177"/>
    <w:rsid w:val="005A759A"/>
    <w:rsid w:val="005A75BF"/>
    <w:rsid w:val="005A7821"/>
    <w:rsid w:val="005B0EDA"/>
    <w:rsid w:val="005B1162"/>
    <w:rsid w:val="005B152E"/>
    <w:rsid w:val="005B155B"/>
    <w:rsid w:val="005B1C54"/>
    <w:rsid w:val="005B1C66"/>
    <w:rsid w:val="005B1EC5"/>
    <w:rsid w:val="005B20DF"/>
    <w:rsid w:val="005B21E4"/>
    <w:rsid w:val="005B2BEF"/>
    <w:rsid w:val="005B3766"/>
    <w:rsid w:val="005B388C"/>
    <w:rsid w:val="005B4015"/>
    <w:rsid w:val="005B401F"/>
    <w:rsid w:val="005B429B"/>
    <w:rsid w:val="005B42D2"/>
    <w:rsid w:val="005B475E"/>
    <w:rsid w:val="005B4840"/>
    <w:rsid w:val="005B4C3C"/>
    <w:rsid w:val="005B51DB"/>
    <w:rsid w:val="005B5342"/>
    <w:rsid w:val="005B5460"/>
    <w:rsid w:val="005B588F"/>
    <w:rsid w:val="005B62B7"/>
    <w:rsid w:val="005B6DA7"/>
    <w:rsid w:val="005B6F71"/>
    <w:rsid w:val="005B7497"/>
    <w:rsid w:val="005B799C"/>
    <w:rsid w:val="005C034B"/>
    <w:rsid w:val="005C0F2A"/>
    <w:rsid w:val="005C11CA"/>
    <w:rsid w:val="005C1310"/>
    <w:rsid w:val="005C1C69"/>
    <w:rsid w:val="005C2081"/>
    <w:rsid w:val="005C28F2"/>
    <w:rsid w:val="005C2964"/>
    <w:rsid w:val="005C2C5A"/>
    <w:rsid w:val="005C329F"/>
    <w:rsid w:val="005C3D53"/>
    <w:rsid w:val="005C4041"/>
    <w:rsid w:val="005C4BA5"/>
    <w:rsid w:val="005C573C"/>
    <w:rsid w:val="005C5975"/>
    <w:rsid w:val="005C5BC8"/>
    <w:rsid w:val="005C626F"/>
    <w:rsid w:val="005C6E69"/>
    <w:rsid w:val="005C705B"/>
    <w:rsid w:val="005C71BB"/>
    <w:rsid w:val="005C7237"/>
    <w:rsid w:val="005C777A"/>
    <w:rsid w:val="005C7EA6"/>
    <w:rsid w:val="005D0927"/>
    <w:rsid w:val="005D10C9"/>
    <w:rsid w:val="005D1574"/>
    <w:rsid w:val="005D16E7"/>
    <w:rsid w:val="005D1A6C"/>
    <w:rsid w:val="005D1B91"/>
    <w:rsid w:val="005D1DE3"/>
    <w:rsid w:val="005D2044"/>
    <w:rsid w:val="005D273B"/>
    <w:rsid w:val="005D3050"/>
    <w:rsid w:val="005D31F1"/>
    <w:rsid w:val="005D3989"/>
    <w:rsid w:val="005D3A2D"/>
    <w:rsid w:val="005D4560"/>
    <w:rsid w:val="005D4AED"/>
    <w:rsid w:val="005D4EB8"/>
    <w:rsid w:val="005D508F"/>
    <w:rsid w:val="005D5B4D"/>
    <w:rsid w:val="005D6040"/>
    <w:rsid w:val="005D67C2"/>
    <w:rsid w:val="005D6849"/>
    <w:rsid w:val="005D7853"/>
    <w:rsid w:val="005D7AFC"/>
    <w:rsid w:val="005E031F"/>
    <w:rsid w:val="005E03FB"/>
    <w:rsid w:val="005E05A1"/>
    <w:rsid w:val="005E05F2"/>
    <w:rsid w:val="005E063A"/>
    <w:rsid w:val="005E0671"/>
    <w:rsid w:val="005E08D7"/>
    <w:rsid w:val="005E1063"/>
    <w:rsid w:val="005E11CE"/>
    <w:rsid w:val="005E1406"/>
    <w:rsid w:val="005E1B85"/>
    <w:rsid w:val="005E1D94"/>
    <w:rsid w:val="005E1FA1"/>
    <w:rsid w:val="005E20D9"/>
    <w:rsid w:val="005E2379"/>
    <w:rsid w:val="005E23D2"/>
    <w:rsid w:val="005E23E8"/>
    <w:rsid w:val="005E2630"/>
    <w:rsid w:val="005E2A7F"/>
    <w:rsid w:val="005E2EA4"/>
    <w:rsid w:val="005E365C"/>
    <w:rsid w:val="005E42F0"/>
    <w:rsid w:val="005E4751"/>
    <w:rsid w:val="005E5757"/>
    <w:rsid w:val="005E589A"/>
    <w:rsid w:val="005E6441"/>
    <w:rsid w:val="005E6750"/>
    <w:rsid w:val="005E6C10"/>
    <w:rsid w:val="005E79A9"/>
    <w:rsid w:val="005E7E0E"/>
    <w:rsid w:val="005E7F37"/>
    <w:rsid w:val="005F0364"/>
    <w:rsid w:val="005F1AE4"/>
    <w:rsid w:val="005F1CE5"/>
    <w:rsid w:val="005F2741"/>
    <w:rsid w:val="005F3280"/>
    <w:rsid w:val="005F38A4"/>
    <w:rsid w:val="005F411A"/>
    <w:rsid w:val="005F4522"/>
    <w:rsid w:val="005F461B"/>
    <w:rsid w:val="005F4F49"/>
    <w:rsid w:val="005F5B3B"/>
    <w:rsid w:val="005F6C72"/>
    <w:rsid w:val="005F6EC4"/>
    <w:rsid w:val="005F7424"/>
    <w:rsid w:val="00600253"/>
    <w:rsid w:val="00601641"/>
    <w:rsid w:val="006016BC"/>
    <w:rsid w:val="006016BE"/>
    <w:rsid w:val="00602403"/>
    <w:rsid w:val="00602959"/>
    <w:rsid w:val="00602E53"/>
    <w:rsid w:val="00603045"/>
    <w:rsid w:val="006038D5"/>
    <w:rsid w:val="00603AE1"/>
    <w:rsid w:val="00603FB0"/>
    <w:rsid w:val="00603FFC"/>
    <w:rsid w:val="006040ED"/>
    <w:rsid w:val="00604260"/>
    <w:rsid w:val="006045A9"/>
    <w:rsid w:val="00604930"/>
    <w:rsid w:val="00604A8C"/>
    <w:rsid w:val="00604D58"/>
    <w:rsid w:val="006066EE"/>
    <w:rsid w:val="00607DB9"/>
    <w:rsid w:val="00610124"/>
    <w:rsid w:val="00610557"/>
    <w:rsid w:val="006108DE"/>
    <w:rsid w:val="006109F3"/>
    <w:rsid w:val="00610C52"/>
    <w:rsid w:val="00611437"/>
    <w:rsid w:val="006119FF"/>
    <w:rsid w:val="00611A1B"/>
    <w:rsid w:val="00611E54"/>
    <w:rsid w:val="00612251"/>
    <w:rsid w:val="0061233C"/>
    <w:rsid w:val="006127F4"/>
    <w:rsid w:val="00612DD1"/>
    <w:rsid w:val="00613281"/>
    <w:rsid w:val="00613EE3"/>
    <w:rsid w:val="0061403D"/>
    <w:rsid w:val="00614BF3"/>
    <w:rsid w:val="00614E08"/>
    <w:rsid w:val="00615228"/>
    <w:rsid w:val="00615635"/>
    <w:rsid w:val="0061594A"/>
    <w:rsid w:val="00615D9A"/>
    <w:rsid w:val="00615E83"/>
    <w:rsid w:val="00616501"/>
    <w:rsid w:val="00616682"/>
    <w:rsid w:val="006170AD"/>
    <w:rsid w:val="0061750F"/>
    <w:rsid w:val="0061773E"/>
    <w:rsid w:val="006205E4"/>
    <w:rsid w:val="00620FFD"/>
    <w:rsid w:val="0062105E"/>
    <w:rsid w:val="00621282"/>
    <w:rsid w:val="00621952"/>
    <w:rsid w:val="00621F65"/>
    <w:rsid w:val="006220AC"/>
    <w:rsid w:val="006229CB"/>
    <w:rsid w:val="00622C32"/>
    <w:rsid w:val="00622F8A"/>
    <w:rsid w:val="0062389B"/>
    <w:rsid w:val="006246EA"/>
    <w:rsid w:val="00624B8B"/>
    <w:rsid w:val="006250E0"/>
    <w:rsid w:val="00626271"/>
    <w:rsid w:val="0062645D"/>
    <w:rsid w:val="00626B1F"/>
    <w:rsid w:val="00626DF0"/>
    <w:rsid w:val="006272D0"/>
    <w:rsid w:val="00627743"/>
    <w:rsid w:val="006278FA"/>
    <w:rsid w:val="00627EEB"/>
    <w:rsid w:val="00630110"/>
    <w:rsid w:val="00630B02"/>
    <w:rsid w:val="00630F24"/>
    <w:rsid w:val="00631284"/>
    <w:rsid w:val="0063137A"/>
    <w:rsid w:val="006317DC"/>
    <w:rsid w:val="0063192F"/>
    <w:rsid w:val="00631CC8"/>
    <w:rsid w:val="00631D86"/>
    <w:rsid w:val="0063262E"/>
    <w:rsid w:val="00632C2B"/>
    <w:rsid w:val="00632C40"/>
    <w:rsid w:val="00632DE1"/>
    <w:rsid w:val="006339B9"/>
    <w:rsid w:val="00634951"/>
    <w:rsid w:val="00635A7B"/>
    <w:rsid w:val="00636F59"/>
    <w:rsid w:val="00636F7E"/>
    <w:rsid w:val="006370DB"/>
    <w:rsid w:val="006408E6"/>
    <w:rsid w:val="00640DD0"/>
    <w:rsid w:val="00641345"/>
    <w:rsid w:val="00641B0E"/>
    <w:rsid w:val="00642261"/>
    <w:rsid w:val="00642958"/>
    <w:rsid w:val="00642B8B"/>
    <w:rsid w:val="00642E93"/>
    <w:rsid w:val="0064311B"/>
    <w:rsid w:val="006431B3"/>
    <w:rsid w:val="006440D4"/>
    <w:rsid w:val="00644222"/>
    <w:rsid w:val="00644829"/>
    <w:rsid w:val="00644CC9"/>
    <w:rsid w:val="006457A8"/>
    <w:rsid w:val="00645AFE"/>
    <w:rsid w:val="00645B2A"/>
    <w:rsid w:val="006477CC"/>
    <w:rsid w:val="006506DB"/>
    <w:rsid w:val="00650A15"/>
    <w:rsid w:val="00650D31"/>
    <w:rsid w:val="00650FC6"/>
    <w:rsid w:val="0065114F"/>
    <w:rsid w:val="006516B3"/>
    <w:rsid w:val="00651917"/>
    <w:rsid w:val="00651DD4"/>
    <w:rsid w:val="006523F3"/>
    <w:rsid w:val="0065256E"/>
    <w:rsid w:val="00652AB3"/>
    <w:rsid w:val="00653123"/>
    <w:rsid w:val="006533FA"/>
    <w:rsid w:val="00653760"/>
    <w:rsid w:val="0065384B"/>
    <w:rsid w:val="0065413D"/>
    <w:rsid w:val="006546A7"/>
    <w:rsid w:val="00655348"/>
    <w:rsid w:val="0065574A"/>
    <w:rsid w:val="0065586A"/>
    <w:rsid w:val="00655E71"/>
    <w:rsid w:val="0065671A"/>
    <w:rsid w:val="006569AC"/>
    <w:rsid w:val="00656E9A"/>
    <w:rsid w:val="00656FAF"/>
    <w:rsid w:val="00657B09"/>
    <w:rsid w:val="006609EB"/>
    <w:rsid w:val="0066148F"/>
    <w:rsid w:val="00661DC7"/>
    <w:rsid w:val="00663218"/>
    <w:rsid w:val="00663AD1"/>
    <w:rsid w:val="00663F9F"/>
    <w:rsid w:val="006644E9"/>
    <w:rsid w:val="00664813"/>
    <w:rsid w:val="00664CBA"/>
    <w:rsid w:val="00664DE2"/>
    <w:rsid w:val="00665808"/>
    <w:rsid w:val="0066597C"/>
    <w:rsid w:val="00666037"/>
    <w:rsid w:val="00666172"/>
    <w:rsid w:val="0066620F"/>
    <w:rsid w:val="006663F6"/>
    <w:rsid w:val="00666438"/>
    <w:rsid w:val="0066743E"/>
    <w:rsid w:val="00667609"/>
    <w:rsid w:val="00667B0F"/>
    <w:rsid w:val="00667B26"/>
    <w:rsid w:val="00667B2E"/>
    <w:rsid w:val="006709BD"/>
    <w:rsid w:val="00670AEF"/>
    <w:rsid w:val="00670C59"/>
    <w:rsid w:val="00670CD0"/>
    <w:rsid w:val="00670EA9"/>
    <w:rsid w:val="0067145B"/>
    <w:rsid w:val="00671977"/>
    <w:rsid w:val="0067197D"/>
    <w:rsid w:val="00671BCE"/>
    <w:rsid w:val="00671BFE"/>
    <w:rsid w:val="00671C4B"/>
    <w:rsid w:val="00671C6D"/>
    <w:rsid w:val="00671EB1"/>
    <w:rsid w:val="00672175"/>
    <w:rsid w:val="00672249"/>
    <w:rsid w:val="00672282"/>
    <w:rsid w:val="0067287F"/>
    <w:rsid w:val="00672BE9"/>
    <w:rsid w:val="00673014"/>
    <w:rsid w:val="0067443D"/>
    <w:rsid w:val="0067443E"/>
    <w:rsid w:val="00674CF4"/>
    <w:rsid w:val="00675416"/>
    <w:rsid w:val="00675784"/>
    <w:rsid w:val="00675974"/>
    <w:rsid w:val="00675B79"/>
    <w:rsid w:val="00675D7F"/>
    <w:rsid w:val="00675EC8"/>
    <w:rsid w:val="006760E4"/>
    <w:rsid w:val="0067632D"/>
    <w:rsid w:val="0067649B"/>
    <w:rsid w:val="006774DB"/>
    <w:rsid w:val="006775F4"/>
    <w:rsid w:val="0068033C"/>
    <w:rsid w:val="00680888"/>
    <w:rsid w:val="00680A06"/>
    <w:rsid w:val="006811D6"/>
    <w:rsid w:val="0068167B"/>
    <w:rsid w:val="00682327"/>
    <w:rsid w:val="0068239C"/>
    <w:rsid w:val="00682524"/>
    <w:rsid w:val="00682638"/>
    <w:rsid w:val="00682D53"/>
    <w:rsid w:val="00682D8F"/>
    <w:rsid w:val="00682DC6"/>
    <w:rsid w:val="00682F3F"/>
    <w:rsid w:val="006831B7"/>
    <w:rsid w:val="00683238"/>
    <w:rsid w:val="00683437"/>
    <w:rsid w:val="0068366C"/>
    <w:rsid w:val="006845CD"/>
    <w:rsid w:val="00684661"/>
    <w:rsid w:val="006848B7"/>
    <w:rsid w:val="00684A00"/>
    <w:rsid w:val="00684D30"/>
    <w:rsid w:val="00685B98"/>
    <w:rsid w:val="00686499"/>
    <w:rsid w:val="00686B0A"/>
    <w:rsid w:val="00686B75"/>
    <w:rsid w:val="006872B1"/>
    <w:rsid w:val="00687D86"/>
    <w:rsid w:val="00687DCD"/>
    <w:rsid w:val="00687FC8"/>
    <w:rsid w:val="0069023B"/>
    <w:rsid w:val="00690436"/>
    <w:rsid w:val="00690587"/>
    <w:rsid w:val="0069094E"/>
    <w:rsid w:val="00690CD0"/>
    <w:rsid w:val="00690E95"/>
    <w:rsid w:val="00690F10"/>
    <w:rsid w:val="00691C6C"/>
    <w:rsid w:val="00691CC9"/>
    <w:rsid w:val="00691D28"/>
    <w:rsid w:val="006923A6"/>
    <w:rsid w:val="00692983"/>
    <w:rsid w:val="00692E89"/>
    <w:rsid w:val="00692EE9"/>
    <w:rsid w:val="006931D5"/>
    <w:rsid w:val="00693B9C"/>
    <w:rsid w:val="00693D9A"/>
    <w:rsid w:val="00694C1A"/>
    <w:rsid w:val="00696035"/>
    <w:rsid w:val="00696059"/>
    <w:rsid w:val="00696161"/>
    <w:rsid w:val="006966CC"/>
    <w:rsid w:val="00696C43"/>
    <w:rsid w:val="006971EF"/>
    <w:rsid w:val="006A0B0F"/>
    <w:rsid w:val="006A0FA6"/>
    <w:rsid w:val="006A11AF"/>
    <w:rsid w:val="006A141E"/>
    <w:rsid w:val="006A16D8"/>
    <w:rsid w:val="006A20D6"/>
    <w:rsid w:val="006A22A0"/>
    <w:rsid w:val="006A243D"/>
    <w:rsid w:val="006A247E"/>
    <w:rsid w:val="006A25FB"/>
    <w:rsid w:val="006A2C35"/>
    <w:rsid w:val="006A33E5"/>
    <w:rsid w:val="006A3EE4"/>
    <w:rsid w:val="006A3FD9"/>
    <w:rsid w:val="006A4030"/>
    <w:rsid w:val="006A40D7"/>
    <w:rsid w:val="006A481F"/>
    <w:rsid w:val="006A4F59"/>
    <w:rsid w:val="006A5221"/>
    <w:rsid w:val="006A55F7"/>
    <w:rsid w:val="006A5925"/>
    <w:rsid w:val="006A5C8E"/>
    <w:rsid w:val="006A63F9"/>
    <w:rsid w:val="006A6724"/>
    <w:rsid w:val="006A68C2"/>
    <w:rsid w:val="006A6DAC"/>
    <w:rsid w:val="006A71B1"/>
    <w:rsid w:val="006A7492"/>
    <w:rsid w:val="006A75CE"/>
    <w:rsid w:val="006A7B58"/>
    <w:rsid w:val="006A7E2A"/>
    <w:rsid w:val="006A7F57"/>
    <w:rsid w:val="006B006F"/>
    <w:rsid w:val="006B046E"/>
    <w:rsid w:val="006B04F3"/>
    <w:rsid w:val="006B0651"/>
    <w:rsid w:val="006B0968"/>
    <w:rsid w:val="006B09E3"/>
    <w:rsid w:val="006B10F8"/>
    <w:rsid w:val="006B1B57"/>
    <w:rsid w:val="006B1BA0"/>
    <w:rsid w:val="006B2EB0"/>
    <w:rsid w:val="006B2EFE"/>
    <w:rsid w:val="006B31E1"/>
    <w:rsid w:val="006B32EE"/>
    <w:rsid w:val="006B34AA"/>
    <w:rsid w:val="006B371F"/>
    <w:rsid w:val="006B37B9"/>
    <w:rsid w:val="006B39A8"/>
    <w:rsid w:val="006B3D70"/>
    <w:rsid w:val="006B4749"/>
    <w:rsid w:val="006B4C44"/>
    <w:rsid w:val="006B4FEE"/>
    <w:rsid w:val="006B5AC3"/>
    <w:rsid w:val="006B5C47"/>
    <w:rsid w:val="006B5D68"/>
    <w:rsid w:val="006B6CB0"/>
    <w:rsid w:val="006B6EA7"/>
    <w:rsid w:val="006B7343"/>
    <w:rsid w:val="006B75EA"/>
    <w:rsid w:val="006B778B"/>
    <w:rsid w:val="006B7A39"/>
    <w:rsid w:val="006B7E1A"/>
    <w:rsid w:val="006B7E5F"/>
    <w:rsid w:val="006B7FD8"/>
    <w:rsid w:val="006C061B"/>
    <w:rsid w:val="006C0AC6"/>
    <w:rsid w:val="006C1034"/>
    <w:rsid w:val="006C132C"/>
    <w:rsid w:val="006C1EBD"/>
    <w:rsid w:val="006C2DD1"/>
    <w:rsid w:val="006C34CC"/>
    <w:rsid w:val="006C34DB"/>
    <w:rsid w:val="006C35C8"/>
    <w:rsid w:val="006C3AA0"/>
    <w:rsid w:val="006C43CF"/>
    <w:rsid w:val="006C4DBF"/>
    <w:rsid w:val="006C53CD"/>
    <w:rsid w:val="006C5F63"/>
    <w:rsid w:val="006C6087"/>
    <w:rsid w:val="006C663A"/>
    <w:rsid w:val="006C6AA8"/>
    <w:rsid w:val="006C6BBD"/>
    <w:rsid w:val="006C70D4"/>
    <w:rsid w:val="006C7F50"/>
    <w:rsid w:val="006D0325"/>
    <w:rsid w:val="006D0374"/>
    <w:rsid w:val="006D06F0"/>
    <w:rsid w:val="006D0746"/>
    <w:rsid w:val="006D137A"/>
    <w:rsid w:val="006D15FA"/>
    <w:rsid w:val="006D1EEE"/>
    <w:rsid w:val="006D2034"/>
    <w:rsid w:val="006D2BFC"/>
    <w:rsid w:val="006D2E7B"/>
    <w:rsid w:val="006D31B8"/>
    <w:rsid w:val="006D35D0"/>
    <w:rsid w:val="006D3A4B"/>
    <w:rsid w:val="006D4182"/>
    <w:rsid w:val="006D4342"/>
    <w:rsid w:val="006D4C18"/>
    <w:rsid w:val="006D52A5"/>
    <w:rsid w:val="006D5361"/>
    <w:rsid w:val="006D5469"/>
    <w:rsid w:val="006D5583"/>
    <w:rsid w:val="006D56AE"/>
    <w:rsid w:val="006D5F7F"/>
    <w:rsid w:val="006D5FE2"/>
    <w:rsid w:val="006D6A61"/>
    <w:rsid w:val="006D74E0"/>
    <w:rsid w:val="006D7939"/>
    <w:rsid w:val="006D7C62"/>
    <w:rsid w:val="006E062F"/>
    <w:rsid w:val="006E0867"/>
    <w:rsid w:val="006E090E"/>
    <w:rsid w:val="006E0A86"/>
    <w:rsid w:val="006E0D43"/>
    <w:rsid w:val="006E168D"/>
    <w:rsid w:val="006E31DC"/>
    <w:rsid w:val="006E3558"/>
    <w:rsid w:val="006E35F3"/>
    <w:rsid w:val="006E4258"/>
    <w:rsid w:val="006E4653"/>
    <w:rsid w:val="006E55A6"/>
    <w:rsid w:val="006E564F"/>
    <w:rsid w:val="006E57A5"/>
    <w:rsid w:val="006E5A9C"/>
    <w:rsid w:val="006E685A"/>
    <w:rsid w:val="006E7446"/>
    <w:rsid w:val="006E7996"/>
    <w:rsid w:val="006F06EA"/>
    <w:rsid w:val="006F0FA5"/>
    <w:rsid w:val="006F1176"/>
    <w:rsid w:val="006F11C4"/>
    <w:rsid w:val="006F12D0"/>
    <w:rsid w:val="006F17BE"/>
    <w:rsid w:val="006F220E"/>
    <w:rsid w:val="006F22AA"/>
    <w:rsid w:val="006F3A6A"/>
    <w:rsid w:val="006F3AB3"/>
    <w:rsid w:val="006F4674"/>
    <w:rsid w:val="006F4FC2"/>
    <w:rsid w:val="006F5275"/>
    <w:rsid w:val="006F5A93"/>
    <w:rsid w:val="006F5CCB"/>
    <w:rsid w:val="006F5E6F"/>
    <w:rsid w:val="006F63E5"/>
    <w:rsid w:val="006F696D"/>
    <w:rsid w:val="006F69CA"/>
    <w:rsid w:val="006F6FF5"/>
    <w:rsid w:val="006F740A"/>
    <w:rsid w:val="006F767A"/>
    <w:rsid w:val="006F7D7C"/>
    <w:rsid w:val="0070089B"/>
    <w:rsid w:val="00700E71"/>
    <w:rsid w:val="00701102"/>
    <w:rsid w:val="00701571"/>
    <w:rsid w:val="0070191B"/>
    <w:rsid w:val="00701E7D"/>
    <w:rsid w:val="00701F0C"/>
    <w:rsid w:val="00702757"/>
    <w:rsid w:val="00702D3D"/>
    <w:rsid w:val="00703498"/>
    <w:rsid w:val="0070425C"/>
    <w:rsid w:val="00704402"/>
    <w:rsid w:val="007044C7"/>
    <w:rsid w:val="007044CA"/>
    <w:rsid w:val="00704C6A"/>
    <w:rsid w:val="007051B0"/>
    <w:rsid w:val="00706F54"/>
    <w:rsid w:val="00707D30"/>
    <w:rsid w:val="00707E53"/>
    <w:rsid w:val="007116B0"/>
    <w:rsid w:val="00711DF3"/>
    <w:rsid w:val="0071262C"/>
    <w:rsid w:val="00712773"/>
    <w:rsid w:val="0071277C"/>
    <w:rsid w:val="00712A1B"/>
    <w:rsid w:val="0071357D"/>
    <w:rsid w:val="00713A4B"/>
    <w:rsid w:val="00713AAE"/>
    <w:rsid w:val="00713B1A"/>
    <w:rsid w:val="00714155"/>
    <w:rsid w:val="007146AB"/>
    <w:rsid w:val="00714858"/>
    <w:rsid w:val="00715B04"/>
    <w:rsid w:val="00715E7F"/>
    <w:rsid w:val="007162AF"/>
    <w:rsid w:val="00716723"/>
    <w:rsid w:val="007167F8"/>
    <w:rsid w:val="0071683C"/>
    <w:rsid w:val="00716AF2"/>
    <w:rsid w:val="00717375"/>
    <w:rsid w:val="00720236"/>
    <w:rsid w:val="007204D4"/>
    <w:rsid w:val="00720E7C"/>
    <w:rsid w:val="007211A9"/>
    <w:rsid w:val="007213AF"/>
    <w:rsid w:val="0072149F"/>
    <w:rsid w:val="0072177D"/>
    <w:rsid w:val="007221B6"/>
    <w:rsid w:val="0072264F"/>
    <w:rsid w:val="00722EF6"/>
    <w:rsid w:val="00723464"/>
    <w:rsid w:val="00723CEE"/>
    <w:rsid w:val="00723F91"/>
    <w:rsid w:val="0072413D"/>
    <w:rsid w:val="00724ADF"/>
    <w:rsid w:val="00724F89"/>
    <w:rsid w:val="0072500A"/>
    <w:rsid w:val="00725081"/>
    <w:rsid w:val="00725C5F"/>
    <w:rsid w:val="00725CF6"/>
    <w:rsid w:val="00726448"/>
    <w:rsid w:val="0072651E"/>
    <w:rsid w:val="00726FB1"/>
    <w:rsid w:val="007270D9"/>
    <w:rsid w:val="0072715D"/>
    <w:rsid w:val="00727FEF"/>
    <w:rsid w:val="00730795"/>
    <w:rsid w:val="0073118E"/>
    <w:rsid w:val="0073134F"/>
    <w:rsid w:val="007316B2"/>
    <w:rsid w:val="00731EBD"/>
    <w:rsid w:val="007323E3"/>
    <w:rsid w:val="00732538"/>
    <w:rsid w:val="00732747"/>
    <w:rsid w:val="00732988"/>
    <w:rsid w:val="00732D55"/>
    <w:rsid w:val="00732EA0"/>
    <w:rsid w:val="007334E0"/>
    <w:rsid w:val="00733CFF"/>
    <w:rsid w:val="00734C9F"/>
    <w:rsid w:val="00734CED"/>
    <w:rsid w:val="0073583C"/>
    <w:rsid w:val="00735B5B"/>
    <w:rsid w:val="00735FA6"/>
    <w:rsid w:val="00736028"/>
    <w:rsid w:val="00736A8A"/>
    <w:rsid w:val="00736C1E"/>
    <w:rsid w:val="0073750E"/>
    <w:rsid w:val="00737EA0"/>
    <w:rsid w:val="0074026D"/>
    <w:rsid w:val="007405F1"/>
    <w:rsid w:val="007406F3"/>
    <w:rsid w:val="0074092E"/>
    <w:rsid w:val="00740A22"/>
    <w:rsid w:val="00740ED6"/>
    <w:rsid w:val="00742258"/>
    <w:rsid w:val="007425DE"/>
    <w:rsid w:val="00742A89"/>
    <w:rsid w:val="00742E56"/>
    <w:rsid w:val="007432A1"/>
    <w:rsid w:val="007435F9"/>
    <w:rsid w:val="007436C0"/>
    <w:rsid w:val="00743CA4"/>
    <w:rsid w:val="00743CD6"/>
    <w:rsid w:val="00743CDF"/>
    <w:rsid w:val="00743D1A"/>
    <w:rsid w:val="00744216"/>
    <w:rsid w:val="00744280"/>
    <w:rsid w:val="007445DF"/>
    <w:rsid w:val="007447DD"/>
    <w:rsid w:val="00744AAA"/>
    <w:rsid w:val="00744F91"/>
    <w:rsid w:val="00745150"/>
    <w:rsid w:val="00745BBA"/>
    <w:rsid w:val="00746416"/>
    <w:rsid w:val="00746937"/>
    <w:rsid w:val="0074697E"/>
    <w:rsid w:val="00746D43"/>
    <w:rsid w:val="00746F23"/>
    <w:rsid w:val="00747855"/>
    <w:rsid w:val="00747A22"/>
    <w:rsid w:val="00747C3F"/>
    <w:rsid w:val="0075027E"/>
    <w:rsid w:val="0075050D"/>
    <w:rsid w:val="0075062D"/>
    <w:rsid w:val="00750718"/>
    <w:rsid w:val="007508DE"/>
    <w:rsid w:val="00751DED"/>
    <w:rsid w:val="00752568"/>
    <w:rsid w:val="00752F2B"/>
    <w:rsid w:val="007533F9"/>
    <w:rsid w:val="00753B7F"/>
    <w:rsid w:val="00753BE7"/>
    <w:rsid w:val="00753DA0"/>
    <w:rsid w:val="00753E4C"/>
    <w:rsid w:val="00754A28"/>
    <w:rsid w:val="007552AA"/>
    <w:rsid w:val="00755BAB"/>
    <w:rsid w:val="00755D95"/>
    <w:rsid w:val="00756244"/>
    <w:rsid w:val="00756B23"/>
    <w:rsid w:val="00756B7F"/>
    <w:rsid w:val="00757097"/>
    <w:rsid w:val="007572C4"/>
    <w:rsid w:val="00757704"/>
    <w:rsid w:val="00757E96"/>
    <w:rsid w:val="0076000B"/>
    <w:rsid w:val="00760C79"/>
    <w:rsid w:val="00761230"/>
    <w:rsid w:val="007613E8"/>
    <w:rsid w:val="00761787"/>
    <w:rsid w:val="00761805"/>
    <w:rsid w:val="00761927"/>
    <w:rsid w:val="00761D59"/>
    <w:rsid w:val="00761F69"/>
    <w:rsid w:val="00762774"/>
    <w:rsid w:val="00762BFA"/>
    <w:rsid w:val="00762F46"/>
    <w:rsid w:val="00763152"/>
    <w:rsid w:val="007633BD"/>
    <w:rsid w:val="007634B4"/>
    <w:rsid w:val="007639B3"/>
    <w:rsid w:val="00763ADC"/>
    <w:rsid w:val="00764CD3"/>
    <w:rsid w:val="00765966"/>
    <w:rsid w:val="00765BF1"/>
    <w:rsid w:val="00765E8B"/>
    <w:rsid w:val="0076600C"/>
    <w:rsid w:val="0076618A"/>
    <w:rsid w:val="00766724"/>
    <w:rsid w:val="007674C5"/>
    <w:rsid w:val="00770105"/>
    <w:rsid w:val="007701D5"/>
    <w:rsid w:val="00770253"/>
    <w:rsid w:val="00770B56"/>
    <w:rsid w:val="0077122C"/>
    <w:rsid w:val="0077151A"/>
    <w:rsid w:val="00771579"/>
    <w:rsid w:val="00771B03"/>
    <w:rsid w:val="00771E60"/>
    <w:rsid w:val="007729D4"/>
    <w:rsid w:val="00773C51"/>
    <w:rsid w:val="00774A20"/>
    <w:rsid w:val="00774A28"/>
    <w:rsid w:val="00774C20"/>
    <w:rsid w:val="00774F96"/>
    <w:rsid w:val="00775070"/>
    <w:rsid w:val="007751E8"/>
    <w:rsid w:val="00775267"/>
    <w:rsid w:val="00775748"/>
    <w:rsid w:val="0077579A"/>
    <w:rsid w:val="0077596A"/>
    <w:rsid w:val="0077599E"/>
    <w:rsid w:val="00775D5D"/>
    <w:rsid w:val="00776899"/>
    <w:rsid w:val="00776F37"/>
    <w:rsid w:val="007771E7"/>
    <w:rsid w:val="0077745E"/>
    <w:rsid w:val="0077790C"/>
    <w:rsid w:val="007802AD"/>
    <w:rsid w:val="007810D3"/>
    <w:rsid w:val="007810FD"/>
    <w:rsid w:val="0078123C"/>
    <w:rsid w:val="00781399"/>
    <w:rsid w:val="00781BC6"/>
    <w:rsid w:val="00781D7D"/>
    <w:rsid w:val="00782767"/>
    <w:rsid w:val="00782E12"/>
    <w:rsid w:val="00783639"/>
    <w:rsid w:val="00783A0A"/>
    <w:rsid w:val="00783A46"/>
    <w:rsid w:val="00783CB2"/>
    <w:rsid w:val="0078446A"/>
    <w:rsid w:val="00784BFD"/>
    <w:rsid w:val="00784D67"/>
    <w:rsid w:val="00785E9A"/>
    <w:rsid w:val="0078649B"/>
    <w:rsid w:val="007866BE"/>
    <w:rsid w:val="00786A82"/>
    <w:rsid w:val="00786EFA"/>
    <w:rsid w:val="00787A87"/>
    <w:rsid w:val="00787B43"/>
    <w:rsid w:val="007905D9"/>
    <w:rsid w:val="00790761"/>
    <w:rsid w:val="00790A96"/>
    <w:rsid w:val="00790B00"/>
    <w:rsid w:val="00791DE8"/>
    <w:rsid w:val="00791EDD"/>
    <w:rsid w:val="00791F14"/>
    <w:rsid w:val="00791F84"/>
    <w:rsid w:val="007924E2"/>
    <w:rsid w:val="00792779"/>
    <w:rsid w:val="007929E6"/>
    <w:rsid w:val="007929FA"/>
    <w:rsid w:val="00792CCB"/>
    <w:rsid w:val="00792E55"/>
    <w:rsid w:val="007934FA"/>
    <w:rsid w:val="00793A22"/>
    <w:rsid w:val="00793D3C"/>
    <w:rsid w:val="00793DCA"/>
    <w:rsid w:val="007941F4"/>
    <w:rsid w:val="00794B1A"/>
    <w:rsid w:val="00794D17"/>
    <w:rsid w:val="00795B84"/>
    <w:rsid w:val="00796763"/>
    <w:rsid w:val="00796A87"/>
    <w:rsid w:val="00796BB5"/>
    <w:rsid w:val="00797551"/>
    <w:rsid w:val="007975F1"/>
    <w:rsid w:val="00797B8C"/>
    <w:rsid w:val="00797F68"/>
    <w:rsid w:val="007A00AA"/>
    <w:rsid w:val="007A0BDA"/>
    <w:rsid w:val="007A0CC1"/>
    <w:rsid w:val="007A1390"/>
    <w:rsid w:val="007A1719"/>
    <w:rsid w:val="007A1BD7"/>
    <w:rsid w:val="007A273C"/>
    <w:rsid w:val="007A308A"/>
    <w:rsid w:val="007A3DC4"/>
    <w:rsid w:val="007A3F55"/>
    <w:rsid w:val="007A43EE"/>
    <w:rsid w:val="007A473C"/>
    <w:rsid w:val="007A4798"/>
    <w:rsid w:val="007A4F9E"/>
    <w:rsid w:val="007A68AC"/>
    <w:rsid w:val="007A6BF4"/>
    <w:rsid w:val="007A6C02"/>
    <w:rsid w:val="007A7142"/>
    <w:rsid w:val="007A71D4"/>
    <w:rsid w:val="007A7824"/>
    <w:rsid w:val="007A785E"/>
    <w:rsid w:val="007B011F"/>
    <w:rsid w:val="007B067A"/>
    <w:rsid w:val="007B06EB"/>
    <w:rsid w:val="007B1499"/>
    <w:rsid w:val="007B1883"/>
    <w:rsid w:val="007B2587"/>
    <w:rsid w:val="007B25CA"/>
    <w:rsid w:val="007B2E5D"/>
    <w:rsid w:val="007B3D2D"/>
    <w:rsid w:val="007B41B1"/>
    <w:rsid w:val="007B466E"/>
    <w:rsid w:val="007B4F4B"/>
    <w:rsid w:val="007B4F58"/>
    <w:rsid w:val="007B5019"/>
    <w:rsid w:val="007B5D55"/>
    <w:rsid w:val="007B6079"/>
    <w:rsid w:val="007B692E"/>
    <w:rsid w:val="007B6AA2"/>
    <w:rsid w:val="007B6E8F"/>
    <w:rsid w:val="007B7AF5"/>
    <w:rsid w:val="007B7E18"/>
    <w:rsid w:val="007C0368"/>
    <w:rsid w:val="007C039B"/>
    <w:rsid w:val="007C0629"/>
    <w:rsid w:val="007C21E0"/>
    <w:rsid w:val="007C2636"/>
    <w:rsid w:val="007C2A55"/>
    <w:rsid w:val="007C2ABD"/>
    <w:rsid w:val="007C35CE"/>
    <w:rsid w:val="007C39CA"/>
    <w:rsid w:val="007C3D48"/>
    <w:rsid w:val="007C4142"/>
    <w:rsid w:val="007C450E"/>
    <w:rsid w:val="007C45B9"/>
    <w:rsid w:val="007C4B8B"/>
    <w:rsid w:val="007C4F8A"/>
    <w:rsid w:val="007C5C0B"/>
    <w:rsid w:val="007C5F21"/>
    <w:rsid w:val="007C61D2"/>
    <w:rsid w:val="007C6636"/>
    <w:rsid w:val="007C701E"/>
    <w:rsid w:val="007C72D5"/>
    <w:rsid w:val="007C78B9"/>
    <w:rsid w:val="007C7B01"/>
    <w:rsid w:val="007C7C96"/>
    <w:rsid w:val="007D0764"/>
    <w:rsid w:val="007D13F5"/>
    <w:rsid w:val="007D1E25"/>
    <w:rsid w:val="007D2CE6"/>
    <w:rsid w:val="007D2DD1"/>
    <w:rsid w:val="007D2EBA"/>
    <w:rsid w:val="007D3853"/>
    <w:rsid w:val="007D3C55"/>
    <w:rsid w:val="007D3DD7"/>
    <w:rsid w:val="007D461D"/>
    <w:rsid w:val="007D485A"/>
    <w:rsid w:val="007D4A49"/>
    <w:rsid w:val="007D4EEB"/>
    <w:rsid w:val="007D50F4"/>
    <w:rsid w:val="007D58FE"/>
    <w:rsid w:val="007D5AFB"/>
    <w:rsid w:val="007D6445"/>
    <w:rsid w:val="007D647F"/>
    <w:rsid w:val="007D6741"/>
    <w:rsid w:val="007D6743"/>
    <w:rsid w:val="007D69E9"/>
    <w:rsid w:val="007D6C44"/>
    <w:rsid w:val="007D6DCF"/>
    <w:rsid w:val="007D7237"/>
    <w:rsid w:val="007D7897"/>
    <w:rsid w:val="007D7C89"/>
    <w:rsid w:val="007D7ED6"/>
    <w:rsid w:val="007E02EF"/>
    <w:rsid w:val="007E05AD"/>
    <w:rsid w:val="007E05F7"/>
    <w:rsid w:val="007E0B98"/>
    <w:rsid w:val="007E1026"/>
    <w:rsid w:val="007E1B3A"/>
    <w:rsid w:val="007E1C33"/>
    <w:rsid w:val="007E2460"/>
    <w:rsid w:val="007E254B"/>
    <w:rsid w:val="007E2693"/>
    <w:rsid w:val="007E272E"/>
    <w:rsid w:val="007E2F43"/>
    <w:rsid w:val="007E3C65"/>
    <w:rsid w:val="007E3F72"/>
    <w:rsid w:val="007E41BC"/>
    <w:rsid w:val="007E43A1"/>
    <w:rsid w:val="007E43F2"/>
    <w:rsid w:val="007E4734"/>
    <w:rsid w:val="007E4939"/>
    <w:rsid w:val="007E5588"/>
    <w:rsid w:val="007E5711"/>
    <w:rsid w:val="007E5F87"/>
    <w:rsid w:val="007E60C5"/>
    <w:rsid w:val="007E76A0"/>
    <w:rsid w:val="007E77DD"/>
    <w:rsid w:val="007E79D7"/>
    <w:rsid w:val="007E7BD9"/>
    <w:rsid w:val="007F0469"/>
    <w:rsid w:val="007F07F3"/>
    <w:rsid w:val="007F0F04"/>
    <w:rsid w:val="007F1230"/>
    <w:rsid w:val="007F1691"/>
    <w:rsid w:val="007F1E04"/>
    <w:rsid w:val="007F2298"/>
    <w:rsid w:val="007F254C"/>
    <w:rsid w:val="007F2EEC"/>
    <w:rsid w:val="007F3749"/>
    <w:rsid w:val="007F43EE"/>
    <w:rsid w:val="007F484E"/>
    <w:rsid w:val="007F50D6"/>
    <w:rsid w:val="007F5F96"/>
    <w:rsid w:val="007F70CA"/>
    <w:rsid w:val="007F7109"/>
    <w:rsid w:val="007F7959"/>
    <w:rsid w:val="007F7C1B"/>
    <w:rsid w:val="007F7EA6"/>
    <w:rsid w:val="00800A22"/>
    <w:rsid w:val="00800B4A"/>
    <w:rsid w:val="00800C42"/>
    <w:rsid w:val="00800E73"/>
    <w:rsid w:val="00800EE8"/>
    <w:rsid w:val="00801682"/>
    <w:rsid w:val="00801B8A"/>
    <w:rsid w:val="008021C4"/>
    <w:rsid w:val="0080284C"/>
    <w:rsid w:val="00802C5E"/>
    <w:rsid w:val="00802FB9"/>
    <w:rsid w:val="00803136"/>
    <w:rsid w:val="008031EC"/>
    <w:rsid w:val="0080365B"/>
    <w:rsid w:val="00803BB9"/>
    <w:rsid w:val="00803DB8"/>
    <w:rsid w:val="00803E4B"/>
    <w:rsid w:val="00804647"/>
    <w:rsid w:val="008048DD"/>
    <w:rsid w:val="00804F0E"/>
    <w:rsid w:val="008053D7"/>
    <w:rsid w:val="008058B7"/>
    <w:rsid w:val="00805CCC"/>
    <w:rsid w:val="008068CC"/>
    <w:rsid w:val="008069EA"/>
    <w:rsid w:val="00806A54"/>
    <w:rsid w:val="008071D6"/>
    <w:rsid w:val="00807264"/>
    <w:rsid w:val="00807454"/>
    <w:rsid w:val="008074C5"/>
    <w:rsid w:val="00807E8E"/>
    <w:rsid w:val="00810145"/>
    <w:rsid w:val="008108D2"/>
    <w:rsid w:val="008114CE"/>
    <w:rsid w:val="00811805"/>
    <w:rsid w:val="008119ED"/>
    <w:rsid w:val="00811CC5"/>
    <w:rsid w:val="00812489"/>
    <w:rsid w:val="008128AC"/>
    <w:rsid w:val="00812A40"/>
    <w:rsid w:val="00812A81"/>
    <w:rsid w:val="00812C69"/>
    <w:rsid w:val="00813717"/>
    <w:rsid w:val="00813B65"/>
    <w:rsid w:val="00813E97"/>
    <w:rsid w:val="00814AA8"/>
    <w:rsid w:val="00815B77"/>
    <w:rsid w:val="0081611A"/>
    <w:rsid w:val="00816159"/>
    <w:rsid w:val="0081680E"/>
    <w:rsid w:val="00817216"/>
    <w:rsid w:val="00817894"/>
    <w:rsid w:val="00817D86"/>
    <w:rsid w:val="00817E5C"/>
    <w:rsid w:val="00817FA8"/>
    <w:rsid w:val="00820023"/>
    <w:rsid w:val="00820205"/>
    <w:rsid w:val="008207AC"/>
    <w:rsid w:val="00820906"/>
    <w:rsid w:val="00820B1A"/>
    <w:rsid w:val="008214EB"/>
    <w:rsid w:val="008217BC"/>
    <w:rsid w:val="008229D6"/>
    <w:rsid w:val="0082308D"/>
    <w:rsid w:val="008232B7"/>
    <w:rsid w:val="008247D0"/>
    <w:rsid w:val="00824CA3"/>
    <w:rsid w:val="008252C1"/>
    <w:rsid w:val="00825344"/>
    <w:rsid w:val="008257C3"/>
    <w:rsid w:val="008260AB"/>
    <w:rsid w:val="008266CD"/>
    <w:rsid w:val="0082695A"/>
    <w:rsid w:val="00826C81"/>
    <w:rsid w:val="00826CC2"/>
    <w:rsid w:val="00826FC2"/>
    <w:rsid w:val="00827296"/>
    <w:rsid w:val="0082745F"/>
    <w:rsid w:val="00830559"/>
    <w:rsid w:val="00830614"/>
    <w:rsid w:val="00831D54"/>
    <w:rsid w:val="00832023"/>
    <w:rsid w:val="008326B8"/>
    <w:rsid w:val="008329F9"/>
    <w:rsid w:val="00833208"/>
    <w:rsid w:val="0083356C"/>
    <w:rsid w:val="008336C8"/>
    <w:rsid w:val="008343FF"/>
    <w:rsid w:val="008347CD"/>
    <w:rsid w:val="008355AB"/>
    <w:rsid w:val="00835B13"/>
    <w:rsid w:val="00836273"/>
    <w:rsid w:val="00836AE9"/>
    <w:rsid w:val="00836B3E"/>
    <w:rsid w:val="00836BF4"/>
    <w:rsid w:val="008372A4"/>
    <w:rsid w:val="00837883"/>
    <w:rsid w:val="00837D80"/>
    <w:rsid w:val="00837D90"/>
    <w:rsid w:val="00840279"/>
    <w:rsid w:val="0084070E"/>
    <w:rsid w:val="00840D67"/>
    <w:rsid w:val="008413D9"/>
    <w:rsid w:val="008414D8"/>
    <w:rsid w:val="00841B31"/>
    <w:rsid w:val="00842464"/>
    <w:rsid w:val="0084268E"/>
    <w:rsid w:val="0084302E"/>
    <w:rsid w:val="00843533"/>
    <w:rsid w:val="00843640"/>
    <w:rsid w:val="008445F2"/>
    <w:rsid w:val="00844E40"/>
    <w:rsid w:val="0084520C"/>
    <w:rsid w:val="00845EAA"/>
    <w:rsid w:val="008466E5"/>
    <w:rsid w:val="00846C25"/>
    <w:rsid w:val="00846CD9"/>
    <w:rsid w:val="00847451"/>
    <w:rsid w:val="0084778B"/>
    <w:rsid w:val="00847E9A"/>
    <w:rsid w:val="00847F03"/>
    <w:rsid w:val="0085080F"/>
    <w:rsid w:val="00851A1C"/>
    <w:rsid w:val="00851D31"/>
    <w:rsid w:val="00851F58"/>
    <w:rsid w:val="008528E6"/>
    <w:rsid w:val="00852B97"/>
    <w:rsid w:val="00853324"/>
    <w:rsid w:val="00853817"/>
    <w:rsid w:val="0085438B"/>
    <w:rsid w:val="008543EE"/>
    <w:rsid w:val="00854EC4"/>
    <w:rsid w:val="00855188"/>
    <w:rsid w:val="008556A6"/>
    <w:rsid w:val="0085581E"/>
    <w:rsid w:val="008559D1"/>
    <w:rsid w:val="00855B8C"/>
    <w:rsid w:val="00856ABA"/>
    <w:rsid w:val="00857176"/>
    <w:rsid w:val="008610C0"/>
    <w:rsid w:val="008618A0"/>
    <w:rsid w:val="008619E5"/>
    <w:rsid w:val="00861D59"/>
    <w:rsid w:val="0086260D"/>
    <w:rsid w:val="00862721"/>
    <w:rsid w:val="00863931"/>
    <w:rsid w:val="008640BF"/>
    <w:rsid w:val="00864B5E"/>
    <w:rsid w:val="00864EA1"/>
    <w:rsid w:val="00864EB9"/>
    <w:rsid w:val="0086549E"/>
    <w:rsid w:val="008659C1"/>
    <w:rsid w:val="00865E39"/>
    <w:rsid w:val="00866736"/>
    <w:rsid w:val="00867690"/>
    <w:rsid w:val="0086791B"/>
    <w:rsid w:val="00867AB8"/>
    <w:rsid w:val="00867CCB"/>
    <w:rsid w:val="00867FBA"/>
    <w:rsid w:val="00870012"/>
    <w:rsid w:val="00870538"/>
    <w:rsid w:val="00870709"/>
    <w:rsid w:val="00870B80"/>
    <w:rsid w:val="00870DA6"/>
    <w:rsid w:val="00871A63"/>
    <w:rsid w:val="00872528"/>
    <w:rsid w:val="00872A3A"/>
    <w:rsid w:val="0087369F"/>
    <w:rsid w:val="00873C05"/>
    <w:rsid w:val="0087413F"/>
    <w:rsid w:val="00874C15"/>
    <w:rsid w:val="00874D4F"/>
    <w:rsid w:val="0087504B"/>
    <w:rsid w:val="00875491"/>
    <w:rsid w:val="00875E33"/>
    <w:rsid w:val="008761F9"/>
    <w:rsid w:val="00876352"/>
    <w:rsid w:val="00876694"/>
    <w:rsid w:val="0087677D"/>
    <w:rsid w:val="008768F4"/>
    <w:rsid w:val="00876F49"/>
    <w:rsid w:val="00876FEE"/>
    <w:rsid w:val="0087707E"/>
    <w:rsid w:val="00877260"/>
    <w:rsid w:val="008778A9"/>
    <w:rsid w:val="00877B5E"/>
    <w:rsid w:val="00877EF8"/>
    <w:rsid w:val="00880186"/>
    <w:rsid w:val="0088086D"/>
    <w:rsid w:val="008810EC"/>
    <w:rsid w:val="0088186B"/>
    <w:rsid w:val="00881EE2"/>
    <w:rsid w:val="0088290E"/>
    <w:rsid w:val="0088291A"/>
    <w:rsid w:val="00882960"/>
    <w:rsid w:val="00883B9D"/>
    <w:rsid w:val="00883D38"/>
    <w:rsid w:val="00884596"/>
    <w:rsid w:val="0088459E"/>
    <w:rsid w:val="00885434"/>
    <w:rsid w:val="008857FA"/>
    <w:rsid w:val="00885D4D"/>
    <w:rsid w:val="00885D77"/>
    <w:rsid w:val="00886A43"/>
    <w:rsid w:val="00886FB5"/>
    <w:rsid w:val="008879D9"/>
    <w:rsid w:val="0089057F"/>
    <w:rsid w:val="0089058E"/>
    <w:rsid w:val="00890652"/>
    <w:rsid w:val="00891573"/>
    <w:rsid w:val="00891630"/>
    <w:rsid w:val="008918D2"/>
    <w:rsid w:val="0089190A"/>
    <w:rsid w:val="00891940"/>
    <w:rsid w:val="008923DA"/>
    <w:rsid w:val="008926E4"/>
    <w:rsid w:val="00892873"/>
    <w:rsid w:val="00892B3F"/>
    <w:rsid w:val="00892C0E"/>
    <w:rsid w:val="00892E01"/>
    <w:rsid w:val="00892E9A"/>
    <w:rsid w:val="00893020"/>
    <w:rsid w:val="008932B4"/>
    <w:rsid w:val="00893565"/>
    <w:rsid w:val="00893CAC"/>
    <w:rsid w:val="00893FA7"/>
    <w:rsid w:val="008947B9"/>
    <w:rsid w:val="00894FD4"/>
    <w:rsid w:val="00895A63"/>
    <w:rsid w:val="0089779A"/>
    <w:rsid w:val="00897A70"/>
    <w:rsid w:val="00897CFA"/>
    <w:rsid w:val="008A070E"/>
    <w:rsid w:val="008A0A10"/>
    <w:rsid w:val="008A0D39"/>
    <w:rsid w:val="008A0ED0"/>
    <w:rsid w:val="008A16B7"/>
    <w:rsid w:val="008A1764"/>
    <w:rsid w:val="008A1804"/>
    <w:rsid w:val="008A239C"/>
    <w:rsid w:val="008A24FD"/>
    <w:rsid w:val="008A3398"/>
    <w:rsid w:val="008A40C2"/>
    <w:rsid w:val="008A419A"/>
    <w:rsid w:val="008A46F1"/>
    <w:rsid w:val="008A4913"/>
    <w:rsid w:val="008A4DB2"/>
    <w:rsid w:val="008A4E1F"/>
    <w:rsid w:val="008A4FEC"/>
    <w:rsid w:val="008A5016"/>
    <w:rsid w:val="008A53E2"/>
    <w:rsid w:val="008A57DB"/>
    <w:rsid w:val="008A63D9"/>
    <w:rsid w:val="008A6950"/>
    <w:rsid w:val="008A69B1"/>
    <w:rsid w:val="008A6E3B"/>
    <w:rsid w:val="008A6F5C"/>
    <w:rsid w:val="008A7865"/>
    <w:rsid w:val="008A7880"/>
    <w:rsid w:val="008A7C7C"/>
    <w:rsid w:val="008B0111"/>
    <w:rsid w:val="008B03A3"/>
    <w:rsid w:val="008B0F74"/>
    <w:rsid w:val="008B12DF"/>
    <w:rsid w:val="008B1532"/>
    <w:rsid w:val="008B15D7"/>
    <w:rsid w:val="008B1CAC"/>
    <w:rsid w:val="008B2035"/>
    <w:rsid w:val="008B2257"/>
    <w:rsid w:val="008B242A"/>
    <w:rsid w:val="008B24C9"/>
    <w:rsid w:val="008B291B"/>
    <w:rsid w:val="008B3157"/>
    <w:rsid w:val="008B3237"/>
    <w:rsid w:val="008B32F1"/>
    <w:rsid w:val="008B384C"/>
    <w:rsid w:val="008B3CCD"/>
    <w:rsid w:val="008B3D57"/>
    <w:rsid w:val="008B4A76"/>
    <w:rsid w:val="008B4B63"/>
    <w:rsid w:val="008B4CDC"/>
    <w:rsid w:val="008B6C93"/>
    <w:rsid w:val="008B7451"/>
    <w:rsid w:val="008C0073"/>
    <w:rsid w:val="008C032F"/>
    <w:rsid w:val="008C0DC4"/>
    <w:rsid w:val="008C173B"/>
    <w:rsid w:val="008C1B55"/>
    <w:rsid w:val="008C1BEC"/>
    <w:rsid w:val="008C1FCE"/>
    <w:rsid w:val="008C2971"/>
    <w:rsid w:val="008C2DEF"/>
    <w:rsid w:val="008C3034"/>
    <w:rsid w:val="008C334B"/>
    <w:rsid w:val="008C4189"/>
    <w:rsid w:val="008C43E5"/>
    <w:rsid w:val="008C4445"/>
    <w:rsid w:val="008C479C"/>
    <w:rsid w:val="008C49D3"/>
    <w:rsid w:val="008C51E8"/>
    <w:rsid w:val="008C52FB"/>
    <w:rsid w:val="008C569A"/>
    <w:rsid w:val="008C74CF"/>
    <w:rsid w:val="008C7EDE"/>
    <w:rsid w:val="008D019A"/>
    <w:rsid w:val="008D032B"/>
    <w:rsid w:val="008D0913"/>
    <w:rsid w:val="008D0DF3"/>
    <w:rsid w:val="008D106C"/>
    <w:rsid w:val="008D136E"/>
    <w:rsid w:val="008D1D5F"/>
    <w:rsid w:val="008D2368"/>
    <w:rsid w:val="008D2DFD"/>
    <w:rsid w:val="008D35E0"/>
    <w:rsid w:val="008D3982"/>
    <w:rsid w:val="008D39E2"/>
    <w:rsid w:val="008D3DB4"/>
    <w:rsid w:val="008D41ED"/>
    <w:rsid w:val="008D42FB"/>
    <w:rsid w:val="008D4437"/>
    <w:rsid w:val="008D4BDD"/>
    <w:rsid w:val="008D515B"/>
    <w:rsid w:val="008D5669"/>
    <w:rsid w:val="008D5DCF"/>
    <w:rsid w:val="008D5E4F"/>
    <w:rsid w:val="008D64BC"/>
    <w:rsid w:val="008D6936"/>
    <w:rsid w:val="008D6BDB"/>
    <w:rsid w:val="008D6DEB"/>
    <w:rsid w:val="008D7112"/>
    <w:rsid w:val="008D71A1"/>
    <w:rsid w:val="008D728C"/>
    <w:rsid w:val="008D7A7B"/>
    <w:rsid w:val="008D7CD1"/>
    <w:rsid w:val="008E026C"/>
    <w:rsid w:val="008E0360"/>
    <w:rsid w:val="008E05BB"/>
    <w:rsid w:val="008E069C"/>
    <w:rsid w:val="008E13D3"/>
    <w:rsid w:val="008E15A6"/>
    <w:rsid w:val="008E18F5"/>
    <w:rsid w:val="008E2044"/>
    <w:rsid w:val="008E20B5"/>
    <w:rsid w:val="008E2829"/>
    <w:rsid w:val="008E328E"/>
    <w:rsid w:val="008E3C0F"/>
    <w:rsid w:val="008E3D1B"/>
    <w:rsid w:val="008E400D"/>
    <w:rsid w:val="008E4B16"/>
    <w:rsid w:val="008E6140"/>
    <w:rsid w:val="008E62DD"/>
    <w:rsid w:val="008E65CC"/>
    <w:rsid w:val="008E6AF5"/>
    <w:rsid w:val="008E7577"/>
    <w:rsid w:val="008E76D6"/>
    <w:rsid w:val="008E7817"/>
    <w:rsid w:val="008E79A2"/>
    <w:rsid w:val="008E7A16"/>
    <w:rsid w:val="008E7CDC"/>
    <w:rsid w:val="008F051E"/>
    <w:rsid w:val="008F0694"/>
    <w:rsid w:val="008F15DB"/>
    <w:rsid w:val="008F1C2B"/>
    <w:rsid w:val="008F1F4F"/>
    <w:rsid w:val="008F303D"/>
    <w:rsid w:val="008F36AC"/>
    <w:rsid w:val="008F3949"/>
    <w:rsid w:val="008F397D"/>
    <w:rsid w:val="008F441F"/>
    <w:rsid w:val="008F4634"/>
    <w:rsid w:val="008F5B91"/>
    <w:rsid w:val="008F5C6D"/>
    <w:rsid w:val="008F6F2B"/>
    <w:rsid w:val="008F6FDC"/>
    <w:rsid w:val="008F7036"/>
    <w:rsid w:val="008F70DD"/>
    <w:rsid w:val="008F7374"/>
    <w:rsid w:val="008F7683"/>
    <w:rsid w:val="008F7D7A"/>
    <w:rsid w:val="008F7D87"/>
    <w:rsid w:val="0090010C"/>
    <w:rsid w:val="00900A85"/>
    <w:rsid w:val="00900E77"/>
    <w:rsid w:val="00900EC5"/>
    <w:rsid w:val="00901254"/>
    <w:rsid w:val="00901502"/>
    <w:rsid w:val="009015C4"/>
    <w:rsid w:val="009017A7"/>
    <w:rsid w:val="00901889"/>
    <w:rsid w:val="00901AF3"/>
    <w:rsid w:val="00901C3B"/>
    <w:rsid w:val="009020C2"/>
    <w:rsid w:val="00902A72"/>
    <w:rsid w:val="00903213"/>
    <w:rsid w:val="00904260"/>
    <w:rsid w:val="00904439"/>
    <w:rsid w:val="00904CA1"/>
    <w:rsid w:val="00905490"/>
    <w:rsid w:val="009061E2"/>
    <w:rsid w:val="009066BC"/>
    <w:rsid w:val="00906E33"/>
    <w:rsid w:val="009075A4"/>
    <w:rsid w:val="00910267"/>
    <w:rsid w:val="009102DE"/>
    <w:rsid w:val="009104B4"/>
    <w:rsid w:val="00910933"/>
    <w:rsid w:val="00910F47"/>
    <w:rsid w:val="00911452"/>
    <w:rsid w:val="00911549"/>
    <w:rsid w:val="009115A2"/>
    <w:rsid w:val="009126FA"/>
    <w:rsid w:val="0091271D"/>
    <w:rsid w:val="009132F5"/>
    <w:rsid w:val="009138B9"/>
    <w:rsid w:val="00913A2A"/>
    <w:rsid w:val="00913A82"/>
    <w:rsid w:val="009146C3"/>
    <w:rsid w:val="00914780"/>
    <w:rsid w:val="009148FC"/>
    <w:rsid w:val="00914BA9"/>
    <w:rsid w:val="00914EBC"/>
    <w:rsid w:val="00914FA0"/>
    <w:rsid w:val="009153AC"/>
    <w:rsid w:val="009155A0"/>
    <w:rsid w:val="00915B00"/>
    <w:rsid w:val="00915C47"/>
    <w:rsid w:val="00916EA5"/>
    <w:rsid w:val="00917277"/>
    <w:rsid w:val="00917DAD"/>
    <w:rsid w:val="0092016D"/>
    <w:rsid w:val="0092062C"/>
    <w:rsid w:val="00920B03"/>
    <w:rsid w:val="00921037"/>
    <w:rsid w:val="00921064"/>
    <w:rsid w:val="009215E4"/>
    <w:rsid w:val="0092169D"/>
    <w:rsid w:val="00921A1F"/>
    <w:rsid w:val="00921E8D"/>
    <w:rsid w:val="00921E9E"/>
    <w:rsid w:val="009222BA"/>
    <w:rsid w:val="009224DD"/>
    <w:rsid w:val="009226D7"/>
    <w:rsid w:val="00923000"/>
    <w:rsid w:val="009230E4"/>
    <w:rsid w:val="00924D77"/>
    <w:rsid w:val="00924F35"/>
    <w:rsid w:val="00925B31"/>
    <w:rsid w:val="00925BFB"/>
    <w:rsid w:val="00925E19"/>
    <w:rsid w:val="00925EA6"/>
    <w:rsid w:val="00926714"/>
    <w:rsid w:val="00926BE5"/>
    <w:rsid w:val="0092772A"/>
    <w:rsid w:val="00927B3B"/>
    <w:rsid w:val="00927BA8"/>
    <w:rsid w:val="00927D28"/>
    <w:rsid w:val="00927D8C"/>
    <w:rsid w:val="009305A9"/>
    <w:rsid w:val="009305C9"/>
    <w:rsid w:val="009308C6"/>
    <w:rsid w:val="00930963"/>
    <w:rsid w:val="00930A0F"/>
    <w:rsid w:val="0093116D"/>
    <w:rsid w:val="00931440"/>
    <w:rsid w:val="009317FF"/>
    <w:rsid w:val="0093207A"/>
    <w:rsid w:val="0093276F"/>
    <w:rsid w:val="009329C6"/>
    <w:rsid w:val="0093320C"/>
    <w:rsid w:val="00933911"/>
    <w:rsid w:val="00933DA0"/>
    <w:rsid w:val="00933F9D"/>
    <w:rsid w:val="00933FE6"/>
    <w:rsid w:val="009351CF"/>
    <w:rsid w:val="009357C7"/>
    <w:rsid w:val="00936796"/>
    <w:rsid w:val="009369AB"/>
    <w:rsid w:val="00936A37"/>
    <w:rsid w:val="00936A72"/>
    <w:rsid w:val="00936AC8"/>
    <w:rsid w:val="00936FE7"/>
    <w:rsid w:val="00937405"/>
    <w:rsid w:val="00937765"/>
    <w:rsid w:val="00937AF5"/>
    <w:rsid w:val="009406BE"/>
    <w:rsid w:val="00941697"/>
    <w:rsid w:val="009418D0"/>
    <w:rsid w:val="00941E5D"/>
    <w:rsid w:val="00941F10"/>
    <w:rsid w:val="00942CE1"/>
    <w:rsid w:val="00943447"/>
    <w:rsid w:val="009436D9"/>
    <w:rsid w:val="00943CE1"/>
    <w:rsid w:val="009441D0"/>
    <w:rsid w:val="009442AE"/>
    <w:rsid w:val="00944B3F"/>
    <w:rsid w:val="00944C62"/>
    <w:rsid w:val="00944C8F"/>
    <w:rsid w:val="00945F5B"/>
    <w:rsid w:val="009460AE"/>
    <w:rsid w:val="00946648"/>
    <w:rsid w:val="009469F7"/>
    <w:rsid w:val="00946DC7"/>
    <w:rsid w:val="00947888"/>
    <w:rsid w:val="00947A92"/>
    <w:rsid w:val="00947AB4"/>
    <w:rsid w:val="00947E82"/>
    <w:rsid w:val="009503A3"/>
    <w:rsid w:val="009508FE"/>
    <w:rsid w:val="0095091C"/>
    <w:rsid w:val="00950F90"/>
    <w:rsid w:val="00952105"/>
    <w:rsid w:val="00952109"/>
    <w:rsid w:val="00952A60"/>
    <w:rsid w:val="00952E96"/>
    <w:rsid w:val="009530F3"/>
    <w:rsid w:val="0095371B"/>
    <w:rsid w:val="00954DA3"/>
    <w:rsid w:val="00954FC0"/>
    <w:rsid w:val="0095535B"/>
    <w:rsid w:val="00955381"/>
    <w:rsid w:val="009557A2"/>
    <w:rsid w:val="00955B12"/>
    <w:rsid w:val="00955D99"/>
    <w:rsid w:val="00955F9D"/>
    <w:rsid w:val="00956974"/>
    <w:rsid w:val="00956B4F"/>
    <w:rsid w:val="009570A4"/>
    <w:rsid w:val="009571C7"/>
    <w:rsid w:val="00957471"/>
    <w:rsid w:val="00957EAD"/>
    <w:rsid w:val="0096023A"/>
    <w:rsid w:val="0096029A"/>
    <w:rsid w:val="00960499"/>
    <w:rsid w:val="00960520"/>
    <w:rsid w:val="009605C3"/>
    <w:rsid w:val="009608B8"/>
    <w:rsid w:val="00961753"/>
    <w:rsid w:val="0096193A"/>
    <w:rsid w:val="0096211D"/>
    <w:rsid w:val="00962BB0"/>
    <w:rsid w:val="00963007"/>
    <w:rsid w:val="009630D7"/>
    <w:rsid w:val="00963B74"/>
    <w:rsid w:val="00964DA9"/>
    <w:rsid w:val="00965D5D"/>
    <w:rsid w:val="00965E70"/>
    <w:rsid w:val="00966999"/>
    <w:rsid w:val="009676EF"/>
    <w:rsid w:val="00967D6F"/>
    <w:rsid w:val="009700CA"/>
    <w:rsid w:val="00970247"/>
    <w:rsid w:val="00970393"/>
    <w:rsid w:val="00970505"/>
    <w:rsid w:val="00970AB4"/>
    <w:rsid w:val="00971212"/>
    <w:rsid w:val="00971355"/>
    <w:rsid w:val="0097141C"/>
    <w:rsid w:val="00971435"/>
    <w:rsid w:val="00971AEF"/>
    <w:rsid w:val="009720D6"/>
    <w:rsid w:val="009722E4"/>
    <w:rsid w:val="00972700"/>
    <w:rsid w:val="00972A1E"/>
    <w:rsid w:val="00973167"/>
    <w:rsid w:val="009733BD"/>
    <w:rsid w:val="00973459"/>
    <w:rsid w:val="00973AE5"/>
    <w:rsid w:val="00973CA8"/>
    <w:rsid w:val="00973EF1"/>
    <w:rsid w:val="00973FB5"/>
    <w:rsid w:val="00974EB8"/>
    <w:rsid w:val="00976A11"/>
    <w:rsid w:val="00977027"/>
    <w:rsid w:val="00977E02"/>
    <w:rsid w:val="009812D3"/>
    <w:rsid w:val="0098159F"/>
    <w:rsid w:val="0098178B"/>
    <w:rsid w:val="00981A31"/>
    <w:rsid w:val="00981C8E"/>
    <w:rsid w:val="0098324B"/>
    <w:rsid w:val="00984044"/>
    <w:rsid w:val="00984C01"/>
    <w:rsid w:val="00985389"/>
    <w:rsid w:val="00985BD2"/>
    <w:rsid w:val="00985FCC"/>
    <w:rsid w:val="00986C8D"/>
    <w:rsid w:val="00987078"/>
    <w:rsid w:val="00987A1B"/>
    <w:rsid w:val="0099008F"/>
    <w:rsid w:val="00990C37"/>
    <w:rsid w:val="009918CC"/>
    <w:rsid w:val="009918D8"/>
    <w:rsid w:val="00991C46"/>
    <w:rsid w:val="00991D26"/>
    <w:rsid w:val="009921A7"/>
    <w:rsid w:val="009939D6"/>
    <w:rsid w:val="00994076"/>
    <w:rsid w:val="00994467"/>
    <w:rsid w:val="00994524"/>
    <w:rsid w:val="00995239"/>
    <w:rsid w:val="009953D3"/>
    <w:rsid w:val="00995686"/>
    <w:rsid w:val="00995E96"/>
    <w:rsid w:val="0099627B"/>
    <w:rsid w:val="00996399"/>
    <w:rsid w:val="00996501"/>
    <w:rsid w:val="00996FA0"/>
    <w:rsid w:val="009977CE"/>
    <w:rsid w:val="009978E9"/>
    <w:rsid w:val="00997F6B"/>
    <w:rsid w:val="009A0146"/>
    <w:rsid w:val="009A0374"/>
    <w:rsid w:val="009A10F4"/>
    <w:rsid w:val="009A1479"/>
    <w:rsid w:val="009A20E1"/>
    <w:rsid w:val="009A21F0"/>
    <w:rsid w:val="009A220C"/>
    <w:rsid w:val="009A225F"/>
    <w:rsid w:val="009A23CB"/>
    <w:rsid w:val="009A2609"/>
    <w:rsid w:val="009A2AAB"/>
    <w:rsid w:val="009A2CDA"/>
    <w:rsid w:val="009A3235"/>
    <w:rsid w:val="009A361D"/>
    <w:rsid w:val="009A3AF9"/>
    <w:rsid w:val="009A3CE5"/>
    <w:rsid w:val="009A4681"/>
    <w:rsid w:val="009A4DE3"/>
    <w:rsid w:val="009A4F34"/>
    <w:rsid w:val="009A4F65"/>
    <w:rsid w:val="009A5B9A"/>
    <w:rsid w:val="009A5C61"/>
    <w:rsid w:val="009A5D9B"/>
    <w:rsid w:val="009A5F28"/>
    <w:rsid w:val="009A61F3"/>
    <w:rsid w:val="009A646B"/>
    <w:rsid w:val="009A6885"/>
    <w:rsid w:val="009A71B1"/>
    <w:rsid w:val="009A73DC"/>
    <w:rsid w:val="009A758D"/>
    <w:rsid w:val="009A7613"/>
    <w:rsid w:val="009A785A"/>
    <w:rsid w:val="009A78A8"/>
    <w:rsid w:val="009A790A"/>
    <w:rsid w:val="009A7A6B"/>
    <w:rsid w:val="009B0A1E"/>
    <w:rsid w:val="009B116A"/>
    <w:rsid w:val="009B1235"/>
    <w:rsid w:val="009B1515"/>
    <w:rsid w:val="009B1713"/>
    <w:rsid w:val="009B186A"/>
    <w:rsid w:val="009B197A"/>
    <w:rsid w:val="009B1AFB"/>
    <w:rsid w:val="009B1B56"/>
    <w:rsid w:val="009B1EBF"/>
    <w:rsid w:val="009B20F8"/>
    <w:rsid w:val="009B2CF6"/>
    <w:rsid w:val="009B2E00"/>
    <w:rsid w:val="009B31C9"/>
    <w:rsid w:val="009B3270"/>
    <w:rsid w:val="009B34DB"/>
    <w:rsid w:val="009B383A"/>
    <w:rsid w:val="009B3A5E"/>
    <w:rsid w:val="009B3B1F"/>
    <w:rsid w:val="009B3B65"/>
    <w:rsid w:val="009B42BA"/>
    <w:rsid w:val="009B5225"/>
    <w:rsid w:val="009B5373"/>
    <w:rsid w:val="009B55B7"/>
    <w:rsid w:val="009B655C"/>
    <w:rsid w:val="009B6A90"/>
    <w:rsid w:val="009B6F67"/>
    <w:rsid w:val="009B7399"/>
    <w:rsid w:val="009B7455"/>
    <w:rsid w:val="009B751E"/>
    <w:rsid w:val="009B78DB"/>
    <w:rsid w:val="009C0A48"/>
    <w:rsid w:val="009C1585"/>
    <w:rsid w:val="009C1693"/>
    <w:rsid w:val="009C1803"/>
    <w:rsid w:val="009C1A9A"/>
    <w:rsid w:val="009C1E58"/>
    <w:rsid w:val="009C2642"/>
    <w:rsid w:val="009C34B9"/>
    <w:rsid w:val="009C3557"/>
    <w:rsid w:val="009C3658"/>
    <w:rsid w:val="009C3A2C"/>
    <w:rsid w:val="009C43B2"/>
    <w:rsid w:val="009C646B"/>
    <w:rsid w:val="009C703F"/>
    <w:rsid w:val="009C7CEF"/>
    <w:rsid w:val="009C7F17"/>
    <w:rsid w:val="009D034D"/>
    <w:rsid w:val="009D0940"/>
    <w:rsid w:val="009D0AA2"/>
    <w:rsid w:val="009D0ACC"/>
    <w:rsid w:val="009D17AA"/>
    <w:rsid w:val="009D194B"/>
    <w:rsid w:val="009D2351"/>
    <w:rsid w:val="009D23D0"/>
    <w:rsid w:val="009D2925"/>
    <w:rsid w:val="009D300E"/>
    <w:rsid w:val="009D315D"/>
    <w:rsid w:val="009D3E7E"/>
    <w:rsid w:val="009D45F5"/>
    <w:rsid w:val="009D4F6E"/>
    <w:rsid w:val="009D5BEB"/>
    <w:rsid w:val="009D7175"/>
    <w:rsid w:val="009D7A7E"/>
    <w:rsid w:val="009D7C10"/>
    <w:rsid w:val="009D7F0B"/>
    <w:rsid w:val="009E0207"/>
    <w:rsid w:val="009E02B2"/>
    <w:rsid w:val="009E1138"/>
    <w:rsid w:val="009E1230"/>
    <w:rsid w:val="009E151A"/>
    <w:rsid w:val="009E19D0"/>
    <w:rsid w:val="009E1E5F"/>
    <w:rsid w:val="009E1E95"/>
    <w:rsid w:val="009E2013"/>
    <w:rsid w:val="009E2138"/>
    <w:rsid w:val="009E2934"/>
    <w:rsid w:val="009E2F41"/>
    <w:rsid w:val="009E3282"/>
    <w:rsid w:val="009E34B3"/>
    <w:rsid w:val="009E34E1"/>
    <w:rsid w:val="009E354A"/>
    <w:rsid w:val="009E3976"/>
    <w:rsid w:val="009E41E0"/>
    <w:rsid w:val="009E4324"/>
    <w:rsid w:val="009E45A4"/>
    <w:rsid w:val="009E4843"/>
    <w:rsid w:val="009E5616"/>
    <w:rsid w:val="009E5659"/>
    <w:rsid w:val="009E569C"/>
    <w:rsid w:val="009E5D8A"/>
    <w:rsid w:val="009E6698"/>
    <w:rsid w:val="009E7033"/>
    <w:rsid w:val="009E7981"/>
    <w:rsid w:val="009F0804"/>
    <w:rsid w:val="009F0829"/>
    <w:rsid w:val="009F0A5C"/>
    <w:rsid w:val="009F0B30"/>
    <w:rsid w:val="009F0EF6"/>
    <w:rsid w:val="009F1369"/>
    <w:rsid w:val="009F17DD"/>
    <w:rsid w:val="009F2964"/>
    <w:rsid w:val="009F2BE7"/>
    <w:rsid w:val="009F2D54"/>
    <w:rsid w:val="009F384A"/>
    <w:rsid w:val="009F3B12"/>
    <w:rsid w:val="009F3EBB"/>
    <w:rsid w:val="009F4D5D"/>
    <w:rsid w:val="009F4E38"/>
    <w:rsid w:val="009F5378"/>
    <w:rsid w:val="009F5A5C"/>
    <w:rsid w:val="009F5B5E"/>
    <w:rsid w:val="009F664E"/>
    <w:rsid w:val="009F6EC5"/>
    <w:rsid w:val="009F7216"/>
    <w:rsid w:val="009F7B93"/>
    <w:rsid w:val="00A00235"/>
    <w:rsid w:val="00A00278"/>
    <w:rsid w:val="00A00D10"/>
    <w:rsid w:val="00A00FB1"/>
    <w:rsid w:val="00A01DE4"/>
    <w:rsid w:val="00A01FAB"/>
    <w:rsid w:val="00A02534"/>
    <w:rsid w:val="00A02685"/>
    <w:rsid w:val="00A02A10"/>
    <w:rsid w:val="00A03019"/>
    <w:rsid w:val="00A038FB"/>
    <w:rsid w:val="00A03E8A"/>
    <w:rsid w:val="00A0441B"/>
    <w:rsid w:val="00A044F6"/>
    <w:rsid w:val="00A047A0"/>
    <w:rsid w:val="00A04808"/>
    <w:rsid w:val="00A04AD2"/>
    <w:rsid w:val="00A04E2C"/>
    <w:rsid w:val="00A0507E"/>
    <w:rsid w:val="00A06189"/>
    <w:rsid w:val="00A067D4"/>
    <w:rsid w:val="00A06A59"/>
    <w:rsid w:val="00A06BB7"/>
    <w:rsid w:val="00A06EC5"/>
    <w:rsid w:val="00A10479"/>
    <w:rsid w:val="00A10B3F"/>
    <w:rsid w:val="00A10CF3"/>
    <w:rsid w:val="00A11103"/>
    <w:rsid w:val="00A11493"/>
    <w:rsid w:val="00A11AB6"/>
    <w:rsid w:val="00A12525"/>
    <w:rsid w:val="00A13CC9"/>
    <w:rsid w:val="00A13DA1"/>
    <w:rsid w:val="00A13EAB"/>
    <w:rsid w:val="00A14054"/>
    <w:rsid w:val="00A146E9"/>
    <w:rsid w:val="00A146F5"/>
    <w:rsid w:val="00A1479D"/>
    <w:rsid w:val="00A15BEB"/>
    <w:rsid w:val="00A15FB9"/>
    <w:rsid w:val="00A168E1"/>
    <w:rsid w:val="00A169AD"/>
    <w:rsid w:val="00A16C8B"/>
    <w:rsid w:val="00A1701C"/>
    <w:rsid w:val="00A17D10"/>
    <w:rsid w:val="00A20446"/>
    <w:rsid w:val="00A20526"/>
    <w:rsid w:val="00A20945"/>
    <w:rsid w:val="00A20C2D"/>
    <w:rsid w:val="00A213F9"/>
    <w:rsid w:val="00A2152B"/>
    <w:rsid w:val="00A21906"/>
    <w:rsid w:val="00A21C6A"/>
    <w:rsid w:val="00A223F0"/>
    <w:rsid w:val="00A22631"/>
    <w:rsid w:val="00A227B9"/>
    <w:rsid w:val="00A22C9A"/>
    <w:rsid w:val="00A230A4"/>
    <w:rsid w:val="00A2318E"/>
    <w:rsid w:val="00A233F6"/>
    <w:rsid w:val="00A236C3"/>
    <w:rsid w:val="00A23925"/>
    <w:rsid w:val="00A23A2E"/>
    <w:rsid w:val="00A23C84"/>
    <w:rsid w:val="00A23D2A"/>
    <w:rsid w:val="00A2418E"/>
    <w:rsid w:val="00A24C57"/>
    <w:rsid w:val="00A24E59"/>
    <w:rsid w:val="00A260F4"/>
    <w:rsid w:val="00A261BE"/>
    <w:rsid w:val="00A270C0"/>
    <w:rsid w:val="00A27178"/>
    <w:rsid w:val="00A278E8"/>
    <w:rsid w:val="00A279A2"/>
    <w:rsid w:val="00A27A60"/>
    <w:rsid w:val="00A30968"/>
    <w:rsid w:val="00A30BA7"/>
    <w:rsid w:val="00A30FC6"/>
    <w:rsid w:val="00A310BF"/>
    <w:rsid w:val="00A31244"/>
    <w:rsid w:val="00A31865"/>
    <w:rsid w:val="00A31BFB"/>
    <w:rsid w:val="00A31C8A"/>
    <w:rsid w:val="00A31C8E"/>
    <w:rsid w:val="00A32217"/>
    <w:rsid w:val="00A32527"/>
    <w:rsid w:val="00A325DE"/>
    <w:rsid w:val="00A32B0B"/>
    <w:rsid w:val="00A32B71"/>
    <w:rsid w:val="00A32D6E"/>
    <w:rsid w:val="00A3313E"/>
    <w:rsid w:val="00A33813"/>
    <w:rsid w:val="00A33E56"/>
    <w:rsid w:val="00A343CA"/>
    <w:rsid w:val="00A349B0"/>
    <w:rsid w:val="00A35181"/>
    <w:rsid w:val="00A3524B"/>
    <w:rsid w:val="00A353BB"/>
    <w:rsid w:val="00A3541B"/>
    <w:rsid w:val="00A3548B"/>
    <w:rsid w:val="00A355BB"/>
    <w:rsid w:val="00A358CE"/>
    <w:rsid w:val="00A35AFD"/>
    <w:rsid w:val="00A35BCA"/>
    <w:rsid w:val="00A361F7"/>
    <w:rsid w:val="00A369BB"/>
    <w:rsid w:val="00A36EF6"/>
    <w:rsid w:val="00A3733B"/>
    <w:rsid w:val="00A3762F"/>
    <w:rsid w:val="00A37A01"/>
    <w:rsid w:val="00A4005D"/>
    <w:rsid w:val="00A40066"/>
    <w:rsid w:val="00A400DB"/>
    <w:rsid w:val="00A41262"/>
    <w:rsid w:val="00A41444"/>
    <w:rsid w:val="00A41705"/>
    <w:rsid w:val="00A421E8"/>
    <w:rsid w:val="00A4245A"/>
    <w:rsid w:val="00A424DE"/>
    <w:rsid w:val="00A4283A"/>
    <w:rsid w:val="00A42F7A"/>
    <w:rsid w:val="00A43C75"/>
    <w:rsid w:val="00A4495D"/>
    <w:rsid w:val="00A44C70"/>
    <w:rsid w:val="00A44CBD"/>
    <w:rsid w:val="00A4540A"/>
    <w:rsid w:val="00A45435"/>
    <w:rsid w:val="00A45F9E"/>
    <w:rsid w:val="00A46490"/>
    <w:rsid w:val="00A465C7"/>
    <w:rsid w:val="00A4676F"/>
    <w:rsid w:val="00A469F0"/>
    <w:rsid w:val="00A46CF0"/>
    <w:rsid w:val="00A46D29"/>
    <w:rsid w:val="00A47061"/>
    <w:rsid w:val="00A47294"/>
    <w:rsid w:val="00A4732D"/>
    <w:rsid w:val="00A50043"/>
    <w:rsid w:val="00A5062B"/>
    <w:rsid w:val="00A507C4"/>
    <w:rsid w:val="00A50927"/>
    <w:rsid w:val="00A50B82"/>
    <w:rsid w:val="00A50CBC"/>
    <w:rsid w:val="00A50E6C"/>
    <w:rsid w:val="00A512D6"/>
    <w:rsid w:val="00A5177A"/>
    <w:rsid w:val="00A51914"/>
    <w:rsid w:val="00A52078"/>
    <w:rsid w:val="00A52147"/>
    <w:rsid w:val="00A5215E"/>
    <w:rsid w:val="00A5262C"/>
    <w:rsid w:val="00A52987"/>
    <w:rsid w:val="00A53252"/>
    <w:rsid w:val="00A53D65"/>
    <w:rsid w:val="00A53DCE"/>
    <w:rsid w:val="00A53ED0"/>
    <w:rsid w:val="00A548DD"/>
    <w:rsid w:val="00A54CCF"/>
    <w:rsid w:val="00A553B6"/>
    <w:rsid w:val="00A554FA"/>
    <w:rsid w:val="00A55722"/>
    <w:rsid w:val="00A55841"/>
    <w:rsid w:val="00A55967"/>
    <w:rsid w:val="00A5673A"/>
    <w:rsid w:val="00A56BC3"/>
    <w:rsid w:val="00A57154"/>
    <w:rsid w:val="00A57501"/>
    <w:rsid w:val="00A57B46"/>
    <w:rsid w:val="00A57BB2"/>
    <w:rsid w:val="00A6034F"/>
    <w:rsid w:val="00A61AC9"/>
    <w:rsid w:val="00A61B3C"/>
    <w:rsid w:val="00A61EC6"/>
    <w:rsid w:val="00A621AB"/>
    <w:rsid w:val="00A624C2"/>
    <w:rsid w:val="00A6271D"/>
    <w:rsid w:val="00A6351A"/>
    <w:rsid w:val="00A643FD"/>
    <w:rsid w:val="00A6466B"/>
    <w:rsid w:val="00A646F8"/>
    <w:rsid w:val="00A64B36"/>
    <w:rsid w:val="00A64D19"/>
    <w:rsid w:val="00A65578"/>
    <w:rsid w:val="00A65646"/>
    <w:rsid w:val="00A65AF7"/>
    <w:rsid w:val="00A65C3F"/>
    <w:rsid w:val="00A65E24"/>
    <w:rsid w:val="00A65E41"/>
    <w:rsid w:val="00A65E43"/>
    <w:rsid w:val="00A662F3"/>
    <w:rsid w:val="00A6638D"/>
    <w:rsid w:val="00A66ABF"/>
    <w:rsid w:val="00A66D2C"/>
    <w:rsid w:val="00A66D80"/>
    <w:rsid w:val="00A672A2"/>
    <w:rsid w:val="00A6740C"/>
    <w:rsid w:val="00A67497"/>
    <w:rsid w:val="00A70174"/>
    <w:rsid w:val="00A704D4"/>
    <w:rsid w:val="00A70523"/>
    <w:rsid w:val="00A71182"/>
    <w:rsid w:val="00A711B4"/>
    <w:rsid w:val="00A71536"/>
    <w:rsid w:val="00A72237"/>
    <w:rsid w:val="00A72F20"/>
    <w:rsid w:val="00A73891"/>
    <w:rsid w:val="00A73B53"/>
    <w:rsid w:val="00A73C97"/>
    <w:rsid w:val="00A73E6F"/>
    <w:rsid w:val="00A7410F"/>
    <w:rsid w:val="00A74DBA"/>
    <w:rsid w:val="00A752AF"/>
    <w:rsid w:val="00A75346"/>
    <w:rsid w:val="00A7580F"/>
    <w:rsid w:val="00A761C4"/>
    <w:rsid w:val="00A7660D"/>
    <w:rsid w:val="00A76A00"/>
    <w:rsid w:val="00A76E5A"/>
    <w:rsid w:val="00A7744C"/>
    <w:rsid w:val="00A80555"/>
    <w:rsid w:val="00A806B4"/>
    <w:rsid w:val="00A8089A"/>
    <w:rsid w:val="00A80A03"/>
    <w:rsid w:val="00A811F7"/>
    <w:rsid w:val="00A814F2"/>
    <w:rsid w:val="00A8154E"/>
    <w:rsid w:val="00A81625"/>
    <w:rsid w:val="00A81903"/>
    <w:rsid w:val="00A81CC6"/>
    <w:rsid w:val="00A820BE"/>
    <w:rsid w:val="00A832F7"/>
    <w:rsid w:val="00A83491"/>
    <w:rsid w:val="00A83737"/>
    <w:rsid w:val="00A83967"/>
    <w:rsid w:val="00A83E09"/>
    <w:rsid w:val="00A84CB0"/>
    <w:rsid w:val="00A85AC9"/>
    <w:rsid w:val="00A85BAF"/>
    <w:rsid w:val="00A85EB6"/>
    <w:rsid w:val="00A863D2"/>
    <w:rsid w:val="00A868BE"/>
    <w:rsid w:val="00A86A59"/>
    <w:rsid w:val="00A86C84"/>
    <w:rsid w:val="00A8706A"/>
    <w:rsid w:val="00A870D9"/>
    <w:rsid w:val="00A872A4"/>
    <w:rsid w:val="00A872F2"/>
    <w:rsid w:val="00A87E68"/>
    <w:rsid w:val="00A87EB1"/>
    <w:rsid w:val="00A87FE5"/>
    <w:rsid w:val="00A90666"/>
    <w:rsid w:val="00A90716"/>
    <w:rsid w:val="00A90758"/>
    <w:rsid w:val="00A90A37"/>
    <w:rsid w:val="00A90C05"/>
    <w:rsid w:val="00A92292"/>
    <w:rsid w:val="00A92485"/>
    <w:rsid w:val="00A930E4"/>
    <w:rsid w:val="00A937D0"/>
    <w:rsid w:val="00A93921"/>
    <w:rsid w:val="00A939A4"/>
    <w:rsid w:val="00A944BC"/>
    <w:rsid w:val="00A94D56"/>
    <w:rsid w:val="00A94F80"/>
    <w:rsid w:val="00A950CC"/>
    <w:rsid w:val="00A95471"/>
    <w:rsid w:val="00A957E5"/>
    <w:rsid w:val="00A95A34"/>
    <w:rsid w:val="00A95C54"/>
    <w:rsid w:val="00A967EE"/>
    <w:rsid w:val="00AA0CAF"/>
    <w:rsid w:val="00AA0D61"/>
    <w:rsid w:val="00AA0DB1"/>
    <w:rsid w:val="00AA1513"/>
    <w:rsid w:val="00AA1681"/>
    <w:rsid w:val="00AA1F78"/>
    <w:rsid w:val="00AA2F96"/>
    <w:rsid w:val="00AA3114"/>
    <w:rsid w:val="00AA4E15"/>
    <w:rsid w:val="00AA547F"/>
    <w:rsid w:val="00AA6883"/>
    <w:rsid w:val="00AA6A4A"/>
    <w:rsid w:val="00AA79FB"/>
    <w:rsid w:val="00AA7EB5"/>
    <w:rsid w:val="00AB034C"/>
    <w:rsid w:val="00AB09BC"/>
    <w:rsid w:val="00AB09DA"/>
    <w:rsid w:val="00AB0BA4"/>
    <w:rsid w:val="00AB160D"/>
    <w:rsid w:val="00AB2482"/>
    <w:rsid w:val="00AB291E"/>
    <w:rsid w:val="00AB2A92"/>
    <w:rsid w:val="00AB2EBE"/>
    <w:rsid w:val="00AB3BC1"/>
    <w:rsid w:val="00AB508B"/>
    <w:rsid w:val="00AB57C8"/>
    <w:rsid w:val="00AB654F"/>
    <w:rsid w:val="00AB68EE"/>
    <w:rsid w:val="00AC00E4"/>
    <w:rsid w:val="00AC0F63"/>
    <w:rsid w:val="00AC2BAE"/>
    <w:rsid w:val="00AC30AB"/>
    <w:rsid w:val="00AC32A4"/>
    <w:rsid w:val="00AC33B7"/>
    <w:rsid w:val="00AC3C9F"/>
    <w:rsid w:val="00AC4008"/>
    <w:rsid w:val="00AC45E1"/>
    <w:rsid w:val="00AC48C5"/>
    <w:rsid w:val="00AC5013"/>
    <w:rsid w:val="00AC5123"/>
    <w:rsid w:val="00AC52A0"/>
    <w:rsid w:val="00AC53B1"/>
    <w:rsid w:val="00AC54BF"/>
    <w:rsid w:val="00AC5C0F"/>
    <w:rsid w:val="00AC6133"/>
    <w:rsid w:val="00AC6457"/>
    <w:rsid w:val="00AC6A34"/>
    <w:rsid w:val="00AC6B98"/>
    <w:rsid w:val="00AC6DC7"/>
    <w:rsid w:val="00AC7545"/>
    <w:rsid w:val="00AC763C"/>
    <w:rsid w:val="00AC791A"/>
    <w:rsid w:val="00AC7BD0"/>
    <w:rsid w:val="00AC7EA9"/>
    <w:rsid w:val="00AC7F9C"/>
    <w:rsid w:val="00AD0057"/>
    <w:rsid w:val="00AD01A0"/>
    <w:rsid w:val="00AD03F2"/>
    <w:rsid w:val="00AD0591"/>
    <w:rsid w:val="00AD0673"/>
    <w:rsid w:val="00AD07EC"/>
    <w:rsid w:val="00AD1116"/>
    <w:rsid w:val="00AD1153"/>
    <w:rsid w:val="00AD119D"/>
    <w:rsid w:val="00AD1598"/>
    <w:rsid w:val="00AD1DDF"/>
    <w:rsid w:val="00AD2208"/>
    <w:rsid w:val="00AD22F9"/>
    <w:rsid w:val="00AD2BFC"/>
    <w:rsid w:val="00AD2DE9"/>
    <w:rsid w:val="00AD2E0B"/>
    <w:rsid w:val="00AD337C"/>
    <w:rsid w:val="00AD33C4"/>
    <w:rsid w:val="00AD3808"/>
    <w:rsid w:val="00AD3974"/>
    <w:rsid w:val="00AD4668"/>
    <w:rsid w:val="00AD47D7"/>
    <w:rsid w:val="00AD50A4"/>
    <w:rsid w:val="00AD53F0"/>
    <w:rsid w:val="00AD5966"/>
    <w:rsid w:val="00AD6629"/>
    <w:rsid w:val="00AD6A1F"/>
    <w:rsid w:val="00AD6C9D"/>
    <w:rsid w:val="00AD6FCC"/>
    <w:rsid w:val="00AD733A"/>
    <w:rsid w:val="00AD7B22"/>
    <w:rsid w:val="00AE04DC"/>
    <w:rsid w:val="00AE0A65"/>
    <w:rsid w:val="00AE0C01"/>
    <w:rsid w:val="00AE0E36"/>
    <w:rsid w:val="00AE0EDB"/>
    <w:rsid w:val="00AE10F6"/>
    <w:rsid w:val="00AE1E3B"/>
    <w:rsid w:val="00AE2314"/>
    <w:rsid w:val="00AE3012"/>
    <w:rsid w:val="00AE35E9"/>
    <w:rsid w:val="00AE3BFD"/>
    <w:rsid w:val="00AE427F"/>
    <w:rsid w:val="00AE4301"/>
    <w:rsid w:val="00AE52C6"/>
    <w:rsid w:val="00AE57DD"/>
    <w:rsid w:val="00AE5939"/>
    <w:rsid w:val="00AE5A23"/>
    <w:rsid w:val="00AE5A92"/>
    <w:rsid w:val="00AE5EE1"/>
    <w:rsid w:val="00AE6516"/>
    <w:rsid w:val="00AE67B2"/>
    <w:rsid w:val="00AE7313"/>
    <w:rsid w:val="00AE7D5A"/>
    <w:rsid w:val="00AE7E99"/>
    <w:rsid w:val="00AF02FB"/>
    <w:rsid w:val="00AF0640"/>
    <w:rsid w:val="00AF0F69"/>
    <w:rsid w:val="00AF11AF"/>
    <w:rsid w:val="00AF1F6B"/>
    <w:rsid w:val="00AF20C0"/>
    <w:rsid w:val="00AF257D"/>
    <w:rsid w:val="00AF2EA9"/>
    <w:rsid w:val="00AF3D2F"/>
    <w:rsid w:val="00AF4E6C"/>
    <w:rsid w:val="00AF54A6"/>
    <w:rsid w:val="00AF54F1"/>
    <w:rsid w:val="00AF5C2E"/>
    <w:rsid w:val="00AF6013"/>
    <w:rsid w:val="00AF6227"/>
    <w:rsid w:val="00AF6A88"/>
    <w:rsid w:val="00AF6AA8"/>
    <w:rsid w:val="00AF6E4E"/>
    <w:rsid w:val="00AF6EDE"/>
    <w:rsid w:val="00AF75E1"/>
    <w:rsid w:val="00AF76D5"/>
    <w:rsid w:val="00AF7E6E"/>
    <w:rsid w:val="00B004CC"/>
    <w:rsid w:val="00B005F6"/>
    <w:rsid w:val="00B00A46"/>
    <w:rsid w:val="00B00AC6"/>
    <w:rsid w:val="00B00B0E"/>
    <w:rsid w:val="00B010A2"/>
    <w:rsid w:val="00B0111A"/>
    <w:rsid w:val="00B011BE"/>
    <w:rsid w:val="00B0131F"/>
    <w:rsid w:val="00B0174C"/>
    <w:rsid w:val="00B01C85"/>
    <w:rsid w:val="00B02062"/>
    <w:rsid w:val="00B02171"/>
    <w:rsid w:val="00B024D7"/>
    <w:rsid w:val="00B025D7"/>
    <w:rsid w:val="00B02910"/>
    <w:rsid w:val="00B0423D"/>
    <w:rsid w:val="00B04457"/>
    <w:rsid w:val="00B04947"/>
    <w:rsid w:val="00B05149"/>
    <w:rsid w:val="00B05309"/>
    <w:rsid w:val="00B058E6"/>
    <w:rsid w:val="00B05AC7"/>
    <w:rsid w:val="00B063EA"/>
    <w:rsid w:val="00B06980"/>
    <w:rsid w:val="00B06D9F"/>
    <w:rsid w:val="00B06DDB"/>
    <w:rsid w:val="00B0756F"/>
    <w:rsid w:val="00B07C26"/>
    <w:rsid w:val="00B10080"/>
    <w:rsid w:val="00B10245"/>
    <w:rsid w:val="00B10425"/>
    <w:rsid w:val="00B109F6"/>
    <w:rsid w:val="00B10DFF"/>
    <w:rsid w:val="00B1175D"/>
    <w:rsid w:val="00B11864"/>
    <w:rsid w:val="00B118F9"/>
    <w:rsid w:val="00B119EF"/>
    <w:rsid w:val="00B11D1B"/>
    <w:rsid w:val="00B13152"/>
    <w:rsid w:val="00B13349"/>
    <w:rsid w:val="00B136E2"/>
    <w:rsid w:val="00B14E1C"/>
    <w:rsid w:val="00B15482"/>
    <w:rsid w:val="00B15763"/>
    <w:rsid w:val="00B162C3"/>
    <w:rsid w:val="00B16CCB"/>
    <w:rsid w:val="00B16D78"/>
    <w:rsid w:val="00B16EFF"/>
    <w:rsid w:val="00B170F1"/>
    <w:rsid w:val="00B17877"/>
    <w:rsid w:val="00B17C79"/>
    <w:rsid w:val="00B17EBD"/>
    <w:rsid w:val="00B2038F"/>
    <w:rsid w:val="00B20C15"/>
    <w:rsid w:val="00B21160"/>
    <w:rsid w:val="00B21E0E"/>
    <w:rsid w:val="00B22521"/>
    <w:rsid w:val="00B228C9"/>
    <w:rsid w:val="00B22B83"/>
    <w:rsid w:val="00B22D11"/>
    <w:rsid w:val="00B22E19"/>
    <w:rsid w:val="00B22E85"/>
    <w:rsid w:val="00B23B3E"/>
    <w:rsid w:val="00B2413A"/>
    <w:rsid w:val="00B24CFB"/>
    <w:rsid w:val="00B25528"/>
    <w:rsid w:val="00B25ED4"/>
    <w:rsid w:val="00B2602B"/>
    <w:rsid w:val="00B2673D"/>
    <w:rsid w:val="00B26B6A"/>
    <w:rsid w:val="00B26BA4"/>
    <w:rsid w:val="00B26DFC"/>
    <w:rsid w:val="00B26FAE"/>
    <w:rsid w:val="00B270FB"/>
    <w:rsid w:val="00B2729D"/>
    <w:rsid w:val="00B276BA"/>
    <w:rsid w:val="00B300D5"/>
    <w:rsid w:val="00B301BF"/>
    <w:rsid w:val="00B3050C"/>
    <w:rsid w:val="00B3068A"/>
    <w:rsid w:val="00B30799"/>
    <w:rsid w:val="00B30907"/>
    <w:rsid w:val="00B30C6A"/>
    <w:rsid w:val="00B30F4B"/>
    <w:rsid w:val="00B311F7"/>
    <w:rsid w:val="00B31262"/>
    <w:rsid w:val="00B31AA1"/>
    <w:rsid w:val="00B3216E"/>
    <w:rsid w:val="00B3227A"/>
    <w:rsid w:val="00B33407"/>
    <w:rsid w:val="00B33E6F"/>
    <w:rsid w:val="00B341CB"/>
    <w:rsid w:val="00B346A8"/>
    <w:rsid w:val="00B34ABA"/>
    <w:rsid w:val="00B35765"/>
    <w:rsid w:val="00B35FD7"/>
    <w:rsid w:val="00B367F7"/>
    <w:rsid w:val="00B368C5"/>
    <w:rsid w:val="00B368EA"/>
    <w:rsid w:val="00B369E6"/>
    <w:rsid w:val="00B36F34"/>
    <w:rsid w:val="00B37989"/>
    <w:rsid w:val="00B40078"/>
    <w:rsid w:val="00B407B6"/>
    <w:rsid w:val="00B407D2"/>
    <w:rsid w:val="00B41425"/>
    <w:rsid w:val="00B4170C"/>
    <w:rsid w:val="00B42541"/>
    <w:rsid w:val="00B42E0B"/>
    <w:rsid w:val="00B42FF6"/>
    <w:rsid w:val="00B43BC8"/>
    <w:rsid w:val="00B44E5E"/>
    <w:rsid w:val="00B44FE3"/>
    <w:rsid w:val="00B45361"/>
    <w:rsid w:val="00B45637"/>
    <w:rsid w:val="00B45832"/>
    <w:rsid w:val="00B45D90"/>
    <w:rsid w:val="00B45DB4"/>
    <w:rsid w:val="00B46E58"/>
    <w:rsid w:val="00B46F55"/>
    <w:rsid w:val="00B4713D"/>
    <w:rsid w:val="00B503FE"/>
    <w:rsid w:val="00B504D0"/>
    <w:rsid w:val="00B50590"/>
    <w:rsid w:val="00B5112A"/>
    <w:rsid w:val="00B5148F"/>
    <w:rsid w:val="00B514B4"/>
    <w:rsid w:val="00B51C03"/>
    <w:rsid w:val="00B51FA5"/>
    <w:rsid w:val="00B520E3"/>
    <w:rsid w:val="00B523EA"/>
    <w:rsid w:val="00B52999"/>
    <w:rsid w:val="00B5322B"/>
    <w:rsid w:val="00B5356F"/>
    <w:rsid w:val="00B535DD"/>
    <w:rsid w:val="00B535FA"/>
    <w:rsid w:val="00B5361B"/>
    <w:rsid w:val="00B538E4"/>
    <w:rsid w:val="00B552C7"/>
    <w:rsid w:val="00B55930"/>
    <w:rsid w:val="00B55B4D"/>
    <w:rsid w:val="00B55D62"/>
    <w:rsid w:val="00B55EB3"/>
    <w:rsid w:val="00B5619A"/>
    <w:rsid w:val="00B5625B"/>
    <w:rsid w:val="00B562BC"/>
    <w:rsid w:val="00B5675C"/>
    <w:rsid w:val="00B56900"/>
    <w:rsid w:val="00B56DC0"/>
    <w:rsid w:val="00B56FBE"/>
    <w:rsid w:val="00B5792E"/>
    <w:rsid w:val="00B57A1B"/>
    <w:rsid w:val="00B57AF7"/>
    <w:rsid w:val="00B57F34"/>
    <w:rsid w:val="00B60BA3"/>
    <w:rsid w:val="00B60D31"/>
    <w:rsid w:val="00B60F1B"/>
    <w:rsid w:val="00B61328"/>
    <w:rsid w:val="00B618D0"/>
    <w:rsid w:val="00B61994"/>
    <w:rsid w:val="00B62053"/>
    <w:rsid w:val="00B62A4C"/>
    <w:rsid w:val="00B62B9A"/>
    <w:rsid w:val="00B62CC9"/>
    <w:rsid w:val="00B63483"/>
    <w:rsid w:val="00B63DED"/>
    <w:rsid w:val="00B64197"/>
    <w:rsid w:val="00B652F9"/>
    <w:rsid w:val="00B659DF"/>
    <w:rsid w:val="00B65A93"/>
    <w:rsid w:val="00B65CC3"/>
    <w:rsid w:val="00B66024"/>
    <w:rsid w:val="00B664DB"/>
    <w:rsid w:val="00B668AB"/>
    <w:rsid w:val="00B66B55"/>
    <w:rsid w:val="00B66B9F"/>
    <w:rsid w:val="00B6729D"/>
    <w:rsid w:val="00B67387"/>
    <w:rsid w:val="00B67412"/>
    <w:rsid w:val="00B67DF6"/>
    <w:rsid w:val="00B70116"/>
    <w:rsid w:val="00B703ED"/>
    <w:rsid w:val="00B707BC"/>
    <w:rsid w:val="00B70E44"/>
    <w:rsid w:val="00B71AF6"/>
    <w:rsid w:val="00B71B03"/>
    <w:rsid w:val="00B71E84"/>
    <w:rsid w:val="00B7206D"/>
    <w:rsid w:val="00B7250A"/>
    <w:rsid w:val="00B7276E"/>
    <w:rsid w:val="00B72DBC"/>
    <w:rsid w:val="00B72E01"/>
    <w:rsid w:val="00B73198"/>
    <w:rsid w:val="00B73475"/>
    <w:rsid w:val="00B73AFE"/>
    <w:rsid w:val="00B73B7A"/>
    <w:rsid w:val="00B73D2D"/>
    <w:rsid w:val="00B73E15"/>
    <w:rsid w:val="00B73E2A"/>
    <w:rsid w:val="00B74B64"/>
    <w:rsid w:val="00B74D54"/>
    <w:rsid w:val="00B74F3D"/>
    <w:rsid w:val="00B75CA8"/>
    <w:rsid w:val="00B75DCC"/>
    <w:rsid w:val="00B7687C"/>
    <w:rsid w:val="00B76AC7"/>
    <w:rsid w:val="00B76C63"/>
    <w:rsid w:val="00B77111"/>
    <w:rsid w:val="00B77526"/>
    <w:rsid w:val="00B77530"/>
    <w:rsid w:val="00B77887"/>
    <w:rsid w:val="00B809A6"/>
    <w:rsid w:val="00B82397"/>
    <w:rsid w:val="00B82640"/>
    <w:rsid w:val="00B82777"/>
    <w:rsid w:val="00B82844"/>
    <w:rsid w:val="00B82C5D"/>
    <w:rsid w:val="00B83398"/>
    <w:rsid w:val="00B838EB"/>
    <w:rsid w:val="00B83C95"/>
    <w:rsid w:val="00B85C92"/>
    <w:rsid w:val="00B85C9D"/>
    <w:rsid w:val="00B860D3"/>
    <w:rsid w:val="00B86A83"/>
    <w:rsid w:val="00B86EE5"/>
    <w:rsid w:val="00B8746B"/>
    <w:rsid w:val="00B87953"/>
    <w:rsid w:val="00B901A1"/>
    <w:rsid w:val="00B90359"/>
    <w:rsid w:val="00B90743"/>
    <w:rsid w:val="00B90D8E"/>
    <w:rsid w:val="00B91497"/>
    <w:rsid w:val="00B914EC"/>
    <w:rsid w:val="00B919E2"/>
    <w:rsid w:val="00B91A93"/>
    <w:rsid w:val="00B928C3"/>
    <w:rsid w:val="00B92C0F"/>
    <w:rsid w:val="00B9375B"/>
    <w:rsid w:val="00B93770"/>
    <w:rsid w:val="00B93813"/>
    <w:rsid w:val="00B939E7"/>
    <w:rsid w:val="00B94048"/>
    <w:rsid w:val="00B94528"/>
    <w:rsid w:val="00B94943"/>
    <w:rsid w:val="00B94EE6"/>
    <w:rsid w:val="00B9514D"/>
    <w:rsid w:val="00B951E9"/>
    <w:rsid w:val="00B954BC"/>
    <w:rsid w:val="00B96008"/>
    <w:rsid w:val="00B96CBE"/>
    <w:rsid w:val="00B96F61"/>
    <w:rsid w:val="00B978DD"/>
    <w:rsid w:val="00B97C95"/>
    <w:rsid w:val="00BA05E9"/>
    <w:rsid w:val="00BA184F"/>
    <w:rsid w:val="00BA277E"/>
    <w:rsid w:val="00BA2899"/>
    <w:rsid w:val="00BA2B25"/>
    <w:rsid w:val="00BA3249"/>
    <w:rsid w:val="00BA388E"/>
    <w:rsid w:val="00BA3B37"/>
    <w:rsid w:val="00BA3B62"/>
    <w:rsid w:val="00BA4F2B"/>
    <w:rsid w:val="00BA56A3"/>
    <w:rsid w:val="00BA597B"/>
    <w:rsid w:val="00BA65F9"/>
    <w:rsid w:val="00BA6863"/>
    <w:rsid w:val="00BA6870"/>
    <w:rsid w:val="00BA6A19"/>
    <w:rsid w:val="00BA761E"/>
    <w:rsid w:val="00BA7680"/>
    <w:rsid w:val="00BA7B37"/>
    <w:rsid w:val="00BA7BE5"/>
    <w:rsid w:val="00BB0316"/>
    <w:rsid w:val="00BB122C"/>
    <w:rsid w:val="00BB1D94"/>
    <w:rsid w:val="00BB2017"/>
    <w:rsid w:val="00BB2912"/>
    <w:rsid w:val="00BB3BD4"/>
    <w:rsid w:val="00BB61A0"/>
    <w:rsid w:val="00BB7396"/>
    <w:rsid w:val="00BB78FE"/>
    <w:rsid w:val="00BC009B"/>
    <w:rsid w:val="00BC0460"/>
    <w:rsid w:val="00BC066B"/>
    <w:rsid w:val="00BC0880"/>
    <w:rsid w:val="00BC0B14"/>
    <w:rsid w:val="00BC0C7C"/>
    <w:rsid w:val="00BC1135"/>
    <w:rsid w:val="00BC238B"/>
    <w:rsid w:val="00BC26E6"/>
    <w:rsid w:val="00BC2954"/>
    <w:rsid w:val="00BC2BB9"/>
    <w:rsid w:val="00BC3147"/>
    <w:rsid w:val="00BC34A7"/>
    <w:rsid w:val="00BC35DF"/>
    <w:rsid w:val="00BC3726"/>
    <w:rsid w:val="00BC3745"/>
    <w:rsid w:val="00BC38AB"/>
    <w:rsid w:val="00BC3F79"/>
    <w:rsid w:val="00BC407C"/>
    <w:rsid w:val="00BC4D95"/>
    <w:rsid w:val="00BC5385"/>
    <w:rsid w:val="00BC5605"/>
    <w:rsid w:val="00BC59CB"/>
    <w:rsid w:val="00BC5E74"/>
    <w:rsid w:val="00BC690B"/>
    <w:rsid w:val="00BC6BCC"/>
    <w:rsid w:val="00BC728A"/>
    <w:rsid w:val="00BC7669"/>
    <w:rsid w:val="00BC7BF9"/>
    <w:rsid w:val="00BC7E5A"/>
    <w:rsid w:val="00BD0A0D"/>
    <w:rsid w:val="00BD0AFF"/>
    <w:rsid w:val="00BD0EA4"/>
    <w:rsid w:val="00BD1975"/>
    <w:rsid w:val="00BD1C6E"/>
    <w:rsid w:val="00BD1D54"/>
    <w:rsid w:val="00BD2E88"/>
    <w:rsid w:val="00BD307F"/>
    <w:rsid w:val="00BD3505"/>
    <w:rsid w:val="00BD3D2D"/>
    <w:rsid w:val="00BD41FD"/>
    <w:rsid w:val="00BD4D9B"/>
    <w:rsid w:val="00BD552B"/>
    <w:rsid w:val="00BD5578"/>
    <w:rsid w:val="00BD5A0D"/>
    <w:rsid w:val="00BD6076"/>
    <w:rsid w:val="00BD61D8"/>
    <w:rsid w:val="00BD64FB"/>
    <w:rsid w:val="00BD6ACB"/>
    <w:rsid w:val="00BD6F97"/>
    <w:rsid w:val="00BD71E2"/>
    <w:rsid w:val="00BD76A2"/>
    <w:rsid w:val="00BD7785"/>
    <w:rsid w:val="00BD78B0"/>
    <w:rsid w:val="00BD7B40"/>
    <w:rsid w:val="00BE091A"/>
    <w:rsid w:val="00BE127C"/>
    <w:rsid w:val="00BE1CF4"/>
    <w:rsid w:val="00BE1ECC"/>
    <w:rsid w:val="00BE270B"/>
    <w:rsid w:val="00BE2971"/>
    <w:rsid w:val="00BE398A"/>
    <w:rsid w:val="00BE3AF4"/>
    <w:rsid w:val="00BE3DC4"/>
    <w:rsid w:val="00BE3E6E"/>
    <w:rsid w:val="00BE4277"/>
    <w:rsid w:val="00BE44CB"/>
    <w:rsid w:val="00BE47D7"/>
    <w:rsid w:val="00BE489F"/>
    <w:rsid w:val="00BE4951"/>
    <w:rsid w:val="00BE4CA8"/>
    <w:rsid w:val="00BE64EC"/>
    <w:rsid w:val="00BE684D"/>
    <w:rsid w:val="00BE696E"/>
    <w:rsid w:val="00BE6CC6"/>
    <w:rsid w:val="00BE6E52"/>
    <w:rsid w:val="00BE6F24"/>
    <w:rsid w:val="00BE7A87"/>
    <w:rsid w:val="00BE7E22"/>
    <w:rsid w:val="00BE7E87"/>
    <w:rsid w:val="00BF01BF"/>
    <w:rsid w:val="00BF026E"/>
    <w:rsid w:val="00BF02D8"/>
    <w:rsid w:val="00BF0466"/>
    <w:rsid w:val="00BF0D8F"/>
    <w:rsid w:val="00BF1106"/>
    <w:rsid w:val="00BF186E"/>
    <w:rsid w:val="00BF2290"/>
    <w:rsid w:val="00BF26D9"/>
    <w:rsid w:val="00BF29DA"/>
    <w:rsid w:val="00BF32E7"/>
    <w:rsid w:val="00BF3502"/>
    <w:rsid w:val="00BF3C75"/>
    <w:rsid w:val="00BF3E20"/>
    <w:rsid w:val="00BF4C05"/>
    <w:rsid w:val="00BF5080"/>
    <w:rsid w:val="00BF52F9"/>
    <w:rsid w:val="00BF586E"/>
    <w:rsid w:val="00BF5B6F"/>
    <w:rsid w:val="00BF601B"/>
    <w:rsid w:val="00BF62FA"/>
    <w:rsid w:val="00BF69F2"/>
    <w:rsid w:val="00BF70CB"/>
    <w:rsid w:val="00BF76F4"/>
    <w:rsid w:val="00BF7C9A"/>
    <w:rsid w:val="00C00449"/>
    <w:rsid w:val="00C004A2"/>
    <w:rsid w:val="00C00A09"/>
    <w:rsid w:val="00C00DF7"/>
    <w:rsid w:val="00C01184"/>
    <w:rsid w:val="00C013C0"/>
    <w:rsid w:val="00C013ED"/>
    <w:rsid w:val="00C018F3"/>
    <w:rsid w:val="00C01BE4"/>
    <w:rsid w:val="00C01F5D"/>
    <w:rsid w:val="00C02140"/>
    <w:rsid w:val="00C022DA"/>
    <w:rsid w:val="00C02B65"/>
    <w:rsid w:val="00C02CFB"/>
    <w:rsid w:val="00C032DD"/>
    <w:rsid w:val="00C0384B"/>
    <w:rsid w:val="00C04E21"/>
    <w:rsid w:val="00C052DC"/>
    <w:rsid w:val="00C0542E"/>
    <w:rsid w:val="00C0580C"/>
    <w:rsid w:val="00C05A09"/>
    <w:rsid w:val="00C06581"/>
    <w:rsid w:val="00C0662E"/>
    <w:rsid w:val="00C06EE5"/>
    <w:rsid w:val="00C07112"/>
    <w:rsid w:val="00C0713C"/>
    <w:rsid w:val="00C0797A"/>
    <w:rsid w:val="00C079E2"/>
    <w:rsid w:val="00C07AA9"/>
    <w:rsid w:val="00C07C6C"/>
    <w:rsid w:val="00C10264"/>
    <w:rsid w:val="00C10B0A"/>
    <w:rsid w:val="00C10C1D"/>
    <w:rsid w:val="00C10E3C"/>
    <w:rsid w:val="00C1159B"/>
    <w:rsid w:val="00C11E72"/>
    <w:rsid w:val="00C123F1"/>
    <w:rsid w:val="00C12884"/>
    <w:rsid w:val="00C1288B"/>
    <w:rsid w:val="00C128DD"/>
    <w:rsid w:val="00C128E3"/>
    <w:rsid w:val="00C12C84"/>
    <w:rsid w:val="00C13262"/>
    <w:rsid w:val="00C1329A"/>
    <w:rsid w:val="00C1358B"/>
    <w:rsid w:val="00C138CF"/>
    <w:rsid w:val="00C14171"/>
    <w:rsid w:val="00C1456A"/>
    <w:rsid w:val="00C14999"/>
    <w:rsid w:val="00C1526B"/>
    <w:rsid w:val="00C15E7D"/>
    <w:rsid w:val="00C1601E"/>
    <w:rsid w:val="00C160B5"/>
    <w:rsid w:val="00C16729"/>
    <w:rsid w:val="00C167CD"/>
    <w:rsid w:val="00C16B9F"/>
    <w:rsid w:val="00C16F57"/>
    <w:rsid w:val="00C174CA"/>
    <w:rsid w:val="00C1756E"/>
    <w:rsid w:val="00C1760C"/>
    <w:rsid w:val="00C17650"/>
    <w:rsid w:val="00C177CC"/>
    <w:rsid w:val="00C17D4E"/>
    <w:rsid w:val="00C20457"/>
    <w:rsid w:val="00C2060F"/>
    <w:rsid w:val="00C20A73"/>
    <w:rsid w:val="00C21076"/>
    <w:rsid w:val="00C21279"/>
    <w:rsid w:val="00C2191B"/>
    <w:rsid w:val="00C21FC7"/>
    <w:rsid w:val="00C21FF1"/>
    <w:rsid w:val="00C22E5E"/>
    <w:rsid w:val="00C23AB0"/>
    <w:rsid w:val="00C241CF"/>
    <w:rsid w:val="00C2492B"/>
    <w:rsid w:val="00C24B7A"/>
    <w:rsid w:val="00C25949"/>
    <w:rsid w:val="00C266AD"/>
    <w:rsid w:val="00C269AD"/>
    <w:rsid w:val="00C271DB"/>
    <w:rsid w:val="00C274BA"/>
    <w:rsid w:val="00C2775A"/>
    <w:rsid w:val="00C3116C"/>
    <w:rsid w:val="00C3125B"/>
    <w:rsid w:val="00C31422"/>
    <w:rsid w:val="00C31AF1"/>
    <w:rsid w:val="00C31B31"/>
    <w:rsid w:val="00C320AA"/>
    <w:rsid w:val="00C32242"/>
    <w:rsid w:val="00C323AB"/>
    <w:rsid w:val="00C32815"/>
    <w:rsid w:val="00C32DCC"/>
    <w:rsid w:val="00C3309B"/>
    <w:rsid w:val="00C33431"/>
    <w:rsid w:val="00C3381C"/>
    <w:rsid w:val="00C33B1A"/>
    <w:rsid w:val="00C33C84"/>
    <w:rsid w:val="00C340C1"/>
    <w:rsid w:val="00C34597"/>
    <w:rsid w:val="00C34672"/>
    <w:rsid w:val="00C34D50"/>
    <w:rsid w:val="00C34FFA"/>
    <w:rsid w:val="00C35C30"/>
    <w:rsid w:val="00C360C2"/>
    <w:rsid w:val="00C363FF"/>
    <w:rsid w:val="00C37177"/>
    <w:rsid w:val="00C37752"/>
    <w:rsid w:val="00C379D6"/>
    <w:rsid w:val="00C37E50"/>
    <w:rsid w:val="00C37E5C"/>
    <w:rsid w:val="00C37E62"/>
    <w:rsid w:val="00C4003E"/>
    <w:rsid w:val="00C41533"/>
    <w:rsid w:val="00C416EE"/>
    <w:rsid w:val="00C4198D"/>
    <w:rsid w:val="00C41B21"/>
    <w:rsid w:val="00C42038"/>
    <w:rsid w:val="00C42E29"/>
    <w:rsid w:val="00C434E9"/>
    <w:rsid w:val="00C43540"/>
    <w:rsid w:val="00C43992"/>
    <w:rsid w:val="00C4518C"/>
    <w:rsid w:val="00C4561E"/>
    <w:rsid w:val="00C45A9E"/>
    <w:rsid w:val="00C45BAD"/>
    <w:rsid w:val="00C45C06"/>
    <w:rsid w:val="00C45DB6"/>
    <w:rsid w:val="00C46457"/>
    <w:rsid w:val="00C466A0"/>
    <w:rsid w:val="00C46AC5"/>
    <w:rsid w:val="00C50308"/>
    <w:rsid w:val="00C5050A"/>
    <w:rsid w:val="00C50B0B"/>
    <w:rsid w:val="00C50D89"/>
    <w:rsid w:val="00C516EA"/>
    <w:rsid w:val="00C51EE5"/>
    <w:rsid w:val="00C5218E"/>
    <w:rsid w:val="00C522C6"/>
    <w:rsid w:val="00C523E0"/>
    <w:rsid w:val="00C52983"/>
    <w:rsid w:val="00C52DB5"/>
    <w:rsid w:val="00C52FB8"/>
    <w:rsid w:val="00C52FEA"/>
    <w:rsid w:val="00C530E1"/>
    <w:rsid w:val="00C5388D"/>
    <w:rsid w:val="00C53C2D"/>
    <w:rsid w:val="00C53E62"/>
    <w:rsid w:val="00C54073"/>
    <w:rsid w:val="00C5427F"/>
    <w:rsid w:val="00C546A0"/>
    <w:rsid w:val="00C54C74"/>
    <w:rsid w:val="00C55A98"/>
    <w:rsid w:val="00C5647A"/>
    <w:rsid w:val="00C56803"/>
    <w:rsid w:val="00C56807"/>
    <w:rsid w:val="00C56FB8"/>
    <w:rsid w:val="00C57147"/>
    <w:rsid w:val="00C57467"/>
    <w:rsid w:val="00C57806"/>
    <w:rsid w:val="00C608F4"/>
    <w:rsid w:val="00C60D42"/>
    <w:rsid w:val="00C60D8E"/>
    <w:rsid w:val="00C60ED2"/>
    <w:rsid w:val="00C6163A"/>
    <w:rsid w:val="00C61659"/>
    <w:rsid w:val="00C61768"/>
    <w:rsid w:val="00C61A60"/>
    <w:rsid w:val="00C61B2A"/>
    <w:rsid w:val="00C62375"/>
    <w:rsid w:val="00C624B6"/>
    <w:rsid w:val="00C624F5"/>
    <w:rsid w:val="00C62A0E"/>
    <w:rsid w:val="00C62AF1"/>
    <w:rsid w:val="00C6300C"/>
    <w:rsid w:val="00C630BE"/>
    <w:rsid w:val="00C632C6"/>
    <w:rsid w:val="00C63DFC"/>
    <w:rsid w:val="00C63E39"/>
    <w:rsid w:val="00C64437"/>
    <w:rsid w:val="00C645E5"/>
    <w:rsid w:val="00C64740"/>
    <w:rsid w:val="00C6484F"/>
    <w:rsid w:val="00C65239"/>
    <w:rsid w:val="00C65F19"/>
    <w:rsid w:val="00C66681"/>
    <w:rsid w:val="00C66D13"/>
    <w:rsid w:val="00C66DB1"/>
    <w:rsid w:val="00C66F32"/>
    <w:rsid w:val="00C67595"/>
    <w:rsid w:val="00C67737"/>
    <w:rsid w:val="00C677EE"/>
    <w:rsid w:val="00C67872"/>
    <w:rsid w:val="00C678EB"/>
    <w:rsid w:val="00C67A3C"/>
    <w:rsid w:val="00C70241"/>
    <w:rsid w:val="00C70476"/>
    <w:rsid w:val="00C70811"/>
    <w:rsid w:val="00C70901"/>
    <w:rsid w:val="00C70E7F"/>
    <w:rsid w:val="00C71202"/>
    <w:rsid w:val="00C71892"/>
    <w:rsid w:val="00C71AF5"/>
    <w:rsid w:val="00C71E3B"/>
    <w:rsid w:val="00C7206E"/>
    <w:rsid w:val="00C72164"/>
    <w:rsid w:val="00C725FA"/>
    <w:rsid w:val="00C728D9"/>
    <w:rsid w:val="00C72CA1"/>
    <w:rsid w:val="00C73233"/>
    <w:rsid w:val="00C733BD"/>
    <w:rsid w:val="00C735FF"/>
    <w:rsid w:val="00C73657"/>
    <w:rsid w:val="00C739EF"/>
    <w:rsid w:val="00C747CA"/>
    <w:rsid w:val="00C74847"/>
    <w:rsid w:val="00C748EE"/>
    <w:rsid w:val="00C74A4C"/>
    <w:rsid w:val="00C74ED4"/>
    <w:rsid w:val="00C75093"/>
    <w:rsid w:val="00C7690D"/>
    <w:rsid w:val="00C76F9F"/>
    <w:rsid w:val="00C774EB"/>
    <w:rsid w:val="00C77F91"/>
    <w:rsid w:val="00C801C0"/>
    <w:rsid w:val="00C802BD"/>
    <w:rsid w:val="00C802DB"/>
    <w:rsid w:val="00C806CF"/>
    <w:rsid w:val="00C80BF2"/>
    <w:rsid w:val="00C80EDA"/>
    <w:rsid w:val="00C81978"/>
    <w:rsid w:val="00C81AC8"/>
    <w:rsid w:val="00C81E7A"/>
    <w:rsid w:val="00C82474"/>
    <w:rsid w:val="00C82A80"/>
    <w:rsid w:val="00C833AE"/>
    <w:rsid w:val="00C83680"/>
    <w:rsid w:val="00C838EB"/>
    <w:rsid w:val="00C83971"/>
    <w:rsid w:val="00C83BD5"/>
    <w:rsid w:val="00C83BDB"/>
    <w:rsid w:val="00C847DF"/>
    <w:rsid w:val="00C8496B"/>
    <w:rsid w:val="00C84E03"/>
    <w:rsid w:val="00C853C1"/>
    <w:rsid w:val="00C85505"/>
    <w:rsid w:val="00C8557B"/>
    <w:rsid w:val="00C85A09"/>
    <w:rsid w:val="00C85E16"/>
    <w:rsid w:val="00C86215"/>
    <w:rsid w:val="00C8658B"/>
    <w:rsid w:val="00C86BE4"/>
    <w:rsid w:val="00C86D19"/>
    <w:rsid w:val="00C87286"/>
    <w:rsid w:val="00C87749"/>
    <w:rsid w:val="00C87A7C"/>
    <w:rsid w:val="00C87CB0"/>
    <w:rsid w:val="00C87CC4"/>
    <w:rsid w:val="00C87E9A"/>
    <w:rsid w:val="00C90E5E"/>
    <w:rsid w:val="00C91066"/>
    <w:rsid w:val="00C910E4"/>
    <w:rsid w:val="00C91909"/>
    <w:rsid w:val="00C9287E"/>
    <w:rsid w:val="00C935CA"/>
    <w:rsid w:val="00C94653"/>
    <w:rsid w:val="00C9505B"/>
    <w:rsid w:val="00C95248"/>
    <w:rsid w:val="00C9603E"/>
    <w:rsid w:val="00C960EA"/>
    <w:rsid w:val="00C96533"/>
    <w:rsid w:val="00C96817"/>
    <w:rsid w:val="00C96A09"/>
    <w:rsid w:val="00C97260"/>
    <w:rsid w:val="00C97375"/>
    <w:rsid w:val="00C973FF"/>
    <w:rsid w:val="00C9765C"/>
    <w:rsid w:val="00CA022F"/>
    <w:rsid w:val="00CA02B7"/>
    <w:rsid w:val="00CA0330"/>
    <w:rsid w:val="00CA04BD"/>
    <w:rsid w:val="00CA0BB4"/>
    <w:rsid w:val="00CA0DE4"/>
    <w:rsid w:val="00CA1AB9"/>
    <w:rsid w:val="00CA1BF9"/>
    <w:rsid w:val="00CA1FEF"/>
    <w:rsid w:val="00CA2040"/>
    <w:rsid w:val="00CA24EC"/>
    <w:rsid w:val="00CA2653"/>
    <w:rsid w:val="00CA27B2"/>
    <w:rsid w:val="00CA2F86"/>
    <w:rsid w:val="00CA3B55"/>
    <w:rsid w:val="00CA3D92"/>
    <w:rsid w:val="00CA4403"/>
    <w:rsid w:val="00CA45E3"/>
    <w:rsid w:val="00CA4A0A"/>
    <w:rsid w:val="00CA4C8E"/>
    <w:rsid w:val="00CA4D09"/>
    <w:rsid w:val="00CA4DA6"/>
    <w:rsid w:val="00CA50D7"/>
    <w:rsid w:val="00CA54A4"/>
    <w:rsid w:val="00CA5716"/>
    <w:rsid w:val="00CA5809"/>
    <w:rsid w:val="00CA58C3"/>
    <w:rsid w:val="00CA5BCC"/>
    <w:rsid w:val="00CA6635"/>
    <w:rsid w:val="00CA6FE0"/>
    <w:rsid w:val="00CA72A1"/>
    <w:rsid w:val="00CA7A2D"/>
    <w:rsid w:val="00CA7C6C"/>
    <w:rsid w:val="00CB0120"/>
    <w:rsid w:val="00CB048A"/>
    <w:rsid w:val="00CB0CA5"/>
    <w:rsid w:val="00CB17D8"/>
    <w:rsid w:val="00CB1B5B"/>
    <w:rsid w:val="00CB1DC6"/>
    <w:rsid w:val="00CB1EF9"/>
    <w:rsid w:val="00CB2329"/>
    <w:rsid w:val="00CB2C45"/>
    <w:rsid w:val="00CB347E"/>
    <w:rsid w:val="00CB3A16"/>
    <w:rsid w:val="00CB4D64"/>
    <w:rsid w:val="00CB55B2"/>
    <w:rsid w:val="00CB5A15"/>
    <w:rsid w:val="00CB5D31"/>
    <w:rsid w:val="00CB6150"/>
    <w:rsid w:val="00CB643C"/>
    <w:rsid w:val="00CB6B61"/>
    <w:rsid w:val="00CB7347"/>
    <w:rsid w:val="00CB7748"/>
    <w:rsid w:val="00CB7BA6"/>
    <w:rsid w:val="00CB7D0C"/>
    <w:rsid w:val="00CB7D42"/>
    <w:rsid w:val="00CB7D63"/>
    <w:rsid w:val="00CC04C2"/>
    <w:rsid w:val="00CC0636"/>
    <w:rsid w:val="00CC0801"/>
    <w:rsid w:val="00CC0B70"/>
    <w:rsid w:val="00CC271B"/>
    <w:rsid w:val="00CC2874"/>
    <w:rsid w:val="00CC290F"/>
    <w:rsid w:val="00CC2A45"/>
    <w:rsid w:val="00CC2E9F"/>
    <w:rsid w:val="00CC3049"/>
    <w:rsid w:val="00CC310F"/>
    <w:rsid w:val="00CC44DC"/>
    <w:rsid w:val="00CC49EF"/>
    <w:rsid w:val="00CC4A10"/>
    <w:rsid w:val="00CC4B03"/>
    <w:rsid w:val="00CC4EE1"/>
    <w:rsid w:val="00CC5320"/>
    <w:rsid w:val="00CC5ED8"/>
    <w:rsid w:val="00CC6073"/>
    <w:rsid w:val="00CC6105"/>
    <w:rsid w:val="00CC618F"/>
    <w:rsid w:val="00CC6918"/>
    <w:rsid w:val="00CC7222"/>
    <w:rsid w:val="00CC7A6E"/>
    <w:rsid w:val="00CD000E"/>
    <w:rsid w:val="00CD001B"/>
    <w:rsid w:val="00CD0409"/>
    <w:rsid w:val="00CD061B"/>
    <w:rsid w:val="00CD0BB2"/>
    <w:rsid w:val="00CD0C49"/>
    <w:rsid w:val="00CD166D"/>
    <w:rsid w:val="00CD2E8D"/>
    <w:rsid w:val="00CD2EFD"/>
    <w:rsid w:val="00CD3163"/>
    <w:rsid w:val="00CD3646"/>
    <w:rsid w:val="00CD3780"/>
    <w:rsid w:val="00CD3899"/>
    <w:rsid w:val="00CD425C"/>
    <w:rsid w:val="00CD426A"/>
    <w:rsid w:val="00CD4B13"/>
    <w:rsid w:val="00CD5673"/>
    <w:rsid w:val="00CD5A54"/>
    <w:rsid w:val="00CD621F"/>
    <w:rsid w:val="00CD6694"/>
    <w:rsid w:val="00CD6C28"/>
    <w:rsid w:val="00CE0888"/>
    <w:rsid w:val="00CE0F36"/>
    <w:rsid w:val="00CE1347"/>
    <w:rsid w:val="00CE2453"/>
    <w:rsid w:val="00CE2667"/>
    <w:rsid w:val="00CE2D9A"/>
    <w:rsid w:val="00CE3694"/>
    <w:rsid w:val="00CE4174"/>
    <w:rsid w:val="00CE4554"/>
    <w:rsid w:val="00CE5377"/>
    <w:rsid w:val="00CE678F"/>
    <w:rsid w:val="00CE6D13"/>
    <w:rsid w:val="00CE6E98"/>
    <w:rsid w:val="00CE76FA"/>
    <w:rsid w:val="00CE7B62"/>
    <w:rsid w:val="00CE7C91"/>
    <w:rsid w:val="00CE7E51"/>
    <w:rsid w:val="00CE7F97"/>
    <w:rsid w:val="00CE7FE7"/>
    <w:rsid w:val="00CF05A3"/>
    <w:rsid w:val="00CF07F8"/>
    <w:rsid w:val="00CF115E"/>
    <w:rsid w:val="00CF15F7"/>
    <w:rsid w:val="00CF1AAD"/>
    <w:rsid w:val="00CF2374"/>
    <w:rsid w:val="00CF2CF7"/>
    <w:rsid w:val="00CF3129"/>
    <w:rsid w:val="00CF41C3"/>
    <w:rsid w:val="00CF42CB"/>
    <w:rsid w:val="00CF436B"/>
    <w:rsid w:val="00CF5529"/>
    <w:rsid w:val="00CF6434"/>
    <w:rsid w:val="00CF67A2"/>
    <w:rsid w:val="00CF6A2B"/>
    <w:rsid w:val="00CF6B8D"/>
    <w:rsid w:val="00CF7B8A"/>
    <w:rsid w:val="00CF7D24"/>
    <w:rsid w:val="00CF7EF8"/>
    <w:rsid w:val="00D00015"/>
    <w:rsid w:val="00D00BA0"/>
    <w:rsid w:val="00D010B2"/>
    <w:rsid w:val="00D014DA"/>
    <w:rsid w:val="00D02054"/>
    <w:rsid w:val="00D020C8"/>
    <w:rsid w:val="00D0218E"/>
    <w:rsid w:val="00D03346"/>
    <w:rsid w:val="00D034FD"/>
    <w:rsid w:val="00D03933"/>
    <w:rsid w:val="00D03948"/>
    <w:rsid w:val="00D04342"/>
    <w:rsid w:val="00D04496"/>
    <w:rsid w:val="00D0472E"/>
    <w:rsid w:val="00D048E3"/>
    <w:rsid w:val="00D04BC9"/>
    <w:rsid w:val="00D052D1"/>
    <w:rsid w:val="00D056FF"/>
    <w:rsid w:val="00D05777"/>
    <w:rsid w:val="00D05C65"/>
    <w:rsid w:val="00D063DA"/>
    <w:rsid w:val="00D07739"/>
    <w:rsid w:val="00D0779E"/>
    <w:rsid w:val="00D07CC6"/>
    <w:rsid w:val="00D07F3A"/>
    <w:rsid w:val="00D100BF"/>
    <w:rsid w:val="00D1027C"/>
    <w:rsid w:val="00D10298"/>
    <w:rsid w:val="00D10C76"/>
    <w:rsid w:val="00D10FE4"/>
    <w:rsid w:val="00D10FF9"/>
    <w:rsid w:val="00D11838"/>
    <w:rsid w:val="00D119F9"/>
    <w:rsid w:val="00D11DFA"/>
    <w:rsid w:val="00D125FB"/>
    <w:rsid w:val="00D12E99"/>
    <w:rsid w:val="00D13DC0"/>
    <w:rsid w:val="00D13ED4"/>
    <w:rsid w:val="00D14467"/>
    <w:rsid w:val="00D14A19"/>
    <w:rsid w:val="00D14F1B"/>
    <w:rsid w:val="00D151F4"/>
    <w:rsid w:val="00D15749"/>
    <w:rsid w:val="00D15A8B"/>
    <w:rsid w:val="00D1666A"/>
    <w:rsid w:val="00D173D1"/>
    <w:rsid w:val="00D20333"/>
    <w:rsid w:val="00D20462"/>
    <w:rsid w:val="00D20977"/>
    <w:rsid w:val="00D20F49"/>
    <w:rsid w:val="00D211F7"/>
    <w:rsid w:val="00D2164B"/>
    <w:rsid w:val="00D216BC"/>
    <w:rsid w:val="00D22864"/>
    <w:rsid w:val="00D22A83"/>
    <w:rsid w:val="00D22FF6"/>
    <w:rsid w:val="00D231FE"/>
    <w:rsid w:val="00D23346"/>
    <w:rsid w:val="00D236ED"/>
    <w:rsid w:val="00D2468B"/>
    <w:rsid w:val="00D24923"/>
    <w:rsid w:val="00D24A53"/>
    <w:rsid w:val="00D25043"/>
    <w:rsid w:val="00D2529C"/>
    <w:rsid w:val="00D25352"/>
    <w:rsid w:val="00D2554E"/>
    <w:rsid w:val="00D256CF"/>
    <w:rsid w:val="00D25E50"/>
    <w:rsid w:val="00D264C1"/>
    <w:rsid w:val="00D273EE"/>
    <w:rsid w:val="00D276BC"/>
    <w:rsid w:val="00D27968"/>
    <w:rsid w:val="00D30053"/>
    <w:rsid w:val="00D300F6"/>
    <w:rsid w:val="00D3034B"/>
    <w:rsid w:val="00D30524"/>
    <w:rsid w:val="00D3141D"/>
    <w:rsid w:val="00D3149A"/>
    <w:rsid w:val="00D322C8"/>
    <w:rsid w:val="00D32321"/>
    <w:rsid w:val="00D329CC"/>
    <w:rsid w:val="00D33834"/>
    <w:rsid w:val="00D3398D"/>
    <w:rsid w:val="00D33E5B"/>
    <w:rsid w:val="00D34F81"/>
    <w:rsid w:val="00D35264"/>
    <w:rsid w:val="00D352F6"/>
    <w:rsid w:val="00D35392"/>
    <w:rsid w:val="00D3585B"/>
    <w:rsid w:val="00D35B98"/>
    <w:rsid w:val="00D366A2"/>
    <w:rsid w:val="00D36AD7"/>
    <w:rsid w:val="00D36FA6"/>
    <w:rsid w:val="00D36FFA"/>
    <w:rsid w:val="00D37004"/>
    <w:rsid w:val="00D3776A"/>
    <w:rsid w:val="00D379B4"/>
    <w:rsid w:val="00D37E6B"/>
    <w:rsid w:val="00D37F0F"/>
    <w:rsid w:val="00D4056B"/>
    <w:rsid w:val="00D4097B"/>
    <w:rsid w:val="00D40CC6"/>
    <w:rsid w:val="00D4105F"/>
    <w:rsid w:val="00D41196"/>
    <w:rsid w:val="00D414D2"/>
    <w:rsid w:val="00D41695"/>
    <w:rsid w:val="00D416DF"/>
    <w:rsid w:val="00D42000"/>
    <w:rsid w:val="00D4279A"/>
    <w:rsid w:val="00D427CE"/>
    <w:rsid w:val="00D430BF"/>
    <w:rsid w:val="00D43CB2"/>
    <w:rsid w:val="00D442BF"/>
    <w:rsid w:val="00D44723"/>
    <w:rsid w:val="00D44C8A"/>
    <w:rsid w:val="00D44D94"/>
    <w:rsid w:val="00D45213"/>
    <w:rsid w:val="00D457C1"/>
    <w:rsid w:val="00D45A12"/>
    <w:rsid w:val="00D45A38"/>
    <w:rsid w:val="00D479B8"/>
    <w:rsid w:val="00D47D5A"/>
    <w:rsid w:val="00D500F4"/>
    <w:rsid w:val="00D50115"/>
    <w:rsid w:val="00D5026C"/>
    <w:rsid w:val="00D5047F"/>
    <w:rsid w:val="00D507CE"/>
    <w:rsid w:val="00D508D6"/>
    <w:rsid w:val="00D50C4A"/>
    <w:rsid w:val="00D50D11"/>
    <w:rsid w:val="00D50F83"/>
    <w:rsid w:val="00D51058"/>
    <w:rsid w:val="00D51344"/>
    <w:rsid w:val="00D51520"/>
    <w:rsid w:val="00D5152D"/>
    <w:rsid w:val="00D520DF"/>
    <w:rsid w:val="00D529B4"/>
    <w:rsid w:val="00D52CF2"/>
    <w:rsid w:val="00D52E3A"/>
    <w:rsid w:val="00D53679"/>
    <w:rsid w:val="00D53DC0"/>
    <w:rsid w:val="00D54432"/>
    <w:rsid w:val="00D547E0"/>
    <w:rsid w:val="00D54A3A"/>
    <w:rsid w:val="00D54C57"/>
    <w:rsid w:val="00D54D52"/>
    <w:rsid w:val="00D561E1"/>
    <w:rsid w:val="00D56655"/>
    <w:rsid w:val="00D5687C"/>
    <w:rsid w:val="00D56B63"/>
    <w:rsid w:val="00D578DE"/>
    <w:rsid w:val="00D57E56"/>
    <w:rsid w:val="00D602E3"/>
    <w:rsid w:val="00D60F11"/>
    <w:rsid w:val="00D61427"/>
    <w:rsid w:val="00D61587"/>
    <w:rsid w:val="00D6187E"/>
    <w:rsid w:val="00D61F25"/>
    <w:rsid w:val="00D627EF"/>
    <w:rsid w:val="00D62F9B"/>
    <w:rsid w:val="00D63171"/>
    <w:rsid w:val="00D63378"/>
    <w:rsid w:val="00D633AE"/>
    <w:rsid w:val="00D633E5"/>
    <w:rsid w:val="00D6357D"/>
    <w:rsid w:val="00D636C7"/>
    <w:rsid w:val="00D63BB6"/>
    <w:rsid w:val="00D63D85"/>
    <w:rsid w:val="00D63EF1"/>
    <w:rsid w:val="00D6457D"/>
    <w:rsid w:val="00D64877"/>
    <w:rsid w:val="00D64B2F"/>
    <w:rsid w:val="00D64FE4"/>
    <w:rsid w:val="00D65142"/>
    <w:rsid w:val="00D655E9"/>
    <w:rsid w:val="00D65879"/>
    <w:rsid w:val="00D65FE6"/>
    <w:rsid w:val="00D66390"/>
    <w:rsid w:val="00D668FD"/>
    <w:rsid w:val="00D67744"/>
    <w:rsid w:val="00D70321"/>
    <w:rsid w:val="00D709FE"/>
    <w:rsid w:val="00D70BB1"/>
    <w:rsid w:val="00D70EF9"/>
    <w:rsid w:val="00D71462"/>
    <w:rsid w:val="00D71A4F"/>
    <w:rsid w:val="00D71B8B"/>
    <w:rsid w:val="00D722F7"/>
    <w:rsid w:val="00D726DE"/>
    <w:rsid w:val="00D72A3F"/>
    <w:rsid w:val="00D72DEA"/>
    <w:rsid w:val="00D73215"/>
    <w:rsid w:val="00D737AB"/>
    <w:rsid w:val="00D73B6B"/>
    <w:rsid w:val="00D74615"/>
    <w:rsid w:val="00D7561B"/>
    <w:rsid w:val="00D75FE5"/>
    <w:rsid w:val="00D76394"/>
    <w:rsid w:val="00D76F89"/>
    <w:rsid w:val="00D76F8B"/>
    <w:rsid w:val="00D77188"/>
    <w:rsid w:val="00D77344"/>
    <w:rsid w:val="00D7737B"/>
    <w:rsid w:val="00D77400"/>
    <w:rsid w:val="00D77471"/>
    <w:rsid w:val="00D77E84"/>
    <w:rsid w:val="00D8026C"/>
    <w:rsid w:val="00D80FA1"/>
    <w:rsid w:val="00D81550"/>
    <w:rsid w:val="00D818C5"/>
    <w:rsid w:val="00D819D6"/>
    <w:rsid w:val="00D81DFF"/>
    <w:rsid w:val="00D820E6"/>
    <w:rsid w:val="00D821D3"/>
    <w:rsid w:val="00D82305"/>
    <w:rsid w:val="00D82625"/>
    <w:rsid w:val="00D82B41"/>
    <w:rsid w:val="00D82C5F"/>
    <w:rsid w:val="00D838D6"/>
    <w:rsid w:val="00D83A17"/>
    <w:rsid w:val="00D83A3E"/>
    <w:rsid w:val="00D841AE"/>
    <w:rsid w:val="00D8438F"/>
    <w:rsid w:val="00D8562B"/>
    <w:rsid w:val="00D8563E"/>
    <w:rsid w:val="00D85E1A"/>
    <w:rsid w:val="00D85E35"/>
    <w:rsid w:val="00D860A4"/>
    <w:rsid w:val="00D86411"/>
    <w:rsid w:val="00D86A42"/>
    <w:rsid w:val="00D8773C"/>
    <w:rsid w:val="00D879C3"/>
    <w:rsid w:val="00D87DA9"/>
    <w:rsid w:val="00D90074"/>
    <w:rsid w:val="00D9040E"/>
    <w:rsid w:val="00D91496"/>
    <w:rsid w:val="00D91B04"/>
    <w:rsid w:val="00D91E4F"/>
    <w:rsid w:val="00D92394"/>
    <w:rsid w:val="00D928EB"/>
    <w:rsid w:val="00D92CA4"/>
    <w:rsid w:val="00D92D9F"/>
    <w:rsid w:val="00D92EDE"/>
    <w:rsid w:val="00D92F68"/>
    <w:rsid w:val="00D938E8"/>
    <w:rsid w:val="00D93E0B"/>
    <w:rsid w:val="00D9426C"/>
    <w:rsid w:val="00D95A68"/>
    <w:rsid w:val="00D95B02"/>
    <w:rsid w:val="00D96973"/>
    <w:rsid w:val="00D96984"/>
    <w:rsid w:val="00D9737D"/>
    <w:rsid w:val="00D976F7"/>
    <w:rsid w:val="00D97987"/>
    <w:rsid w:val="00D97A08"/>
    <w:rsid w:val="00D97CD7"/>
    <w:rsid w:val="00D97D0E"/>
    <w:rsid w:val="00D97EAD"/>
    <w:rsid w:val="00DA06FC"/>
    <w:rsid w:val="00DA0FA0"/>
    <w:rsid w:val="00DA0FD6"/>
    <w:rsid w:val="00DA13D1"/>
    <w:rsid w:val="00DA18E9"/>
    <w:rsid w:val="00DA1B5C"/>
    <w:rsid w:val="00DA2422"/>
    <w:rsid w:val="00DA248C"/>
    <w:rsid w:val="00DA2A95"/>
    <w:rsid w:val="00DA2B4E"/>
    <w:rsid w:val="00DA3300"/>
    <w:rsid w:val="00DA355F"/>
    <w:rsid w:val="00DA3ACC"/>
    <w:rsid w:val="00DA3E16"/>
    <w:rsid w:val="00DA43F6"/>
    <w:rsid w:val="00DA47C6"/>
    <w:rsid w:val="00DA581D"/>
    <w:rsid w:val="00DA59F5"/>
    <w:rsid w:val="00DA5B6A"/>
    <w:rsid w:val="00DA625F"/>
    <w:rsid w:val="00DA6503"/>
    <w:rsid w:val="00DA7A7C"/>
    <w:rsid w:val="00DA7ACC"/>
    <w:rsid w:val="00DA7B11"/>
    <w:rsid w:val="00DA7C89"/>
    <w:rsid w:val="00DB0331"/>
    <w:rsid w:val="00DB07B4"/>
    <w:rsid w:val="00DB08E0"/>
    <w:rsid w:val="00DB0BAC"/>
    <w:rsid w:val="00DB0E4A"/>
    <w:rsid w:val="00DB1187"/>
    <w:rsid w:val="00DB1C14"/>
    <w:rsid w:val="00DB20A6"/>
    <w:rsid w:val="00DB2405"/>
    <w:rsid w:val="00DB2583"/>
    <w:rsid w:val="00DB2986"/>
    <w:rsid w:val="00DB2C8D"/>
    <w:rsid w:val="00DB372F"/>
    <w:rsid w:val="00DB3A93"/>
    <w:rsid w:val="00DB3A9B"/>
    <w:rsid w:val="00DB3B58"/>
    <w:rsid w:val="00DB3BD9"/>
    <w:rsid w:val="00DB3E77"/>
    <w:rsid w:val="00DB421C"/>
    <w:rsid w:val="00DB46B8"/>
    <w:rsid w:val="00DB4EA0"/>
    <w:rsid w:val="00DB5801"/>
    <w:rsid w:val="00DB5B43"/>
    <w:rsid w:val="00DB6B0A"/>
    <w:rsid w:val="00DC0180"/>
    <w:rsid w:val="00DC0835"/>
    <w:rsid w:val="00DC1326"/>
    <w:rsid w:val="00DC1746"/>
    <w:rsid w:val="00DC1A30"/>
    <w:rsid w:val="00DC227B"/>
    <w:rsid w:val="00DC3526"/>
    <w:rsid w:val="00DC362B"/>
    <w:rsid w:val="00DC388E"/>
    <w:rsid w:val="00DC3D3F"/>
    <w:rsid w:val="00DC4018"/>
    <w:rsid w:val="00DC4E5F"/>
    <w:rsid w:val="00DC66EC"/>
    <w:rsid w:val="00DC6E30"/>
    <w:rsid w:val="00DC769C"/>
    <w:rsid w:val="00DC7C15"/>
    <w:rsid w:val="00DD03BC"/>
    <w:rsid w:val="00DD0832"/>
    <w:rsid w:val="00DD10B0"/>
    <w:rsid w:val="00DD11B8"/>
    <w:rsid w:val="00DD16FE"/>
    <w:rsid w:val="00DD2681"/>
    <w:rsid w:val="00DD2696"/>
    <w:rsid w:val="00DD2750"/>
    <w:rsid w:val="00DD29AF"/>
    <w:rsid w:val="00DD4AB4"/>
    <w:rsid w:val="00DD4ED7"/>
    <w:rsid w:val="00DD5344"/>
    <w:rsid w:val="00DD5C93"/>
    <w:rsid w:val="00DD5E30"/>
    <w:rsid w:val="00DD5ED7"/>
    <w:rsid w:val="00DD60EE"/>
    <w:rsid w:val="00DD6116"/>
    <w:rsid w:val="00DD61EE"/>
    <w:rsid w:val="00DD651D"/>
    <w:rsid w:val="00DD66EC"/>
    <w:rsid w:val="00DD67E9"/>
    <w:rsid w:val="00DD74B0"/>
    <w:rsid w:val="00DD7B81"/>
    <w:rsid w:val="00DE043A"/>
    <w:rsid w:val="00DE09BA"/>
    <w:rsid w:val="00DE1026"/>
    <w:rsid w:val="00DE155A"/>
    <w:rsid w:val="00DE189D"/>
    <w:rsid w:val="00DE1E61"/>
    <w:rsid w:val="00DE2078"/>
    <w:rsid w:val="00DE26F0"/>
    <w:rsid w:val="00DE352C"/>
    <w:rsid w:val="00DE38FD"/>
    <w:rsid w:val="00DE3AE9"/>
    <w:rsid w:val="00DE3E3A"/>
    <w:rsid w:val="00DE407B"/>
    <w:rsid w:val="00DE43E0"/>
    <w:rsid w:val="00DE47E8"/>
    <w:rsid w:val="00DE4856"/>
    <w:rsid w:val="00DE4D8A"/>
    <w:rsid w:val="00DE5A40"/>
    <w:rsid w:val="00DE66DE"/>
    <w:rsid w:val="00DE67F8"/>
    <w:rsid w:val="00DE6A1D"/>
    <w:rsid w:val="00DE6D1B"/>
    <w:rsid w:val="00DE6D52"/>
    <w:rsid w:val="00DE745F"/>
    <w:rsid w:val="00DF03FB"/>
    <w:rsid w:val="00DF050A"/>
    <w:rsid w:val="00DF0DBD"/>
    <w:rsid w:val="00DF0E87"/>
    <w:rsid w:val="00DF16B8"/>
    <w:rsid w:val="00DF1747"/>
    <w:rsid w:val="00DF1B7D"/>
    <w:rsid w:val="00DF1E45"/>
    <w:rsid w:val="00DF27BF"/>
    <w:rsid w:val="00DF375C"/>
    <w:rsid w:val="00DF4295"/>
    <w:rsid w:val="00DF44CF"/>
    <w:rsid w:val="00DF4626"/>
    <w:rsid w:val="00DF4ABA"/>
    <w:rsid w:val="00DF4B73"/>
    <w:rsid w:val="00DF53A6"/>
    <w:rsid w:val="00DF55AF"/>
    <w:rsid w:val="00DF5F75"/>
    <w:rsid w:val="00DF61D2"/>
    <w:rsid w:val="00DF6472"/>
    <w:rsid w:val="00DF7142"/>
    <w:rsid w:val="00DF777D"/>
    <w:rsid w:val="00E0016D"/>
    <w:rsid w:val="00E006A3"/>
    <w:rsid w:val="00E0106B"/>
    <w:rsid w:val="00E01857"/>
    <w:rsid w:val="00E0252A"/>
    <w:rsid w:val="00E0283D"/>
    <w:rsid w:val="00E0313C"/>
    <w:rsid w:val="00E0323B"/>
    <w:rsid w:val="00E036BD"/>
    <w:rsid w:val="00E0386A"/>
    <w:rsid w:val="00E03DC5"/>
    <w:rsid w:val="00E04249"/>
    <w:rsid w:val="00E04341"/>
    <w:rsid w:val="00E04509"/>
    <w:rsid w:val="00E04967"/>
    <w:rsid w:val="00E04972"/>
    <w:rsid w:val="00E04CE2"/>
    <w:rsid w:val="00E05371"/>
    <w:rsid w:val="00E057A3"/>
    <w:rsid w:val="00E05C33"/>
    <w:rsid w:val="00E05C8D"/>
    <w:rsid w:val="00E05D82"/>
    <w:rsid w:val="00E06F11"/>
    <w:rsid w:val="00E07258"/>
    <w:rsid w:val="00E074F9"/>
    <w:rsid w:val="00E078B8"/>
    <w:rsid w:val="00E10D36"/>
    <w:rsid w:val="00E10EB5"/>
    <w:rsid w:val="00E10F84"/>
    <w:rsid w:val="00E10FBE"/>
    <w:rsid w:val="00E113BD"/>
    <w:rsid w:val="00E1147A"/>
    <w:rsid w:val="00E11D87"/>
    <w:rsid w:val="00E128DB"/>
    <w:rsid w:val="00E1290D"/>
    <w:rsid w:val="00E12923"/>
    <w:rsid w:val="00E1327D"/>
    <w:rsid w:val="00E13401"/>
    <w:rsid w:val="00E13AE0"/>
    <w:rsid w:val="00E13D85"/>
    <w:rsid w:val="00E144DE"/>
    <w:rsid w:val="00E14B69"/>
    <w:rsid w:val="00E14EAA"/>
    <w:rsid w:val="00E1541B"/>
    <w:rsid w:val="00E15754"/>
    <w:rsid w:val="00E15BC6"/>
    <w:rsid w:val="00E15FE8"/>
    <w:rsid w:val="00E161BD"/>
    <w:rsid w:val="00E16D82"/>
    <w:rsid w:val="00E202AC"/>
    <w:rsid w:val="00E202B2"/>
    <w:rsid w:val="00E21015"/>
    <w:rsid w:val="00E21E91"/>
    <w:rsid w:val="00E231BA"/>
    <w:rsid w:val="00E232FB"/>
    <w:rsid w:val="00E2336E"/>
    <w:rsid w:val="00E23FA5"/>
    <w:rsid w:val="00E242D4"/>
    <w:rsid w:val="00E24C6F"/>
    <w:rsid w:val="00E2799D"/>
    <w:rsid w:val="00E279C0"/>
    <w:rsid w:val="00E27B5D"/>
    <w:rsid w:val="00E27BE6"/>
    <w:rsid w:val="00E30561"/>
    <w:rsid w:val="00E315DB"/>
    <w:rsid w:val="00E31DF4"/>
    <w:rsid w:val="00E31F0F"/>
    <w:rsid w:val="00E322A4"/>
    <w:rsid w:val="00E32826"/>
    <w:rsid w:val="00E331D3"/>
    <w:rsid w:val="00E3332D"/>
    <w:rsid w:val="00E334C2"/>
    <w:rsid w:val="00E3465B"/>
    <w:rsid w:val="00E351B8"/>
    <w:rsid w:val="00E35703"/>
    <w:rsid w:val="00E361A9"/>
    <w:rsid w:val="00E364C3"/>
    <w:rsid w:val="00E371A9"/>
    <w:rsid w:val="00E37351"/>
    <w:rsid w:val="00E3744F"/>
    <w:rsid w:val="00E374CB"/>
    <w:rsid w:val="00E37724"/>
    <w:rsid w:val="00E37D46"/>
    <w:rsid w:val="00E37DB4"/>
    <w:rsid w:val="00E4008B"/>
    <w:rsid w:val="00E40296"/>
    <w:rsid w:val="00E403E7"/>
    <w:rsid w:val="00E41413"/>
    <w:rsid w:val="00E415CB"/>
    <w:rsid w:val="00E41D23"/>
    <w:rsid w:val="00E41DE3"/>
    <w:rsid w:val="00E426B6"/>
    <w:rsid w:val="00E4271F"/>
    <w:rsid w:val="00E433C7"/>
    <w:rsid w:val="00E434A4"/>
    <w:rsid w:val="00E435F8"/>
    <w:rsid w:val="00E439E0"/>
    <w:rsid w:val="00E43AD8"/>
    <w:rsid w:val="00E43B61"/>
    <w:rsid w:val="00E43DF7"/>
    <w:rsid w:val="00E44668"/>
    <w:rsid w:val="00E44C43"/>
    <w:rsid w:val="00E4518B"/>
    <w:rsid w:val="00E455C1"/>
    <w:rsid w:val="00E45796"/>
    <w:rsid w:val="00E45AC6"/>
    <w:rsid w:val="00E45C09"/>
    <w:rsid w:val="00E45FEE"/>
    <w:rsid w:val="00E460D5"/>
    <w:rsid w:val="00E46DAF"/>
    <w:rsid w:val="00E46F10"/>
    <w:rsid w:val="00E50356"/>
    <w:rsid w:val="00E507B2"/>
    <w:rsid w:val="00E51302"/>
    <w:rsid w:val="00E5177E"/>
    <w:rsid w:val="00E5186A"/>
    <w:rsid w:val="00E51FE7"/>
    <w:rsid w:val="00E520AC"/>
    <w:rsid w:val="00E529BF"/>
    <w:rsid w:val="00E5370A"/>
    <w:rsid w:val="00E53DC6"/>
    <w:rsid w:val="00E541E0"/>
    <w:rsid w:val="00E5426D"/>
    <w:rsid w:val="00E543E6"/>
    <w:rsid w:val="00E54BC6"/>
    <w:rsid w:val="00E54DB9"/>
    <w:rsid w:val="00E54E8F"/>
    <w:rsid w:val="00E555D9"/>
    <w:rsid w:val="00E55A6F"/>
    <w:rsid w:val="00E55B19"/>
    <w:rsid w:val="00E55C4B"/>
    <w:rsid w:val="00E564DB"/>
    <w:rsid w:val="00E5653A"/>
    <w:rsid w:val="00E568D6"/>
    <w:rsid w:val="00E56CAE"/>
    <w:rsid w:val="00E5753E"/>
    <w:rsid w:val="00E6022F"/>
    <w:rsid w:val="00E61106"/>
    <w:rsid w:val="00E61259"/>
    <w:rsid w:val="00E61332"/>
    <w:rsid w:val="00E61381"/>
    <w:rsid w:val="00E61603"/>
    <w:rsid w:val="00E6199B"/>
    <w:rsid w:val="00E62C45"/>
    <w:rsid w:val="00E638A7"/>
    <w:rsid w:val="00E63D9F"/>
    <w:rsid w:val="00E646C4"/>
    <w:rsid w:val="00E656BC"/>
    <w:rsid w:val="00E65999"/>
    <w:rsid w:val="00E65F44"/>
    <w:rsid w:val="00E661E3"/>
    <w:rsid w:val="00E66297"/>
    <w:rsid w:val="00E66981"/>
    <w:rsid w:val="00E67658"/>
    <w:rsid w:val="00E679BD"/>
    <w:rsid w:val="00E67C91"/>
    <w:rsid w:val="00E67E7C"/>
    <w:rsid w:val="00E702A8"/>
    <w:rsid w:val="00E70355"/>
    <w:rsid w:val="00E70879"/>
    <w:rsid w:val="00E70D89"/>
    <w:rsid w:val="00E7149E"/>
    <w:rsid w:val="00E7175D"/>
    <w:rsid w:val="00E71810"/>
    <w:rsid w:val="00E72C65"/>
    <w:rsid w:val="00E7320D"/>
    <w:rsid w:val="00E73D77"/>
    <w:rsid w:val="00E7435C"/>
    <w:rsid w:val="00E7468C"/>
    <w:rsid w:val="00E74737"/>
    <w:rsid w:val="00E74D88"/>
    <w:rsid w:val="00E74F1E"/>
    <w:rsid w:val="00E7522A"/>
    <w:rsid w:val="00E7526D"/>
    <w:rsid w:val="00E75307"/>
    <w:rsid w:val="00E754A0"/>
    <w:rsid w:val="00E755C0"/>
    <w:rsid w:val="00E7565A"/>
    <w:rsid w:val="00E75C01"/>
    <w:rsid w:val="00E75C83"/>
    <w:rsid w:val="00E75D48"/>
    <w:rsid w:val="00E75DC6"/>
    <w:rsid w:val="00E75F9A"/>
    <w:rsid w:val="00E76B41"/>
    <w:rsid w:val="00E76E5C"/>
    <w:rsid w:val="00E77187"/>
    <w:rsid w:val="00E7735B"/>
    <w:rsid w:val="00E7750C"/>
    <w:rsid w:val="00E779E9"/>
    <w:rsid w:val="00E80B75"/>
    <w:rsid w:val="00E80E20"/>
    <w:rsid w:val="00E80EDB"/>
    <w:rsid w:val="00E82344"/>
    <w:rsid w:val="00E844C7"/>
    <w:rsid w:val="00E84898"/>
    <w:rsid w:val="00E84916"/>
    <w:rsid w:val="00E849B4"/>
    <w:rsid w:val="00E849F6"/>
    <w:rsid w:val="00E85124"/>
    <w:rsid w:val="00E85D60"/>
    <w:rsid w:val="00E85E18"/>
    <w:rsid w:val="00E85EE7"/>
    <w:rsid w:val="00E85F42"/>
    <w:rsid w:val="00E863AF"/>
    <w:rsid w:val="00E865AA"/>
    <w:rsid w:val="00E868A0"/>
    <w:rsid w:val="00E86998"/>
    <w:rsid w:val="00E86A4E"/>
    <w:rsid w:val="00E86B74"/>
    <w:rsid w:val="00E875B3"/>
    <w:rsid w:val="00E87646"/>
    <w:rsid w:val="00E87726"/>
    <w:rsid w:val="00E87AA2"/>
    <w:rsid w:val="00E87CB7"/>
    <w:rsid w:val="00E90579"/>
    <w:rsid w:val="00E907B2"/>
    <w:rsid w:val="00E90F69"/>
    <w:rsid w:val="00E9104F"/>
    <w:rsid w:val="00E91811"/>
    <w:rsid w:val="00E921E0"/>
    <w:rsid w:val="00E92AE0"/>
    <w:rsid w:val="00E92B27"/>
    <w:rsid w:val="00E93404"/>
    <w:rsid w:val="00E94838"/>
    <w:rsid w:val="00E95073"/>
    <w:rsid w:val="00E9597E"/>
    <w:rsid w:val="00E95EBC"/>
    <w:rsid w:val="00E96048"/>
    <w:rsid w:val="00E96509"/>
    <w:rsid w:val="00E96677"/>
    <w:rsid w:val="00E967B7"/>
    <w:rsid w:val="00E96B79"/>
    <w:rsid w:val="00E9741E"/>
    <w:rsid w:val="00E97EFF"/>
    <w:rsid w:val="00EA027F"/>
    <w:rsid w:val="00EA047B"/>
    <w:rsid w:val="00EA06A7"/>
    <w:rsid w:val="00EA08FC"/>
    <w:rsid w:val="00EA1878"/>
    <w:rsid w:val="00EA195C"/>
    <w:rsid w:val="00EA1A25"/>
    <w:rsid w:val="00EA20D2"/>
    <w:rsid w:val="00EA21FA"/>
    <w:rsid w:val="00EA2937"/>
    <w:rsid w:val="00EA3BCE"/>
    <w:rsid w:val="00EA3FA1"/>
    <w:rsid w:val="00EA42B0"/>
    <w:rsid w:val="00EA448C"/>
    <w:rsid w:val="00EA4773"/>
    <w:rsid w:val="00EA4AAF"/>
    <w:rsid w:val="00EA5020"/>
    <w:rsid w:val="00EA5990"/>
    <w:rsid w:val="00EA5D8A"/>
    <w:rsid w:val="00EA60F4"/>
    <w:rsid w:val="00EA63E6"/>
    <w:rsid w:val="00EA6401"/>
    <w:rsid w:val="00EA66B7"/>
    <w:rsid w:val="00EA6725"/>
    <w:rsid w:val="00EA731D"/>
    <w:rsid w:val="00EA734D"/>
    <w:rsid w:val="00EA779E"/>
    <w:rsid w:val="00EA7D15"/>
    <w:rsid w:val="00EA7E2C"/>
    <w:rsid w:val="00EA7FDA"/>
    <w:rsid w:val="00EB0337"/>
    <w:rsid w:val="00EB06F2"/>
    <w:rsid w:val="00EB116D"/>
    <w:rsid w:val="00EB1917"/>
    <w:rsid w:val="00EB1932"/>
    <w:rsid w:val="00EB22CE"/>
    <w:rsid w:val="00EB2675"/>
    <w:rsid w:val="00EB2C6F"/>
    <w:rsid w:val="00EB32D4"/>
    <w:rsid w:val="00EB336E"/>
    <w:rsid w:val="00EB3665"/>
    <w:rsid w:val="00EB36D1"/>
    <w:rsid w:val="00EB3992"/>
    <w:rsid w:val="00EB3FDB"/>
    <w:rsid w:val="00EB4135"/>
    <w:rsid w:val="00EB4424"/>
    <w:rsid w:val="00EB4A85"/>
    <w:rsid w:val="00EB4B42"/>
    <w:rsid w:val="00EB4E91"/>
    <w:rsid w:val="00EB5162"/>
    <w:rsid w:val="00EB521E"/>
    <w:rsid w:val="00EB60EC"/>
    <w:rsid w:val="00EB673F"/>
    <w:rsid w:val="00EB686E"/>
    <w:rsid w:val="00EB71BF"/>
    <w:rsid w:val="00EB733C"/>
    <w:rsid w:val="00EB7634"/>
    <w:rsid w:val="00EB7B9C"/>
    <w:rsid w:val="00EB7F9C"/>
    <w:rsid w:val="00EC0728"/>
    <w:rsid w:val="00EC1500"/>
    <w:rsid w:val="00EC1557"/>
    <w:rsid w:val="00EC221F"/>
    <w:rsid w:val="00EC25D7"/>
    <w:rsid w:val="00EC282D"/>
    <w:rsid w:val="00EC3153"/>
    <w:rsid w:val="00EC3818"/>
    <w:rsid w:val="00EC3E2B"/>
    <w:rsid w:val="00EC4600"/>
    <w:rsid w:val="00EC4B6B"/>
    <w:rsid w:val="00EC4E01"/>
    <w:rsid w:val="00EC523A"/>
    <w:rsid w:val="00EC5AB7"/>
    <w:rsid w:val="00EC5E34"/>
    <w:rsid w:val="00EC6315"/>
    <w:rsid w:val="00EC6683"/>
    <w:rsid w:val="00EC68EC"/>
    <w:rsid w:val="00EC70E4"/>
    <w:rsid w:val="00EC79BC"/>
    <w:rsid w:val="00EC79FC"/>
    <w:rsid w:val="00ED0313"/>
    <w:rsid w:val="00ED06BB"/>
    <w:rsid w:val="00ED0B6C"/>
    <w:rsid w:val="00ED0C64"/>
    <w:rsid w:val="00ED101E"/>
    <w:rsid w:val="00ED1341"/>
    <w:rsid w:val="00ED169A"/>
    <w:rsid w:val="00ED1945"/>
    <w:rsid w:val="00ED20A1"/>
    <w:rsid w:val="00ED20ED"/>
    <w:rsid w:val="00ED20FA"/>
    <w:rsid w:val="00ED2286"/>
    <w:rsid w:val="00ED2313"/>
    <w:rsid w:val="00ED293D"/>
    <w:rsid w:val="00ED2949"/>
    <w:rsid w:val="00ED30C0"/>
    <w:rsid w:val="00ED355E"/>
    <w:rsid w:val="00ED3679"/>
    <w:rsid w:val="00ED392A"/>
    <w:rsid w:val="00ED3D91"/>
    <w:rsid w:val="00ED465D"/>
    <w:rsid w:val="00ED48A3"/>
    <w:rsid w:val="00ED49EA"/>
    <w:rsid w:val="00ED4B9D"/>
    <w:rsid w:val="00ED56EF"/>
    <w:rsid w:val="00ED5BC6"/>
    <w:rsid w:val="00ED604B"/>
    <w:rsid w:val="00ED66A8"/>
    <w:rsid w:val="00ED6EC4"/>
    <w:rsid w:val="00ED71C1"/>
    <w:rsid w:val="00ED7741"/>
    <w:rsid w:val="00ED7BEF"/>
    <w:rsid w:val="00EE0418"/>
    <w:rsid w:val="00EE08A6"/>
    <w:rsid w:val="00EE0B21"/>
    <w:rsid w:val="00EE1512"/>
    <w:rsid w:val="00EE1E26"/>
    <w:rsid w:val="00EE20DF"/>
    <w:rsid w:val="00EE2585"/>
    <w:rsid w:val="00EE2942"/>
    <w:rsid w:val="00EE3558"/>
    <w:rsid w:val="00EE3870"/>
    <w:rsid w:val="00EE4F4A"/>
    <w:rsid w:val="00EE5A63"/>
    <w:rsid w:val="00EE6C31"/>
    <w:rsid w:val="00EE6DEA"/>
    <w:rsid w:val="00EE6E86"/>
    <w:rsid w:val="00EE6EF8"/>
    <w:rsid w:val="00EE75E7"/>
    <w:rsid w:val="00EE7622"/>
    <w:rsid w:val="00EF027C"/>
    <w:rsid w:val="00EF0485"/>
    <w:rsid w:val="00EF0799"/>
    <w:rsid w:val="00EF0880"/>
    <w:rsid w:val="00EF0932"/>
    <w:rsid w:val="00EF0E0B"/>
    <w:rsid w:val="00EF1C68"/>
    <w:rsid w:val="00EF2649"/>
    <w:rsid w:val="00EF26AF"/>
    <w:rsid w:val="00EF2F22"/>
    <w:rsid w:val="00EF2FC4"/>
    <w:rsid w:val="00EF4966"/>
    <w:rsid w:val="00EF4D2B"/>
    <w:rsid w:val="00EF4F0A"/>
    <w:rsid w:val="00EF5608"/>
    <w:rsid w:val="00EF5AC3"/>
    <w:rsid w:val="00EF6041"/>
    <w:rsid w:val="00EF6A83"/>
    <w:rsid w:val="00EF6B44"/>
    <w:rsid w:val="00EF6B46"/>
    <w:rsid w:val="00EF6E98"/>
    <w:rsid w:val="00EF740A"/>
    <w:rsid w:val="00EF792D"/>
    <w:rsid w:val="00F0048E"/>
    <w:rsid w:val="00F00C6F"/>
    <w:rsid w:val="00F01766"/>
    <w:rsid w:val="00F01777"/>
    <w:rsid w:val="00F02289"/>
    <w:rsid w:val="00F03078"/>
    <w:rsid w:val="00F031D9"/>
    <w:rsid w:val="00F03418"/>
    <w:rsid w:val="00F0342A"/>
    <w:rsid w:val="00F04C41"/>
    <w:rsid w:val="00F04D2F"/>
    <w:rsid w:val="00F05606"/>
    <w:rsid w:val="00F05B82"/>
    <w:rsid w:val="00F05E43"/>
    <w:rsid w:val="00F05F6C"/>
    <w:rsid w:val="00F062FE"/>
    <w:rsid w:val="00F066AD"/>
    <w:rsid w:val="00F06854"/>
    <w:rsid w:val="00F06D09"/>
    <w:rsid w:val="00F07825"/>
    <w:rsid w:val="00F07835"/>
    <w:rsid w:val="00F07E0A"/>
    <w:rsid w:val="00F07FAD"/>
    <w:rsid w:val="00F1002D"/>
    <w:rsid w:val="00F101B0"/>
    <w:rsid w:val="00F102B3"/>
    <w:rsid w:val="00F1052C"/>
    <w:rsid w:val="00F10A11"/>
    <w:rsid w:val="00F10AB6"/>
    <w:rsid w:val="00F10BC0"/>
    <w:rsid w:val="00F10FEA"/>
    <w:rsid w:val="00F12567"/>
    <w:rsid w:val="00F129D6"/>
    <w:rsid w:val="00F12B81"/>
    <w:rsid w:val="00F136EA"/>
    <w:rsid w:val="00F13B54"/>
    <w:rsid w:val="00F149D4"/>
    <w:rsid w:val="00F151EA"/>
    <w:rsid w:val="00F15C4C"/>
    <w:rsid w:val="00F15D2B"/>
    <w:rsid w:val="00F15EFB"/>
    <w:rsid w:val="00F1636C"/>
    <w:rsid w:val="00F16BDC"/>
    <w:rsid w:val="00F17117"/>
    <w:rsid w:val="00F171F2"/>
    <w:rsid w:val="00F2080D"/>
    <w:rsid w:val="00F212D6"/>
    <w:rsid w:val="00F216CF"/>
    <w:rsid w:val="00F21934"/>
    <w:rsid w:val="00F21C7D"/>
    <w:rsid w:val="00F23780"/>
    <w:rsid w:val="00F2424E"/>
    <w:rsid w:val="00F24E30"/>
    <w:rsid w:val="00F24E69"/>
    <w:rsid w:val="00F2537F"/>
    <w:rsid w:val="00F25924"/>
    <w:rsid w:val="00F25EB3"/>
    <w:rsid w:val="00F25EC9"/>
    <w:rsid w:val="00F2604E"/>
    <w:rsid w:val="00F26060"/>
    <w:rsid w:val="00F261DF"/>
    <w:rsid w:val="00F269AA"/>
    <w:rsid w:val="00F273B1"/>
    <w:rsid w:val="00F27DAB"/>
    <w:rsid w:val="00F27EF9"/>
    <w:rsid w:val="00F30200"/>
    <w:rsid w:val="00F303D2"/>
    <w:rsid w:val="00F30E1A"/>
    <w:rsid w:val="00F31226"/>
    <w:rsid w:val="00F319BC"/>
    <w:rsid w:val="00F31D2A"/>
    <w:rsid w:val="00F321C7"/>
    <w:rsid w:val="00F32A9B"/>
    <w:rsid w:val="00F33142"/>
    <w:rsid w:val="00F333B5"/>
    <w:rsid w:val="00F337CF"/>
    <w:rsid w:val="00F33B61"/>
    <w:rsid w:val="00F33FD2"/>
    <w:rsid w:val="00F3447B"/>
    <w:rsid w:val="00F34AA8"/>
    <w:rsid w:val="00F34F35"/>
    <w:rsid w:val="00F35708"/>
    <w:rsid w:val="00F357DA"/>
    <w:rsid w:val="00F3591A"/>
    <w:rsid w:val="00F3607F"/>
    <w:rsid w:val="00F36D05"/>
    <w:rsid w:val="00F377E1"/>
    <w:rsid w:val="00F37EA6"/>
    <w:rsid w:val="00F40222"/>
    <w:rsid w:val="00F40AEE"/>
    <w:rsid w:val="00F40B9A"/>
    <w:rsid w:val="00F40D41"/>
    <w:rsid w:val="00F414C9"/>
    <w:rsid w:val="00F4183E"/>
    <w:rsid w:val="00F41CF5"/>
    <w:rsid w:val="00F42424"/>
    <w:rsid w:val="00F426C9"/>
    <w:rsid w:val="00F42766"/>
    <w:rsid w:val="00F427B1"/>
    <w:rsid w:val="00F42852"/>
    <w:rsid w:val="00F43E9C"/>
    <w:rsid w:val="00F43F20"/>
    <w:rsid w:val="00F44E6F"/>
    <w:rsid w:val="00F45547"/>
    <w:rsid w:val="00F45838"/>
    <w:rsid w:val="00F45DE9"/>
    <w:rsid w:val="00F46F32"/>
    <w:rsid w:val="00F47268"/>
    <w:rsid w:val="00F47301"/>
    <w:rsid w:val="00F4777C"/>
    <w:rsid w:val="00F4797D"/>
    <w:rsid w:val="00F5019A"/>
    <w:rsid w:val="00F50420"/>
    <w:rsid w:val="00F50ACF"/>
    <w:rsid w:val="00F50C8B"/>
    <w:rsid w:val="00F50EC2"/>
    <w:rsid w:val="00F518EB"/>
    <w:rsid w:val="00F525D5"/>
    <w:rsid w:val="00F539D8"/>
    <w:rsid w:val="00F53D5C"/>
    <w:rsid w:val="00F5488A"/>
    <w:rsid w:val="00F54E0D"/>
    <w:rsid w:val="00F54F61"/>
    <w:rsid w:val="00F552CF"/>
    <w:rsid w:val="00F55BB4"/>
    <w:rsid w:val="00F55CAF"/>
    <w:rsid w:val="00F5648F"/>
    <w:rsid w:val="00F56491"/>
    <w:rsid w:val="00F564B2"/>
    <w:rsid w:val="00F564D3"/>
    <w:rsid w:val="00F565E3"/>
    <w:rsid w:val="00F56A3B"/>
    <w:rsid w:val="00F57788"/>
    <w:rsid w:val="00F57801"/>
    <w:rsid w:val="00F57869"/>
    <w:rsid w:val="00F57A92"/>
    <w:rsid w:val="00F57AE6"/>
    <w:rsid w:val="00F57C47"/>
    <w:rsid w:val="00F608B8"/>
    <w:rsid w:val="00F60F4A"/>
    <w:rsid w:val="00F60F67"/>
    <w:rsid w:val="00F61090"/>
    <w:rsid w:val="00F613A5"/>
    <w:rsid w:val="00F61EFF"/>
    <w:rsid w:val="00F62126"/>
    <w:rsid w:val="00F62576"/>
    <w:rsid w:val="00F628E2"/>
    <w:rsid w:val="00F63866"/>
    <w:rsid w:val="00F638EC"/>
    <w:rsid w:val="00F63DF4"/>
    <w:rsid w:val="00F63F61"/>
    <w:rsid w:val="00F64144"/>
    <w:rsid w:val="00F649C0"/>
    <w:rsid w:val="00F64A49"/>
    <w:rsid w:val="00F64B20"/>
    <w:rsid w:val="00F6530E"/>
    <w:rsid w:val="00F654C5"/>
    <w:rsid w:val="00F65C49"/>
    <w:rsid w:val="00F663CF"/>
    <w:rsid w:val="00F665AE"/>
    <w:rsid w:val="00F66614"/>
    <w:rsid w:val="00F6720D"/>
    <w:rsid w:val="00F6749C"/>
    <w:rsid w:val="00F6766A"/>
    <w:rsid w:val="00F6791F"/>
    <w:rsid w:val="00F70788"/>
    <w:rsid w:val="00F70852"/>
    <w:rsid w:val="00F708DF"/>
    <w:rsid w:val="00F70D1F"/>
    <w:rsid w:val="00F71898"/>
    <w:rsid w:val="00F72632"/>
    <w:rsid w:val="00F72E54"/>
    <w:rsid w:val="00F733DB"/>
    <w:rsid w:val="00F73402"/>
    <w:rsid w:val="00F7384E"/>
    <w:rsid w:val="00F739FA"/>
    <w:rsid w:val="00F74080"/>
    <w:rsid w:val="00F7445B"/>
    <w:rsid w:val="00F74470"/>
    <w:rsid w:val="00F74784"/>
    <w:rsid w:val="00F74AFB"/>
    <w:rsid w:val="00F75225"/>
    <w:rsid w:val="00F75FAC"/>
    <w:rsid w:val="00F76133"/>
    <w:rsid w:val="00F761BA"/>
    <w:rsid w:val="00F7693F"/>
    <w:rsid w:val="00F77924"/>
    <w:rsid w:val="00F8023C"/>
    <w:rsid w:val="00F80AEF"/>
    <w:rsid w:val="00F810FF"/>
    <w:rsid w:val="00F8145A"/>
    <w:rsid w:val="00F82163"/>
    <w:rsid w:val="00F82694"/>
    <w:rsid w:val="00F827C0"/>
    <w:rsid w:val="00F82835"/>
    <w:rsid w:val="00F8315C"/>
    <w:rsid w:val="00F836D2"/>
    <w:rsid w:val="00F83B48"/>
    <w:rsid w:val="00F844BF"/>
    <w:rsid w:val="00F8496B"/>
    <w:rsid w:val="00F84B04"/>
    <w:rsid w:val="00F857A6"/>
    <w:rsid w:val="00F857BA"/>
    <w:rsid w:val="00F85D7A"/>
    <w:rsid w:val="00F85DB6"/>
    <w:rsid w:val="00F861D1"/>
    <w:rsid w:val="00F8720F"/>
    <w:rsid w:val="00F875AD"/>
    <w:rsid w:val="00F876C7"/>
    <w:rsid w:val="00F87B52"/>
    <w:rsid w:val="00F87EBF"/>
    <w:rsid w:val="00F90059"/>
    <w:rsid w:val="00F903BD"/>
    <w:rsid w:val="00F90671"/>
    <w:rsid w:val="00F90D4C"/>
    <w:rsid w:val="00F90E1E"/>
    <w:rsid w:val="00F9175B"/>
    <w:rsid w:val="00F91BDD"/>
    <w:rsid w:val="00F91D1D"/>
    <w:rsid w:val="00F91E28"/>
    <w:rsid w:val="00F91E5B"/>
    <w:rsid w:val="00F923DB"/>
    <w:rsid w:val="00F92978"/>
    <w:rsid w:val="00F92B7E"/>
    <w:rsid w:val="00F931CC"/>
    <w:rsid w:val="00F93569"/>
    <w:rsid w:val="00F940A9"/>
    <w:rsid w:val="00F945EF"/>
    <w:rsid w:val="00F9598D"/>
    <w:rsid w:val="00F95A36"/>
    <w:rsid w:val="00F95BD0"/>
    <w:rsid w:val="00F95EAC"/>
    <w:rsid w:val="00F95EEB"/>
    <w:rsid w:val="00F96749"/>
    <w:rsid w:val="00F9691C"/>
    <w:rsid w:val="00F97920"/>
    <w:rsid w:val="00F979B3"/>
    <w:rsid w:val="00F97CF0"/>
    <w:rsid w:val="00F97D96"/>
    <w:rsid w:val="00FA0AA1"/>
    <w:rsid w:val="00FA0AAE"/>
    <w:rsid w:val="00FA0F60"/>
    <w:rsid w:val="00FA1903"/>
    <w:rsid w:val="00FA22D6"/>
    <w:rsid w:val="00FA244A"/>
    <w:rsid w:val="00FA29DE"/>
    <w:rsid w:val="00FA34C7"/>
    <w:rsid w:val="00FA3745"/>
    <w:rsid w:val="00FA40A4"/>
    <w:rsid w:val="00FA4721"/>
    <w:rsid w:val="00FA4D3B"/>
    <w:rsid w:val="00FA5721"/>
    <w:rsid w:val="00FA66AF"/>
    <w:rsid w:val="00FA6818"/>
    <w:rsid w:val="00FA6928"/>
    <w:rsid w:val="00FA69AD"/>
    <w:rsid w:val="00FA7128"/>
    <w:rsid w:val="00FA7320"/>
    <w:rsid w:val="00FA77DD"/>
    <w:rsid w:val="00FA788F"/>
    <w:rsid w:val="00FB0755"/>
    <w:rsid w:val="00FB0B43"/>
    <w:rsid w:val="00FB0CC6"/>
    <w:rsid w:val="00FB0D6D"/>
    <w:rsid w:val="00FB158E"/>
    <w:rsid w:val="00FB15FF"/>
    <w:rsid w:val="00FB2139"/>
    <w:rsid w:val="00FB354E"/>
    <w:rsid w:val="00FB35F4"/>
    <w:rsid w:val="00FB36D2"/>
    <w:rsid w:val="00FB3B31"/>
    <w:rsid w:val="00FB3E9E"/>
    <w:rsid w:val="00FB3ED2"/>
    <w:rsid w:val="00FB4351"/>
    <w:rsid w:val="00FB4547"/>
    <w:rsid w:val="00FB4B95"/>
    <w:rsid w:val="00FB53A5"/>
    <w:rsid w:val="00FB5602"/>
    <w:rsid w:val="00FB5A47"/>
    <w:rsid w:val="00FB5E61"/>
    <w:rsid w:val="00FB661B"/>
    <w:rsid w:val="00FB6B9B"/>
    <w:rsid w:val="00FB6E8B"/>
    <w:rsid w:val="00FB72F2"/>
    <w:rsid w:val="00FB7EA1"/>
    <w:rsid w:val="00FC027F"/>
    <w:rsid w:val="00FC02D5"/>
    <w:rsid w:val="00FC0D62"/>
    <w:rsid w:val="00FC15E6"/>
    <w:rsid w:val="00FC19E7"/>
    <w:rsid w:val="00FC1A7D"/>
    <w:rsid w:val="00FC1CFB"/>
    <w:rsid w:val="00FC2BCC"/>
    <w:rsid w:val="00FC2FD3"/>
    <w:rsid w:val="00FC32F4"/>
    <w:rsid w:val="00FC359E"/>
    <w:rsid w:val="00FC3714"/>
    <w:rsid w:val="00FC3E8E"/>
    <w:rsid w:val="00FC4022"/>
    <w:rsid w:val="00FC446D"/>
    <w:rsid w:val="00FC4C37"/>
    <w:rsid w:val="00FC4C8C"/>
    <w:rsid w:val="00FC4C95"/>
    <w:rsid w:val="00FC50C2"/>
    <w:rsid w:val="00FC5107"/>
    <w:rsid w:val="00FC6083"/>
    <w:rsid w:val="00FC6569"/>
    <w:rsid w:val="00FC6A10"/>
    <w:rsid w:val="00FC6C17"/>
    <w:rsid w:val="00FC75CA"/>
    <w:rsid w:val="00FC777E"/>
    <w:rsid w:val="00FC7C05"/>
    <w:rsid w:val="00FD004B"/>
    <w:rsid w:val="00FD00BE"/>
    <w:rsid w:val="00FD0811"/>
    <w:rsid w:val="00FD1703"/>
    <w:rsid w:val="00FD1767"/>
    <w:rsid w:val="00FD18A1"/>
    <w:rsid w:val="00FD1CC9"/>
    <w:rsid w:val="00FD21AF"/>
    <w:rsid w:val="00FD2C03"/>
    <w:rsid w:val="00FD3024"/>
    <w:rsid w:val="00FD3819"/>
    <w:rsid w:val="00FD46BA"/>
    <w:rsid w:val="00FD4789"/>
    <w:rsid w:val="00FD4E90"/>
    <w:rsid w:val="00FD5110"/>
    <w:rsid w:val="00FD52F5"/>
    <w:rsid w:val="00FD59ED"/>
    <w:rsid w:val="00FD657E"/>
    <w:rsid w:val="00FD667B"/>
    <w:rsid w:val="00FD6756"/>
    <w:rsid w:val="00FD6778"/>
    <w:rsid w:val="00FD6D76"/>
    <w:rsid w:val="00FD6F83"/>
    <w:rsid w:val="00FD70FA"/>
    <w:rsid w:val="00FD73C7"/>
    <w:rsid w:val="00FD7AB0"/>
    <w:rsid w:val="00FE0B52"/>
    <w:rsid w:val="00FE10FB"/>
    <w:rsid w:val="00FE1250"/>
    <w:rsid w:val="00FE146E"/>
    <w:rsid w:val="00FE177D"/>
    <w:rsid w:val="00FE191B"/>
    <w:rsid w:val="00FE1C43"/>
    <w:rsid w:val="00FE1CBF"/>
    <w:rsid w:val="00FE212C"/>
    <w:rsid w:val="00FE214A"/>
    <w:rsid w:val="00FE247C"/>
    <w:rsid w:val="00FE2615"/>
    <w:rsid w:val="00FE2883"/>
    <w:rsid w:val="00FE32BD"/>
    <w:rsid w:val="00FE32C2"/>
    <w:rsid w:val="00FE39B5"/>
    <w:rsid w:val="00FE3B94"/>
    <w:rsid w:val="00FE3C11"/>
    <w:rsid w:val="00FE3CDB"/>
    <w:rsid w:val="00FE3D0D"/>
    <w:rsid w:val="00FE3D89"/>
    <w:rsid w:val="00FE549D"/>
    <w:rsid w:val="00FE58ED"/>
    <w:rsid w:val="00FE5B80"/>
    <w:rsid w:val="00FE6391"/>
    <w:rsid w:val="00FE697C"/>
    <w:rsid w:val="00FE6BDC"/>
    <w:rsid w:val="00FE773B"/>
    <w:rsid w:val="00FF0413"/>
    <w:rsid w:val="00FF060D"/>
    <w:rsid w:val="00FF09E4"/>
    <w:rsid w:val="00FF15F6"/>
    <w:rsid w:val="00FF16FF"/>
    <w:rsid w:val="00FF1F5B"/>
    <w:rsid w:val="00FF1FE9"/>
    <w:rsid w:val="00FF2021"/>
    <w:rsid w:val="00FF24A3"/>
    <w:rsid w:val="00FF26BC"/>
    <w:rsid w:val="00FF29B3"/>
    <w:rsid w:val="00FF2CBB"/>
    <w:rsid w:val="00FF2D8F"/>
    <w:rsid w:val="00FF2E7E"/>
    <w:rsid w:val="00FF350D"/>
    <w:rsid w:val="00FF4605"/>
    <w:rsid w:val="00FF4AEC"/>
    <w:rsid w:val="00FF4CDD"/>
    <w:rsid w:val="00FF552F"/>
    <w:rsid w:val="00FF591B"/>
    <w:rsid w:val="00FF5ABF"/>
    <w:rsid w:val="00FF5E68"/>
    <w:rsid w:val="00FF6092"/>
    <w:rsid w:val="00FF663C"/>
    <w:rsid w:val="00FF6C30"/>
    <w:rsid w:val="00FF744E"/>
    <w:rsid w:val="00FF7771"/>
    <w:rsid w:val="00FF7F21"/>
    <w:rsid w:val="010F7343"/>
    <w:rsid w:val="012F6822"/>
    <w:rsid w:val="01430B1A"/>
    <w:rsid w:val="017E0172"/>
    <w:rsid w:val="01AE1B4F"/>
    <w:rsid w:val="01B87C5B"/>
    <w:rsid w:val="01CF2F21"/>
    <w:rsid w:val="020F4B72"/>
    <w:rsid w:val="022F0C8A"/>
    <w:rsid w:val="023D3815"/>
    <w:rsid w:val="0241242E"/>
    <w:rsid w:val="02720E53"/>
    <w:rsid w:val="02C1301C"/>
    <w:rsid w:val="02C447F9"/>
    <w:rsid w:val="02EF4DF9"/>
    <w:rsid w:val="02F86C7C"/>
    <w:rsid w:val="02FF44F8"/>
    <w:rsid w:val="030222F3"/>
    <w:rsid w:val="0321716B"/>
    <w:rsid w:val="0350324B"/>
    <w:rsid w:val="036C52BA"/>
    <w:rsid w:val="03753C68"/>
    <w:rsid w:val="03BC2431"/>
    <w:rsid w:val="03D332D6"/>
    <w:rsid w:val="0460040F"/>
    <w:rsid w:val="04623E3F"/>
    <w:rsid w:val="04875F8E"/>
    <w:rsid w:val="04956F57"/>
    <w:rsid w:val="04A60E56"/>
    <w:rsid w:val="04D17C54"/>
    <w:rsid w:val="04D63CF3"/>
    <w:rsid w:val="04D7212D"/>
    <w:rsid w:val="04E9366C"/>
    <w:rsid w:val="050906BB"/>
    <w:rsid w:val="050D79C4"/>
    <w:rsid w:val="05104473"/>
    <w:rsid w:val="05364081"/>
    <w:rsid w:val="056E0D42"/>
    <w:rsid w:val="057E606F"/>
    <w:rsid w:val="05812443"/>
    <w:rsid w:val="05A827C4"/>
    <w:rsid w:val="05AB4C16"/>
    <w:rsid w:val="05C519E2"/>
    <w:rsid w:val="05D26985"/>
    <w:rsid w:val="05D845D4"/>
    <w:rsid w:val="05E05852"/>
    <w:rsid w:val="05E101E6"/>
    <w:rsid w:val="05E46175"/>
    <w:rsid w:val="064603BD"/>
    <w:rsid w:val="06716004"/>
    <w:rsid w:val="06726806"/>
    <w:rsid w:val="06791C60"/>
    <w:rsid w:val="068032BA"/>
    <w:rsid w:val="06BD5E51"/>
    <w:rsid w:val="072C6547"/>
    <w:rsid w:val="07316475"/>
    <w:rsid w:val="07651414"/>
    <w:rsid w:val="07684137"/>
    <w:rsid w:val="077D6A74"/>
    <w:rsid w:val="07BD54B4"/>
    <w:rsid w:val="07DB733B"/>
    <w:rsid w:val="08437B50"/>
    <w:rsid w:val="086D17FD"/>
    <w:rsid w:val="08820DFB"/>
    <w:rsid w:val="08A44F9F"/>
    <w:rsid w:val="09034FE4"/>
    <w:rsid w:val="09890DBD"/>
    <w:rsid w:val="098A4A65"/>
    <w:rsid w:val="09D11FA6"/>
    <w:rsid w:val="0A354527"/>
    <w:rsid w:val="0A7A6AAD"/>
    <w:rsid w:val="0A8A1B30"/>
    <w:rsid w:val="0AB57597"/>
    <w:rsid w:val="0AEC1DEA"/>
    <w:rsid w:val="0B1B1C97"/>
    <w:rsid w:val="0B212F5E"/>
    <w:rsid w:val="0B2B4CE0"/>
    <w:rsid w:val="0B2D79F3"/>
    <w:rsid w:val="0B4372A9"/>
    <w:rsid w:val="0B7243C4"/>
    <w:rsid w:val="0B837600"/>
    <w:rsid w:val="0B9A1A66"/>
    <w:rsid w:val="0BBC182A"/>
    <w:rsid w:val="0BC934B3"/>
    <w:rsid w:val="0C0877E4"/>
    <w:rsid w:val="0C3A729C"/>
    <w:rsid w:val="0C3D615F"/>
    <w:rsid w:val="0C4807B5"/>
    <w:rsid w:val="0C737B89"/>
    <w:rsid w:val="0C786C32"/>
    <w:rsid w:val="0C9353F8"/>
    <w:rsid w:val="0D0B6C31"/>
    <w:rsid w:val="0D4B799E"/>
    <w:rsid w:val="0D582C4B"/>
    <w:rsid w:val="0D5A65D7"/>
    <w:rsid w:val="0D687687"/>
    <w:rsid w:val="0D70724E"/>
    <w:rsid w:val="0D9A6E96"/>
    <w:rsid w:val="0DEA4707"/>
    <w:rsid w:val="0DF26793"/>
    <w:rsid w:val="0E0F0771"/>
    <w:rsid w:val="0E100F06"/>
    <w:rsid w:val="0E16292C"/>
    <w:rsid w:val="0E2B2C86"/>
    <w:rsid w:val="0E2B3475"/>
    <w:rsid w:val="0E5E57C3"/>
    <w:rsid w:val="0EC01DBF"/>
    <w:rsid w:val="0EE2131B"/>
    <w:rsid w:val="0EFA766A"/>
    <w:rsid w:val="0F0F51A1"/>
    <w:rsid w:val="0F3D3709"/>
    <w:rsid w:val="0F555725"/>
    <w:rsid w:val="0F75769F"/>
    <w:rsid w:val="0F810BBC"/>
    <w:rsid w:val="0FB607D2"/>
    <w:rsid w:val="0FBB4BD9"/>
    <w:rsid w:val="0FC4603A"/>
    <w:rsid w:val="0FC83DD5"/>
    <w:rsid w:val="0FE96EA0"/>
    <w:rsid w:val="0FEE0175"/>
    <w:rsid w:val="10037808"/>
    <w:rsid w:val="101744CC"/>
    <w:rsid w:val="101B59A0"/>
    <w:rsid w:val="103144ED"/>
    <w:rsid w:val="103218E8"/>
    <w:rsid w:val="10453744"/>
    <w:rsid w:val="104A47F8"/>
    <w:rsid w:val="10755C03"/>
    <w:rsid w:val="10CB3129"/>
    <w:rsid w:val="10EE4350"/>
    <w:rsid w:val="110A538C"/>
    <w:rsid w:val="1151696F"/>
    <w:rsid w:val="115B4DE3"/>
    <w:rsid w:val="115E2AE5"/>
    <w:rsid w:val="11684FFA"/>
    <w:rsid w:val="11AE21C7"/>
    <w:rsid w:val="11AE38EA"/>
    <w:rsid w:val="11C56A9E"/>
    <w:rsid w:val="11E078E0"/>
    <w:rsid w:val="11F70BFD"/>
    <w:rsid w:val="123869BF"/>
    <w:rsid w:val="12582636"/>
    <w:rsid w:val="126A7786"/>
    <w:rsid w:val="12821545"/>
    <w:rsid w:val="12947085"/>
    <w:rsid w:val="12A12A75"/>
    <w:rsid w:val="12B75DF4"/>
    <w:rsid w:val="12FE3708"/>
    <w:rsid w:val="133B4F65"/>
    <w:rsid w:val="13A9398F"/>
    <w:rsid w:val="13B3688D"/>
    <w:rsid w:val="14232839"/>
    <w:rsid w:val="14302506"/>
    <w:rsid w:val="14407866"/>
    <w:rsid w:val="14425626"/>
    <w:rsid w:val="145204CA"/>
    <w:rsid w:val="145E30A4"/>
    <w:rsid w:val="14633973"/>
    <w:rsid w:val="146B1B9A"/>
    <w:rsid w:val="146C3D39"/>
    <w:rsid w:val="14705E78"/>
    <w:rsid w:val="14AF0EEB"/>
    <w:rsid w:val="14BE6C32"/>
    <w:rsid w:val="1500623F"/>
    <w:rsid w:val="15071ADA"/>
    <w:rsid w:val="151632A6"/>
    <w:rsid w:val="151E0B36"/>
    <w:rsid w:val="15320BB2"/>
    <w:rsid w:val="15622614"/>
    <w:rsid w:val="156710A0"/>
    <w:rsid w:val="156F6E5A"/>
    <w:rsid w:val="15BC67B5"/>
    <w:rsid w:val="15BD08FF"/>
    <w:rsid w:val="15C80896"/>
    <w:rsid w:val="15C86710"/>
    <w:rsid w:val="15CF0FB0"/>
    <w:rsid w:val="15E84E58"/>
    <w:rsid w:val="15ED30CF"/>
    <w:rsid w:val="15FB0745"/>
    <w:rsid w:val="16005F0F"/>
    <w:rsid w:val="161B2979"/>
    <w:rsid w:val="1638653E"/>
    <w:rsid w:val="16587DC1"/>
    <w:rsid w:val="16873DED"/>
    <w:rsid w:val="16EB361D"/>
    <w:rsid w:val="16F466E0"/>
    <w:rsid w:val="17307613"/>
    <w:rsid w:val="178759C7"/>
    <w:rsid w:val="17937A84"/>
    <w:rsid w:val="17E13990"/>
    <w:rsid w:val="17EA47B6"/>
    <w:rsid w:val="17F8352B"/>
    <w:rsid w:val="180E64B6"/>
    <w:rsid w:val="183D7EC7"/>
    <w:rsid w:val="184F0593"/>
    <w:rsid w:val="1861693A"/>
    <w:rsid w:val="18811183"/>
    <w:rsid w:val="18945210"/>
    <w:rsid w:val="18954E2A"/>
    <w:rsid w:val="18A61056"/>
    <w:rsid w:val="18D56FD4"/>
    <w:rsid w:val="18FE2204"/>
    <w:rsid w:val="190C5BE1"/>
    <w:rsid w:val="1923113C"/>
    <w:rsid w:val="19367009"/>
    <w:rsid w:val="194538D1"/>
    <w:rsid w:val="19840CA5"/>
    <w:rsid w:val="19CC2706"/>
    <w:rsid w:val="19DF4133"/>
    <w:rsid w:val="1A35737B"/>
    <w:rsid w:val="1A3901D7"/>
    <w:rsid w:val="1A5018AD"/>
    <w:rsid w:val="1A540C42"/>
    <w:rsid w:val="1A63732A"/>
    <w:rsid w:val="1A736D6D"/>
    <w:rsid w:val="1A9227B5"/>
    <w:rsid w:val="1AC369C2"/>
    <w:rsid w:val="1B051F59"/>
    <w:rsid w:val="1B1E1D94"/>
    <w:rsid w:val="1B997ADF"/>
    <w:rsid w:val="1BB21A05"/>
    <w:rsid w:val="1BE80715"/>
    <w:rsid w:val="1C0D4F19"/>
    <w:rsid w:val="1C2B7A0D"/>
    <w:rsid w:val="1C2C24B3"/>
    <w:rsid w:val="1C8E6243"/>
    <w:rsid w:val="1C920D53"/>
    <w:rsid w:val="1CC71A6F"/>
    <w:rsid w:val="1CD919B8"/>
    <w:rsid w:val="1D2A0007"/>
    <w:rsid w:val="1D47394B"/>
    <w:rsid w:val="1D487902"/>
    <w:rsid w:val="1D530C7D"/>
    <w:rsid w:val="1D684CF9"/>
    <w:rsid w:val="1D9C5589"/>
    <w:rsid w:val="1D9F700C"/>
    <w:rsid w:val="1DAE39B7"/>
    <w:rsid w:val="1DBA686C"/>
    <w:rsid w:val="1DBF7B98"/>
    <w:rsid w:val="1DC231ED"/>
    <w:rsid w:val="1DC45B4A"/>
    <w:rsid w:val="1DCC45EC"/>
    <w:rsid w:val="1DCD6BF0"/>
    <w:rsid w:val="1DD75F21"/>
    <w:rsid w:val="1DF452E7"/>
    <w:rsid w:val="1DF9632B"/>
    <w:rsid w:val="1E456972"/>
    <w:rsid w:val="1EA828FB"/>
    <w:rsid w:val="1EB573ED"/>
    <w:rsid w:val="1EB65EE0"/>
    <w:rsid w:val="1ED26A96"/>
    <w:rsid w:val="1EFE0877"/>
    <w:rsid w:val="1F421D9B"/>
    <w:rsid w:val="1F42322C"/>
    <w:rsid w:val="1F552002"/>
    <w:rsid w:val="1F5839A7"/>
    <w:rsid w:val="1FC67943"/>
    <w:rsid w:val="1FF80D63"/>
    <w:rsid w:val="202F27FF"/>
    <w:rsid w:val="20347888"/>
    <w:rsid w:val="204340DF"/>
    <w:rsid w:val="204B2D91"/>
    <w:rsid w:val="20667AD3"/>
    <w:rsid w:val="206A59BF"/>
    <w:rsid w:val="206E61C3"/>
    <w:rsid w:val="208355C5"/>
    <w:rsid w:val="209F6845"/>
    <w:rsid w:val="20A80C42"/>
    <w:rsid w:val="20B807F1"/>
    <w:rsid w:val="20EF173F"/>
    <w:rsid w:val="20FE17C8"/>
    <w:rsid w:val="21120E1F"/>
    <w:rsid w:val="211469CB"/>
    <w:rsid w:val="2122455B"/>
    <w:rsid w:val="21242DD5"/>
    <w:rsid w:val="214E3208"/>
    <w:rsid w:val="215478B0"/>
    <w:rsid w:val="21927AB4"/>
    <w:rsid w:val="21977533"/>
    <w:rsid w:val="21A4330D"/>
    <w:rsid w:val="21A71E9D"/>
    <w:rsid w:val="21B9043A"/>
    <w:rsid w:val="21FE57EE"/>
    <w:rsid w:val="2200218B"/>
    <w:rsid w:val="226A5A46"/>
    <w:rsid w:val="22965E19"/>
    <w:rsid w:val="22B4536F"/>
    <w:rsid w:val="22CD427C"/>
    <w:rsid w:val="2332573A"/>
    <w:rsid w:val="23353568"/>
    <w:rsid w:val="233857E2"/>
    <w:rsid w:val="23AE2B40"/>
    <w:rsid w:val="23BE45AF"/>
    <w:rsid w:val="23C4535F"/>
    <w:rsid w:val="23CE2740"/>
    <w:rsid w:val="23E91DA5"/>
    <w:rsid w:val="23EF1892"/>
    <w:rsid w:val="2434711A"/>
    <w:rsid w:val="24623665"/>
    <w:rsid w:val="24864647"/>
    <w:rsid w:val="24CE5BE0"/>
    <w:rsid w:val="25294857"/>
    <w:rsid w:val="252C52D4"/>
    <w:rsid w:val="25323AC8"/>
    <w:rsid w:val="25467F84"/>
    <w:rsid w:val="256030EB"/>
    <w:rsid w:val="25943E5F"/>
    <w:rsid w:val="25A0088C"/>
    <w:rsid w:val="25A404A7"/>
    <w:rsid w:val="25B514C0"/>
    <w:rsid w:val="25BB6BCB"/>
    <w:rsid w:val="25BD3FB7"/>
    <w:rsid w:val="25C14C9E"/>
    <w:rsid w:val="25E7712F"/>
    <w:rsid w:val="263B7FE2"/>
    <w:rsid w:val="266B5557"/>
    <w:rsid w:val="26703B56"/>
    <w:rsid w:val="269A1322"/>
    <w:rsid w:val="269E1C9F"/>
    <w:rsid w:val="26C868CB"/>
    <w:rsid w:val="26E65EE3"/>
    <w:rsid w:val="27240DF6"/>
    <w:rsid w:val="272D37E9"/>
    <w:rsid w:val="273F08DE"/>
    <w:rsid w:val="274057F2"/>
    <w:rsid w:val="274315BA"/>
    <w:rsid w:val="274D28D8"/>
    <w:rsid w:val="277726F0"/>
    <w:rsid w:val="27840950"/>
    <w:rsid w:val="278C564A"/>
    <w:rsid w:val="27957085"/>
    <w:rsid w:val="279870B7"/>
    <w:rsid w:val="27A450CA"/>
    <w:rsid w:val="27A97340"/>
    <w:rsid w:val="27C67922"/>
    <w:rsid w:val="27CF05B7"/>
    <w:rsid w:val="27D32082"/>
    <w:rsid w:val="27D40264"/>
    <w:rsid w:val="27FC27CF"/>
    <w:rsid w:val="280C4062"/>
    <w:rsid w:val="28533F42"/>
    <w:rsid w:val="28642031"/>
    <w:rsid w:val="28642123"/>
    <w:rsid w:val="2894133B"/>
    <w:rsid w:val="28975709"/>
    <w:rsid w:val="28A45B9D"/>
    <w:rsid w:val="28EB0377"/>
    <w:rsid w:val="291236A6"/>
    <w:rsid w:val="292440E6"/>
    <w:rsid w:val="293150A8"/>
    <w:rsid w:val="29385A89"/>
    <w:rsid w:val="29493364"/>
    <w:rsid w:val="296B39F1"/>
    <w:rsid w:val="298150BD"/>
    <w:rsid w:val="29904C3C"/>
    <w:rsid w:val="2998469A"/>
    <w:rsid w:val="29984CC1"/>
    <w:rsid w:val="29C70464"/>
    <w:rsid w:val="29C711F9"/>
    <w:rsid w:val="29CA4207"/>
    <w:rsid w:val="29ED0E0D"/>
    <w:rsid w:val="29EF628D"/>
    <w:rsid w:val="2A2A315E"/>
    <w:rsid w:val="2A3B3800"/>
    <w:rsid w:val="2A6308E4"/>
    <w:rsid w:val="2AE34015"/>
    <w:rsid w:val="2B4367FF"/>
    <w:rsid w:val="2B6738DE"/>
    <w:rsid w:val="2B707CE6"/>
    <w:rsid w:val="2B7A4654"/>
    <w:rsid w:val="2B7B2D30"/>
    <w:rsid w:val="2B885CFE"/>
    <w:rsid w:val="2B8F3C22"/>
    <w:rsid w:val="2BAF6BF3"/>
    <w:rsid w:val="2BC341C7"/>
    <w:rsid w:val="2BC706BB"/>
    <w:rsid w:val="2BDD1043"/>
    <w:rsid w:val="2BEE5AF4"/>
    <w:rsid w:val="2C2805AF"/>
    <w:rsid w:val="2C424529"/>
    <w:rsid w:val="2C495F2F"/>
    <w:rsid w:val="2C516816"/>
    <w:rsid w:val="2C693C99"/>
    <w:rsid w:val="2C8702BB"/>
    <w:rsid w:val="2CA10CC9"/>
    <w:rsid w:val="2CAB314A"/>
    <w:rsid w:val="2CB074F8"/>
    <w:rsid w:val="2CB17563"/>
    <w:rsid w:val="2CDD7D44"/>
    <w:rsid w:val="2CDE06F5"/>
    <w:rsid w:val="2CE90A48"/>
    <w:rsid w:val="2CEB3027"/>
    <w:rsid w:val="2D3A522F"/>
    <w:rsid w:val="2D3F3FF9"/>
    <w:rsid w:val="2D466E5A"/>
    <w:rsid w:val="2D5A0114"/>
    <w:rsid w:val="2D5A6413"/>
    <w:rsid w:val="2D71156A"/>
    <w:rsid w:val="2D7F5B1E"/>
    <w:rsid w:val="2D866CBB"/>
    <w:rsid w:val="2DB86843"/>
    <w:rsid w:val="2DCA600E"/>
    <w:rsid w:val="2DFF055F"/>
    <w:rsid w:val="2E0F236C"/>
    <w:rsid w:val="2E19034E"/>
    <w:rsid w:val="2E47259B"/>
    <w:rsid w:val="2E512A3E"/>
    <w:rsid w:val="2E5E6A77"/>
    <w:rsid w:val="2E7B4030"/>
    <w:rsid w:val="2E830C3D"/>
    <w:rsid w:val="2E9F0872"/>
    <w:rsid w:val="2EAC5A93"/>
    <w:rsid w:val="2EDE5C26"/>
    <w:rsid w:val="2EF917CF"/>
    <w:rsid w:val="2EFC050E"/>
    <w:rsid w:val="2F162DA0"/>
    <w:rsid w:val="2F1F6566"/>
    <w:rsid w:val="2F4F2268"/>
    <w:rsid w:val="2F6C28EA"/>
    <w:rsid w:val="2F711385"/>
    <w:rsid w:val="2F806A3A"/>
    <w:rsid w:val="2F924B4B"/>
    <w:rsid w:val="2FDA1FA5"/>
    <w:rsid w:val="2FE20EF7"/>
    <w:rsid w:val="3028532C"/>
    <w:rsid w:val="302E24C2"/>
    <w:rsid w:val="3030499A"/>
    <w:rsid w:val="309D2236"/>
    <w:rsid w:val="30A61A03"/>
    <w:rsid w:val="30C1718D"/>
    <w:rsid w:val="30D35335"/>
    <w:rsid w:val="30EE63EB"/>
    <w:rsid w:val="31000578"/>
    <w:rsid w:val="312F7DD1"/>
    <w:rsid w:val="313E5FAC"/>
    <w:rsid w:val="31605B7D"/>
    <w:rsid w:val="316B214F"/>
    <w:rsid w:val="318B2BC8"/>
    <w:rsid w:val="31BD2FCF"/>
    <w:rsid w:val="320F1992"/>
    <w:rsid w:val="322363A0"/>
    <w:rsid w:val="32326DEE"/>
    <w:rsid w:val="32334FF9"/>
    <w:rsid w:val="323B1C42"/>
    <w:rsid w:val="324974EC"/>
    <w:rsid w:val="32754C54"/>
    <w:rsid w:val="32AA4CB4"/>
    <w:rsid w:val="32EF34A0"/>
    <w:rsid w:val="32F961BF"/>
    <w:rsid w:val="334B20AC"/>
    <w:rsid w:val="338A656E"/>
    <w:rsid w:val="33965647"/>
    <w:rsid w:val="33976A80"/>
    <w:rsid w:val="33983A4B"/>
    <w:rsid w:val="33C371CF"/>
    <w:rsid w:val="33F041E6"/>
    <w:rsid w:val="34127AC7"/>
    <w:rsid w:val="342F52EF"/>
    <w:rsid w:val="34457D0D"/>
    <w:rsid w:val="346E73BF"/>
    <w:rsid w:val="348739FA"/>
    <w:rsid w:val="34984466"/>
    <w:rsid w:val="34D46F59"/>
    <w:rsid w:val="35160388"/>
    <w:rsid w:val="356F7C40"/>
    <w:rsid w:val="35717761"/>
    <w:rsid w:val="35822911"/>
    <w:rsid w:val="35865F4A"/>
    <w:rsid w:val="3589693D"/>
    <w:rsid w:val="35B237F3"/>
    <w:rsid w:val="35B25E53"/>
    <w:rsid w:val="35B63AE3"/>
    <w:rsid w:val="35F43243"/>
    <w:rsid w:val="360B74D6"/>
    <w:rsid w:val="36146351"/>
    <w:rsid w:val="36406ADD"/>
    <w:rsid w:val="366C3C7B"/>
    <w:rsid w:val="36B754B3"/>
    <w:rsid w:val="36CB130B"/>
    <w:rsid w:val="36CD384F"/>
    <w:rsid w:val="36D93CDC"/>
    <w:rsid w:val="36F93486"/>
    <w:rsid w:val="370479BC"/>
    <w:rsid w:val="370B2AD4"/>
    <w:rsid w:val="372061AB"/>
    <w:rsid w:val="373D0B64"/>
    <w:rsid w:val="37462253"/>
    <w:rsid w:val="374D2AE4"/>
    <w:rsid w:val="3764731D"/>
    <w:rsid w:val="376B6781"/>
    <w:rsid w:val="376F6A71"/>
    <w:rsid w:val="37AD4EBC"/>
    <w:rsid w:val="37B45A2E"/>
    <w:rsid w:val="37BB5E2D"/>
    <w:rsid w:val="37DE2FE3"/>
    <w:rsid w:val="37E24032"/>
    <w:rsid w:val="37EC0A12"/>
    <w:rsid w:val="37F3020C"/>
    <w:rsid w:val="38343B80"/>
    <w:rsid w:val="386B2ED6"/>
    <w:rsid w:val="386B7E64"/>
    <w:rsid w:val="386F1A42"/>
    <w:rsid w:val="387243E8"/>
    <w:rsid w:val="38DE3442"/>
    <w:rsid w:val="39072D82"/>
    <w:rsid w:val="39867AC8"/>
    <w:rsid w:val="399A7FF8"/>
    <w:rsid w:val="39B04EF2"/>
    <w:rsid w:val="39B2219A"/>
    <w:rsid w:val="39D83AD0"/>
    <w:rsid w:val="3A015FB0"/>
    <w:rsid w:val="3A232F1C"/>
    <w:rsid w:val="3A264AE6"/>
    <w:rsid w:val="3A2C4FAA"/>
    <w:rsid w:val="3A2E3668"/>
    <w:rsid w:val="3A6F132E"/>
    <w:rsid w:val="3A9D6627"/>
    <w:rsid w:val="3AD5238D"/>
    <w:rsid w:val="3AE6492E"/>
    <w:rsid w:val="3B081FDD"/>
    <w:rsid w:val="3B8701AA"/>
    <w:rsid w:val="3BA932EE"/>
    <w:rsid w:val="3BF33A92"/>
    <w:rsid w:val="3BF73E89"/>
    <w:rsid w:val="3C053A08"/>
    <w:rsid w:val="3C09278C"/>
    <w:rsid w:val="3C445A23"/>
    <w:rsid w:val="3C4F095F"/>
    <w:rsid w:val="3C5A6CF3"/>
    <w:rsid w:val="3C60002E"/>
    <w:rsid w:val="3C62346C"/>
    <w:rsid w:val="3C645D54"/>
    <w:rsid w:val="3C693B97"/>
    <w:rsid w:val="3C797AF3"/>
    <w:rsid w:val="3C825ABE"/>
    <w:rsid w:val="3C847B69"/>
    <w:rsid w:val="3CAF4F46"/>
    <w:rsid w:val="3CFC6489"/>
    <w:rsid w:val="3D052D63"/>
    <w:rsid w:val="3D0D7F4D"/>
    <w:rsid w:val="3D380DA1"/>
    <w:rsid w:val="3D3B2BF7"/>
    <w:rsid w:val="3D780282"/>
    <w:rsid w:val="3D7E61B1"/>
    <w:rsid w:val="3DBF2CC5"/>
    <w:rsid w:val="3DC62B7C"/>
    <w:rsid w:val="3DD609EE"/>
    <w:rsid w:val="3DD80737"/>
    <w:rsid w:val="3DDB0A08"/>
    <w:rsid w:val="3DE94AF0"/>
    <w:rsid w:val="3E1F4550"/>
    <w:rsid w:val="3E724DBB"/>
    <w:rsid w:val="3E7358F3"/>
    <w:rsid w:val="3EA01752"/>
    <w:rsid w:val="3EBC63BD"/>
    <w:rsid w:val="3EE4401A"/>
    <w:rsid w:val="3EEB2FFD"/>
    <w:rsid w:val="3F000058"/>
    <w:rsid w:val="3F077B86"/>
    <w:rsid w:val="3F0B5B0B"/>
    <w:rsid w:val="3F160581"/>
    <w:rsid w:val="3F2B5F80"/>
    <w:rsid w:val="3F417D00"/>
    <w:rsid w:val="3F5767F0"/>
    <w:rsid w:val="3F9A5A4B"/>
    <w:rsid w:val="3FB27BA4"/>
    <w:rsid w:val="3FD07DAE"/>
    <w:rsid w:val="40005CC1"/>
    <w:rsid w:val="401B01A4"/>
    <w:rsid w:val="405A774E"/>
    <w:rsid w:val="40702A1D"/>
    <w:rsid w:val="40A7331B"/>
    <w:rsid w:val="40CB5997"/>
    <w:rsid w:val="40DD064D"/>
    <w:rsid w:val="40ED68F4"/>
    <w:rsid w:val="411F13A2"/>
    <w:rsid w:val="412546ED"/>
    <w:rsid w:val="41362FA2"/>
    <w:rsid w:val="413C0E05"/>
    <w:rsid w:val="416547B5"/>
    <w:rsid w:val="41781B40"/>
    <w:rsid w:val="41900B36"/>
    <w:rsid w:val="4198532B"/>
    <w:rsid w:val="41BD7202"/>
    <w:rsid w:val="41D37CA5"/>
    <w:rsid w:val="41D83760"/>
    <w:rsid w:val="424B2A61"/>
    <w:rsid w:val="424C2808"/>
    <w:rsid w:val="42780274"/>
    <w:rsid w:val="427E7AA4"/>
    <w:rsid w:val="42AC5787"/>
    <w:rsid w:val="42B4387E"/>
    <w:rsid w:val="42E44134"/>
    <w:rsid w:val="42F33644"/>
    <w:rsid w:val="42FC1906"/>
    <w:rsid w:val="430F4C79"/>
    <w:rsid w:val="435B6454"/>
    <w:rsid w:val="437C436D"/>
    <w:rsid w:val="437D6E9A"/>
    <w:rsid w:val="43831019"/>
    <w:rsid w:val="439C36E2"/>
    <w:rsid w:val="439F138D"/>
    <w:rsid w:val="43CE15CD"/>
    <w:rsid w:val="43D7506D"/>
    <w:rsid w:val="44581775"/>
    <w:rsid w:val="4461572C"/>
    <w:rsid w:val="44757ADF"/>
    <w:rsid w:val="44885284"/>
    <w:rsid w:val="44974801"/>
    <w:rsid w:val="44B10A55"/>
    <w:rsid w:val="44C67B4B"/>
    <w:rsid w:val="44C723D6"/>
    <w:rsid w:val="44D24AA9"/>
    <w:rsid w:val="44DA1EB8"/>
    <w:rsid w:val="44EF6789"/>
    <w:rsid w:val="45131800"/>
    <w:rsid w:val="453231CF"/>
    <w:rsid w:val="45644A3D"/>
    <w:rsid w:val="45750F48"/>
    <w:rsid w:val="458C2B08"/>
    <w:rsid w:val="45B16EC2"/>
    <w:rsid w:val="45DC3DF6"/>
    <w:rsid w:val="45E23C93"/>
    <w:rsid w:val="460407CF"/>
    <w:rsid w:val="465B35AD"/>
    <w:rsid w:val="465F55D6"/>
    <w:rsid w:val="469D5BA8"/>
    <w:rsid w:val="46A33129"/>
    <w:rsid w:val="46D0073A"/>
    <w:rsid w:val="46DA3C4F"/>
    <w:rsid w:val="46FD55A3"/>
    <w:rsid w:val="47261997"/>
    <w:rsid w:val="473F4DDF"/>
    <w:rsid w:val="4755697D"/>
    <w:rsid w:val="476C60D1"/>
    <w:rsid w:val="476F2194"/>
    <w:rsid w:val="477C3DCC"/>
    <w:rsid w:val="478E1476"/>
    <w:rsid w:val="47990A93"/>
    <w:rsid w:val="47AF3474"/>
    <w:rsid w:val="47DF0138"/>
    <w:rsid w:val="47EB44AF"/>
    <w:rsid w:val="48040B11"/>
    <w:rsid w:val="48272595"/>
    <w:rsid w:val="487D68E3"/>
    <w:rsid w:val="48982D35"/>
    <w:rsid w:val="489A4E2B"/>
    <w:rsid w:val="48D013E2"/>
    <w:rsid w:val="48D60515"/>
    <w:rsid w:val="48D82712"/>
    <w:rsid w:val="48DC7068"/>
    <w:rsid w:val="48E276BB"/>
    <w:rsid w:val="48F2702D"/>
    <w:rsid w:val="48FF50DD"/>
    <w:rsid w:val="49566C3E"/>
    <w:rsid w:val="49601FFF"/>
    <w:rsid w:val="49673157"/>
    <w:rsid w:val="497A0B05"/>
    <w:rsid w:val="4A1E3088"/>
    <w:rsid w:val="4A3F1B53"/>
    <w:rsid w:val="4A5C0405"/>
    <w:rsid w:val="4A614797"/>
    <w:rsid w:val="4A622743"/>
    <w:rsid w:val="4AA52AE2"/>
    <w:rsid w:val="4AC42881"/>
    <w:rsid w:val="4AE56E9A"/>
    <w:rsid w:val="4AF1781A"/>
    <w:rsid w:val="4AFB3C06"/>
    <w:rsid w:val="4AFC616F"/>
    <w:rsid w:val="4B057B63"/>
    <w:rsid w:val="4B1455C6"/>
    <w:rsid w:val="4B3009FA"/>
    <w:rsid w:val="4B8D3EBF"/>
    <w:rsid w:val="4BAA0768"/>
    <w:rsid w:val="4BD15376"/>
    <w:rsid w:val="4BD4621E"/>
    <w:rsid w:val="4BDB7C5A"/>
    <w:rsid w:val="4C1526EE"/>
    <w:rsid w:val="4C5628EC"/>
    <w:rsid w:val="4C795F65"/>
    <w:rsid w:val="4CA52B6E"/>
    <w:rsid w:val="4CC430F6"/>
    <w:rsid w:val="4D2556A1"/>
    <w:rsid w:val="4D25749E"/>
    <w:rsid w:val="4D2A21EB"/>
    <w:rsid w:val="4D2B6DC4"/>
    <w:rsid w:val="4D34703F"/>
    <w:rsid w:val="4D5B25A1"/>
    <w:rsid w:val="4D620F9B"/>
    <w:rsid w:val="4D6A188B"/>
    <w:rsid w:val="4D8A63B1"/>
    <w:rsid w:val="4D8E7A10"/>
    <w:rsid w:val="4D9C1504"/>
    <w:rsid w:val="4DA84F31"/>
    <w:rsid w:val="4DFB04F3"/>
    <w:rsid w:val="4E0477D5"/>
    <w:rsid w:val="4E78173F"/>
    <w:rsid w:val="4E7C7EEF"/>
    <w:rsid w:val="4E945F6B"/>
    <w:rsid w:val="4E9F4D17"/>
    <w:rsid w:val="4EAF1F5A"/>
    <w:rsid w:val="4EBB7D6F"/>
    <w:rsid w:val="4EDB0B4B"/>
    <w:rsid w:val="4EE07461"/>
    <w:rsid w:val="4EE10B0A"/>
    <w:rsid w:val="4EE932A1"/>
    <w:rsid w:val="4F093DB8"/>
    <w:rsid w:val="4F2717C5"/>
    <w:rsid w:val="4F3D7B17"/>
    <w:rsid w:val="4F964CE6"/>
    <w:rsid w:val="4F9D4774"/>
    <w:rsid w:val="50002832"/>
    <w:rsid w:val="501D3AA9"/>
    <w:rsid w:val="502C0FDA"/>
    <w:rsid w:val="50547B6C"/>
    <w:rsid w:val="505B7F0D"/>
    <w:rsid w:val="50632349"/>
    <w:rsid w:val="5069559F"/>
    <w:rsid w:val="50847662"/>
    <w:rsid w:val="50910B12"/>
    <w:rsid w:val="50C55616"/>
    <w:rsid w:val="50E34C50"/>
    <w:rsid w:val="51231EDB"/>
    <w:rsid w:val="51252BEA"/>
    <w:rsid w:val="514C3E29"/>
    <w:rsid w:val="51701871"/>
    <w:rsid w:val="51A26BE5"/>
    <w:rsid w:val="51B04302"/>
    <w:rsid w:val="51E12F1B"/>
    <w:rsid w:val="51ED50C6"/>
    <w:rsid w:val="52280348"/>
    <w:rsid w:val="524565AD"/>
    <w:rsid w:val="52475A6B"/>
    <w:rsid w:val="526312C6"/>
    <w:rsid w:val="52B33E0A"/>
    <w:rsid w:val="52B43C75"/>
    <w:rsid w:val="52ED493F"/>
    <w:rsid w:val="53327ED3"/>
    <w:rsid w:val="537A4F6B"/>
    <w:rsid w:val="538A179E"/>
    <w:rsid w:val="53B140FB"/>
    <w:rsid w:val="53C16DD2"/>
    <w:rsid w:val="53F917FC"/>
    <w:rsid w:val="53F95F9A"/>
    <w:rsid w:val="54155C00"/>
    <w:rsid w:val="5471086E"/>
    <w:rsid w:val="547614C0"/>
    <w:rsid w:val="54ED19CF"/>
    <w:rsid w:val="54EE6B7C"/>
    <w:rsid w:val="550B7150"/>
    <w:rsid w:val="552D3A2B"/>
    <w:rsid w:val="554100C8"/>
    <w:rsid w:val="555A12FD"/>
    <w:rsid w:val="556D412C"/>
    <w:rsid w:val="55792DCF"/>
    <w:rsid w:val="55B63170"/>
    <w:rsid w:val="55E26F4E"/>
    <w:rsid w:val="55FC4458"/>
    <w:rsid w:val="56031F16"/>
    <w:rsid w:val="5616333A"/>
    <w:rsid w:val="5625209A"/>
    <w:rsid w:val="562C0BC2"/>
    <w:rsid w:val="564C4CB3"/>
    <w:rsid w:val="565151E5"/>
    <w:rsid w:val="56730C5E"/>
    <w:rsid w:val="567A3CE9"/>
    <w:rsid w:val="56805E29"/>
    <w:rsid w:val="56A10476"/>
    <w:rsid w:val="56B6314B"/>
    <w:rsid w:val="56D64DED"/>
    <w:rsid w:val="56D66DA2"/>
    <w:rsid w:val="56F93895"/>
    <w:rsid w:val="57091302"/>
    <w:rsid w:val="570F5679"/>
    <w:rsid w:val="576378C6"/>
    <w:rsid w:val="57D6417A"/>
    <w:rsid w:val="57D9679D"/>
    <w:rsid w:val="5802004C"/>
    <w:rsid w:val="58022791"/>
    <w:rsid w:val="580270F1"/>
    <w:rsid w:val="583F6AA1"/>
    <w:rsid w:val="58412A7E"/>
    <w:rsid w:val="585949E5"/>
    <w:rsid w:val="587D085E"/>
    <w:rsid w:val="58EE2AD2"/>
    <w:rsid w:val="590442D5"/>
    <w:rsid w:val="59131DE0"/>
    <w:rsid w:val="59311AEA"/>
    <w:rsid w:val="593800C7"/>
    <w:rsid w:val="593E565E"/>
    <w:rsid w:val="597C09D3"/>
    <w:rsid w:val="59865337"/>
    <w:rsid w:val="599A5132"/>
    <w:rsid w:val="59A42D77"/>
    <w:rsid w:val="59A90B5B"/>
    <w:rsid w:val="59AB2507"/>
    <w:rsid w:val="59B47EC4"/>
    <w:rsid w:val="59B53436"/>
    <w:rsid w:val="59D822DA"/>
    <w:rsid w:val="59DC03A4"/>
    <w:rsid w:val="59EA2BF1"/>
    <w:rsid w:val="5A215FC1"/>
    <w:rsid w:val="5A2B15DB"/>
    <w:rsid w:val="5A2B614D"/>
    <w:rsid w:val="5A541DBB"/>
    <w:rsid w:val="5A7F3FCE"/>
    <w:rsid w:val="5A9E6730"/>
    <w:rsid w:val="5AD96027"/>
    <w:rsid w:val="5B087BBF"/>
    <w:rsid w:val="5B0B6ABB"/>
    <w:rsid w:val="5B3C3D88"/>
    <w:rsid w:val="5B550A86"/>
    <w:rsid w:val="5B620787"/>
    <w:rsid w:val="5B8A73CA"/>
    <w:rsid w:val="5B8E3401"/>
    <w:rsid w:val="5B907DCA"/>
    <w:rsid w:val="5BB179C7"/>
    <w:rsid w:val="5BBF027F"/>
    <w:rsid w:val="5BC17C21"/>
    <w:rsid w:val="5BCC6D53"/>
    <w:rsid w:val="5BD668B8"/>
    <w:rsid w:val="5BEC5EB0"/>
    <w:rsid w:val="5BFC0C64"/>
    <w:rsid w:val="5C1724DA"/>
    <w:rsid w:val="5C2D3FFE"/>
    <w:rsid w:val="5C3E6D37"/>
    <w:rsid w:val="5C935CA4"/>
    <w:rsid w:val="5C943594"/>
    <w:rsid w:val="5CA93512"/>
    <w:rsid w:val="5CD2262C"/>
    <w:rsid w:val="5CF70E96"/>
    <w:rsid w:val="5D2B21D2"/>
    <w:rsid w:val="5D5950D7"/>
    <w:rsid w:val="5DC26037"/>
    <w:rsid w:val="5DD644DA"/>
    <w:rsid w:val="5DDC3BB3"/>
    <w:rsid w:val="5E3B5E6B"/>
    <w:rsid w:val="5E7466BB"/>
    <w:rsid w:val="5E9E4FFE"/>
    <w:rsid w:val="5EB95322"/>
    <w:rsid w:val="5ED66BCF"/>
    <w:rsid w:val="5ED8230A"/>
    <w:rsid w:val="5EE74D3D"/>
    <w:rsid w:val="5F016D9F"/>
    <w:rsid w:val="5F5A1964"/>
    <w:rsid w:val="5F5E6B4B"/>
    <w:rsid w:val="5F9515E8"/>
    <w:rsid w:val="5FF13CC0"/>
    <w:rsid w:val="60064219"/>
    <w:rsid w:val="6015539C"/>
    <w:rsid w:val="60374DE2"/>
    <w:rsid w:val="604C3503"/>
    <w:rsid w:val="60502EF5"/>
    <w:rsid w:val="605E5D6D"/>
    <w:rsid w:val="608C61D3"/>
    <w:rsid w:val="608E4EBA"/>
    <w:rsid w:val="609F0C60"/>
    <w:rsid w:val="60CF13BA"/>
    <w:rsid w:val="60D21C29"/>
    <w:rsid w:val="60D836B8"/>
    <w:rsid w:val="61040CB4"/>
    <w:rsid w:val="61074F2C"/>
    <w:rsid w:val="612C2318"/>
    <w:rsid w:val="617D3332"/>
    <w:rsid w:val="61A50B0F"/>
    <w:rsid w:val="61BE06DE"/>
    <w:rsid w:val="61C56351"/>
    <w:rsid w:val="61D342BC"/>
    <w:rsid w:val="61EA451A"/>
    <w:rsid w:val="62124EDD"/>
    <w:rsid w:val="624934E7"/>
    <w:rsid w:val="625750AD"/>
    <w:rsid w:val="62811197"/>
    <w:rsid w:val="628673E9"/>
    <w:rsid w:val="629F4268"/>
    <w:rsid w:val="62AF1F4D"/>
    <w:rsid w:val="62B84B96"/>
    <w:rsid w:val="62D92A5E"/>
    <w:rsid w:val="62FC49FE"/>
    <w:rsid w:val="632B1962"/>
    <w:rsid w:val="63426055"/>
    <w:rsid w:val="63706F95"/>
    <w:rsid w:val="63710FC0"/>
    <w:rsid w:val="63861CF4"/>
    <w:rsid w:val="63A41C0C"/>
    <w:rsid w:val="63A64B6E"/>
    <w:rsid w:val="63A81583"/>
    <w:rsid w:val="63BE3871"/>
    <w:rsid w:val="63C8649B"/>
    <w:rsid w:val="63D94AB9"/>
    <w:rsid w:val="63FC0E86"/>
    <w:rsid w:val="63FF7D88"/>
    <w:rsid w:val="641973D9"/>
    <w:rsid w:val="641A7141"/>
    <w:rsid w:val="641D19C3"/>
    <w:rsid w:val="641F728A"/>
    <w:rsid w:val="6427400C"/>
    <w:rsid w:val="646653C7"/>
    <w:rsid w:val="64730DD4"/>
    <w:rsid w:val="64F613F7"/>
    <w:rsid w:val="65093EA2"/>
    <w:rsid w:val="651C5399"/>
    <w:rsid w:val="655C164B"/>
    <w:rsid w:val="65793B8D"/>
    <w:rsid w:val="65796025"/>
    <w:rsid w:val="65827DEA"/>
    <w:rsid w:val="65A62160"/>
    <w:rsid w:val="65D429F9"/>
    <w:rsid w:val="660003DF"/>
    <w:rsid w:val="660918F9"/>
    <w:rsid w:val="661C58A2"/>
    <w:rsid w:val="664D0B52"/>
    <w:rsid w:val="665F141B"/>
    <w:rsid w:val="6674336C"/>
    <w:rsid w:val="669C0BCD"/>
    <w:rsid w:val="66A37597"/>
    <w:rsid w:val="66C02454"/>
    <w:rsid w:val="66E903DD"/>
    <w:rsid w:val="670129A8"/>
    <w:rsid w:val="671C47FD"/>
    <w:rsid w:val="672A3385"/>
    <w:rsid w:val="673E63BC"/>
    <w:rsid w:val="676679AA"/>
    <w:rsid w:val="676C7B69"/>
    <w:rsid w:val="67742476"/>
    <w:rsid w:val="67A261F9"/>
    <w:rsid w:val="67DC7B75"/>
    <w:rsid w:val="67E50ADD"/>
    <w:rsid w:val="67E8319D"/>
    <w:rsid w:val="68070A8F"/>
    <w:rsid w:val="680A2A27"/>
    <w:rsid w:val="680F28AA"/>
    <w:rsid w:val="68145548"/>
    <w:rsid w:val="68256C3C"/>
    <w:rsid w:val="683B7E5C"/>
    <w:rsid w:val="68625E2C"/>
    <w:rsid w:val="686C7658"/>
    <w:rsid w:val="68732D9E"/>
    <w:rsid w:val="68D75B65"/>
    <w:rsid w:val="68DC118F"/>
    <w:rsid w:val="690D1B37"/>
    <w:rsid w:val="69193A6B"/>
    <w:rsid w:val="691C0AB8"/>
    <w:rsid w:val="694A567B"/>
    <w:rsid w:val="696E37CE"/>
    <w:rsid w:val="69731AF1"/>
    <w:rsid w:val="69CD6B92"/>
    <w:rsid w:val="69D941D8"/>
    <w:rsid w:val="69E01A6C"/>
    <w:rsid w:val="69E56DD4"/>
    <w:rsid w:val="69F22D7B"/>
    <w:rsid w:val="6A052057"/>
    <w:rsid w:val="6A32399F"/>
    <w:rsid w:val="6A56738C"/>
    <w:rsid w:val="6A71761B"/>
    <w:rsid w:val="6A9521E7"/>
    <w:rsid w:val="6B1E5C32"/>
    <w:rsid w:val="6B222337"/>
    <w:rsid w:val="6B64707D"/>
    <w:rsid w:val="6B8610D7"/>
    <w:rsid w:val="6BBC6102"/>
    <w:rsid w:val="6BBC6160"/>
    <w:rsid w:val="6BCC38E0"/>
    <w:rsid w:val="6BEF71C4"/>
    <w:rsid w:val="6C513B0D"/>
    <w:rsid w:val="6CD768F3"/>
    <w:rsid w:val="6D0D2D6C"/>
    <w:rsid w:val="6D55758E"/>
    <w:rsid w:val="6D63463E"/>
    <w:rsid w:val="6DA54AA5"/>
    <w:rsid w:val="6DB26332"/>
    <w:rsid w:val="6DB91B7B"/>
    <w:rsid w:val="6DC31029"/>
    <w:rsid w:val="6DDD3F4B"/>
    <w:rsid w:val="6DF60832"/>
    <w:rsid w:val="6E0664C5"/>
    <w:rsid w:val="6E0A11A5"/>
    <w:rsid w:val="6E0E6AD0"/>
    <w:rsid w:val="6E0F64D6"/>
    <w:rsid w:val="6E104C6F"/>
    <w:rsid w:val="6EB950A6"/>
    <w:rsid w:val="6EDC1BE2"/>
    <w:rsid w:val="6F5C0DC4"/>
    <w:rsid w:val="6F684E1C"/>
    <w:rsid w:val="6FB53ABB"/>
    <w:rsid w:val="6FB56D6B"/>
    <w:rsid w:val="6FB93A86"/>
    <w:rsid w:val="6FD75529"/>
    <w:rsid w:val="6FFA59FC"/>
    <w:rsid w:val="7006778F"/>
    <w:rsid w:val="701E3F32"/>
    <w:rsid w:val="70356557"/>
    <w:rsid w:val="70370FBB"/>
    <w:rsid w:val="703D0EAA"/>
    <w:rsid w:val="706A3A0B"/>
    <w:rsid w:val="70733B53"/>
    <w:rsid w:val="70DB62D8"/>
    <w:rsid w:val="70DD3506"/>
    <w:rsid w:val="70E61739"/>
    <w:rsid w:val="70F753A4"/>
    <w:rsid w:val="7109346D"/>
    <w:rsid w:val="711904CD"/>
    <w:rsid w:val="714806A6"/>
    <w:rsid w:val="71732572"/>
    <w:rsid w:val="71891B4D"/>
    <w:rsid w:val="71D63B14"/>
    <w:rsid w:val="71FE19B5"/>
    <w:rsid w:val="7208121E"/>
    <w:rsid w:val="720E188F"/>
    <w:rsid w:val="72247ABB"/>
    <w:rsid w:val="72281668"/>
    <w:rsid w:val="722F3D41"/>
    <w:rsid w:val="7258197D"/>
    <w:rsid w:val="72726FAB"/>
    <w:rsid w:val="72B24647"/>
    <w:rsid w:val="72F91545"/>
    <w:rsid w:val="73270EF3"/>
    <w:rsid w:val="73380CE2"/>
    <w:rsid w:val="7349246B"/>
    <w:rsid w:val="735D22E0"/>
    <w:rsid w:val="73A155A6"/>
    <w:rsid w:val="73A517F5"/>
    <w:rsid w:val="73AD3C4B"/>
    <w:rsid w:val="73BA1CE4"/>
    <w:rsid w:val="74045ED5"/>
    <w:rsid w:val="74093490"/>
    <w:rsid w:val="742E1EB1"/>
    <w:rsid w:val="7432548D"/>
    <w:rsid w:val="74402983"/>
    <w:rsid w:val="744B54AD"/>
    <w:rsid w:val="744C3764"/>
    <w:rsid w:val="74A66B02"/>
    <w:rsid w:val="74B83098"/>
    <w:rsid w:val="74BE3E3A"/>
    <w:rsid w:val="74C82D56"/>
    <w:rsid w:val="74EA2205"/>
    <w:rsid w:val="75015B23"/>
    <w:rsid w:val="75150751"/>
    <w:rsid w:val="7520619B"/>
    <w:rsid w:val="7557592E"/>
    <w:rsid w:val="755A3F95"/>
    <w:rsid w:val="75E2400C"/>
    <w:rsid w:val="76051337"/>
    <w:rsid w:val="76163024"/>
    <w:rsid w:val="76330AF2"/>
    <w:rsid w:val="764978E9"/>
    <w:rsid w:val="767D42FF"/>
    <w:rsid w:val="76943F6D"/>
    <w:rsid w:val="76A553AD"/>
    <w:rsid w:val="76AC387D"/>
    <w:rsid w:val="76D068AC"/>
    <w:rsid w:val="770A0E5C"/>
    <w:rsid w:val="77312DB7"/>
    <w:rsid w:val="773B41C2"/>
    <w:rsid w:val="77606E45"/>
    <w:rsid w:val="77967078"/>
    <w:rsid w:val="77B17813"/>
    <w:rsid w:val="77B64CEF"/>
    <w:rsid w:val="77BB0ED4"/>
    <w:rsid w:val="77BD23A9"/>
    <w:rsid w:val="77FC281A"/>
    <w:rsid w:val="780864CD"/>
    <w:rsid w:val="782B182B"/>
    <w:rsid w:val="782E69DB"/>
    <w:rsid w:val="783C0154"/>
    <w:rsid w:val="784C3948"/>
    <w:rsid w:val="7858337E"/>
    <w:rsid w:val="788A4F4B"/>
    <w:rsid w:val="78CB4582"/>
    <w:rsid w:val="78FE63A2"/>
    <w:rsid w:val="79013ADE"/>
    <w:rsid w:val="790D4A94"/>
    <w:rsid w:val="79334244"/>
    <w:rsid w:val="79414883"/>
    <w:rsid w:val="79620752"/>
    <w:rsid w:val="79697A90"/>
    <w:rsid w:val="797479D7"/>
    <w:rsid w:val="798732CD"/>
    <w:rsid w:val="79A25F86"/>
    <w:rsid w:val="79BD7ECC"/>
    <w:rsid w:val="79C76223"/>
    <w:rsid w:val="79D6782C"/>
    <w:rsid w:val="79D8143D"/>
    <w:rsid w:val="79DA070B"/>
    <w:rsid w:val="79E64584"/>
    <w:rsid w:val="7A0E364A"/>
    <w:rsid w:val="7A2F22AD"/>
    <w:rsid w:val="7A397E5C"/>
    <w:rsid w:val="7A4000B2"/>
    <w:rsid w:val="7A420CD9"/>
    <w:rsid w:val="7A4324ED"/>
    <w:rsid w:val="7A5275FA"/>
    <w:rsid w:val="7AAF380F"/>
    <w:rsid w:val="7AD65E6F"/>
    <w:rsid w:val="7ADB2C3B"/>
    <w:rsid w:val="7B064019"/>
    <w:rsid w:val="7B1B3597"/>
    <w:rsid w:val="7B293E85"/>
    <w:rsid w:val="7B4A3CFE"/>
    <w:rsid w:val="7B695078"/>
    <w:rsid w:val="7BA02A4F"/>
    <w:rsid w:val="7BE73D72"/>
    <w:rsid w:val="7BF60F74"/>
    <w:rsid w:val="7C0B2C9F"/>
    <w:rsid w:val="7C223541"/>
    <w:rsid w:val="7C237534"/>
    <w:rsid w:val="7C3676B5"/>
    <w:rsid w:val="7C3E3158"/>
    <w:rsid w:val="7C400356"/>
    <w:rsid w:val="7C5B6663"/>
    <w:rsid w:val="7C6D584B"/>
    <w:rsid w:val="7C72031C"/>
    <w:rsid w:val="7CC80AFC"/>
    <w:rsid w:val="7CDA04CF"/>
    <w:rsid w:val="7CEE0C4D"/>
    <w:rsid w:val="7D12583B"/>
    <w:rsid w:val="7D43109E"/>
    <w:rsid w:val="7D5F49C1"/>
    <w:rsid w:val="7DA07D45"/>
    <w:rsid w:val="7DC953EA"/>
    <w:rsid w:val="7DF1015F"/>
    <w:rsid w:val="7E185746"/>
    <w:rsid w:val="7E1A2DEF"/>
    <w:rsid w:val="7E1A7DFF"/>
    <w:rsid w:val="7E494870"/>
    <w:rsid w:val="7E4B0021"/>
    <w:rsid w:val="7E600547"/>
    <w:rsid w:val="7E6E3264"/>
    <w:rsid w:val="7E6F1987"/>
    <w:rsid w:val="7EE33B7E"/>
    <w:rsid w:val="7EEC741D"/>
    <w:rsid w:val="7F0D7F93"/>
    <w:rsid w:val="7F1359FE"/>
    <w:rsid w:val="7F221BEC"/>
    <w:rsid w:val="7F313044"/>
    <w:rsid w:val="7F4140C4"/>
    <w:rsid w:val="7F6F6188"/>
    <w:rsid w:val="7F717E17"/>
    <w:rsid w:val="7FA21A0C"/>
    <w:rsid w:val="7FB06EC3"/>
    <w:rsid w:val="7FEB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3"/>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qFormat/>
    <w:uiPriority w:val="0"/>
  </w:style>
  <w:style w:type="table" w:default="1" w:styleId="3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9629"/>
      </w:tabs>
      <w:spacing w:before="120" w:after="120" w:line="480" w:lineRule="auto"/>
      <w:jc w:val="left"/>
    </w:pPr>
    <w:rPr>
      <w:rFonts w:eastAsia="楷体_GB2312"/>
      <w:b/>
      <w:bCs/>
      <w:caps/>
      <w:sz w:val="20"/>
      <w:szCs w:val="20"/>
    </w:rPr>
  </w:style>
  <w:style w:type="paragraph" w:styleId="7">
    <w:name w:val="List 3"/>
    <w:basedOn w:val="1"/>
    <w:qFormat/>
    <w:uiPriority w:val="0"/>
    <w:pPr>
      <w:ind w:left="1260" w:hanging="420"/>
    </w:pPr>
    <w:rPr>
      <w:szCs w:val="20"/>
    </w:rPr>
  </w:style>
  <w:style w:type="paragraph" w:styleId="8">
    <w:name w:val="List Number"/>
    <w:basedOn w:val="1"/>
    <w:qFormat/>
    <w:uiPriority w:val="0"/>
    <w:pPr>
      <w:tabs>
        <w:tab w:val="left" w:pos="360"/>
      </w:tabs>
      <w:ind w:left="360" w:hanging="360"/>
    </w:pPr>
    <w:rPr>
      <w:szCs w:val="20"/>
    </w:rPr>
  </w:style>
  <w:style w:type="paragraph" w:styleId="9">
    <w:name w:val="Normal Indent"/>
    <w:basedOn w:val="1"/>
    <w:next w:val="1"/>
    <w:link w:val="54"/>
    <w:qFormat/>
    <w:uiPriority w:val="0"/>
    <w:pPr>
      <w:ind w:firstLine="420"/>
    </w:pPr>
    <w:rPr>
      <w:szCs w:val="20"/>
    </w:rPr>
  </w:style>
  <w:style w:type="paragraph" w:styleId="10">
    <w:name w:val="Document Map"/>
    <w:basedOn w:val="1"/>
    <w:link w:val="55"/>
    <w:qFormat/>
    <w:uiPriority w:val="0"/>
    <w:pPr>
      <w:shd w:val="clear" w:color="auto" w:fill="000080"/>
    </w:pPr>
    <w:rPr>
      <w:szCs w:val="20"/>
    </w:rPr>
  </w:style>
  <w:style w:type="paragraph" w:styleId="11">
    <w:name w:val="annotation text"/>
    <w:basedOn w:val="1"/>
    <w:semiHidden/>
    <w:qFormat/>
    <w:uiPriority w:val="0"/>
    <w:pPr>
      <w:jc w:val="left"/>
    </w:pPr>
  </w:style>
  <w:style w:type="paragraph" w:styleId="12">
    <w:name w:val="Body Text 3"/>
    <w:basedOn w:val="1"/>
    <w:qFormat/>
    <w:uiPriority w:val="0"/>
    <w:pPr>
      <w:snapToGrid w:val="0"/>
      <w:spacing w:before="50" w:after="50"/>
    </w:pPr>
  </w:style>
  <w:style w:type="paragraph" w:styleId="13">
    <w:name w:val="Body Text"/>
    <w:basedOn w:val="1"/>
    <w:next w:val="14"/>
    <w:qFormat/>
    <w:uiPriority w:val="0"/>
    <w:pPr>
      <w:jc w:val="center"/>
    </w:pPr>
    <w:rPr>
      <w:sz w:val="28"/>
      <w:szCs w:val="20"/>
    </w:rPr>
  </w:style>
  <w:style w:type="paragraph" w:styleId="14">
    <w:name w:val="Body Text First Indent"/>
    <w:basedOn w:val="13"/>
    <w:next w:val="15"/>
    <w:qFormat/>
    <w:uiPriority w:val="0"/>
    <w:pPr>
      <w:spacing w:after="120"/>
      <w:ind w:firstLine="420"/>
      <w:jc w:val="both"/>
    </w:pPr>
    <w:rPr>
      <w:sz w:val="21"/>
    </w:rPr>
  </w:style>
  <w:style w:type="paragraph" w:styleId="15">
    <w:name w:val="toc 6"/>
    <w:basedOn w:val="1"/>
    <w:next w:val="1"/>
    <w:qFormat/>
    <w:uiPriority w:val="0"/>
    <w:pPr>
      <w:ind w:left="2100" w:leftChars="1000"/>
    </w:pPr>
  </w:style>
  <w:style w:type="paragraph" w:styleId="16">
    <w:name w:val="Body Text Indent"/>
    <w:basedOn w:val="1"/>
    <w:next w:val="9"/>
    <w:qFormat/>
    <w:uiPriority w:val="0"/>
    <w:pPr>
      <w:ind w:firstLine="540"/>
    </w:pPr>
    <w:rPr>
      <w:rFonts w:ascii="宋体"/>
      <w:sz w:val="28"/>
      <w:szCs w:val="20"/>
    </w:rPr>
  </w:style>
  <w:style w:type="paragraph" w:styleId="17">
    <w:name w:val="List Number 3"/>
    <w:basedOn w:val="1"/>
    <w:qFormat/>
    <w:uiPriority w:val="0"/>
    <w:pPr>
      <w:tabs>
        <w:tab w:val="left" w:pos="1200"/>
      </w:tabs>
      <w:ind w:left="1200" w:hanging="360"/>
    </w:pPr>
  </w:style>
  <w:style w:type="paragraph" w:styleId="18">
    <w:name w:val="List 2"/>
    <w:basedOn w:val="1"/>
    <w:qFormat/>
    <w:uiPriority w:val="0"/>
    <w:pPr>
      <w:ind w:left="840" w:hanging="420"/>
    </w:pPr>
    <w:rPr>
      <w:szCs w:val="20"/>
    </w:rPr>
  </w:style>
  <w:style w:type="paragraph" w:styleId="19">
    <w:name w:val="Block Text"/>
    <w:basedOn w:val="1"/>
    <w:qFormat/>
    <w:uiPriority w:val="0"/>
    <w:pPr>
      <w:spacing w:line="400" w:lineRule="exact"/>
      <w:ind w:left="1153" w:leftChars="549" w:right="1753" w:rightChars="835"/>
    </w:pPr>
    <w:rPr>
      <w:rFonts w:ascii="楷体_GB2312" w:hAnsi="宋体" w:eastAsia="楷体_GB2312"/>
      <w:b/>
      <w:szCs w:val="21"/>
    </w:rPr>
  </w:style>
  <w:style w:type="paragraph" w:styleId="20">
    <w:name w:val="Plain Text"/>
    <w:basedOn w:val="1"/>
    <w:next w:val="1"/>
    <w:link w:val="56"/>
    <w:qFormat/>
    <w:uiPriority w:val="0"/>
    <w:rPr>
      <w:rFonts w:ascii="宋体" w:hAnsi="Courier New"/>
      <w:szCs w:val="20"/>
    </w:rPr>
  </w:style>
  <w:style w:type="paragraph" w:styleId="21">
    <w:name w:val="Date"/>
    <w:basedOn w:val="1"/>
    <w:next w:val="1"/>
    <w:link w:val="57"/>
    <w:qFormat/>
    <w:uiPriority w:val="0"/>
    <w:rPr>
      <w:szCs w:val="20"/>
    </w:rPr>
  </w:style>
  <w:style w:type="paragraph" w:styleId="22">
    <w:name w:val="Body Text Indent 2"/>
    <w:basedOn w:val="1"/>
    <w:qFormat/>
    <w:uiPriority w:val="0"/>
    <w:pPr>
      <w:spacing w:after="120" w:line="480" w:lineRule="auto"/>
      <w:ind w:left="420"/>
    </w:pPr>
    <w:rPr>
      <w:szCs w:val="20"/>
    </w:rPr>
  </w:style>
  <w:style w:type="paragraph" w:styleId="23">
    <w:name w:val="Balloon Text"/>
    <w:basedOn w:val="1"/>
    <w:semiHidden/>
    <w:qFormat/>
    <w:uiPriority w:val="0"/>
    <w:rPr>
      <w:sz w:val="18"/>
      <w:szCs w:val="18"/>
    </w:rPr>
  </w:style>
  <w:style w:type="paragraph" w:styleId="24">
    <w:name w:val="footer"/>
    <w:basedOn w:val="1"/>
    <w:link w:val="58"/>
    <w:qFormat/>
    <w:uiPriority w:val="99"/>
    <w:pPr>
      <w:tabs>
        <w:tab w:val="center" w:pos="4153"/>
        <w:tab w:val="right" w:pos="8306"/>
      </w:tabs>
      <w:snapToGrid w:val="0"/>
      <w:jc w:val="left"/>
    </w:pPr>
    <w:rPr>
      <w:sz w:val="18"/>
      <w:szCs w:val="20"/>
    </w:rPr>
  </w:style>
  <w:style w:type="paragraph" w:styleId="25">
    <w:name w:val="header"/>
    <w:basedOn w:val="1"/>
    <w:link w:val="59"/>
    <w:qFormat/>
    <w:uiPriority w:val="0"/>
    <w:pPr>
      <w:pBdr>
        <w:bottom w:val="single" w:color="auto" w:sz="6" w:space="1"/>
      </w:pBdr>
      <w:tabs>
        <w:tab w:val="center" w:pos="4153"/>
        <w:tab w:val="right" w:pos="8306"/>
      </w:tabs>
      <w:snapToGrid w:val="0"/>
      <w:jc w:val="center"/>
    </w:pPr>
    <w:rPr>
      <w:sz w:val="18"/>
      <w:szCs w:val="20"/>
    </w:rPr>
  </w:style>
  <w:style w:type="paragraph" w:styleId="26">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7">
    <w:name w:val="List"/>
    <w:basedOn w:val="1"/>
    <w:qFormat/>
    <w:uiPriority w:val="0"/>
    <w:pPr>
      <w:ind w:left="420" w:hanging="420"/>
    </w:pPr>
    <w:rPr>
      <w:szCs w:val="20"/>
    </w:rPr>
  </w:style>
  <w:style w:type="paragraph" w:styleId="28">
    <w:name w:val="Body Text Indent 3"/>
    <w:basedOn w:val="1"/>
    <w:qFormat/>
    <w:uiPriority w:val="0"/>
    <w:pPr>
      <w:adjustRightInd w:val="0"/>
      <w:spacing w:line="312" w:lineRule="atLeast"/>
      <w:ind w:left="574"/>
      <w:textAlignment w:val="baseline"/>
    </w:pPr>
    <w:rPr>
      <w:rFonts w:ascii="宋体"/>
      <w:kern w:val="0"/>
      <w:sz w:val="28"/>
      <w:szCs w:val="20"/>
    </w:rPr>
  </w:style>
  <w:style w:type="paragraph" w:styleId="29">
    <w:name w:val="toc 2"/>
    <w:basedOn w:val="1"/>
    <w:next w:val="1"/>
    <w:qFormat/>
    <w:uiPriority w:val="39"/>
    <w:pPr>
      <w:ind w:left="210"/>
      <w:jc w:val="left"/>
    </w:pPr>
    <w:rPr>
      <w:smallCaps/>
      <w:sz w:val="20"/>
      <w:szCs w:val="20"/>
    </w:rPr>
  </w:style>
  <w:style w:type="paragraph" w:styleId="30">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2">
    <w:name w:val="index 1"/>
    <w:basedOn w:val="1"/>
    <w:next w:val="1"/>
    <w:qFormat/>
    <w:uiPriority w:val="0"/>
    <w:pPr>
      <w:tabs>
        <w:tab w:val="left" w:pos="712"/>
      </w:tabs>
      <w:jc w:val="center"/>
    </w:pPr>
    <w:rPr>
      <w:spacing w:val="-20"/>
      <w:szCs w:val="20"/>
    </w:rPr>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1"/>
    <w:next w:val="11"/>
    <w:semiHidden/>
    <w:qFormat/>
    <w:uiPriority w:val="0"/>
    <w:rPr>
      <w:b/>
      <w:bCs/>
    </w:rPr>
  </w:style>
  <w:style w:type="paragraph" w:styleId="35">
    <w:name w:val="Body Text First Indent 2"/>
    <w:basedOn w:val="16"/>
    <w:next w:val="1"/>
    <w:qFormat/>
    <w:uiPriority w:val="0"/>
    <w:pPr>
      <w:spacing w:after="120"/>
      <w:ind w:left="420" w:firstLine="420"/>
    </w:pPr>
    <w:rPr>
      <w:rFonts w:ascii="Times New Roman"/>
      <w:sz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9">
    <w:name w:val="Strong"/>
    <w:qFormat/>
    <w:uiPriority w:val="22"/>
    <w:rPr>
      <w:b/>
      <w:bCs/>
    </w:rPr>
  </w:style>
  <w:style w:type="character" w:styleId="40">
    <w:name w:val="page number"/>
    <w:qFormat/>
    <w:uiPriority w:val="0"/>
  </w:style>
  <w:style w:type="character" w:styleId="41">
    <w:name w:val="FollowedHyperlink"/>
    <w:qFormat/>
    <w:uiPriority w:val="0"/>
    <w:rPr>
      <w:color w:val="800080"/>
      <w:u w:val="single"/>
    </w:rPr>
  </w:style>
  <w:style w:type="character" w:styleId="42">
    <w:name w:val="Emphasis"/>
    <w:qFormat/>
    <w:uiPriority w:val="20"/>
    <w:rPr>
      <w:i/>
      <w:iCs/>
    </w:rPr>
  </w:style>
  <w:style w:type="character" w:styleId="43">
    <w:name w:val="HTML Typewriter"/>
    <w:qFormat/>
    <w:uiPriority w:val="0"/>
    <w:rPr>
      <w:rFonts w:ascii="宋体" w:hAnsi="宋体" w:eastAsia="宋体" w:cs="宋体"/>
      <w:sz w:val="18"/>
      <w:szCs w:val="18"/>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paragraph" w:customStyle="1" w:styleId="46">
    <w:name w:val="章正文"/>
    <w:basedOn w:val="1"/>
    <w:qFormat/>
    <w:uiPriority w:val="0"/>
    <w:pPr>
      <w:spacing w:beforeLines="50" w:after="120" w:line="300" w:lineRule="auto"/>
      <w:ind w:firstLine="480"/>
    </w:pPr>
    <w:rPr>
      <w:rFonts w:ascii="Helvetica" w:hAnsi="Helvetica"/>
      <w:kern w:val="0"/>
      <w:sz w:val="24"/>
    </w:rPr>
  </w:style>
  <w:style w:type="paragraph" w:customStyle="1" w:styleId="47">
    <w:name w:val="Body Text First Indent 21"/>
    <w:basedOn w:val="48"/>
    <w:qFormat/>
    <w:uiPriority w:val="0"/>
    <w:pPr>
      <w:ind w:firstLine="420"/>
    </w:pPr>
  </w:style>
  <w:style w:type="paragraph" w:customStyle="1" w:styleId="48">
    <w:name w:val="Body Text Indent1"/>
    <w:basedOn w:val="1"/>
    <w:qFormat/>
    <w:uiPriority w:val="0"/>
    <w:pPr>
      <w:spacing w:line="500" w:lineRule="exact"/>
      <w:ind w:firstLine="880" w:firstLineChars="200"/>
    </w:pPr>
    <w:rPr>
      <w:rFonts w:ascii="Times New Roman" w:hAnsi="Times New Roman" w:eastAsia="宋体" w:cs="Times New Roman"/>
    </w:rPr>
  </w:style>
  <w:style w:type="paragraph" w:customStyle="1" w:styleId="49">
    <w:name w:val="_Style 3"/>
    <w:basedOn w:val="1"/>
    <w:qFormat/>
    <w:uiPriority w:val="0"/>
    <w:rPr>
      <w:szCs w:val="20"/>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1">
    <w:name w:val="标题 1 字符"/>
    <w:link w:val="3"/>
    <w:qFormat/>
    <w:uiPriority w:val="0"/>
    <w:rPr>
      <w:rFonts w:eastAsia="宋体"/>
      <w:b/>
      <w:bCs/>
      <w:kern w:val="44"/>
      <w:sz w:val="44"/>
      <w:szCs w:val="44"/>
      <w:lang w:val="en-US" w:eastAsia="zh-CN" w:bidi="ar-SA"/>
    </w:rPr>
  </w:style>
  <w:style w:type="character" w:customStyle="1" w:styleId="52">
    <w:name w:val="标题 2 字符1"/>
    <w:link w:val="4"/>
    <w:qFormat/>
    <w:uiPriority w:val="0"/>
    <w:rPr>
      <w:rFonts w:ascii="Arial" w:hAnsi="Arial" w:eastAsia="黑体"/>
      <w:b/>
      <w:bCs/>
      <w:kern w:val="2"/>
      <w:sz w:val="32"/>
      <w:szCs w:val="32"/>
      <w:lang w:val="en-US" w:eastAsia="zh-CN" w:bidi="ar-SA"/>
    </w:rPr>
  </w:style>
  <w:style w:type="character" w:customStyle="1" w:styleId="53">
    <w:name w:val="标题 3 字符"/>
    <w:link w:val="5"/>
    <w:qFormat/>
    <w:uiPriority w:val="0"/>
    <w:rPr>
      <w:b/>
      <w:bCs/>
      <w:kern w:val="2"/>
      <w:sz w:val="32"/>
      <w:szCs w:val="32"/>
    </w:rPr>
  </w:style>
  <w:style w:type="character" w:customStyle="1" w:styleId="54">
    <w:name w:val="正文缩进 字符"/>
    <w:link w:val="9"/>
    <w:qFormat/>
    <w:uiPriority w:val="0"/>
    <w:rPr>
      <w:rFonts w:eastAsia="宋体"/>
      <w:kern w:val="2"/>
      <w:sz w:val="21"/>
      <w:lang w:val="en-US" w:eastAsia="zh-CN" w:bidi="ar-SA"/>
    </w:rPr>
  </w:style>
  <w:style w:type="character" w:customStyle="1" w:styleId="55">
    <w:name w:val="文档结构图 字符"/>
    <w:link w:val="10"/>
    <w:qFormat/>
    <w:uiPriority w:val="0"/>
    <w:rPr>
      <w:kern w:val="2"/>
      <w:sz w:val="21"/>
      <w:shd w:val="clear" w:color="auto" w:fill="000080"/>
    </w:rPr>
  </w:style>
  <w:style w:type="character" w:customStyle="1" w:styleId="56">
    <w:name w:val="纯文本 字符"/>
    <w:link w:val="20"/>
    <w:qFormat/>
    <w:uiPriority w:val="0"/>
    <w:rPr>
      <w:rFonts w:ascii="宋体" w:hAnsi="Courier New"/>
      <w:kern w:val="2"/>
      <w:sz w:val="21"/>
    </w:rPr>
  </w:style>
  <w:style w:type="character" w:customStyle="1" w:styleId="57">
    <w:name w:val="日期 字符"/>
    <w:link w:val="21"/>
    <w:qFormat/>
    <w:uiPriority w:val="0"/>
    <w:rPr>
      <w:kern w:val="2"/>
      <w:sz w:val="21"/>
    </w:rPr>
  </w:style>
  <w:style w:type="character" w:customStyle="1" w:styleId="58">
    <w:name w:val="页脚 字符"/>
    <w:link w:val="24"/>
    <w:qFormat/>
    <w:uiPriority w:val="99"/>
    <w:rPr>
      <w:rFonts w:eastAsia="宋体"/>
      <w:kern w:val="2"/>
      <w:sz w:val="18"/>
      <w:lang w:val="en-US" w:eastAsia="zh-CN" w:bidi="ar-SA"/>
    </w:rPr>
  </w:style>
  <w:style w:type="character" w:customStyle="1" w:styleId="59">
    <w:name w:val="页眉 字符"/>
    <w:link w:val="25"/>
    <w:qFormat/>
    <w:uiPriority w:val="0"/>
    <w:rPr>
      <w:rFonts w:eastAsia="宋体"/>
      <w:kern w:val="2"/>
      <w:sz w:val="18"/>
      <w:lang w:val="en-US" w:eastAsia="zh-CN" w:bidi="ar-SA"/>
    </w:rPr>
  </w:style>
  <w:style w:type="character" w:customStyle="1" w:styleId="60">
    <w:name w:val="size31"/>
    <w:qFormat/>
    <w:uiPriority w:val="0"/>
    <w:rPr>
      <w:rFonts w:hint="default" w:ascii="Arial" w:hAnsi="Arial" w:cs="Arial"/>
      <w:color w:val="2D2D2D"/>
      <w:sz w:val="18"/>
      <w:szCs w:val="18"/>
    </w:rPr>
  </w:style>
  <w:style w:type="character" w:customStyle="1" w:styleId="61">
    <w:name w:val="para1"/>
    <w:qFormat/>
    <w:uiPriority w:val="0"/>
    <w:rPr>
      <w:rFonts w:hint="default" w:ascii="Arial" w:hAnsi="Arial" w:cs="Arial"/>
      <w:sz w:val="18"/>
      <w:szCs w:val="18"/>
    </w:rPr>
  </w:style>
  <w:style w:type="character" w:customStyle="1" w:styleId="62">
    <w:name w:val="apple-converted-space"/>
    <w:qFormat/>
    <w:uiPriority w:val="0"/>
  </w:style>
  <w:style w:type="character" w:customStyle="1" w:styleId="63">
    <w:name w:val=" Char Char3"/>
    <w:qFormat/>
    <w:uiPriority w:val="0"/>
    <w:rPr>
      <w:rFonts w:eastAsia="宋体"/>
      <w:kern w:val="2"/>
      <w:sz w:val="18"/>
      <w:lang w:val="en-US" w:eastAsia="zh-CN" w:bidi="ar-SA"/>
    </w:rPr>
  </w:style>
  <w:style w:type="character" w:customStyle="1" w:styleId="64">
    <w:name w:val="Normal Indent Char"/>
    <w:qFormat/>
    <w:locked/>
    <w:uiPriority w:val="0"/>
    <w:rPr>
      <w:lang w:eastAsia="en-US"/>
    </w:rPr>
  </w:style>
  <w:style w:type="character" w:customStyle="1" w:styleId="65">
    <w:name w:val=" Char Char2"/>
    <w:qFormat/>
    <w:uiPriority w:val="0"/>
    <w:rPr>
      <w:rFonts w:ascii="Arial" w:hAnsi="Arial" w:eastAsia="黑体"/>
      <w:b/>
      <w:bCs/>
      <w:kern w:val="2"/>
      <w:sz w:val="32"/>
      <w:szCs w:val="32"/>
      <w:lang w:val="en-US" w:eastAsia="zh-CN" w:bidi="ar-SA"/>
    </w:rPr>
  </w:style>
  <w:style w:type="character" w:customStyle="1" w:styleId="66">
    <w:name w:val="Normal Indent Char Char"/>
    <w:qFormat/>
    <w:uiPriority w:val="0"/>
    <w:rPr>
      <w:rFonts w:eastAsia="宋体"/>
      <w:sz w:val="24"/>
      <w:lang w:val="en-US" w:eastAsia="zh-CN" w:bidi="ar-SA"/>
    </w:rPr>
  </w:style>
  <w:style w:type="character" w:customStyle="1" w:styleId="67">
    <w:name w:val="h2 Char"/>
    <w:qFormat/>
    <w:uiPriority w:val="0"/>
    <w:rPr>
      <w:rFonts w:ascii="Arial" w:hAnsi="Arial" w:eastAsia="黑体"/>
      <w:b/>
      <w:bCs/>
      <w:kern w:val="2"/>
      <w:sz w:val="32"/>
      <w:szCs w:val="32"/>
      <w:lang w:val="en-US" w:eastAsia="zh-CN" w:bidi="ar-SA"/>
    </w:rPr>
  </w:style>
  <w:style w:type="character" w:customStyle="1" w:styleId="68">
    <w:name w:val="font71"/>
    <w:qFormat/>
    <w:uiPriority w:val="0"/>
    <w:rPr>
      <w:rFonts w:hint="eastAsia" w:ascii="宋体" w:hAnsi="宋体" w:eastAsia="宋体" w:cs="宋体"/>
      <w:color w:val="000000"/>
      <w:sz w:val="20"/>
      <w:szCs w:val="20"/>
      <w:u w:val="none"/>
    </w:rPr>
  </w:style>
  <w:style w:type="character" w:customStyle="1" w:styleId="69">
    <w:name w:val="标题 1 Char Char"/>
    <w:qFormat/>
    <w:uiPriority w:val="0"/>
    <w:rPr>
      <w:rFonts w:eastAsia="宋体"/>
      <w:b/>
      <w:spacing w:val="-2"/>
      <w:sz w:val="24"/>
      <w:lang w:val="en-US" w:eastAsia="zh-CN" w:bidi="ar-SA"/>
    </w:rPr>
  </w:style>
  <w:style w:type="character" w:customStyle="1" w:styleId="70">
    <w:name w:val="列表段落 字符"/>
    <w:link w:val="71"/>
    <w:qFormat/>
    <w:locked/>
    <w:uiPriority w:val="0"/>
    <w:rPr>
      <w:rFonts w:ascii="Calibri" w:hAnsi="Calibri" w:eastAsia="宋体"/>
      <w:kern w:val="2"/>
      <w:sz w:val="21"/>
      <w:szCs w:val="22"/>
      <w:lang w:val="en-US" w:eastAsia="zh-CN" w:bidi="ar-SA"/>
    </w:rPr>
  </w:style>
  <w:style w:type="paragraph" w:styleId="71">
    <w:name w:val="List Paragraph"/>
    <w:basedOn w:val="1"/>
    <w:link w:val="70"/>
    <w:qFormat/>
    <w:uiPriority w:val="0"/>
    <w:pPr>
      <w:ind w:firstLine="420" w:firstLineChars="200"/>
    </w:pPr>
    <w:rPr>
      <w:rFonts w:ascii="Calibri" w:hAnsi="Calibri"/>
      <w:szCs w:val="22"/>
    </w:rPr>
  </w:style>
  <w:style w:type="character" w:customStyle="1" w:styleId="72">
    <w:name w:val="表格 Char Char"/>
    <w:link w:val="73"/>
    <w:qFormat/>
    <w:uiPriority w:val="0"/>
    <w:rPr>
      <w:rFonts w:ascii="宋体" w:hAnsi="宋体" w:eastAsia="宋体"/>
      <w:lang w:val="en-US" w:eastAsia="zh-CN" w:bidi="ar-SA"/>
    </w:rPr>
  </w:style>
  <w:style w:type="paragraph" w:customStyle="1" w:styleId="73">
    <w:name w:val="表格"/>
    <w:basedOn w:val="1"/>
    <w:link w:val="72"/>
    <w:qFormat/>
    <w:uiPriority w:val="0"/>
    <w:pPr>
      <w:snapToGrid w:val="0"/>
      <w:ind w:firstLine="42" w:firstLineChars="21"/>
    </w:pPr>
    <w:rPr>
      <w:rFonts w:ascii="宋体" w:hAnsi="宋体"/>
      <w:kern w:val="0"/>
      <w:sz w:val="20"/>
      <w:szCs w:val="20"/>
    </w:rPr>
  </w:style>
  <w:style w:type="paragraph" w:customStyle="1" w:styleId="74">
    <w:name w:val="xl67"/>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75">
    <w:name w:val="正文－恩普"/>
    <w:basedOn w:val="9"/>
    <w:qFormat/>
    <w:uiPriority w:val="0"/>
    <w:pPr>
      <w:framePr w:wrap="around" w:vAnchor="text" w:hAnchor="text" w:y="1"/>
      <w:spacing w:line="360" w:lineRule="auto"/>
      <w:ind w:firstLine="200" w:firstLineChars="200"/>
    </w:pPr>
    <w:rPr>
      <w:sz w:val="24"/>
      <w:szCs w:val="24"/>
    </w:rPr>
  </w:style>
  <w:style w:type="paragraph" w:customStyle="1" w:styleId="76">
    <w:name w:val="Plain Text"/>
    <w:basedOn w:val="1"/>
    <w:qFormat/>
    <w:uiPriority w:val="0"/>
    <w:pPr>
      <w:adjustRightInd w:val="0"/>
      <w:textAlignment w:val="baseline"/>
    </w:pPr>
    <w:rPr>
      <w:rFonts w:ascii="宋体" w:hAnsi="Courier New" w:eastAsia="楷体_GB2312"/>
      <w:sz w:val="28"/>
      <w:szCs w:val="20"/>
    </w:rPr>
  </w:style>
  <w:style w:type="paragraph" w:customStyle="1" w:styleId="77">
    <w:name w:val="表格正文"/>
    <w:basedOn w:val="1"/>
    <w:qFormat/>
    <w:uiPriority w:val="0"/>
    <w:pPr>
      <w:spacing w:line="240" w:lineRule="atLeast"/>
    </w:pPr>
    <w:rPr>
      <w:rFonts w:eastAsia="楷体_GB2312"/>
      <w:sz w:val="24"/>
    </w:rPr>
  </w:style>
  <w:style w:type="paragraph" w:customStyle="1" w:styleId="78">
    <w:name w:val="xl70"/>
    <w:basedOn w:val="1"/>
    <w:qFormat/>
    <w:uiPriority w:val="0"/>
    <w:pPr>
      <w:widowControl/>
      <w:spacing w:before="100" w:beforeAutospacing="1" w:after="100" w:afterAutospacing="1"/>
      <w:jc w:val="left"/>
    </w:pPr>
    <w:rPr>
      <w:rFonts w:ascii="宋体" w:hAnsi="宋体" w:cs="宋体"/>
      <w:kern w:val="0"/>
      <w:szCs w:val="21"/>
    </w:rPr>
  </w:style>
  <w:style w:type="paragraph" w:customStyle="1" w:styleId="79">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font11"/>
    <w:basedOn w:val="1"/>
    <w:qFormat/>
    <w:uiPriority w:val="0"/>
    <w:pPr>
      <w:widowControl/>
      <w:spacing w:before="100" w:beforeAutospacing="1" w:after="100" w:afterAutospacing="1"/>
      <w:jc w:val="left"/>
    </w:pPr>
    <w:rPr>
      <w:color w:val="000000"/>
      <w:kern w:val="0"/>
      <w:szCs w:val="21"/>
    </w:rPr>
  </w:style>
  <w:style w:type="paragraph" w:customStyle="1" w:styleId="81">
    <w:name w:val="xl27"/>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8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3">
    <w:name w:val="xl73"/>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84">
    <w:name w:val="xl77"/>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86">
    <w:name w:val="xl74"/>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87">
    <w:name w:val=" Char4 Char Char1 Char"/>
    <w:basedOn w:val="1"/>
    <w:qFormat/>
    <w:uiPriority w:val="0"/>
    <w:rPr>
      <w:rFonts w:ascii="Tahoma" w:hAnsi="Tahoma"/>
      <w:sz w:val="24"/>
      <w:szCs w:val="20"/>
    </w:rPr>
  </w:style>
  <w:style w:type="paragraph" w:customStyle="1" w:styleId="88">
    <w:name w:val="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9">
    <w:name w:val="Char Char1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xl6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91">
    <w:name w:val="xl68"/>
    <w:basedOn w:val="1"/>
    <w:qFormat/>
    <w:uiPriority w:val="0"/>
    <w:pPr>
      <w:widowControl/>
      <w:spacing w:before="100" w:beforeAutospacing="1" w:after="100" w:afterAutospacing="1"/>
      <w:textAlignment w:val="center"/>
    </w:pPr>
    <w:rPr>
      <w:rFonts w:ascii="宋体" w:hAnsi="宋体" w:cs="宋体"/>
      <w:kern w:val="0"/>
      <w:szCs w:val="21"/>
    </w:rPr>
  </w:style>
  <w:style w:type="paragraph" w:customStyle="1" w:styleId="92">
    <w:name w:val="正文首行缩进3"/>
    <w:basedOn w:val="1"/>
    <w:next w:val="1"/>
    <w:qFormat/>
    <w:uiPriority w:val="0"/>
    <w:pPr>
      <w:widowControl/>
      <w:spacing w:before="120" w:after="120" w:line="360" w:lineRule="auto"/>
    </w:pPr>
    <w:rPr>
      <w:rFonts w:ascii="宋体" w:hAnsi="宋体"/>
      <w:bCs/>
      <w:kern w:val="0"/>
      <w:sz w:val="24"/>
      <w:szCs w:val="21"/>
    </w:rPr>
  </w:style>
  <w:style w:type="paragraph" w:customStyle="1" w:styleId="93">
    <w:name w:val="中文正文"/>
    <w:basedOn w:val="1"/>
    <w:qFormat/>
    <w:uiPriority w:val="0"/>
    <w:pPr>
      <w:spacing w:before="156" w:beforeLines="50" w:after="156" w:afterLines="50" w:line="360" w:lineRule="auto"/>
      <w:ind w:firstLine="480" w:firstLineChars="200"/>
    </w:pPr>
    <w:rPr>
      <w:sz w:val="24"/>
      <w:szCs w:val="20"/>
    </w:rPr>
  </w:style>
  <w:style w:type="paragraph" w:customStyle="1" w:styleId="94">
    <w:name w:val="列表内容"/>
    <w:basedOn w:val="1"/>
    <w:next w:val="1"/>
    <w:qFormat/>
    <w:uiPriority w:val="0"/>
    <w:pPr>
      <w:widowControl/>
      <w:tabs>
        <w:tab w:val="left" w:pos="840"/>
      </w:tabs>
      <w:ind w:left="840" w:hanging="420"/>
      <w:jc w:val="left"/>
    </w:pPr>
    <w:rPr>
      <w:kern w:val="0"/>
      <w:sz w:val="18"/>
    </w:rPr>
  </w:style>
  <w:style w:type="paragraph" w:customStyle="1" w:styleId="95">
    <w:name w:val="正文2"/>
    <w:basedOn w:val="1"/>
    <w:qFormat/>
    <w:uiPriority w:val="0"/>
    <w:pPr>
      <w:spacing w:before="156" w:line="360" w:lineRule="auto"/>
      <w:ind w:firstLine="510" w:firstLineChars="200"/>
    </w:pPr>
    <w:rPr>
      <w:sz w:val="24"/>
      <w:szCs w:val="20"/>
    </w:rPr>
  </w:style>
  <w:style w:type="paragraph" w:customStyle="1" w:styleId="9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7">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98">
    <w:name w:val="xl64"/>
    <w:basedOn w:val="1"/>
    <w:qFormat/>
    <w:uiPriority w:val="0"/>
    <w:pPr>
      <w:widowControl/>
      <w:spacing w:before="100" w:beforeAutospacing="1" w:after="100" w:afterAutospacing="1"/>
      <w:jc w:val="center"/>
      <w:textAlignment w:val="center"/>
    </w:pPr>
    <w:rPr>
      <w:rFonts w:ascii="宋体" w:hAnsi="宋体" w:cs="宋体"/>
      <w:kern w:val="0"/>
      <w:szCs w:val="21"/>
    </w:rPr>
  </w:style>
  <w:style w:type="paragraph" w:customStyle="1" w:styleId="99">
    <w:name w:val=" Char Char Char Char Char Char Char"/>
    <w:basedOn w:val="1"/>
    <w:qFormat/>
    <w:uiPriority w:val="0"/>
    <w:rPr>
      <w:rFonts w:ascii="仿宋_GB2312" w:eastAsia="仿宋_GB2312"/>
      <w:b/>
      <w:sz w:val="32"/>
      <w:szCs w:val="32"/>
    </w:rPr>
  </w:style>
  <w:style w:type="paragraph" w:customStyle="1" w:styleId="100">
    <w:name w:val="文章正文"/>
    <w:basedOn w:val="1"/>
    <w:next w:val="1"/>
    <w:qFormat/>
    <w:uiPriority w:val="0"/>
    <w:pPr>
      <w:widowControl/>
      <w:tabs>
        <w:tab w:val="center" w:pos="4153"/>
        <w:tab w:val="right" w:pos="8306"/>
      </w:tabs>
      <w:snapToGrid w:val="0"/>
      <w:spacing w:line="360" w:lineRule="auto"/>
      <w:ind w:firstLine="480" w:firstLineChars="200"/>
      <w:jc w:val="left"/>
    </w:pPr>
    <w:rPr>
      <w:rFonts w:cs="宋体"/>
      <w:kern w:val="0"/>
      <w:sz w:val="24"/>
      <w:szCs w:val="20"/>
    </w:rPr>
  </w:style>
  <w:style w:type="paragraph" w:customStyle="1" w:styleId="101">
    <w:name w:val="Char Char Char Char"/>
    <w:basedOn w:val="1"/>
    <w:qFormat/>
    <w:uiPriority w:val="0"/>
    <w:pPr>
      <w:widowControl/>
      <w:spacing w:after="160" w:line="240" w:lineRule="exact"/>
      <w:jc w:val="left"/>
    </w:pPr>
  </w:style>
  <w:style w:type="paragraph" w:customStyle="1" w:styleId="102">
    <w:name w:val="列出段落1"/>
    <w:basedOn w:val="1"/>
    <w:qFormat/>
    <w:uiPriority w:val="0"/>
    <w:pPr>
      <w:ind w:firstLine="420" w:firstLineChars="200"/>
    </w:pPr>
    <w:rPr>
      <w:rFonts w:ascii="Calibri" w:hAnsi="Calibri"/>
      <w:szCs w:val="22"/>
    </w:rPr>
  </w:style>
  <w:style w:type="paragraph" w:customStyle="1" w:styleId="103">
    <w:name w:val="正文段"/>
    <w:basedOn w:val="1"/>
    <w:qFormat/>
    <w:uiPriority w:val="0"/>
    <w:pPr>
      <w:widowControl/>
      <w:snapToGrid w:val="0"/>
      <w:spacing w:after="50" w:afterLines="50"/>
      <w:ind w:firstLine="200" w:firstLineChars="200"/>
    </w:pPr>
    <w:rPr>
      <w:kern w:val="0"/>
      <w:sz w:val="24"/>
      <w:szCs w:val="20"/>
    </w:rPr>
  </w:style>
  <w:style w:type="paragraph" w:customStyle="1" w:styleId="104">
    <w:name w:val="xl71"/>
    <w:basedOn w:val="1"/>
    <w:qFormat/>
    <w:uiPriority w:val="0"/>
    <w:pPr>
      <w:widowControl/>
      <w:spacing w:before="100" w:beforeAutospacing="1" w:after="100" w:afterAutospacing="1"/>
      <w:jc w:val="left"/>
    </w:pPr>
    <w:rPr>
      <w:rFonts w:ascii="Arial" w:hAnsi="Arial" w:cs="Arial"/>
      <w:kern w:val="0"/>
      <w:szCs w:val="21"/>
    </w:rPr>
  </w:style>
  <w:style w:type="paragraph" w:customStyle="1" w:styleId="105">
    <w:name w:val="font7"/>
    <w:basedOn w:val="1"/>
    <w:qFormat/>
    <w:uiPriority w:val="0"/>
    <w:pPr>
      <w:widowControl/>
      <w:spacing w:before="100" w:beforeAutospacing="1" w:after="100" w:afterAutospacing="1"/>
      <w:jc w:val="left"/>
    </w:pPr>
    <w:rPr>
      <w:rFonts w:hint="eastAsia" w:ascii="宋体" w:hAnsi="宋体" w:cs="Arial Unicode MS"/>
      <w:b/>
      <w:bCs/>
      <w:kern w:val="0"/>
      <w:sz w:val="24"/>
    </w:rPr>
  </w:style>
  <w:style w:type="paragraph" w:styleId="106">
    <w:name w:val="No Spacing"/>
    <w:qFormat/>
    <w:uiPriority w:val="0"/>
    <w:rPr>
      <w:rFonts w:ascii="Times New Roman" w:hAnsi="Times New Roman" w:eastAsia="宋体" w:cs="Times New Roman"/>
      <w:sz w:val="22"/>
      <w:szCs w:val="22"/>
      <w:lang w:val="en-US" w:eastAsia="zh-CN" w:bidi="ar-SA"/>
    </w:rPr>
  </w:style>
  <w:style w:type="paragraph" w:customStyle="1" w:styleId="107">
    <w:name w:val=" Char2 Char Char Char"/>
    <w:basedOn w:val="1"/>
    <w:qFormat/>
    <w:uiPriority w:val="0"/>
    <w:rPr>
      <w:rFonts w:ascii="仿宋_GB2312" w:eastAsia="仿宋_GB2312"/>
      <w:b/>
      <w:sz w:val="32"/>
      <w:szCs w:val="32"/>
    </w:rPr>
  </w:style>
  <w:style w:type="paragraph" w:customStyle="1" w:styleId="108">
    <w:name w:val=" 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09">
    <w:name w:val="xl66"/>
    <w:basedOn w:val="1"/>
    <w:qFormat/>
    <w:uiPriority w:val="0"/>
    <w:pPr>
      <w:widowControl/>
      <w:spacing w:before="100" w:beforeAutospacing="1" w:after="100" w:afterAutospacing="1"/>
      <w:jc w:val="left"/>
      <w:textAlignment w:val="center"/>
    </w:pPr>
    <w:rPr>
      <w:rFonts w:ascii="宋体" w:hAnsi="宋体" w:cs="宋体"/>
      <w:kern w:val="0"/>
      <w:szCs w:val="21"/>
    </w:rPr>
  </w:style>
  <w:style w:type="paragraph" w:customStyle="1" w:styleId="110">
    <w:name w:val="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12">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113">
    <w:name w:val="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5">
    <w:name w:val="默认段落字体 Para Char Char Char Char Char Char Char Char Char1 Char Char Char Char"/>
    <w:basedOn w:val="1"/>
    <w:qFormat/>
    <w:uiPriority w:val="0"/>
    <w:rPr>
      <w:rFonts w:ascii="Tahoma" w:hAnsi="Tahoma"/>
      <w:sz w:val="24"/>
      <w:szCs w:val="20"/>
    </w:rPr>
  </w:style>
  <w:style w:type="paragraph" w:customStyle="1" w:styleId="116">
    <w:name w:val="xl75"/>
    <w:basedOn w:val="1"/>
    <w:qFormat/>
    <w:uiPriority w:val="0"/>
    <w:pPr>
      <w:widowControl/>
      <w:spacing w:before="100" w:beforeAutospacing="1" w:after="100" w:afterAutospacing="1"/>
      <w:textAlignment w:val="center"/>
    </w:pPr>
    <w:rPr>
      <w:rFonts w:ascii="宋体" w:hAnsi="宋体" w:cs="宋体"/>
      <w:color w:val="000000"/>
      <w:kern w:val="0"/>
      <w:szCs w:val="21"/>
    </w:rPr>
  </w:style>
  <w:style w:type="paragraph" w:customStyle="1" w:styleId="117">
    <w:name w:val=" 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19">
    <w:name w:val="xl72"/>
    <w:basedOn w:val="1"/>
    <w:qFormat/>
    <w:uiPriority w:val="0"/>
    <w:pPr>
      <w:widowControl/>
      <w:spacing w:before="100" w:beforeAutospacing="1" w:after="100" w:afterAutospacing="1"/>
      <w:jc w:val="left"/>
    </w:pPr>
    <w:rPr>
      <w:rFonts w:ascii="Arial" w:hAnsi="Arial" w:cs="Arial"/>
      <w:kern w:val="0"/>
      <w:szCs w:val="21"/>
    </w:rPr>
  </w:style>
  <w:style w:type="paragraph" w:customStyle="1" w:styleId="120">
    <w:name w:val="简单回函地址"/>
    <w:basedOn w:val="1"/>
    <w:qFormat/>
    <w:uiPriority w:val="0"/>
    <w:rPr>
      <w:szCs w:val="20"/>
    </w:rPr>
  </w:style>
  <w:style w:type="paragraph" w:customStyle="1" w:styleId="121">
    <w:name w:val="xl76"/>
    <w:basedOn w:val="1"/>
    <w:qFormat/>
    <w:uiPriority w:val="0"/>
    <w:pPr>
      <w:widowControl/>
      <w:spacing w:before="100" w:beforeAutospacing="1" w:after="100" w:afterAutospacing="1"/>
      <w:textAlignment w:val="center"/>
    </w:pPr>
    <w:rPr>
      <w:rFonts w:ascii="Arial" w:hAnsi="Arial" w:cs="Arial"/>
      <w:color w:val="000000"/>
      <w:kern w:val="0"/>
      <w:szCs w:val="21"/>
    </w:rPr>
  </w:style>
  <w:style w:type="paragraph" w:customStyle="1" w:styleId="12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4">
    <w:name w:val="font10"/>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12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No Spacing1"/>
    <w:qFormat/>
    <w:uiPriority w:val="0"/>
    <w:rPr>
      <w:rFonts w:ascii="Times New Roman" w:hAnsi="Times New Roman" w:eastAsia="宋体" w:cs="Times New Roman"/>
      <w:sz w:val="22"/>
      <w:szCs w:val="22"/>
      <w:lang w:val="en-US" w:eastAsia="zh-CN" w:bidi="ar-SA"/>
    </w:rPr>
  </w:style>
  <w:style w:type="character" w:customStyle="1" w:styleId="127">
    <w:name w:val="标题 2 Char"/>
    <w:qFormat/>
    <w:uiPriority w:val="0"/>
    <w:rPr>
      <w:rFonts w:ascii="Arial" w:hAnsi="Arial" w:eastAsia="黑体"/>
      <w:b/>
      <w:bCs/>
      <w:kern w:val="2"/>
      <w:sz w:val="32"/>
      <w:szCs w:val="32"/>
      <w:lang w:val="en-US" w:eastAsia="zh-CN" w:bidi="ar-SA"/>
    </w:rPr>
  </w:style>
  <w:style w:type="paragraph" w:customStyle="1" w:styleId="128">
    <w:name w:val="p0"/>
    <w:basedOn w:val="1"/>
    <w:qFormat/>
    <w:uiPriority w:val="0"/>
    <w:pPr>
      <w:widowControl/>
    </w:pPr>
    <w:rPr>
      <w:kern w:val="0"/>
      <w:szCs w:val="21"/>
    </w:rPr>
  </w:style>
  <w:style w:type="paragraph" w:customStyle="1" w:styleId="129">
    <w:name w:val="大汉方案正文 Char"/>
    <w:basedOn w:val="1"/>
    <w:qFormat/>
    <w:uiPriority w:val="0"/>
    <w:pPr>
      <w:spacing w:line="360" w:lineRule="auto"/>
      <w:ind w:firstLine="200" w:firstLineChars="200"/>
    </w:pPr>
    <w:rPr>
      <w:rFonts w:ascii="Arial" w:hAnsi="Arial"/>
      <w:kern w:val="0"/>
      <w:sz w:val="24"/>
    </w:rPr>
  </w:style>
  <w:style w:type="character" w:customStyle="1" w:styleId="130">
    <w:name w:val="font01"/>
    <w:qFormat/>
    <w:uiPriority w:val="0"/>
    <w:rPr>
      <w:rFonts w:hint="eastAsia" w:ascii="宋体" w:hAnsi="宋体" w:eastAsia="宋体"/>
      <w:color w:val="000000"/>
      <w:sz w:val="20"/>
      <w:szCs w:val="20"/>
      <w:u w:val="none"/>
    </w:rPr>
  </w:style>
  <w:style w:type="character" w:customStyle="1" w:styleId="131">
    <w:name w:val="Char Char8"/>
    <w:qFormat/>
    <w:uiPriority w:val="0"/>
    <w:rPr>
      <w:rFonts w:eastAsia="黑体"/>
      <w:kern w:val="44"/>
      <w:sz w:val="28"/>
      <w:szCs w:val="24"/>
      <w:lang w:val="en-US" w:eastAsia="zh-CN" w:bidi="ar-SA"/>
    </w:rPr>
  </w:style>
  <w:style w:type="character" w:customStyle="1" w:styleId="132">
    <w:name w:val="标题 2 Char Char"/>
    <w:qFormat/>
    <w:uiPriority w:val="0"/>
    <w:rPr>
      <w:rFonts w:ascii="Arial" w:hAnsi="Arial" w:eastAsia="黑体"/>
      <w:b/>
      <w:bCs/>
      <w:kern w:val="2"/>
      <w:sz w:val="32"/>
      <w:szCs w:val="32"/>
      <w:lang w:val="en-US" w:eastAsia="zh-CN" w:bidi="ar-SA"/>
    </w:rPr>
  </w:style>
  <w:style w:type="character" w:customStyle="1" w:styleId="133">
    <w:name w:val="over"/>
    <w:qFormat/>
    <w:uiPriority w:val="0"/>
    <w:rPr>
      <w:color w:val="CC0000"/>
    </w:rPr>
  </w:style>
  <w:style w:type="character" w:customStyle="1" w:styleId="134">
    <w:name w:val="style31"/>
    <w:qFormat/>
    <w:uiPriority w:val="0"/>
    <w:rPr>
      <w:sz w:val="18"/>
      <w:szCs w:val="18"/>
    </w:rPr>
  </w:style>
  <w:style w:type="character" w:customStyle="1" w:styleId="135">
    <w:name w:val="font31"/>
    <w:qFormat/>
    <w:uiPriority w:val="0"/>
    <w:rPr>
      <w:rFonts w:hint="eastAsia" w:ascii="宋体" w:hAnsi="宋体" w:eastAsia="宋体" w:cs="宋体"/>
      <w:color w:val="000000"/>
      <w:sz w:val="28"/>
      <w:szCs w:val="28"/>
      <w:u w:val="none"/>
    </w:rPr>
  </w:style>
  <w:style w:type="character" w:customStyle="1" w:styleId="136">
    <w:name w:val=" Char Char14"/>
    <w:qFormat/>
    <w:uiPriority w:val="0"/>
    <w:rPr>
      <w:rFonts w:ascii="Arial" w:hAnsi="Arial" w:eastAsia="黑体"/>
      <w:b/>
      <w:bCs/>
      <w:kern w:val="2"/>
      <w:sz w:val="32"/>
      <w:szCs w:val="32"/>
      <w:lang w:val="en-US" w:eastAsia="zh-CN" w:bidi="ar-SA"/>
    </w:rPr>
  </w:style>
  <w:style w:type="character" w:customStyle="1" w:styleId="137">
    <w:name w:val="Footer Char"/>
    <w:qFormat/>
    <w:locked/>
    <w:uiPriority w:val="0"/>
    <w:rPr>
      <w:rFonts w:cs="Times New Roman"/>
      <w:sz w:val="18"/>
      <w:szCs w:val="18"/>
    </w:rPr>
  </w:style>
  <w:style w:type="character" w:customStyle="1" w:styleId="138">
    <w:name w:val="show_title1"/>
    <w:qFormat/>
    <w:uiPriority w:val="0"/>
    <w:rPr>
      <w:rFonts w:hint="default" w:ascii="Verdana" w:hAnsi="Verdana"/>
      <w:b/>
      <w:bCs/>
      <w:color w:val="990000"/>
      <w:sz w:val="36"/>
      <w:szCs w:val="36"/>
    </w:rPr>
  </w:style>
  <w:style w:type="character" w:customStyle="1" w:styleId="139">
    <w:name w:val="style21"/>
    <w:qFormat/>
    <w:uiPriority w:val="0"/>
    <w:rPr>
      <w:color w:val="EF6A11"/>
    </w:rPr>
  </w:style>
  <w:style w:type="character" w:customStyle="1" w:styleId="140">
    <w:name w:val="h2 Char2"/>
    <w:qFormat/>
    <w:uiPriority w:val="0"/>
    <w:rPr>
      <w:rFonts w:ascii="Arial" w:hAnsi="Arial" w:eastAsia="黑体"/>
      <w:b/>
      <w:bCs/>
      <w:kern w:val="2"/>
      <w:sz w:val="32"/>
      <w:szCs w:val="32"/>
      <w:lang w:val="en-US" w:eastAsia="zh-CN" w:bidi="ar-SA"/>
    </w:rPr>
  </w:style>
  <w:style w:type="character" w:customStyle="1" w:styleId="141">
    <w:name w:val="标书1 Char1"/>
    <w:qFormat/>
    <w:uiPriority w:val="0"/>
    <w:rPr>
      <w:rFonts w:eastAsia="宋体"/>
      <w:b/>
      <w:bCs/>
      <w:kern w:val="44"/>
      <w:sz w:val="44"/>
      <w:szCs w:val="44"/>
      <w:lang w:val="en-US" w:eastAsia="zh-CN" w:bidi="ar-SA"/>
    </w:rPr>
  </w:style>
  <w:style w:type="character" w:customStyle="1" w:styleId="142">
    <w:name w:val="font21"/>
    <w:qFormat/>
    <w:uiPriority w:val="0"/>
    <w:rPr>
      <w:rFonts w:hint="eastAsia" w:ascii="宋体" w:hAnsi="宋体" w:eastAsia="宋体" w:cs="宋体"/>
      <w:color w:val="DD0806"/>
      <w:sz w:val="28"/>
      <w:szCs w:val="28"/>
      <w:u w:val="none"/>
    </w:rPr>
  </w:style>
  <w:style w:type="character" w:customStyle="1" w:styleId="143">
    <w:name w:val="标题 1 Char Char Char Char Char3"/>
    <w:qFormat/>
    <w:uiPriority w:val="0"/>
    <w:rPr>
      <w:rFonts w:eastAsia="宋体"/>
      <w:b/>
      <w:bCs/>
      <w:kern w:val="44"/>
      <w:sz w:val="44"/>
      <w:szCs w:val="44"/>
      <w:lang w:val="en-US" w:eastAsia="zh-CN" w:bidi="ar-SA"/>
    </w:rPr>
  </w:style>
  <w:style w:type="character" w:customStyle="1" w:styleId="144">
    <w:name w:val="style51"/>
    <w:qFormat/>
    <w:uiPriority w:val="0"/>
    <w:rPr>
      <w:color w:val="3300FF"/>
    </w:rPr>
  </w:style>
  <w:style w:type="character" w:customStyle="1" w:styleId="145">
    <w:name w:val=" Char Char20"/>
    <w:qFormat/>
    <w:uiPriority w:val="0"/>
    <w:rPr>
      <w:rFonts w:eastAsia="宋体"/>
      <w:b/>
      <w:bCs/>
      <w:kern w:val="44"/>
      <w:sz w:val="44"/>
      <w:szCs w:val="44"/>
      <w:lang w:val="en-US" w:eastAsia="zh-CN" w:bidi="ar-SA"/>
    </w:rPr>
  </w:style>
  <w:style w:type="character" w:customStyle="1" w:styleId="146">
    <w:name w:val="font41"/>
    <w:qFormat/>
    <w:uiPriority w:val="0"/>
    <w:rPr>
      <w:rFonts w:hint="eastAsia" w:ascii="宋体" w:hAnsi="宋体" w:eastAsia="宋体"/>
      <w:color w:val="000000"/>
      <w:sz w:val="20"/>
      <w:szCs w:val="20"/>
      <w:u w:val="none"/>
    </w:rPr>
  </w:style>
  <w:style w:type="character" w:customStyle="1" w:styleId="147">
    <w:name w:val="Table Text Char1"/>
    <w:link w:val="148"/>
    <w:qFormat/>
    <w:uiPriority w:val="0"/>
    <w:rPr>
      <w:rFonts w:ascii="Arial" w:hAnsi="Arial"/>
      <w:kern w:val="2"/>
      <w:sz w:val="18"/>
      <w:szCs w:val="24"/>
    </w:rPr>
  </w:style>
  <w:style w:type="paragraph" w:customStyle="1" w:styleId="148">
    <w:name w:val="Table Text"/>
    <w:basedOn w:val="1"/>
    <w:link w:val="147"/>
    <w:qFormat/>
    <w:uiPriority w:val="0"/>
    <w:pPr>
      <w:widowControl/>
      <w:tabs>
        <w:tab w:val="decimal" w:pos="0"/>
      </w:tabs>
      <w:autoSpaceDE w:val="0"/>
      <w:autoSpaceDN w:val="0"/>
      <w:adjustRightInd w:val="0"/>
      <w:spacing w:before="80" w:after="80"/>
    </w:pPr>
    <w:rPr>
      <w:rFonts w:ascii="Arial" w:hAnsi="Arial"/>
      <w:sz w:val="18"/>
    </w:rPr>
  </w:style>
  <w:style w:type="paragraph" w:customStyle="1" w:styleId="149">
    <w:name w:val="xl5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5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5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152">
    <w:name w:val="xl179"/>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5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7">
    <w:name w:val="_Style 10"/>
    <w:basedOn w:val="1"/>
    <w:qFormat/>
    <w:uiPriority w:val="0"/>
    <w:pPr>
      <w:ind w:firstLine="200" w:firstLineChars="200"/>
    </w:pPr>
    <w:rPr>
      <w:rFonts w:eastAsia="仿宋_GB2312"/>
      <w:sz w:val="34"/>
    </w:rPr>
  </w:style>
  <w:style w:type="paragraph" w:customStyle="1" w:styleId="158">
    <w:name w:val="xl10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160">
    <w:name w:val="xl17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1">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16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6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65">
    <w:name w:val="Char Char Char1"/>
    <w:basedOn w:val="1"/>
    <w:qFormat/>
    <w:uiPriority w:val="0"/>
    <w:rPr>
      <w:rFonts w:ascii="Tahoma" w:hAnsi="Tahoma"/>
      <w:sz w:val="24"/>
      <w:szCs w:val="20"/>
    </w:rPr>
  </w:style>
  <w:style w:type="paragraph" w:customStyle="1" w:styleId="166">
    <w:name w:val="xl1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6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6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 w:val="20"/>
      <w:szCs w:val="20"/>
    </w:rPr>
  </w:style>
  <w:style w:type="paragraph" w:customStyle="1" w:styleId="16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1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1">
    <w:name w:val="xl52"/>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新宋体" w:hAnsi="新宋体" w:eastAsia="新宋体" w:cs="宋体"/>
      <w:kern w:val="0"/>
      <w:sz w:val="20"/>
      <w:szCs w:val="20"/>
    </w:rPr>
  </w:style>
  <w:style w:type="paragraph" w:customStyle="1" w:styleId="173">
    <w:name w:val="样式 样式 宋体 + 首行缩进:  2 字符"/>
    <w:basedOn w:val="1"/>
    <w:qFormat/>
    <w:uiPriority w:val="0"/>
    <w:pPr>
      <w:spacing w:line="360" w:lineRule="auto"/>
      <w:ind w:firstLine="560" w:firstLineChars="200"/>
      <w:jc w:val="left"/>
    </w:pPr>
    <w:rPr>
      <w:rFonts w:ascii="仿宋_GB2312" w:hAnsi="仿宋" w:eastAsia="仿宋_GB2312" w:cs="宋体"/>
      <w:sz w:val="28"/>
      <w:szCs w:val="20"/>
    </w:rPr>
  </w:style>
  <w:style w:type="paragraph" w:customStyle="1" w:styleId="174">
    <w:name w:val="xl1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17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7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7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18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82">
    <w:name w:val="xl201"/>
    <w:basedOn w:val="1"/>
    <w:qFormat/>
    <w:uiPriority w:val="0"/>
    <w:pPr>
      <w:widowControl/>
      <w:spacing w:before="100" w:beforeAutospacing="1" w:after="100" w:afterAutospacing="1"/>
      <w:jc w:val="center"/>
    </w:pPr>
    <w:rPr>
      <w:rFonts w:ascii="宋体" w:hAnsi="宋体" w:cs="宋体"/>
      <w:b/>
      <w:bCs/>
      <w:color w:val="FF0000"/>
      <w:kern w:val="0"/>
      <w:sz w:val="28"/>
      <w:szCs w:val="28"/>
    </w:rPr>
  </w:style>
  <w:style w:type="paragraph" w:customStyle="1" w:styleId="18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1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85">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86">
    <w:name w:val="xl183"/>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87">
    <w:name w:val="xl4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8">
    <w:name w:val="xl1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189">
    <w:name w:val="--规划正文"/>
    <w:basedOn w:val="1"/>
    <w:qFormat/>
    <w:uiPriority w:val="0"/>
    <w:pPr>
      <w:widowControl/>
      <w:suppressAutoHyphens/>
      <w:spacing w:line="360" w:lineRule="auto"/>
      <w:ind w:firstLine="200"/>
      <w:jc w:val="left"/>
    </w:pPr>
    <w:rPr>
      <w:szCs w:val="21"/>
    </w:rPr>
  </w:style>
  <w:style w:type="paragraph" w:customStyle="1" w:styleId="190">
    <w:name w:val=" 字元 字元"/>
    <w:basedOn w:val="1"/>
    <w:qFormat/>
    <w:uiPriority w:val="0"/>
    <w:pPr>
      <w:widowControl/>
      <w:spacing w:after="160" w:line="240" w:lineRule="exact"/>
      <w:jc w:val="left"/>
    </w:pPr>
    <w:rPr>
      <w:sz w:val="28"/>
      <w:szCs w:val="20"/>
    </w:rPr>
  </w:style>
  <w:style w:type="paragraph" w:customStyle="1" w:styleId="191">
    <w:name w:val="xl19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19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93">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szCs w:val="20"/>
    </w:rPr>
  </w:style>
  <w:style w:type="paragraph" w:customStyle="1" w:styleId="19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95">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196">
    <w:name w:val="xl192"/>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19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19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9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0">
    <w:name w:val="样式 首行缩进:  0 字符"/>
    <w:basedOn w:val="1"/>
    <w:qFormat/>
    <w:uiPriority w:val="0"/>
    <w:pPr>
      <w:spacing w:line="360" w:lineRule="auto"/>
      <w:ind w:firstLine="200" w:firstLineChars="200"/>
    </w:pPr>
    <w:rPr>
      <w:rFonts w:ascii="Verdana" w:hAnsi="Verdana" w:cs="宋体"/>
      <w:sz w:val="24"/>
    </w:rPr>
  </w:style>
  <w:style w:type="paragraph" w:customStyle="1" w:styleId="20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0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0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0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6">
    <w:name w:val="xl19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7">
    <w:name w:val="xl1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0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09">
    <w:name w:val="默认段落字体 Para Char Char Char Char Char Char Char Char Char Char"/>
    <w:basedOn w:val="1"/>
    <w:qFormat/>
    <w:uiPriority w:val="0"/>
    <w:rPr>
      <w:rFonts w:ascii="Tahoma" w:hAnsi="Tahoma"/>
      <w:sz w:val="24"/>
      <w:szCs w:val="20"/>
    </w:rPr>
  </w:style>
  <w:style w:type="paragraph" w:customStyle="1" w:styleId="21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1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2">
    <w:name w:val="xl1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1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4">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1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1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18">
    <w:name w:val="xl1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1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22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21">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2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22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25">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26">
    <w:name w:val="xl180"/>
    <w:basedOn w:val="1"/>
    <w:qFormat/>
    <w:uiPriority w:val="0"/>
    <w:pPr>
      <w:widowControl/>
      <w:pBdr>
        <w:bottom w:val="single" w:color="auto" w:sz="8" w:space="0"/>
        <w:right w:val="single" w:color="auto" w:sz="8"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2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3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3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232">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23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0"/>
      <w:szCs w:val="20"/>
    </w:rPr>
  </w:style>
  <w:style w:type="paragraph" w:customStyle="1" w:styleId="234">
    <w:name w:val="xl137"/>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35">
    <w:name w:val="xl1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36">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FF0000"/>
      <w:kern w:val="0"/>
      <w:sz w:val="20"/>
      <w:szCs w:val="20"/>
    </w:rPr>
  </w:style>
  <w:style w:type="paragraph" w:customStyle="1" w:styleId="237">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s="宋体"/>
      <w:b/>
      <w:bCs/>
      <w:kern w:val="0"/>
      <w:sz w:val="20"/>
      <w:szCs w:val="20"/>
    </w:rPr>
  </w:style>
  <w:style w:type="paragraph" w:customStyle="1" w:styleId="238">
    <w:name w:val="xl20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textAlignment w:val="center"/>
    </w:pPr>
    <w:rPr>
      <w:rFonts w:ascii="宋体" w:hAnsi="宋体" w:cs="宋体"/>
      <w:kern w:val="0"/>
      <w:sz w:val="20"/>
      <w:szCs w:val="20"/>
    </w:rPr>
  </w:style>
  <w:style w:type="paragraph" w:customStyle="1" w:styleId="239">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2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4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42">
    <w:name w:val="办公自动化专用正文"/>
    <w:basedOn w:val="1"/>
    <w:qFormat/>
    <w:uiPriority w:val="0"/>
    <w:pPr>
      <w:spacing w:line="500" w:lineRule="atLeast"/>
      <w:ind w:firstLine="624"/>
    </w:pPr>
    <w:rPr>
      <w:rFonts w:eastAsia="楷体_GB2312"/>
      <w:sz w:val="32"/>
      <w:szCs w:val="20"/>
    </w:rPr>
  </w:style>
  <w:style w:type="paragraph" w:customStyle="1" w:styleId="24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45">
    <w:name w:val="xl19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46">
    <w:name w:val="Char Char1 Char Char Char Char Char Char Char Char Char Char Char Char Char Char Char Char Char Char Char Char Char"/>
    <w:basedOn w:val="1"/>
    <w:qFormat/>
    <w:uiPriority w:val="0"/>
    <w:pPr>
      <w:widowControl/>
      <w:tabs>
        <w:tab w:val="left" w:pos="1095"/>
      </w:tabs>
      <w:spacing w:after="160" w:line="240" w:lineRule="exact"/>
      <w:jc w:val="left"/>
    </w:pPr>
    <w:rPr>
      <w:rFonts w:ascii="Verdana" w:hAnsi="Verdana"/>
      <w:kern w:val="0"/>
      <w:sz w:val="20"/>
      <w:szCs w:val="20"/>
      <w:lang w:eastAsia="en-US"/>
    </w:rPr>
  </w:style>
  <w:style w:type="paragraph" w:customStyle="1" w:styleId="24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8">
    <w:name w:val=" Char Char1 Char Char Char Char Char Char Char Char Char Char Char Char Char Char Char Char Char Char Char"/>
    <w:basedOn w:val="1"/>
    <w:qFormat/>
    <w:uiPriority w:val="0"/>
    <w:pPr>
      <w:widowControl/>
      <w:spacing w:after="160" w:line="240" w:lineRule="exact"/>
      <w:jc w:val="left"/>
    </w:pPr>
  </w:style>
  <w:style w:type="paragraph" w:customStyle="1" w:styleId="2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2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FF0000"/>
      <w:kern w:val="0"/>
      <w:sz w:val="20"/>
      <w:szCs w:val="20"/>
    </w:rPr>
  </w:style>
  <w:style w:type="paragraph" w:customStyle="1" w:styleId="2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3">
    <w:name w:val="xl13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54">
    <w:name w:val="font13"/>
    <w:basedOn w:val="1"/>
    <w:qFormat/>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55">
    <w:name w:val="cm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57">
    <w:name w:val="xl18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5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9">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6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61">
    <w:name w:val="xl5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2">
    <w:name w:val="font12"/>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63">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264">
    <w:name w:val="List Paragraph1"/>
    <w:basedOn w:val="1"/>
    <w:qFormat/>
    <w:uiPriority w:val="0"/>
    <w:pPr>
      <w:ind w:firstLine="420" w:firstLineChars="200"/>
    </w:pPr>
    <w:rPr>
      <w:rFonts w:ascii="Calibri" w:hAnsi="Calibri"/>
      <w:szCs w:val="21"/>
    </w:rPr>
  </w:style>
  <w:style w:type="paragraph" w:customStyle="1" w:styleId="265">
    <w:name w:val="xl20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66">
    <w:name w:val="xl13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67">
    <w:name w:val="1 Char Char Char Char"/>
    <w:basedOn w:val="1"/>
    <w:qFormat/>
    <w:uiPriority w:val="0"/>
    <w:rPr>
      <w:rFonts w:ascii="Tahoma" w:hAnsi="Tahoma"/>
      <w:sz w:val="24"/>
      <w:szCs w:val="20"/>
    </w:rPr>
  </w:style>
  <w:style w:type="paragraph" w:customStyle="1" w:styleId="26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9">
    <w:name w:val="xl1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7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7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7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27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7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7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7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78">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9">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280">
    <w:name w:val="Item Step in Table"/>
    <w:qFormat/>
    <w:uiPriority w:val="0"/>
    <w:pPr>
      <w:tabs>
        <w:tab w:val="left" w:pos="420"/>
        <w:tab w:val="left" w:pos="945"/>
      </w:tabs>
      <w:spacing w:before="40" w:after="40"/>
      <w:ind w:left="945" w:hanging="420"/>
      <w:jc w:val="both"/>
    </w:pPr>
    <w:rPr>
      <w:rFonts w:ascii="Arial" w:hAnsi="Arial" w:eastAsia="宋体" w:cs="Arial"/>
      <w:sz w:val="18"/>
      <w:szCs w:val="18"/>
      <w:lang w:val="en-US" w:eastAsia="zh-CN" w:bidi="ar-SA"/>
    </w:rPr>
  </w:style>
  <w:style w:type="paragraph" w:customStyle="1" w:styleId="28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2">
    <w:name w:val="xl16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83">
    <w:name w:val="xl19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4">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8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DotumChe" w:hAnsi="DotumChe" w:eastAsia="DotumChe" w:cs="宋体"/>
      <w:kern w:val="0"/>
      <w:sz w:val="18"/>
      <w:szCs w:val="18"/>
    </w:rPr>
  </w:style>
  <w:style w:type="paragraph" w:customStyle="1" w:styleId="286">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b/>
      <w:bCs/>
      <w:kern w:val="0"/>
      <w:sz w:val="20"/>
      <w:szCs w:val="20"/>
    </w:rPr>
  </w:style>
  <w:style w:type="paragraph" w:customStyle="1" w:styleId="28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0000"/>
      <w:kern w:val="0"/>
      <w:sz w:val="20"/>
      <w:szCs w:val="20"/>
    </w:rPr>
  </w:style>
  <w:style w:type="paragraph" w:customStyle="1" w:styleId="288">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szCs w:val="20"/>
    </w:rPr>
  </w:style>
  <w:style w:type="paragraph" w:customStyle="1" w:styleId="28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9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9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9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94">
    <w:name w:val="a2"/>
    <w:basedOn w:val="1"/>
    <w:qFormat/>
    <w:uiPriority w:val="0"/>
    <w:pPr>
      <w:widowControl/>
      <w:spacing w:after="150"/>
      <w:jc w:val="left"/>
    </w:pPr>
    <w:rPr>
      <w:rFonts w:ascii="宋体" w:hAnsi="宋体" w:cs="宋体"/>
      <w:kern w:val="0"/>
      <w:sz w:val="24"/>
    </w:rPr>
  </w:style>
  <w:style w:type="paragraph" w:customStyle="1" w:styleId="295">
    <w:name w:val="xl18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296">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97">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9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9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00">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30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30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0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FF0000"/>
      <w:kern w:val="0"/>
      <w:sz w:val="20"/>
      <w:szCs w:val="20"/>
    </w:rPr>
  </w:style>
  <w:style w:type="paragraph" w:customStyle="1" w:styleId="30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0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309">
    <w:name w:val="xl1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10">
    <w:name w:val="xl1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3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2">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FF0000"/>
      <w:kern w:val="0"/>
      <w:sz w:val="20"/>
      <w:szCs w:val="20"/>
    </w:rPr>
  </w:style>
  <w:style w:type="paragraph" w:customStyle="1" w:styleId="31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5">
    <w:name w:val="xl19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6">
    <w:name w:val="xl19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1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18">
    <w:name w:val="xl193"/>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2"/>
      <w:szCs w:val="22"/>
    </w:rPr>
  </w:style>
  <w:style w:type="paragraph" w:customStyle="1" w:styleId="319">
    <w:name w:val="xl1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32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FF0000"/>
      <w:kern w:val="0"/>
      <w:sz w:val="20"/>
      <w:szCs w:val="20"/>
    </w:rPr>
  </w:style>
  <w:style w:type="paragraph" w:customStyle="1" w:styleId="32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2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24">
    <w:name w:val="标题4"/>
    <w:basedOn w:val="1"/>
    <w:qFormat/>
    <w:uiPriority w:val="0"/>
    <w:rPr>
      <w:rFonts w:eastAsia="仿宋_GB2312"/>
      <w:sz w:val="32"/>
      <w:szCs w:val="20"/>
    </w:rPr>
  </w:style>
  <w:style w:type="character" w:customStyle="1" w:styleId="325">
    <w:name w:val="样式 标题 3 + 小四 Char Char"/>
    <w:qFormat/>
    <w:uiPriority w:val="0"/>
    <w:rPr>
      <w:rFonts w:ascii="宋体" w:hAnsi="宋体" w:eastAsia="宋体" w:cs="Arial"/>
      <w:b/>
      <w:bCs/>
      <w:smallCaps/>
      <w:kern w:val="2"/>
      <w:sz w:val="24"/>
      <w:szCs w:val="24"/>
      <w:lang w:val="en-US" w:eastAsia="zh-CN"/>
    </w:rPr>
  </w:style>
  <w:style w:type="paragraph" w:customStyle="1" w:styleId="326">
    <w:name w:val="纯文本1"/>
    <w:basedOn w:val="1"/>
    <w:qFormat/>
    <w:uiPriority w:val="99"/>
    <w:pPr>
      <w:adjustRightInd w:val="0"/>
      <w:textAlignment w:val="baseline"/>
    </w:pPr>
    <w:rPr>
      <w:rFonts w:ascii="宋体" w:hAnsi="Courier New" w:eastAsia="楷体_GB2312"/>
      <w:sz w:val="28"/>
      <w:szCs w:val="20"/>
    </w:rPr>
  </w:style>
  <w:style w:type="paragraph" w:customStyle="1" w:styleId="327">
    <w:name w:val="正文1"/>
    <w:basedOn w:val="1"/>
    <w:qFormat/>
    <w:uiPriority w:val="99"/>
    <w:pPr>
      <w:widowControl/>
      <w:overflowPunct w:val="0"/>
      <w:autoSpaceDE w:val="0"/>
      <w:autoSpaceDN w:val="0"/>
      <w:jc w:val="left"/>
    </w:pPr>
    <w:rPr>
      <w:rFonts w:ascii="宋体"/>
      <w:kern w:val="0"/>
      <w:szCs w:val="20"/>
    </w:rPr>
  </w:style>
  <w:style w:type="paragraph" w:customStyle="1" w:styleId="328">
    <w:name w:val="14p"/>
    <w:basedOn w:val="1"/>
    <w:qFormat/>
    <w:uiPriority w:val="0"/>
    <w:pPr>
      <w:widowControl/>
      <w:spacing w:before="100" w:beforeAutospacing="1" w:after="100" w:afterAutospacing="1" w:line="300" w:lineRule="atLeast"/>
      <w:jc w:val="left"/>
    </w:pPr>
    <w:rPr>
      <w:rFonts w:hint="eastAsia" w:ascii="宋体" w:hAnsi="宋体"/>
    </w:rPr>
  </w:style>
  <w:style w:type="character" w:customStyle="1" w:styleId="329">
    <w:name w:val="标题 2 字符"/>
    <w:qFormat/>
    <w:uiPriority w:val="0"/>
    <w:rPr>
      <w:rFonts w:ascii="Arial" w:hAnsi="Arial" w:eastAsia="黑体"/>
      <w:b/>
      <w:bCs/>
      <w:kern w:val="2"/>
      <w:sz w:val="32"/>
      <w:szCs w:val="32"/>
      <w:lang w:val="en-US" w:eastAsia="zh-CN" w:bidi="ar-SA"/>
    </w:rPr>
  </w:style>
  <w:style w:type="paragraph" w:customStyle="1" w:styleId="33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text"/>
    <w:basedOn w:val="1"/>
    <w:qFormat/>
    <w:uiPriority w:val="0"/>
    <w:pPr>
      <w:widowControl/>
      <w:spacing w:before="100" w:beforeAutospacing="1" w:after="100" w:afterAutospacing="1"/>
      <w:ind w:firstLine="420"/>
      <w:jc w:val="left"/>
    </w:pPr>
    <w:rPr>
      <w:rFonts w:ascii="宋体" w:hAnsi="宋体" w:cs="宋体"/>
      <w:kern w:val="0"/>
      <w:szCs w:val="21"/>
    </w:rPr>
  </w:style>
  <w:style w:type="character" w:customStyle="1" w:styleId="332">
    <w:name w:val="10"/>
    <w:qFormat/>
    <w:uiPriority w:val="0"/>
    <w:rPr>
      <w:rFonts w:hint="default" w:ascii="楷体_GB2312" w:eastAsia="楷体_GB2312" w:cs="楷体_GB2312"/>
    </w:rPr>
  </w:style>
  <w:style w:type="character" w:customStyle="1" w:styleId="333">
    <w:name w:val="15"/>
    <w:qFormat/>
    <w:uiPriority w:val="0"/>
    <w:rPr>
      <w:rFonts w:hint="default" w:ascii="楷体_GB2312" w:eastAsia="楷体_GB2312" w:cs="楷体_GB2312"/>
    </w:rPr>
  </w:style>
  <w:style w:type="character" w:customStyle="1" w:styleId="334">
    <w:name w:val="纯文本 字符1"/>
    <w:qFormat/>
    <w:uiPriority w:val="0"/>
    <w:rPr>
      <w:rFonts w:ascii="宋体" w:hAnsi="Courier New"/>
      <w:kern w:val="2"/>
      <w:sz w:val="21"/>
    </w:rPr>
  </w:style>
  <w:style w:type="paragraph" w:customStyle="1" w:styleId="335">
    <w:name w:val="_Style 330"/>
    <w:unhideWhenUsed/>
    <w:qFormat/>
    <w:uiPriority w:val="99"/>
    <w:rPr>
      <w:rFonts w:ascii="Times New Roman" w:hAnsi="Times New Roman" w:eastAsia="宋体" w:cs="Times New Roman"/>
      <w:kern w:val="2"/>
      <w:sz w:val="21"/>
      <w:szCs w:val="24"/>
      <w:lang w:val="en-US" w:eastAsia="zh-CN" w:bidi="ar-SA"/>
    </w:rPr>
  </w:style>
  <w:style w:type="table" w:customStyle="1" w:styleId="336">
    <w:name w:val="Table Normal"/>
    <w:unhideWhenUsed/>
    <w:qFormat/>
    <w:uiPriority w:val="0"/>
    <w:tblPr>
      <w:tblLayout w:type="fixed"/>
      <w:tblCellMar>
        <w:top w:w="0" w:type="dxa"/>
        <w:left w:w="0" w:type="dxa"/>
        <w:bottom w:w="0" w:type="dxa"/>
        <w:right w:w="0" w:type="dxa"/>
      </w:tblCellMar>
    </w:tblPr>
  </w:style>
  <w:style w:type="paragraph" w:customStyle="1" w:styleId="337">
    <w:name w:val="TOC1"/>
    <w:basedOn w:val="1"/>
    <w:next w:val="1"/>
    <w:qFormat/>
    <w:uiPriority w:val="0"/>
    <w:pPr>
      <w:tabs>
        <w:tab w:val="right" w:leader="dot" w:pos="9203"/>
      </w:tabs>
      <w:spacing w:before="120" w:after="120" w:line="360" w:lineRule="auto"/>
      <w:jc w:val="center"/>
      <w:textAlignment w:val="baseline"/>
    </w:pPr>
    <w:rPr>
      <w:rFonts w:ascii="宋体" w:hAnsi="宋体"/>
      <w:b/>
      <w:bCs/>
      <w:caps/>
      <w:sz w:val="20"/>
      <w:szCs w:val="20"/>
    </w:rPr>
  </w:style>
  <w:style w:type="paragraph" w:customStyle="1" w:styleId="338">
    <w:name w:val="首缩"/>
    <w:basedOn w:val="1"/>
    <w:qFormat/>
    <w:uiPriority w:val="0"/>
    <w:pPr>
      <w:adjustRightInd w:val="0"/>
      <w:spacing w:line="312" w:lineRule="atLeast"/>
      <w:ind w:firstLine="454"/>
      <w:textAlignment w:val="baseline"/>
    </w:pPr>
    <w:rPr>
      <w:kern w:val="0"/>
      <w:szCs w:val="20"/>
    </w:rPr>
  </w:style>
  <w:style w:type="paragraph" w:customStyle="1" w:styleId="339">
    <w:name w:val="标准正文"/>
    <w:basedOn w:val="1"/>
    <w:qFormat/>
    <w:uiPriority w:val="99"/>
    <w:pPr>
      <w:adjustRightInd w:val="0"/>
      <w:snapToGrid w:val="0"/>
      <w:spacing w:line="360" w:lineRule="auto"/>
      <w:jc w:val="left"/>
    </w:pPr>
    <w:rPr>
      <w:rFonts w:ascii="宋体"/>
      <w:kern w:val="0"/>
      <w:szCs w:val="20"/>
    </w:rPr>
  </w:style>
  <w:style w:type="paragraph" w:customStyle="1" w:styleId="340">
    <w:name w:val="缩进正文"/>
    <w:basedOn w:val="1"/>
    <w:qFormat/>
    <w:uiPriority w:val="0"/>
    <w:pPr>
      <w:adjustRightInd w:val="0"/>
      <w:snapToGrid w:val="0"/>
      <w:spacing w:line="360" w:lineRule="auto"/>
      <w:ind w:firstLine="200" w:firstLineChars="200"/>
      <w:jc w:val="left"/>
    </w:pPr>
    <w:rPr>
      <w:rFonts w:ascii="宋体"/>
      <w:kern w:val="0"/>
      <w:szCs w:val="20"/>
    </w:rPr>
  </w:style>
  <w:style w:type="character" w:customStyle="1" w:styleId="341">
    <w:name w:val="纯文本 Char1"/>
    <w:qFormat/>
    <w:locked/>
    <w:uiPriority w:val="0"/>
    <w:rPr>
      <w:rFonts w:ascii="宋体" w:hAnsi="Courier New" w:cs="Courier New"/>
      <w:szCs w:val="21"/>
    </w:rPr>
  </w:style>
  <w:style w:type="character" w:customStyle="1" w:styleId="342">
    <w:name w:val="font101"/>
    <w:qFormat/>
    <w:uiPriority w:val="0"/>
    <w:rPr>
      <w:rFonts w:hint="eastAsia" w:ascii="宋体" w:hAnsi="宋体" w:eastAsia="宋体" w:cs="宋体"/>
      <w:b/>
      <w:color w:val="000000"/>
      <w:sz w:val="18"/>
      <w:szCs w:val="18"/>
      <w:u w:val="none"/>
    </w:rPr>
  </w:style>
  <w:style w:type="character" w:customStyle="1" w:styleId="343">
    <w:name w:val="font9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52</Pages>
  <Words>5008</Words>
  <Characters>28546</Characters>
  <Lines>237</Lines>
  <Paragraphs>66</Paragraphs>
  <TotalTime>92</TotalTime>
  <ScaleCrop>false</ScaleCrop>
  <LinksUpToDate>false</LinksUpToDate>
  <CharactersWithSpaces>33488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2023-08-17T11:06:00Z</dcterms:created>
  <dc:creator>User</dc:creator>
  <cp:lastModifiedBy>Administrator</cp:lastModifiedBy>
  <cp:lastPrinted>2024-07-22T00:55:00Z</cp:lastPrinted>
  <dcterms:modified xsi:type="dcterms:W3CDTF">2024-10-18T06:17:05Z</dcterms:modified>
  <dc:title>附件1：海宁市政府采购普通项目招标文件范本（试行）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1FFCF08163B340659F62E6CF4A8C40D9_13</vt:lpwstr>
  </property>
</Properties>
</file>