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B840F1">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宋体" w:hAnsi="宋体" w:cs="宋体"/>
          <w:b/>
          <w:bCs/>
          <w:color w:val="auto"/>
          <w:sz w:val="44"/>
          <w:szCs w:val="44"/>
          <w:highlight w:val="none"/>
          <w:lang w:val="en-US" w:eastAsia="zh-CN"/>
        </w:rPr>
      </w:pPr>
      <w:bookmarkStart w:id="0" w:name="_Toc248065034"/>
      <w:bookmarkStart w:id="1" w:name="_Toc304551308"/>
      <w:bookmarkStart w:id="2" w:name="_Toc226337756"/>
      <w:bookmarkStart w:id="3" w:name="_Toc105829294"/>
      <w:bookmarkStart w:id="4" w:name="_Toc180555915"/>
      <w:bookmarkStart w:id="5" w:name="_Toc10071"/>
      <w:bookmarkStart w:id="6" w:name="_Toc340322162"/>
      <w:bookmarkStart w:id="7" w:name="_Toc340321907"/>
      <w:bookmarkStart w:id="8" w:name="_Toc339302123"/>
      <w:r>
        <w:rPr>
          <w:rFonts w:hint="eastAsia" w:ascii="宋体" w:hAnsi="宋体" w:cs="宋体"/>
          <w:b/>
          <w:bCs/>
          <w:color w:val="auto"/>
          <w:sz w:val="44"/>
          <w:szCs w:val="44"/>
          <w:highlight w:val="none"/>
          <w:lang w:val="en-US" w:eastAsia="zh-CN"/>
        </w:rPr>
        <w:t>嵊州市艇湖枢纽开发有限公司物业化运行</w:t>
      </w:r>
    </w:p>
    <w:p w14:paraId="234FCE42">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仿宋" w:hAnsi="仿宋" w:eastAsia="仿宋" w:cs="仿宋"/>
          <w:b/>
          <w:color w:val="auto"/>
          <w:sz w:val="36"/>
          <w:szCs w:val="36"/>
          <w:highlight w:val="none"/>
          <w:lang w:eastAsia="zh-CN"/>
        </w:rPr>
      </w:pPr>
      <w:r>
        <w:rPr>
          <w:rFonts w:hint="eastAsia" w:ascii="宋体" w:hAnsi="宋体" w:cs="宋体"/>
          <w:b/>
          <w:bCs/>
          <w:color w:val="auto"/>
          <w:sz w:val="44"/>
          <w:szCs w:val="44"/>
          <w:highlight w:val="none"/>
          <w:lang w:val="en-US" w:eastAsia="zh-CN"/>
        </w:rPr>
        <w:t>管理服务项目</w:t>
      </w:r>
    </w:p>
    <w:p w14:paraId="5121F5C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国企采购项目</w:t>
      </w:r>
      <w:r>
        <w:rPr>
          <w:rFonts w:hint="eastAsia" w:ascii="仿宋" w:hAnsi="仿宋" w:eastAsia="仿宋" w:cs="仿宋"/>
          <w:b/>
          <w:color w:val="auto"/>
          <w:sz w:val="36"/>
          <w:szCs w:val="36"/>
          <w:highlight w:val="none"/>
          <w:lang w:eastAsia="zh-CN"/>
        </w:rPr>
        <w:t>）</w:t>
      </w:r>
    </w:p>
    <w:p w14:paraId="1472460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36"/>
          <w:szCs w:val="36"/>
          <w:highlight w:val="none"/>
          <w:lang w:val="en-US" w:eastAsia="zh-CN"/>
        </w:rPr>
      </w:pPr>
    </w:p>
    <w:p w14:paraId="620E6723">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w:t>
      </w:r>
    </w:p>
    <w:p w14:paraId="2156815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开</w:t>
      </w:r>
    </w:p>
    <w:p w14:paraId="3C88D4F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w:t>
      </w:r>
    </w:p>
    <w:p w14:paraId="733FEBF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标</w:t>
      </w:r>
    </w:p>
    <w:p w14:paraId="3B091DB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文</w:t>
      </w:r>
    </w:p>
    <w:p w14:paraId="6F21682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件</w:t>
      </w:r>
    </w:p>
    <w:p w14:paraId="4CE5804D">
      <w:pPr>
        <w:keepNext w:val="0"/>
        <w:keepLines w:val="0"/>
        <w:pageBreakBefore w:val="0"/>
        <w:widowControl w:val="0"/>
        <w:kinsoku/>
        <w:wordWrap/>
        <w:overflowPunct/>
        <w:topLinePunct w:val="0"/>
        <w:autoSpaceDE/>
        <w:autoSpaceDN/>
        <w:bidi w:val="0"/>
        <w:adjustRightInd w:val="0"/>
        <w:snapToGrid/>
        <w:spacing w:line="288" w:lineRule="auto"/>
        <w:ind w:left="640" w:leftChars="0" w:firstLine="640" w:firstLineChars="0"/>
        <w:jc w:val="both"/>
        <w:textAlignment w:val="auto"/>
        <w:outlineLvl w:val="0"/>
        <w:rPr>
          <w:rFonts w:hint="eastAsia" w:ascii="仿宋" w:hAnsi="仿宋" w:eastAsia="仿宋" w:cs="仿宋"/>
          <w:b/>
          <w:color w:val="auto"/>
          <w:sz w:val="32"/>
          <w:szCs w:val="32"/>
          <w:highlight w:val="none"/>
          <w:lang w:val="en-US" w:eastAsia="zh-CN"/>
        </w:rPr>
      </w:pPr>
    </w:p>
    <w:p w14:paraId="1D65D330">
      <w:pPr>
        <w:keepNext w:val="0"/>
        <w:keepLines w:val="0"/>
        <w:pageBreakBefore w:val="0"/>
        <w:widowControl w:val="0"/>
        <w:kinsoku/>
        <w:wordWrap/>
        <w:overflowPunct/>
        <w:topLinePunct w:val="0"/>
        <w:autoSpaceDE/>
        <w:autoSpaceDN/>
        <w:bidi w:val="0"/>
        <w:adjustRightInd w:val="0"/>
        <w:snapToGrid/>
        <w:spacing w:line="288" w:lineRule="auto"/>
        <w:ind w:left="640" w:leftChars="0" w:firstLine="640" w:firstLineChars="0"/>
        <w:jc w:val="both"/>
        <w:textAlignment w:val="auto"/>
        <w:outlineLvl w:val="0"/>
        <w:rPr>
          <w:rFonts w:hint="eastAsia" w:ascii="仿宋" w:hAnsi="仿宋" w:eastAsia="仿宋" w:cs="仿宋"/>
          <w:b/>
          <w:color w:val="auto"/>
          <w:sz w:val="32"/>
          <w:szCs w:val="32"/>
          <w:highlight w:val="none"/>
          <w:lang w:val="en-US" w:eastAsia="zh-CN"/>
        </w:rPr>
      </w:pPr>
    </w:p>
    <w:p w14:paraId="0DE259C6">
      <w:pPr>
        <w:keepNext w:val="0"/>
        <w:keepLines w:val="0"/>
        <w:pageBreakBefore w:val="0"/>
        <w:widowControl w:val="0"/>
        <w:kinsoku/>
        <w:wordWrap/>
        <w:overflowPunct/>
        <w:topLinePunct w:val="0"/>
        <w:autoSpaceDE/>
        <w:autoSpaceDN/>
        <w:bidi w:val="0"/>
        <w:adjustRightInd w:val="0"/>
        <w:snapToGrid/>
        <w:spacing w:line="600" w:lineRule="exact"/>
        <w:ind w:left="641" w:leftChars="0" w:firstLine="641" w:firstLineChars="0"/>
        <w:jc w:val="both"/>
        <w:textAlignment w:val="auto"/>
        <w:outlineLvl w:val="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项目</w:t>
      </w:r>
      <w:r>
        <w:rPr>
          <w:rFonts w:hint="eastAsia" w:ascii="宋体" w:hAnsi="宋体" w:eastAsia="宋体" w:cs="宋体"/>
          <w:b/>
          <w:color w:val="auto"/>
          <w:sz w:val="32"/>
          <w:szCs w:val="32"/>
          <w:highlight w:val="none"/>
          <w:lang w:val="en-US" w:eastAsia="zh-CN"/>
        </w:rPr>
        <w:t>编号：ZJZR-SZ202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lang w:val="en-US" w:eastAsia="zh-CN"/>
        </w:rPr>
        <w:t>0</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lang w:val="en-US" w:eastAsia="zh-CN"/>
        </w:rPr>
        <w:t>01</w:t>
      </w:r>
    </w:p>
    <w:p w14:paraId="454F50C0">
      <w:pPr>
        <w:keepNext w:val="0"/>
        <w:keepLines w:val="0"/>
        <w:pageBreakBefore w:val="0"/>
        <w:widowControl w:val="0"/>
        <w:kinsoku/>
        <w:wordWrap/>
        <w:overflowPunct/>
        <w:topLinePunct w:val="0"/>
        <w:autoSpaceDE/>
        <w:autoSpaceDN/>
        <w:bidi w:val="0"/>
        <w:adjustRightInd w:val="0"/>
        <w:snapToGrid/>
        <w:spacing w:line="600" w:lineRule="exact"/>
        <w:ind w:left="641" w:leftChars="0" w:firstLine="641" w:firstLineChars="0"/>
        <w:jc w:val="both"/>
        <w:textAlignment w:val="auto"/>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采购单位：嵊州市</w:t>
      </w:r>
      <w:r>
        <w:rPr>
          <w:rFonts w:hint="eastAsia" w:ascii="宋体" w:hAnsi="宋体" w:cs="宋体"/>
          <w:b/>
          <w:color w:val="auto"/>
          <w:sz w:val="32"/>
          <w:szCs w:val="32"/>
          <w:highlight w:val="none"/>
          <w:lang w:val="en-US" w:eastAsia="zh-CN"/>
        </w:rPr>
        <w:t>鸿发物业管理</w:t>
      </w:r>
      <w:r>
        <w:rPr>
          <w:rFonts w:hint="eastAsia" w:ascii="宋体" w:hAnsi="宋体" w:eastAsia="宋体" w:cs="宋体"/>
          <w:b/>
          <w:color w:val="auto"/>
          <w:sz w:val="32"/>
          <w:szCs w:val="32"/>
          <w:highlight w:val="none"/>
          <w:lang w:val="en-US" w:eastAsia="zh-CN"/>
        </w:rPr>
        <w:t>有限公司</w:t>
      </w:r>
    </w:p>
    <w:p w14:paraId="5174D201">
      <w:pPr>
        <w:keepNext w:val="0"/>
        <w:keepLines w:val="0"/>
        <w:pageBreakBefore w:val="0"/>
        <w:widowControl w:val="0"/>
        <w:kinsoku/>
        <w:wordWrap/>
        <w:overflowPunct/>
        <w:topLinePunct w:val="0"/>
        <w:autoSpaceDE/>
        <w:autoSpaceDN/>
        <w:bidi w:val="0"/>
        <w:adjustRightInd w:val="0"/>
        <w:snapToGrid/>
        <w:spacing w:line="600" w:lineRule="exact"/>
        <w:ind w:left="641" w:leftChars="0" w:firstLine="641" w:firstLineChars="0"/>
        <w:jc w:val="both"/>
        <w:textAlignment w:val="auto"/>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采购代理机构：浙江中瑞工程管理有限公司</w:t>
      </w:r>
    </w:p>
    <w:p w14:paraId="6D1B6ACC">
      <w:pPr>
        <w:keepNext w:val="0"/>
        <w:keepLines w:val="0"/>
        <w:pageBreakBefore w:val="0"/>
        <w:widowControl w:val="0"/>
        <w:kinsoku/>
        <w:wordWrap/>
        <w:overflowPunct/>
        <w:topLinePunct w:val="0"/>
        <w:autoSpaceDE/>
        <w:autoSpaceDN/>
        <w:bidi w:val="0"/>
        <w:adjustRightInd w:val="0"/>
        <w:snapToGrid/>
        <w:spacing w:line="600" w:lineRule="exact"/>
        <w:ind w:left="641" w:leftChars="0" w:firstLine="641" w:firstLineChars="0"/>
        <w:jc w:val="both"/>
        <w:textAlignment w:val="auto"/>
        <w:outlineLvl w:val="0"/>
        <w:rPr>
          <w:rFonts w:hint="eastAsia" w:ascii="宋体" w:hAnsi="宋体" w:eastAsia="宋体" w:cs="宋体"/>
          <w:color w:val="auto"/>
          <w:sz w:val="32"/>
          <w:szCs w:val="32"/>
          <w:highlight w:val="none"/>
        </w:rPr>
      </w:pPr>
      <w:r>
        <w:rPr>
          <w:rFonts w:hint="eastAsia" w:ascii="宋体" w:hAnsi="宋体" w:cs="宋体"/>
          <w:b/>
          <w:bCs w:val="0"/>
          <w:color w:val="auto"/>
          <w:sz w:val="32"/>
          <w:szCs w:val="32"/>
          <w:lang w:val="en-US" w:eastAsia="zh-CN"/>
        </w:rPr>
        <w:t>日</w:t>
      </w:r>
      <w:r>
        <w:rPr>
          <w:rFonts w:hint="eastAsia" w:ascii="宋体" w:hAnsi="宋体" w:eastAsia="宋体" w:cs="宋体"/>
          <w:b/>
          <w:bCs w:val="0"/>
          <w:color w:val="auto"/>
          <w:sz w:val="32"/>
          <w:szCs w:val="32"/>
          <w:lang w:val="en-US" w:eastAsia="zh-CN"/>
        </w:rPr>
        <w:t xml:space="preserve">    </w:t>
      </w:r>
      <w:r>
        <w:rPr>
          <w:rFonts w:hint="eastAsia" w:ascii="宋体" w:hAnsi="宋体" w:eastAsia="宋体" w:cs="宋体"/>
          <w:b/>
          <w:bCs w:val="0"/>
          <w:color w:val="auto"/>
          <w:sz w:val="32"/>
          <w:szCs w:val="32"/>
          <w:lang w:eastAsia="zh-CN"/>
        </w:rPr>
        <w:t>期：</w:t>
      </w:r>
      <w:r>
        <w:rPr>
          <w:rFonts w:hint="eastAsia" w:ascii="宋体" w:hAnsi="宋体" w:eastAsia="宋体" w:cs="宋体"/>
          <w:b/>
          <w:bCs w:val="0"/>
          <w:color w:val="auto"/>
          <w:sz w:val="32"/>
          <w:szCs w:val="32"/>
        </w:rPr>
        <w:t>202</w:t>
      </w:r>
      <w:r>
        <w:rPr>
          <w:rFonts w:hint="eastAsia" w:ascii="宋体" w:hAnsi="宋体" w:cs="宋体"/>
          <w:b/>
          <w:bCs w:val="0"/>
          <w:color w:val="auto"/>
          <w:sz w:val="32"/>
          <w:szCs w:val="32"/>
          <w:lang w:val="en-US" w:eastAsia="zh-CN"/>
        </w:rPr>
        <w:t>5</w:t>
      </w:r>
      <w:r>
        <w:rPr>
          <w:rFonts w:hint="eastAsia" w:ascii="宋体" w:hAnsi="宋体" w:eastAsia="宋体" w:cs="宋体"/>
          <w:b/>
          <w:bCs w:val="0"/>
          <w:color w:val="auto"/>
          <w:sz w:val="32"/>
          <w:szCs w:val="32"/>
        </w:rPr>
        <w:t>年</w:t>
      </w:r>
      <w:r>
        <w:rPr>
          <w:rFonts w:hint="eastAsia" w:ascii="宋体" w:hAnsi="宋体" w:cs="宋体"/>
          <w:b/>
          <w:bCs w:val="0"/>
          <w:color w:val="auto"/>
          <w:sz w:val="32"/>
          <w:szCs w:val="32"/>
          <w:lang w:val="en-US" w:eastAsia="zh-CN"/>
        </w:rPr>
        <w:t>03</w:t>
      </w:r>
      <w:r>
        <w:rPr>
          <w:rFonts w:hint="eastAsia" w:ascii="宋体" w:hAnsi="宋体" w:eastAsia="宋体" w:cs="宋体"/>
          <w:b/>
          <w:bCs w:val="0"/>
          <w:color w:val="auto"/>
          <w:sz w:val="32"/>
          <w:szCs w:val="32"/>
        </w:rPr>
        <w:t>月</w:t>
      </w:r>
    </w:p>
    <w:p w14:paraId="1E05D79B">
      <w:pPr>
        <w:pStyle w:val="53"/>
        <w:tabs>
          <w:tab w:val="right" w:leader="dot" w:pos="8834"/>
        </w:tabs>
        <w:spacing w:before="0" w:after="0" w:line="600" w:lineRule="auto"/>
        <w:jc w:val="center"/>
        <w:rPr>
          <w:rFonts w:hint="eastAsia" w:ascii="宋体" w:hAnsi="宋体" w:cs="宋体"/>
          <w:color w:val="auto"/>
          <w:sz w:val="36"/>
          <w:szCs w:val="36"/>
          <w:highlight w:val="none"/>
        </w:rPr>
      </w:pPr>
    </w:p>
    <w:p w14:paraId="19E9746A">
      <w:pPr>
        <w:pStyle w:val="53"/>
        <w:tabs>
          <w:tab w:val="right" w:leader="dot" w:pos="8834"/>
        </w:tabs>
        <w:spacing w:before="0" w:after="0" w:line="600" w:lineRule="auto"/>
        <w:jc w:val="center"/>
        <w:rPr>
          <w:rFonts w:hint="eastAsia" w:ascii="宋体" w:hAnsi="宋体" w:cs="宋体"/>
          <w:color w:val="auto"/>
          <w:sz w:val="36"/>
          <w:szCs w:val="36"/>
          <w:highlight w:val="none"/>
        </w:rPr>
        <w:sectPr>
          <w:headerReference r:id="rId4" w:type="first"/>
          <w:footerReference r:id="rId5" w:type="first"/>
          <w:headerReference r:id="rId3" w:type="default"/>
          <w:pgSz w:w="11906" w:h="16838"/>
          <w:pgMar w:top="1418" w:right="1418" w:bottom="1418" w:left="1418" w:header="907"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14:paraId="18D9D912">
      <w:pPr>
        <w:pStyle w:val="53"/>
        <w:tabs>
          <w:tab w:val="right" w:leader="dot" w:pos="8834"/>
        </w:tabs>
        <w:spacing w:before="0" w:after="0" w:line="60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目  录</w:t>
      </w:r>
    </w:p>
    <w:p w14:paraId="1A93D64E">
      <w:pPr>
        <w:pStyle w:val="53"/>
        <w:tabs>
          <w:tab w:val="right" w:leader="dot" w:pos="8844"/>
        </w:tabs>
        <w:spacing w:line="480" w:lineRule="auto"/>
        <w:ind w:left="0" w:leftChars="0"/>
        <w:rPr>
          <w:rFonts w:hint="eastAsia" w:ascii="宋体" w:hAnsi="宋体" w:cs="宋体"/>
          <w:color w:val="auto"/>
          <w:sz w:val="24"/>
          <w:szCs w:val="24"/>
          <w:highlight w:val="none"/>
          <w:lang w:val="en-US" w:eastAsia="zh-CN"/>
        </w:rPr>
      </w:pPr>
      <w:bookmarkStart w:id="9" w:name="_Toc381971518"/>
      <w:bookmarkEnd w:id="9"/>
      <w:bookmarkStart w:id="10" w:name="_Toc330215439"/>
      <w:bookmarkEnd w:id="10"/>
      <w:r>
        <w:rPr>
          <w:rFonts w:hint="eastAsia" w:ascii="宋体" w:hAnsi="宋体" w:eastAsia="宋体" w:cs="宋体"/>
          <w:b w:val="0"/>
          <w:color w:val="auto"/>
          <w:sz w:val="24"/>
          <w:szCs w:val="24"/>
          <w:highlight w:val="none"/>
          <w:u w:val="single"/>
        </w:rPr>
        <w:fldChar w:fldCharType="begin"/>
      </w:r>
      <w:r>
        <w:rPr>
          <w:rFonts w:hint="eastAsia" w:ascii="宋体" w:hAnsi="宋体" w:eastAsia="宋体" w:cs="宋体"/>
          <w:b w:val="0"/>
          <w:color w:val="auto"/>
          <w:sz w:val="24"/>
          <w:szCs w:val="24"/>
          <w:highlight w:val="none"/>
          <w:u w:val="single"/>
        </w:rPr>
        <w:instrText xml:space="preserve"> TOC \o </w:instrText>
      </w:r>
      <w:r>
        <w:rPr>
          <w:rFonts w:hint="eastAsia" w:ascii="宋体" w:hAnsi="宋体" w:eastAsia="宋体" w:cs="宋体"/>
          <w:b w:val="0"/>
          <w:color w:val="auto"/>
          <w:sz w:val="24"/>
          <w:szCs w:val="24"/>
          <w:highlight w:val="none"/>
          <w:u w:val="singl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p>
    <w:p w14:paraId="72B78EFA">
      <w:pPr>
        <w:pStyle w:val="53"/>
        <w:tabs>
          <w:tab w:val="right" w:leader="dot" w:pos="8844"/>
        </w:tabs>
        <w:spacing w:line="48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p>
    <w:p w14:paraId="4672B541">
      <w:pPr>
        <w:pStyle w:val="53"/>
        <w:tabs>
          <w:tab w:val="right" w:leader="dot" w:pos="8844"/>
        </w:tabs>
        <w:spacing w:line="480" w:lineRule="auto"/>
        <w:ind w:left="0"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val="en-US" w:eastAsia="zh-CN"/>
        </w:rPr>
        <w:t>项目招标范围及服务要求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29</w:t>
      </w:r>
    </w:p>
    <w:p w14:paraId="7A94E83B">
      <w:pPr>
        <w:pStyle w:val="53"/>
        <w:tabs>
          <w:tab w:val="right" w:leader="dot" w:pos="8844"/>
        </w:tabs>
        <w:spacing w:line="480" w:lineRule="auto"/>
        <w:ind w:left="0"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第四章  评标办法及评分标准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51</w:t>
      </w:r>
    </w:p>
    <w:p w14:paraId="68A23C77">
      <w:pPr>
        <w:pStyle w:val="53"/>
        <w:tabs>
          <w:tab w:val="right" w:leader="dot" w:pos="8844"/>
        </w:tabs>
        <w:spacing w:line="480" w:lineRule="auto"/>
        <w:ind w:left="0"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第五章  采购合同主要条款指引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55</w:t>
      </w:r>
    </w:p>
    <w:p w14:paraId="0A0BC3C6">
      <w:pPr>
        <w:pStyle w:val="53"/>
        <w:tabs>
          <w:tab w:val="right" w:leader="dot" w:pos="8844"/>
        </w:tabs>
        <w:spacing w:line="480" w:lineRule="auto"/>
        <w:ind w:left="0"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第六章  </w:t>
      </w:r>
      <w:r>
        <w:rPr>
          <w:rFonts w:hint="eastAsia" w:cs="宋体"/>
          <w:b/>
          <w:color w:val="auto"/>
          <w:sz w:val="24"/>
          <w:szCs w:val="24"/>
          <w:highlight w:val="none"/>
          <w:lang w:val="en-US" w:eastAsia="zh-CN"/>
        </w:rPr>
        <w:t>投标文件及其附件格式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69</w:t>
      </w:r>
    </w:p>
    <w:p w14:paraId="63CECB8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fldChar w:fldCharType="end"/>
      </w:r>
      <w:bookmarkStart w:id="11" w:name="_Toc54978887"/>
    </w:p>
    <w:p w14:paraId="2EE336BF">
      <w:pPr>
        <w:keepNext w:val="0"/>
        <w:keepLines w:val="0"/>
        <w:pageBreakBefore w:val="0"/>
        <w:widowControl w:val="0"/>
        <w:tabs>
          <w:tab w:val="right" w:leader="dot" w:pos="7980"/>
        </w:tabs>
        <w:kinsoku/>
        <w:wordWrap/>
        <w:overflowPunct/>
        <w:topLinePunct w:val="0"/>
        <w:autoSpaceDE/>
        <w:autoSpaceDN/>
        <w:bidi w:val="0"/>
        <w:adjustRightInd/>
        <w:snapToGrid/>
        <w:jc w:val="left"/>
        <w:textAlignment w:val="auto"/>
        <w:rPr>
          <w:rFonts w:hint="default" w:ascii="宋体" w:hAnsi="宋体" w:eastAsia="宋体" w:cs="宋体"/>
          <w:sz w:val="32"/>
          <w:szCs w:val="32"/>
          <w:lang w:val="en-US"/>
        </w:rPr>
        <w:sectPr>
          <w:footerReference r:id="rId7" w:type="first"/>
          <w:footerReference r:id="rId6" w:type="default"/>
          <w:pgSz w:w="11906" w:h="16838"/>
          <w:pgMar w:top="1418" w:right="1418" w:bottom="1418" w:left="1418" w:header="907" w:footer="992" w:gutter="0"/>
          <w:pgBorders w:offsetFrom="page">
            <w:top w:val="none" w:sz="0" w:space="0"/>
            <w:left w:val="none" w:sz="0" w:space="0"/>
            <w:bottom w:val="none" w:sz="0" w:space="0"/>
            <w:right w:val="none" w:sz="0" w:space="0"/>
          </w:pgBorders>
          <w:pgNumType w:fmt="decimal" w:start="1"/>
          <w:cols w:space="720" w:num="1"/>
          <w:docGrid w:linePitch="312" w:charSpace="0"/>
        </w:sectPr>
      </w:pPr>
    </w:p>
    <w:p w14:paraId="43CFD456">
      <w:pPr>
        <w:pStyle w:val="3"/>
        <w:spacing w:line="700" w:lineRule="exact"/>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第一部分</w:t>
      </w:r>
      <w:bookmarkEnd w:id="0"/>
      <w:bookmarkEnd w:id="1"/>
      <w:bookmarkEnd w:id="2"/>
      <w:bookmarkEnd w:id="3"/>
      <w:bookmarkEnd w:id="4"/>
      <w:r>
        <w:rPr>
          <w:rFonts w:hint="eastAsia" w:ascii="宋体" w:hAnsi="宋体" w:eastAsia="宋体" w:cs="宋体"/>
          <w:b/>
          <w:bCs/>
          <w:color w:val="auto"/>
          <w:sz w:val="32"/>
          <w:szCs w:val="32"/>
        </w:rPr>
        <w:t xml:space="preserve">  </w:t>
      </w:r>
      <w:bookmarkEnd w:id="5"/>
      <w:bookmarkEnd w:id="6"/>
      <w:bookmarkEnd w:id="7"/>
      <w:bookmarkEnd w:id="8"/>
      <w:r>
        <w:rPr>
          <w:rFonts w:hint="eastAsia" w:ascii="宋体" w:hAnsi="宋体" w:eastAsia="宋体" w:cs="宋体"/>
          <w:b/>
          <w:bCs/>
          <w:color w:val="auto"/>
          <w:sz w:val="32"/>
          <w:szCs w:val="32"/>
          <w:lang w:eastAsia="zh-CN"/>
        </w:rPr>
        <w:t>招标</w:t>
      </w:r>
      <w:r>
        <w:rPr>
          <w:rFonts w:hint="eastAsia" w:ascii="宋体" w:hAnsi="宋体" w:eastAsia="宋体" w:cs="宋体"/>
          <w:b/>
          <w:bCs/>
          <w:color w:val="auto"/>
          <w:sz w:val="32"/>
          <w:szCs w:val="32"/>
        </w:rPr>
        <w:t>公告</w:t>
      </w:r>
      <w:bookmarkEnd w:id="11"/>
    </w:p>
    <w:p w14:paraId="46813AB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bookmarkStart w:id="12" w:name="_Toc5837"/>
      <w:bookmarkStart w:id="13" w:name="_Toc340321908"/>
      <w:bookmarkStart w:id="14" w:name="_Toc248065035"/>
      <w:bookmarkStart w:id="15" w:name="_Toc339302124"/>
      <w:bookmarkStart w:id="16" w:name="_Toc180555916"/>
      <w:bookmarkStart w:id="17" w:name="_Toc54978888"/>
      <w:bookmarkStart w:id="18" w:name="_Toc304551309"/>
      <w:bookmarkStart w:id="19" w:name="_Toc340322163"/>
      <w:bookmarkStart w:id="20" w:name="_Toc226337757"/>
      <w:r>
        <w:rPr>
          <w:rFonts w:hint="eastAsia" w:ascii="宋体" w:hAnsi="宋体" w:eastAsia="宋体" w:cs="宋体"/>
          <w:color w:val="auto"/>
          <w:sz w:val="24"/>
          <w:szCs w:val="24"/>
        </w:rPr>
        <w:t>项目概况</w:t>
      </w:r>
    </w:p>
    <w:p w14:paraId="2AA41D6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000000"/>
          <w:sz w:val="24"/>
          <w:highlight w:val="none"/>
          <w:u w:val="single"/>
          <w:lang w:val="en-US" w:eastAsia="zh-CN"/>
        </w:rPr>
        <w:t>嵊州市艇湖枢纽开发有限公司物业化运行管理服务项目</w:t>
      </w:r>
      <w:r>
        <w:rPr>
          <w:rFonts w:hint="eastAsia" w:ascii="宋体" w:hAnsi="宋体" w:eastAsia="宋体" w:cs="宋体"/>
          <w:color w:val="auto"/>
          <w:sz w:val="24"/>
          <w:szCs w:val="24"/>
          <w:u w:val="single"/>
        </w:rPr>
        <w:t>的潜在供应商应在</w:t>
      </w:r>
      <w:r>
        <w:rPr>
          <w:rFonts w:hint="eastAsia" w:ascii="宋体" w:hAnsi="宋体" w:eastAsia="宋体" w:cs="宋体"/>
          <w:color w:val="auto"/>
          <w:sz w:val="24"/>
          <w:szCs w:val="24"/>
          <w:u w:val="single"/>
          <w:lang w:eastAsia="zh-CN"/>
        </w:rPr>
        <w:t>乐采云平台（https://www.lecaiyun.com/）</w:t>
      </w:r>
      <w:r>
        <w:rPr>
          <w:rFonts w:hint="eastAsia" w:ascii="宋体" w:hAnsi="宋体" w:eastAsia="宋体" w:cs="宋体"/>
          <w:color w:val="auto"/>
          <w:sz w:val="24"/>
          <w:szCs w:val="24"/>
          <w:u w:val="single"/>
        </w:rPr>
        <w:t>获取采购文件，并于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上午9</w:t>
      </w:r>
      <w:r>
        <w:rPr>
          <w:rFonts w:hint="eastAsia" w:ascii="宋体" w:hAnsi="宋体" w:eastAsia="宋体" w:cs="宋体"/>
          <w:color w:val="000000" w:themeColor="text1"/>
          <w:sz w:val="24"/>
          <w:szCs w:val="24"/>
          <w:highlight w:val="none"/>
          <w:u w:val="single"/>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分（</w:t>
      </w:r>
      <w:r>
        <w:rPr>
          <w:rFonts w:hint="eastAsia" w:ascii="宋体" w:hAnsi="宋体" w:eastAsia="宋体" w:cs="宋体"/>
          <w:color w:val="auto"/>
          <w:sz w:val="24"/>
          <w:szCs w:val="24"/>
          <w:highlight w:val="none"/>
          <w:u w:val="single"/>
        </w:rPr>
        <w:t>北京时间）前提交</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u w:val="none"/>
        </w:rPr>
        <w:t>。</w:t>
      </w:r>
    </w:p>
    <w:p w14:paraId="64CCE2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pacing w:val="6"/>
          <w:sz w:val="24"/>
          <w:szCs w:val="24"/>
          <w:lang w:eastAsia="zh-CN"/>
        </w:rPr>
      </w:pPr>
      <w:bookmarkStart w:id="21" w:name="_Toc28359079"/>
      <w:bookmarkStart w:id="22" w:name="_Toc28359002"/>
      <w:bookmarkStart w:id="23" w:name="_Toc35393621"/>
      <w:bookmarkStart w:id="24" w:name="_Toc35393790"/>
      <w:bookmarkStart w:id="25" w:name="_Hlk24379207"/>
      <w:r>
        <w:rPr>
          <w:rFonts w:hint="eastAsia" w:ascii="宋体" w:hAnsi="宋体" w:eastAsia="宋体" w:cs="宋体"/>
          <w:b/>
          <w:bCs/>
          <w:color w:val="auto"/>
          <w:spacing w:val="6"/>
          <w:sz w:val="24"/>
          <w:szCs w:val="24"/>
        </w:rPr>
        <w:t>一、项目基本情况</w:t>
      </w:r>
      <w:bookmarkEnd w:id="21"/>
      <w:bookmarkEnd w:id="22"/>
      <w:bookmarkEnd w:id="23"/>
      <w:bookmarkEnd w:id="24"/>
    </w:p>
    <w:p w14:paraId="01BA4F0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1.项目编号：</w:t>
      </w:r>
      <w:r>
        <w:rPr>
          <w:rFonts w:hint="eastAsia" w:ascii="宋体" w:hAnsi="宋体" w:cs="宋体"/>
          <w:color w:val="auto"/>
          <w:sz w:val="24"/>
          <w:szCs w:val="24"/>
          <w:lang w:eastAsia="zh-CN"/>
        </w:rPr>
        <w:t>ZJZR-SZ20250</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01</w:t>
      </w:r>
    </w:p>
    <w:p w14:paraId="1870480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2.项目名称：</w:t>
      </w:r>
      <w:bookmarkEnd w:id="25"/>
      <w:r>
        <w:rPr>
          <w:rFonts w:hint="eastAsia" w:ascii="宋体" w:hAnsi="宋体" w:cs="宋体"/>
          <w:color w:val="auto"/>
          <w:sz w:val="24"/>
          <w:highlight w:val="none"/>
          <w:u w:val="none"/>
          <w:lang w:val="en-US" w:eastAsia="zh-CN"/>
        </w:rPr>
        <w:t>嵊州市艇湖枢纽开发有限公司物业化运行管理服务项目</w:t>
      </w:r>
    </w:p>
    <w:p w14:paraId="4559E52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3.预算金额：</w:t>
      </w:r>
      <w:r>
        <w:rPr>
          <w:rFonts w:hint="eastAsia" w:ascii="宋体" w:hAnsi="宋体" w:cs="宋体"/>
          <w:color w:val="auto"/>
          <w:sz w:val="24"/>
          <w:szCs w:val="24"/>
          <w:highlight w:val="none"/>
          <w:lang w:val="en-US" w:eastAsia="zh-CN"/>
        </w:rPr>
        <w:t>2259816</w:t>
      </w:r>
      <w:r>
        <w:rPr>
          <w:rFonts w:hint="eastAsia" w:ascii="宋体" w:hAnsi="宋体" w:eastAsia="宋体" w:cs="宋体"/>
          <w:color w:val="auto"/>
          <w:sz w:val="24"/>
          <w:szCs w:val="24"/>
          <w:highlight w:val="none"/>
          <w:lang w:val="en-US" w:eastAsia="zh-CN"/>
        </w:rPr>
        <w:t>元</w:t>
      </w:r>
    </w:p>
    <w:p w14:paraId="7EA7F6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2259816</w:t>
      </w:r>
      <w:r>
        <w:rPr>
          <w:rFonts w:hint="eastAsia" w:ascii="宋体" w:hAnsi="宋体" w:eastAsia="宋体" w:cs="宋体"/>
          <w:color w:val="auto"/>
          <w:sz w:val="24"/>
          <w:szCs w:val="24"/>
          <w:highlight w:val="none"/>
          <w:lang w:val="en-US" w:eastAsia="zh-CN"/>
        </w:rPr>
        <w:t>元</w:t>
      </w:r>
    </w:p>
    <w:p w14:paraId="3172AF2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.采购需求：详见招标文件第三部分</w:t>
      </w:r>
    </w:p>
    <w:tbl>
      <w:tblPr>
        <w:tblStyle w:val="80"/>
        <w:tblpPr w:leftFromText="180" w:rightFromText="180" w:vertAnchor="text" w:horzAnchor="page" w:tblpX="1286" w:tblpY="17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139"/>
        <w:gridCol w:w="990"/>
        <w:gridCol w:w="1005"/>
        <w:gridCol w:w="1680"/>
        <w:gridCol w:w="1425"/>
      </w:tblGrid>
      <w:tr w14:paraId="068F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20" w:type="dxa"/>
            <w:noWrap w:val="0"/>
            <w:vAlign w:val="center"/>
          </w:tcPr>
          <w:p w14:paraId="4DD2D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3139" w:type="dxa"/>
            <w:noWrap w:val="0"/>
            <w:vAlign w:val="center"/>
          </w:tcPr>
          <w:p w14:paraId="0E8A8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w:t>
            </w:r>
          </w:p>
        </w:tc>
        <w:tc>
          <w:tcPr>
            <w:tcW w:w="990" w:type="dxa"/>
            <w:noWrap w:val="0"/>
            <w:vAlign w:val="center"/>
          </w:tcPr>
          <w:p w14:paraId="47723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单位</w:t>
            </w:r>
          </w:p>
        </w:tc>
        <w:tc>
          <w:tcPr>
            <w:tcW w:w="1005" w:type="dxa"/>
            <w:noWrap w:val="0"/>
            <w:vAlign w:val="center"/>
          </w:tcPr>
          <w:p w14:paraId="2E70F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680" w:type="dxa"/>
            <w:noWrap w:val="0"/>
            <w:vAlign w:val="center"/>
          </w:tcPr>
          <w:p w14:paraId="14CF7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w:t>
            </w:r>
            <w:r>
              <w:rPr>
                <w:rFonts w:hint="eastAsia" w:ascii="宋体" w:hAnsi="宋体" w:eastAsia="宋体" w:cs="宋体"/>
                <w:color w:val="auto"/>
                <w:sz w:val="24"/>
                <w:szCs w:val="24"/>
                <w:highlight w:val="none"/>
                <w:lang w:val="en-US" w:eastAsia="zh-CN"/>
              </w:rPr>
              <w:t>金额</w:t>
            </w:r>
          </w:p>
        </w:tc>
        <w:tc>
          <w:tcPr>
            <w:tcW w:w="1425" w:type="dxa"/>
            <w:noWrap w:val="0"/>
            <w:vAlign w:val="center"/>
          </w:tcPr>
          <w:p w14:paraId="2A2AC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3DFD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20" w:type="dxa"/>
            <w:noWrap w:val="0"/>
            <w:vAlign w:val="center"/>
          </w:tcPr>
          <w:p w14:paraId="4D67A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139" w:type="dxa"/>
            <w:noWrap w:val="0"/>
            <w:vAlign w:val="center"/>
          </w:tcPr>
          <w:p w14:paraId="7EBAD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2"/>
                <w:highlight w:val="none"/>
                <w:u w:val="none"/>
                <w:lang w:val="en-US" w:eastAsia="zh-CN"/>
              </w:rPr>
              <w:t>嵊州市艇湖枢纽开发有限公司物业化运行管理服务项目</w:t>
            </w:r>
          </w:p>
        </w:tc>
        <w:tc>
          <w:tcPr>
            <w:tcW w:w="990" w:type="dxa"/>
            <w:noWrap w:val="0"/>
            <w:vAlign w:val="center"/>
          </w:tcPr>
          <w:p w14:paraId="546957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005" w:type="dxa"/>
            <w:noWrap w:val="0"/>
            <w:vAlign w:val="center"/>
          </w:tcPr>
          <w:p w14:paraId="06B5C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80" w:type="dxa"/>
            <w:noWrap w:val="0"/>
            <w:vAlign w:val="center"/>
          </w:tcPr>
          <w:p w14:paraId="37849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2259816元</w:t>
            </w:r>
          </w:p>
        </w:tc>
        <w:tc>
          <w:tcPr>
            <w:tcW w:w="1425" w:type="dxa"/>
            <w:noWrap w:val="0"/>
            <w:vAlign w:val="center"/>
          </w:tcPr>
          <w:p w14:paraId="0C60C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4"/>
                <w:szCs w:val="24"/>
                <w:highlight w:val="none"/>
                <w:lang w:val="en-US" w:eastAsia="zh-CN"/>
              </w:rPr>
            </w:pPr>
          </w:p>
        </w:tc>
      </w:tr>
    </w:tbl>
    <w:p w14:paraId="0788D6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26" w:name="_Toc28359003"/>
      <w:bookmarkStart w:id="27" w:name="_Toc35393791"/>
      <w:bookmarkStart w:id="28" w:name="_Toc28359080"/>
      <w:bookmarkStart w:id="29" w:name="_Toc35393622"/>
      <w:r>
        <w:rPr>
          <w:rFonts w:hint="eastAsia" w:ascii="宋体" w:hAnsi="宋体" w:eastAsia="宋体" w:cs="宋体"/>
          <w:color w:val="auto"/>
          <w:sz w:val="24"/>
          <w:szCs w:val="24"/>
          <w:highlight w:val="none"/>
          <w:lang w:val="en-US" w:eastAsia="zh-CN"/>
        </w:rPr>
        <w:t>6.合同履约期限：详见招标文件。</w:t>
      </w:r>
    </w:p>
    <w:p w14:paraId="67CD09F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本项目接受联合体投标：☐是，</w:t>
      </w:r>
      <w:r>
        <w:rPr>
          <w:rFonts w:hint="eastAsia" w:ascii="宋体" w:hAnsi="宋体" w:eastAsia="宋体" w:cs="宋体"/>
          <w:color w:val="auto"/>
          <w:sz w:val="24"/>
          <w:szCs w:val="24"/>
          <w:highlight w:val="none"/>
          <w:lang w:val="en-US" w:eastAsia="zh-CN"/>
        </w:rPr>
        <w:sym w:font="Wingdings 2" w:char="0052"/>
      </w:r>
      <w:r>
        <w:rPr>
          <w:rFonts w:hint="eastAsia" w:ascii="宋体" w:hAnsi="宋体" w:eastAsia="宋体" w:cs="宋体"/>
          <w:color w:val="auto"/>
          <w:sz w:val="24"/>
          <w:szCs w:val="24"/>
          <w:highlight w:val="none"/>
          <w:lang w:eastAsia="zh-CN"/>
        </w:rPr>
        <w:t>否。</w:t>
      </w:r>
    </w:p>
    <w:p w14:paraId="7FFC6682">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二、申请人的资格要求</w:t>
      </w:r>
      <w:bookmarkEnd w:id="26"/>
      <w:bookmarkEnd w:id="27"/>
      <w:bookmarkEnd w:id="28"/>
      <w:bookmarkEnd w:id="29"/>
    </w:p>
    <w:p w14:paraId="5CED184E">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bookmarkStart w:id="30" w:name="_Toc28359081"/>
      <w:bookmarkStart w:id="31" w:name="_Toc28359004"/>
      <w:bookmarkStart w:id="32" w:name="_Toc35393623"/>
      <w:bookmarkStart w:id="33" w:name="_Toc35393792"/>
      <w:r>
        <w:rPr>
          <w:rFonts w:hint="eastAsia" w:ascii="宋体" w:hAnsi="宋体" w:eastAsia="宋体" w:cs="宋体"/>
          <w:snapToGrid w:val="0"/>
          <w:color w:val="auto"/>
          <w:kern w:val="28"/>
          <w:sz w:val="24"/>
          <w:szCs w:val="20"/>
          <w:lang w:val="en-US" w:eastAsia="zh-CN" w:bidi="ar-SA"/>
        </w:rPr>
        <w:t>1.具有独立承担民事责任的能力；</w:t>
      </w:r>
    </w:p>
    <w:p w14:paraId="6E940B3E">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2.具有良好的商业信誉；</w:t>
      </w:r>
    </w:p>
    <w:p w14:paraId="0C150AB8">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3.具有履行合同所必需的设备和专业技术，售后保障等能力；</w:t>
      </w:r>
    </w:p>
    <w:p w14:paraId="15C05D05">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4.有依法缴纳税收和社会保障资金的良好记录；</w:t>
      </w:r>
    </w:p>
    <w:p w14:paraId="1CC9F2BE">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5.参加采购活动前三年内，没有重大违法记录，严重失信行为和行贿记录；</w:t>
      </w:r>
    </w:p>
    <w:p w14:paraId="4AB0877F">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6.法律、行政法规规定的其他条件；</w:t>
      </w:r>
    </w:p>
    <w:p w14:paraId="250789DE">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7.落实采购政策需满足的资格要求：</w:t>
      </w:r>
      <w:r>
        <w:rPr>
          <w:rFonts w:hint="eastAsia" w:ascii="宋体" w:hAnsi="宋体" w:eastAsia="宋体" w:cs="宋体"/>
          <w:snapToGrid w:val="0"/>
          <w:color w:val="auto"/>
          <w:kern w:val="28"/>
          <w:sz w:val="24"/>
          <w:szCs w:val="20"/>
          <w:u w:val="single"/>
          <w:lang w:val="en-US" w:eastAsia="zh-CN" w:bidi="ar-SA"/>
        </w:rPr>
        <w:t xml:space="preserve">  /  </w:t>
      </w:r>
      <w:r>
        <w:rPr>
          <w:rFonts w:hint="eastAsia" w:ascii="宋体" w:hAnsi="宋体" w:eastAsia="宋体" w:cs="宋体"/>
          <w:snapToGrid w:val="0"/>
          <w:color w:val="auto"/>
          <w:kern w:val="28"/>
          <w:sz w:val="24"/>
          <w:szCs w:val="20"/>
          <w:lang w:val="en-US" w:eastAsia="zh-CN" w:bidi="ar-SA"/>
        </w:rPr>
        <w:t>；</w:t>
      </w:r>
    </w:p>
    <w:p w14:paraId="44EDD47E">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lang w:val="en-US" w:eastAsia="zh-CN" w:bidi="ar-SA"/>
        </w:rPr>
        <w:t>8.本项</w:t>
      </w:r>
      <w:r>
        <w:rPr>
          <w:rFonts w:hint="eastAsia" w:ascii="宋体" w:hAnsi="宋体" w:eastAsia="宋体" w:cs="宋体"/>
          <w:snapToGrid w:val="0"/>
          <w:color w:val="auto"/>
          <w:kern w:val="28"/>
          <w:sz w:val="24"/>
          <w:szCs w:val="20"/>
          <w:highlight w:val="none"/>
          <w:lang w:val="en-US" w:eastAsia="zh-CN" w:bidi="ar-SA"/>
        </w:rPr>
        <w:t>目的特定资格要求：具有水利水电工程物业管理服务能力评价证书</w:t>
      </w:r>
      <w:r>
        <w:rPr>
          <w:rFonts w:hint="eastAsia" w:hAnsi="宋体" w:cs="宋体"/>
          <w:snapToGrid w:val="0"/>
          <w:color w:val="auto"/>
          <w:kern w:val="28"/>
          <w:sz w:val="24"/>
          <w:szCs w:val="20"/>
          <w:highlight w:val="none"/>
          <w:lang w:val="en-US" w:eastAsia="zh-CN" w:bidi="ar-SA"/>
        </w:rPr>
        <w:t>（水库类）乙级及以上资质</w:t>
      </w:r>
      <w:r>
        <w:rPr>
          <w:rFonts w:hint="eastAsia" w:ascii="宋体" w:hAnsi="宋体" w:eastAsia="宋体" w:cs="宋体"/>
          <w:snapToGrid w:val="0"/>
          <w:color w:val="auto"/>
          <w:kern w:val="28"/>
          <w:sz w:val="24"/>
          <w:szCs w:val="20"/>
          <w:highlight w:val="none"/>
          <w:lang w:val="en-US" w:eastAsia="zh-CN" w:bidi="ar-SA"/>
        </w:rPr>
        <w:t>。</w:t>
      </w:r>
    </w:p>
    <w:p w14:paraId="70E4B369">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p>
    <w:p w14:paraId="1F5EAD7C">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B1DF3A3">
      <w:pPr>
        <w:pStyle w:val="31"/>
        <w:keepNext w:val="0"/>
        <w:keepLines w:val="0"/>
        <w:pageBreakBefore w:val="0"/>
        <w:widowControl w:val="0"/>
        <w:kinsoku/>
        <w:wordWrap/>
        <w:overflowPunct/>
        <w:topLinePunct w:val="0"/>
        <w:autoSpaceDE/>
        <w:autoSpaceDN/>
        <w:bidi w:val="0"/>
        <w:adjustRightInd w:val="0"/>
        <w:snapToGrid/>
        <w:spacing w:before="0" w:beforeAutospacing="0" w:after="0" w:line="440" w:lineRule="exact"/>
        <w:ind w:firstLine="480" w:firstLineChars="200"/>
        <w:textAlignment w:val="auto"/>
        <w:outlineLvl w:val="9"/>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三、获取采购文件</w:t>
      </w:r>
    </w:p>
    <w:p w14:paraId="2A0947D4">
      <w:pPr>
        <w:pStyle w:val="31"/>
        <w:keepNext w:val="0"/>
        <w:keepLines w:val="0"/>
        <w:pageBreakBefore w:val="0"/>
        <w:widowControl w:val="0"/>
        <w:kinsoku/>
        <w:wordWrap/>
        <w:overflowPunct/>
        <w:topLinePunct w:val="0"/>
        <w:bidi w:val="0"/>
        <w:snapToGrid/>
        <w:spacing w:line="500" w:lineRule="exact"/>
        <w:ind w:firstLine="504"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auto"/>
          <w:spacing w:val="6"/>
          <w:sz w:val="24"/>
          <w:szCs w:val="24"/>
          <w:highlight w:val="none"/>
        </w:rPr>
        <w:t>1.采购文件获取时间：</w:t>
      </w:r>
      <w:bookmarkStart w:id="186" w:name="_GoBack"/>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 </w:t>
      </w:r>
      <w:r>
        <w:rPr>
          <w:rFonts w:hint="eastAsia" w:ascii="宋体" w:hAnsi="宋体" w:eastAsia="宋体" w:cs="宋体"/>
          <w:color w:val="000000" w:themeColor="text1"/>
          <w:spacing w:val="6"/>
          <w:sz w:val="24"/>
          <w:szCs w:val="24"/>
          <w:highlight w:val="none"/>
          <w14:textFill>
            <w14:solidFill>
              <w14:schemeClr w14:val="tx1"/>
            </w14:solidFill>
          </w14:textFill>
        </w:rPr>
        <w:t>至</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202</w:t>
      </w:r>
      <w:r>
        <w:rPr>
          <w:rFonts w:hint="eastAsia" w:hAnsi="宋体" w:cs="宋体"/>
          <w:color w:val="000000" w:themeColor="text1"/>
          <w:spacing w:val="6"/>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年</w:t>
      </w:r>
      <w:r>
        <w:rPr>
          <w:rFonts w:hint="eastAsia" w:hAnsi="宋体"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hAnsi="宋体" w:cs="宋体"/>
          <w:color w:val="000000" w:themeColor="text1"/>
          <w:spacing w:val="6"/>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pacing w:val="6"/>
          <w:sz w:val="24"/>
          <w:szCs w:val="24"/>
          <w:highlight w:val="none"/>
          <w14:textFill>
            <w14:solidFill>
              <w14:schemeClr w14:val="tx1"/>
            </w14:solidFill>
          </w14:textFill>
        </w:rPr>
        <w:t>日，每天上午00:00至12:00，下午12:00至23:59（北京时间，线上获取法定节假日均可，线下获取文件法定节假日除外）</w:t>
      </w:r>
    </w:p>
    <w:p w14:paraId="0E358F93">
      <w:pPr>
        <w:pStyle w:val="31"/>
        <w:keepNext w:val="0"/>
        <w:keepLines w:val="0"/>
        <w:pageBreakBefore w:val="0"/>
        <w:widowControl w:val="0"/>
        <w:kinsoku/>
        <w:wordWrap/>
        <w:overflowPunct/>
        <w:topLinePunct w:val="0"/>
        <w:bidi w:val="0"/>
        <w:snapToGrid/>
        <w:spacing w:line="500" w:lineRule="exact"/>
        <w:ind w:firstLine="504"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2.地点（网址）：</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乐采云平台（https://www.lecaiyun.com/）</w:t>
      </w:r>
      <w:r>
        <w:rPr>
          <w:rFonts w:hint="eastAsia" w:ascii="宋体" w:hAnsi="宋体" w:eastAsia="宋体" w:cs="宋体"/>
          <w:color w:val="000000" w:themeColor="text1"/>
          <w:spacing w:val="6"/>
          <w:sz w:val="24"/>
          <w:szCs w:val="24"/>
          <w:highlight w:val="none"/>
          <w14:textFill>
            <w14:solidFill>
              <w14:schemeClr w14:val="tx1"/>
            </w14:solidFill>
          </w14:textFill>
        </w:rPr>
        <w:t> </w:t>
      </w:r>
    </w:p>
    <w:p w14:paraId="0D899461">
      <w:pPr>
        <w:pStyle w:val="31"/>
        <w:keepNext w:val="0"/>
        <w:keepLines w:val="0"/>
        <w:pageBreakBefore w:val="0"/>
        <w:widowControl w:val="0"/>
        <w:kinsoku/>
        <w:wordWrap/>
        <w:overflowPunct/>
        <w:topLinePunct w:val="0"/>
        <w:bidi w:val="0"/>
        <w:snapToGrid/>
        <w:spacing w:line="500" w:lineRule="exact"/>
        <w:ind w:firstLine="504"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3.获取方式：供应商登录</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乐采云平台（https://www.lecaiyun.com/）</w:t>
      </w:r>
      <w:r>
        <w:rPr>
          <w:rFonts w:hint="eastAsia" w:ascii="宋体" w:hAnsi="宋体" w:eastAsia="宋体" w:cs="宋体"/>
          <w:color w:val="000000" w:themeColor="text1"/>
          <w:spacing w:val="6"/>
          <w:sz w:val="24"/>
          <w:szCs w:val="24"/>
          <w:highlight w:val="none"/>
          <w14:textFill>
            <w14:solidFill>
              <w14:schemeClr w14:val="tx1"/>
            </w14:solidFill>
          </w14:textFill>
        </w:rPr>
        <w:t>，在线申请获取采购文件（进入“项目采购”应用，在获取采购文件菜单中选择项目，申请获取采购文件,仅需浏览采购文件的供应商可点击“游客，浏览采购文件”直接下载采购文件浏览）。</w:t>
      </w:r>
    </w:p>
    <w:p w14:paraId="23B1E9CB">
      <w:pPr>
        <w:keepNext w:val="0"/>
        <w:keepLines w:val="0"/>
        <w:pageBreakBefore w:val="0"/>
        <w:widowControl w:val="0"/>
        <w:kinsoku/>
        <w:wordWrap/>
        <w:overflowPunct/>
        <w:topLinePunct w:val="0"/>
        <w:bidi w:val="0"/>
        <w:snapToGrid/>
        <w:spacing w:line="500" w:lineRule="exact"/>
        <w:ind w:firstLine="504" w:firstLineChars="200"/>
        <w:textAlignment w:val="auto"/>
        <w:rPr>
          <w:rFonts w:hint="eastAsia"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4.采购文件售价：免费。</w:t>
      </w:r>
    </w:p>
    <w:p w14:paraId="18C28EC9">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四、提交投标文件截止时间、开标时间和地点</w:t>
      </w:r>
    </w:p>
    <w:p w14:paraId="32599BB7">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1.提交投标文件截止时间：</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202</w:t>
      </w:r>
      <w:r>
        <w:rPr>
          <w:rFonts w:hint="eastAsia" w:ascii="宋体" w:hAnsi="宋体" w:cs="宋体"/>
          <w:color w:val="000000" w:themeColor="text1"/>
          <w:spacing w:val="6"/>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6"/>
          <w:sz w:val="24"/>
          <w:szCs w:val="24"/>
          <w:highlight w:val="none"/>
          <w14:textFill>
            <w14:solidFill>
              <w14:schemeClr w14:val="tx1"/>
            </w14:solidFill>
          </w14:textFill>
        </w:rPr>
        <w:t>年</w:t>
      </w:r>
      <w:r>
        <w:rPr>
          <w:rFonts w:hint="eastAsia" w:ascii="宋体" w:hAnsi="宋体"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ascii="宋体" w:hAnsi="宋体" w:cs="宋体"/>
          <w:color w:val="000000" w:themeColor="text1"/>
          <w:spacing w:val="6"/>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pacing w:val="6"/>
          <w:sz w:val="24"/>
          <w:szCs w:val="24"/>
          <w:highlight w:val="none"/>
          <w14:textFill>
            <w14:solidFill>
              <w14:schemeClr w14:val="tx1"/>
            </w14:solidFill>
          </w14:textFill>
        </w:rPr>
        <w:t>日</w:t>
      </w:r>
      <w:r>
        <w:rPr>
          <w:rFonts w:hint="eastAsia" w:ascii="宋体" w:hAnsi="宋体" w:cs="宋体"/>
          <w:color w:val="000000" w:themeColor="text1"/>
          <w:spacing w:val="6"/>
          <w:sz w:val="24"/>
          <w:szCs w:val="24"/>
          <w:highlight w:val="none"/>
          <w:lang w:val="en-US" w:eastAsia="zh-CN"/>
          <w14:textFill>
            <w14:solidFill>
              <w14:schemeClr w14:val="tx1"/>
            </w14:solidFill>
          </w14:textFill>
        </w:rPr>
        <w:t>上午9</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w:t>
      </w:r>
      <w:r>
        <w:rPr>
          <w:rFonts w:hint="eastAsia" w:ascii="宋体" w:hAnsi="宋体"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6"/>
          <w:sz w:val="24"/>
          <w:szCs w:val="24"/>
          <w:highlight w:val="none"/>
          <w14:textFill>
            <w14:solidFill>
              <w14:schemeClr w14:val="tx1"/>
            </w14:solidFill>
          </w14:textFill>
        </w:rPr>
        <w:t>（北京时间）。</w:t>
      </w:r>
    </w:p>
    <w:p w14:paraId="1DA47127">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2.投标地点（网址）：</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乐采云平台（https://www.lecaiyun.com/）</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7A1CB54F">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开标时间：</w:t>
      </w:r>
      <w:r>
        <w:rPr>
          <w:rFonts w:hint="eastAsia" w:ascii="宋体" w:hAnsi="宋体" w:cs="宋体"/>
          <w:color w:val="000000" w:themeColor="text1"/>
          <w:spacing w:val="6"/>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02</w:t>
      </w:r>
      <w:r>
        <w:rPr>
          <w:rFonts w:hint="eastAsia" w:ascii="宋体" w:hAnsi="宋体" w:cs="宋体"/>
          <w:color w:val="000000" w:themeColor="text1"/>
          <w:spacing w:val="6"/>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6"/>
          <w:sz w:val="24"/>
          <w:szCs w:val="24"/>
          <w:highlight w:val="none"/>
          <w14:textFill>
            <w14:solidFill>
              <w14:schemeClr w14:val="tx1"/>
            </w14:solidFill>
          </w14:textFill>
        </w:rPr>
        <w:t>年</w:t>
      </w:r>
      <w:r>
        <w:rPr>
          <w:rFonts w:hint="eastAsia" w:ascii="宋体" w:hAnsi="宋体"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ascii="宋体" w:hAnsi="宋体" w:cs="宋体"/>
          <w:color w:val="000000" w:themeColor="text1"/>
          <w:spacing w:val="6"/>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pacing w:val="6"/>
          <w:sz w:val="24"/>
          <w:szCs w:val="24"/>
          <w:highlight w:val="none"/>
          <w14:textFill>
            <w14:solidFill>
              <w14:schemeClr w14:val="tx1"/>
            </w14:solidFill>
          </w14:textFill>
        </w:rPr>
        <w:t>日</w:t>
      </w:r>
      <w:r>
        <w:rPr>
          <w:rFonts w:hint="eastAsia" w:ascii="宋体" w:hAnsi="宋体" w:cs="宋体"/>
          <w:color w:val="000000" w:themeColor="text1"/>
          <w:spacing w:val="6"/>
          <w:sz w:val="24"/>
          <w:szCs w:val="24"/>
          <w:highlight w:val="none"/>
          <w:lang w:val="en-US" w:eastAsia="zh-CN"/>
          <w14:textFill>
            <w14:solidFill>
              <w14:schemeClr w14:val="tx1"/>
            </w14:solidFill>
          </w14:textFill>
        </w:rPr>
        <w:t>上午9</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w:t>
      </w:r>
      <w:r>
        <w:rPr>
          <w:rFonts w:hint="eastAsia" w:ascii="宋体" w:hAnsi="宋体" w:cs="宋体"/>
          <w:color w:val="000000" w:themeColor="text1"/>
          <w:spacing w:val="6"/>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0分</w:t>
      </w:r>
      <w:r>
        <w:rPr>
          <w:rFonts w:hint="eastAsia" w:ascii="宋体" w:hAnsi="宋体" w:eastAsia="宋体" w:cs="宋体"/>
          <w:color w:val="000000" w:themeColor="text1"/>
          <w:spacing w:val="6"/>
          <w:sz w:val="24"/>
          <w:szCs w:val="24"/>
          <w:highlight w:val="none"/>
          <w14:textFill>
            <w14:solidFill>
              <w14:schemeClr w14:val="tx1"/>
            </w14:solidFill>
          </w14:textFill>
        </w:rPr>
        <w:t>整</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p>
    <w:p w14:paraId="4EF272BC">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4.开标地点（网址）</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：乐采云平台（https://www.lecaiyun.com/）</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578A7556">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val="en-US" w:eastAsia="zh-CN"/>
          <w14:textFill>
            <w14:solidFill>
              <w14:schemeClr w14:val="tx1"/>
            </w14:solidFill>
          </w14:textFill>
        </w:rPr>
        <w:t>五、投标保证金</w:t>
      </w:r>
    </w:p>
    <w:p w14:paraId="216D47F2">
      <w:pPr>
        <w:keepNext w:val="0"/>
        <w:keepLines w:val="0"/>
        <w:pageBreakBefore w:val="0"/>
        <w:widowControl w:val="0"/>
        <w:kinsoku/>
        <w:wordWrap/>
        <w:overflowPunct/>
        <w:topLinePunct w:val="0"/>
        <w:autoSpaceDE/>
        <w:autoSpaceDN/>
        <w:bidi w:val="0"/>
        <w:adjustRightInd w:val="0"/>
        <w:snapToGrid/>
        <w:spacing w:line="500" w:lineRule="exact"/>
        <w:ind w:left="0" w:firstLine="480" w:firstLineChars="200"/>
        <w:textAlignment w:val="auto"/>
        <w:rPr>
          <w:rFonts w:hint="eastAsia" w:ascii="Times New Roman" w:hAnsi="宋体" w:eastAsia="宋体" w:cs="宋体"/>
          <w:color w:val="000000" w:themeColor="text1"/>
          <w:sz w:val="24"/>
          <w:szCs w:val="22"/>
          <w:highlight w:val="none"/>
          <w:lang w:val="en-US" w:eastAsia="zh-CN"/>
          <w14:textFill>
            <w14:solidFill>
              <w14:schemeClr w14:val="tx1"/>
            </w14:solidFill>
          </w14:textFill>
        </w:rPr>
      </w:pPr>
      <w:r>
        <w:rPr>
          <w:rFonts w:hint="eastAsia" w:ascii="Times New Roman" w:hAnsi="宋体" w:eastAsia="宋体" w:cs="宋体"/>
          <w:color w:val="000000" w:themeColor="text1"/>
          <w:sz w:val="24"/>
          <w:szCs w:val="22"/>
          <w:highlight w:val="none"/>
          <w:lang w:val="en-US" w:eastAsia="zh-CN"/>
          <w14:textFill>
            <w14:solidFill>
              <w14:schemeClr w14:val="tx1"/>
            </w14:solidFill>
          </w14:textFill>
        </w:rPr>
        <w:t>投标保证金：人民币</w:t>
      </w:r>
      <w:r>
        <w:rPr>
          <w:rFonts w:hint="eastAsia" w:hAnsi="宋体" w:cs="宋体"/>
          <w:color w:val="000000" w:themeColor="text1"/>
          <w:sz w:val="24"/>
          <w:szCs w:val="22"/>
          <w:highlight w:val="none"/>
          <w:lang w:val="en-US" w:eastAsia="zh-CN"/>
          <w14:textFill>
            <w14:solidFill>
              <w14:schemeClr w14:val="tx1"/>
            </w14:solidFill>
          </w14:textFill>
        </w:rPr>
        <w:t>45000</w:t>
      </w:r>
      <w:r>
        <w:rPr>
          <w:rFonts w:hint="eastAsia" w:ascii="Times New Roman" w:hAnsi="宋体" w:eastAsia="宋体" w:cs="宋体"/>
          <w:color w:val="000000" w:themeColor="text1"/>
          <w:sz w:val="24"/>
          <w:szCs w:val="22"/>
          <w:highlight w:val="none"/>
          <w:lang w:val="en-US" w:eastAsia="zh-CN"/>
          <w14:textFill>
            <w14:solidFill>
              <w14:schemeClr w14:val="tx1"/>
            </w14:solidFill>
          </w14:textFill>
        </w:rPr>
        <w:t>元</w:t>
      </w:r>
      <w:r>
        <w:rPr>
          <w:rFonts w:hint="default" w:ascii="Times New Roman" w:hAnsi="宋体" w:eastAsia="宋体" w:cs="宋体"/>
          <w:color w:val="000000" w:themeColor="text1"/>
          <w:sz w:val="24"/>
          <w:szCs w:val="22"/>
          <w:highlight w:val="none"/>
          <w:lang w:val="en-US" w:eastAsia="zh-CN"/>
          <w14:textFill>
            <w14:solidFill>
              <w14:schemeClr w14:val="tx1"/>
            </w14:solidFill>
          </w14:textFill>
        </w:rPr>
        <w:t>（大写：</w:t>
      </w:r>
      <w:r>
        <w:rPr>
          <w:rFonts w:hint="eastAsia" w:hAnsi="宋体" w:cs="宋体"/>
          <w:color w:val="000000" w:themeColor="text1"/>
          <w:sz w:val="24"/>
          <w:szCs w:val="22"/>
          <w:highlight w:val="none"/>
          <w:lang w:val="en-US" w:eastAsia="zh-CN"/>
          <w14:textFill>
            <w14:solidFill>
              <w14:schemeClr w14:val="tx1"/>
            </w14:solidFill>
          </w14:textFill>
        </w:rPr>
        <w:t>肆万伍仟</w:t>
      </w:r>
      <w:r>
        <w:rPr>
          <w:rFonts w:hint="default" w:ascii="Times New Roman" w:hAnsi="宋体" w:eastAsia="宋体" w:cs="宋体"/>
          <w:color w:val="000000" w:themeColor="text1"/>
          <w:sz w:val="24"/>
          <w:szCs w:val="22"/>
          <w:highlight w:val="none"/>
          <w:lang w:val="en-US" w:eastAsia="zh-CN"/>
          <w14:textFill>
            <w14:solidFill>
              <w14:schemeClr w14:val="tx1"/>
            </w14:solidFill>
          </w14:textFill>
        </w:rPr>
        <w:t>元整）</w:t>
      </w:r>
      <w:r>
        <w:rPr>
          <w:rFonts w:hint="eastAsia" w:ascii="Times New Roman" w:hAnsi="宋体" w:eastAsia="宋体" w:cs="宋体"/>
          <w:color w:val="000000" w:themeColor="text1"/>
          <w:sz w:val="24"/>
          <w:szCs w:val="22"/>
          <w:highlight w:val="none"/>
          <w:lang w:val="en-US" w:eastAsia="zh-CN"/>
          <w14:textFill>
            <w14:solidFill>
              <w14:schemeClr w14:val="tx1"/>
            </w14:solidFill>
          </w14:textFill>
        </w:rPr>
        <w:t>。</w:t>
      </w:r>
    </w:p>
    <w:p w14:paraId="7F7FF7A1">
      <w:pPr>
        <w:keepNext w:val="0"/>
        <w:keepLines w:val="0"/>
        <w:pageBreakBefore w:val="0"/>
        <w:widowControl w:val="0"/>
        <w:kinsoku/>
        <w:wordWrap/>
        <w:overflowPunct/>
        <w:topLinePunct w:val="0"/>
        <w:autoSpaceDE/>
        <w:autoSpaceDN/>
        <w:bidi w:val="0"/>
        <w:adjustRightInd w:val="0"/>
        <w:snapToGrid/>
        <w:spacing w:line="500" w:lineRule="exact"/>
        <w:ind w:left="0" w:firstLine="480" w:firstLineChars="200"/>
        <w:textAlignment w:val="auto"/>
        <w:rPr>
          <w:rFonts w:hint="eastAsia" w:ascii="Times New Roman" w:hAnsi="宋体" w:eastAsia="宋体" w:cs="宋体"/>
          <w:color w:val="000000"/>
          <w:sz w:val="24"/>
          <w:szCs w:val="22"/>
          <w:highlight w:val="none"/>
          <w:lang w:val="en-US" w:eastAsia="zh-CN"/>
        </w:rPr>
      </w:pPr>
      <w:r>
        <w:rPr>
          <w:rFonts w:hint="eastAsia" w:ascii="Times New Roman" w:hAnsi="宋体" w:eastAsia="宋体" w:cs="宋体"/>
          <w:color w:val="000000" w:themeColor="text1"/>
          <w:sz w:val="24"/>
          <w:szCs w:val="22"/>
          <w:highlight w:val="none"/>
          <w:lang w:val="en-US" w:eastAsia="zh-CN"/>
          <w14:textFill>
            <w14:solidFill>
              <w14:schemeClr w14:val="tx1"/>
            </w14:solidFill>
          </w14:textFill>
        </w:rPr>
        <w:t>投标人应于202</w:t>
      </w:r>
      <w:r>
        <w:rPr>
          <w:rFonts w:hint="eastAsia" w:hAnsi="宋体" w:cs="宋体"/>
          <w:color w:val="000000" w:themeColor="text1"/>
          <w:sz w:val="24"/>
          <w:szCs w:val="22"/>
          <w:highlight w:val="none"/>
          <w:lang w:val="en-US" w:eastAsia="zh-CN"/>
          <w14:textFill>
            <w14:solidFill>
              <w14:schemeClr w14:val="tx1"/>
            </w14:solidFill>
          </w14:textFill>
        </w:rPr>
        <w:t>5</w:t>
      </w:r>
      <w:r>
        <w:rPr>
          <w:rFonts w:hint="eastAsia" w:ascii="Times New Roman" w:hAnsi="宋体" w:eastAsia="宋体" w:cs="宋体"/>
          <w:color w:val="000000" w:themeColor="text1"/>
          <w:sz w:val="24"/>
          <w:szCs w:val="22"/>
          <w:highlight w:val="none"/>
          <w:lang w:val="en-US" w:eastAsia="zh-CN"/>
          <w14:textFill>
            <w14:solidFill>
              <w14:schemeClr w14:val="tx1"/>
            </w14:solidFill>
          </w14:textFill>
        </w:rPr>
        <w:t>年</w:t>
      </w:r>
      <w:r>
        <w:rPr>
          <w:rFonts w:hint="eastAsia" w:hAnsi="宋体" w:cs="宋体"/>
          <w:color w:val="000000" w:themeColor="text1"/>
          <w:sz w:val="24"/>
          <w:szCs w:val="22"/>
          <w:highlight w:val="none"/>
          <w:lang w:val="en-US" w:eastAsia="zh-CN"/>
          <w14:textFill>
            <w14:solidFill>
              <w14:schemeClr w14:val="tx1"/>
            </w14:solidFill>
          </w14:textFill>
        </w:rPr>
        <w:t>3</w:t>
      </w:r>
      <w:r>
        <w:rPr>
          <w:rFonts w:hint="eastAsia" w:ascii="Times New Roman" w:hAnsi="宋体" w:eastAsia="宋体" w:cs="宋体"/>
          <w:color w:val="000000" w:themeColor="text1"/>
          <w:sz w:val="24"/>
          <w:szCs w:val="22"/>
          <w:highlight w:val="none"/>
          <w:lang w:val="en-US" w:eastAsia="zh-CN"/>
          <w14:textFill>
            <w14:solidFill>
              <w14:schemeClr w14:val="tx1"/>
            </w14:solidFill>
          </w14:textFill>
        </w:rPr>
        <w:t>月</w:t>
      </w:r>
      <w:r>
        <w:rPr>
          <w:rFonts w:hint="eastAsia" w:hAnsi="宋体" w:cs="宋体"/>
          <w:color w:val="000000" w:themeColor="text1"/>
          <w:sz w:val="24"/>
          <w:szCs w:val="22"/>
          <w:highlight w:val="none"/>
          <w:lang w:val="en-US" w:eastAsia="zh-CN"/>
          <w14:textFill>
            <w14:solidFill>
              <w14:schemeClr w14:val="tx1"/>
            </w14:solidFill>
          </w14:textFill>
        </w:rPr>
        <w:t>24</w:t>
      </w:r>
      <w:r>
        <w:rPr>
          <w:rFonts w:hint="eastAsia" w:ascii="Times New Roman" w:hAnsi="宋体" w:eastAsia="宋体" w:cs="宋体"/>
          <w:color w:val="000000" w:themeColor="text1"/>
          <w:sz w:val="24"/>
          <w:szCs w:val="22"/>
          <w:highlight w:val="none"/>
          <w:lang w:val="en-US" w:eastAsia="zh-CN"/>
          <w14:textFill>
            <w14:solidFill>
              <w14:schemeClr w14:val="tx1"/>
            </w14:solidFill>
          </w14:textFill>
        </w:rPr>
        <w:t>日16：00时</w:t>
      </w:r>
      <w:bookmarkEnd w:id="186"/>
      <w:r>
        <w:rPr>
          <w:rFonts w:hint="eastAsia" w:ascii="Times New Roman" w:hAnsi="宋体" w:eastAsia="宋体" w:cs="宋体"/>
          <w:color w:val="000000"/>
          <w:sz w:val="24"/>
          <w:szCs w:val="22"/>
          <w:highlight w:val="none"/>
          <w:lang w:val="en-US" w:eastAsia="zh-CN"/>
        </w:rPr>
        <w:t>前将投标保证金以电汇、转账、网上银行交至浙江中瑞工程管理有限公司嵊州分公司，投标保证金以到账时间为准。如因投标人自身原因，造成投标单位保证金未及时到账的，一律视为不响应采购文件，投标文件不予接收。投标人的投标保证金必须从其基本账户转出。</w:t>
      </w:r>
    </w:p>
    <w:p w14:paraId="4346067C">
      <w:pPr>
        <w:keepNext w:val="0"/>
        <w:keepLines w:val="0"/>
        <w:pageBreakBefore w:val="0"/>
        <w:widowControl w:val="0"/>
        <w:kinsoku/>
        <w:wordWrap/>
        <w:overflowPunct/>
        <w:topLinePunct w:val="0"/>
        <w:autoSpaceDE/>
        <w:autoSpaceDN/>
        <w:bidi w:val="0"/>
        <w:adjustRightInd w:val="0"/>
        <w:snapToGrid/>
        <w:spacing w:line="500" w:lineRule="exact"/>
        <w:ind w:left="0" w:firstLine="480" w:firstLineChars="200"/>
        <w:textAlignment w:val="auto"/>
        <w:rPr>
          <w:rFonts w:hint="eastAsia" w:ascii="Times New Roman" w:hAnsi="宋体" w:eastAsia="宋体" w:cs="宋体"/>
          <w:color w:val="000000"/>
          <w:sz w:val="24"/>
          <w:szCs w:val="22"/>
          <w:highlight w:val="none"/>
          <w:lang w:val="en-US" w:eastAsia="zh-CN"/>
        </w:rPr>
      </w:pPr>
      <w:r>
        <w:rPr>
          <w:rFonts w:hint="eastAsia" w:ascii="Times New Roman" w:hAnsi="宋体" w:eastAsia="宋体" w:cs="宋体"/>
          <w:color w:val="000000"/>
          <w:sz w:val="24"/>
          <w:szCs w:val="22"/>
          <w:highlight w:val="none"/>
          <w:lang w:val="en-US" w:eastAsia="zh-CN"/>
        </w:rPr>
        <w:t>户 名：浙江中瑞工程管理有限公司嵊州分公司</w:t>
      </w:r>
    </w:p>
    <w:p w14:paraId="52FAFAFE">
      <w:pPr>
        <w:keepNext w:val="0"/>
        <w:keepLines w:val="0"/>
        <w:pageBreakBefore w:val="0"/>
        <w:widowControl w:val="0"/>
        <w:kinsoku/>
        <w:wordWrap/>
        <w:overflowPunct/>
        <w:topLinePunct w:val="0"/>
        <w:autoSpaceDE/>
        <w:autoSpaceDN/>
        <w:bidi w:val="0"/>
        <w:adjustRightInd w:val="0"/>
        <w:snapToGrid/>
        <w:spacing w:line="500" w:lineRule="exact"/>
        <w:ind w:left="0" w:firstLine="480" w:firstLineChars="200"/>
        <w:textAlignment w:val="auto"/>
        <w:rPr>
          <w:rFonts w:hint="eastAsia" w:ascii="Times New Roman" w:hAnsi="宋体" w:eastAsia="宋体" w:cs="宋体"/>
          <w:color w:val="000000"/>
          <w:sz w:val="24"/>
          <w:szCs w:val="22"/>
          <w:highlight w:val="none"/>
          <w:lang w:val="en-US" w:eastAsia="zh-CN"/>
        </w:rPr>
      </w:pPr>
      <w:r>
        <w:rPr>
          <w:rFonts w:hint="eastAsia" w:ascii="Times New Roman" w:hAnsi="宋体" w:eastAsia="宋体" w:cs="宋体"/>
          <w:color w:val="000000"/>
          <w:sz w:val="24"/>
          <w:szCs w:val="22"/>
          <w:highlight w:val="none"/>
          <w:lang w:val="en-US" w:eastAsia="zh-CN"/>
        </w:rPr>
        <w:t>开户银行：上海浦东发展银行股份有限公司绍兴嵊州支行</w:t>
      </w:r>
    </w:p>
    <w:p w14:paraId="3C47E824">
      <w:pPr>
        <w:keepNext w:val="0"/>
        <w:keepLines w:val="0"/>
        <w:pageBreakBefore w:val="0"/>
        <w:widowControl w:val="0"/>
        <w:kinsoku/>
        <w:wordWrap/>
        <w:overflowPunct/>
        <w:topLinePunct w:val="0"/>
        <w:autoSpaceDE/>
        <w:autoSpaceDN/>
        <w:bidi w:val="0"/>
        <w:adjustRightInd w:val="0"/>
        <w:snapToGrid/>
        <w:spacing w:line="500" w:lineRule="exact"/>
        <w:ind w:left="0" w:firstLine="480" w:firstLineChars="200"/>
        <w:textAlignment w:val="auto"/>
        <w:rPr>
          <w:rFonts w:hint="eastAsia" w:ascii="宋体" w:hAnsi="宋体" w:cs="宋体"/>
          <w:b/>
          <w:bCs/>
          <w:color w:val="auto"/>
          <w:spacing w:val="6"/>
          <w:sz w:val="24"/>
          <w:szCs w:val="24"/>
          <w:lang w:val="en-US" w:eastAsia="zh-CN"/>
        </w:rPr>
      </w:pPr>
      <w:r>
        <w:rPr>
          <w:rFonts w:hint="eastAsia" w:ascii="Times New Roman" w:hAnsi="宋体" w:eastAsia="宋体" w:cs="宋体"/>
          <w:color w:val="000000"/>
          <w:sz w:val="24"/>
          <w:szCs w:val="22"/>
          <w:highlight w:val="none"/>
          <w:lang w:val="en-US" w:eastAsia="zh-CN"/>
        </w:rPr>
        <w:t>银行账号：85090078801000000324</w:t>
      </w:r>
    </w:p>
    <w:p w14:paraId="4161B9B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bCs/>
          <w:color w:val="auto"/>
          <w:spacing w:val="6"/>
          <w:sz w:val="24"/>
          <w:szCs w:val="24"/>
          <w:lang w:val="en-US" w:eastAsia="zh-CN"/>
        </w:rPr>
      </w:pPr>
    </w:p>
    <w:p w14:paraId="3EC918B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pacing w:val="6"/>
          <w:sz w:val="24"/>
          <w:szCs w:val="24"/>
        </w:rPr>
      </w:pPr>
      <w:r>
        <w:rPr>
          <w:rFonts w:hint="eastAsia" w:ascii="宋体" w:hAnsi="宋体" w:cs="宋体"/>
          <w:b/>
          <w:bCs/>
          <w:color w:val="auto"/>
          <w:spacing w:val="6"/>
          <w:sz w:val="24"/>
          <w:szCs w:val="24"/>
          <w:lang w:val="en-US" w:eastAsia="zh-CN"/>
        </w:rPr>
        <w:t>六</w:t>
      </w:r>
      <w:r>
        <w:rPr>
          <w:rFonts w:hint="eastAsia" w:ascii="宋体" w:hAnsi="宋体" w:eastAsia="宋体" w:cs="宋体"/>
          <w:b/>
          <w:bCs/>
          <w:color w:val="auto"/>
          <w:spacing w:val="6"/>
          <w:sz w:val="24"/>
          <w:szCs w:val="24"/>
        </w:rPr>
        <w:t>、公告期限</w:t>
      </w:r>
    </w:p>
    <w:p w14:paraId="64B41D0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14:paraId="5A76505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lang w:eastAsia="zh-CN"/>
        </w:rPr>
      </w:pPr>
      <w:r>
        <w:rPr>
          <w:rFonts w:hint="eastAsia" w:hAnsi="宋体" w:cs="宋体"/>
          <w:b/>
          <w:bCs/>
          <w:color w:val="auto"/>
          <w:spacing w:val="6"/>
          <w:sz w:val="24"/>
          <w:szCs w:val="24"/>
          <w:lang w:val="en-US" w:eastAsia="zh-CN"/>
        </w:rPr>
        <w:t>七</w:t>
      </w:r>
      <w:r>
        <w:rPr>
          <w:rFonts w:hint="eastAsia" w:ascii="宋体" w:hAnsi="宋体" w:eastAsia="宋体" w:cs="宋体"/>
          <w:b/>
          <w:bCs/>
          <w:color w:val="auto"/>
          <w:spacing w:val="6"/>
          <w:sz w:val="24"/>
          <w:szCs w:val="24"/>
          <w:lang w:val="en-US" w:eastAsia="zh-CN"/>
        </w:rPr>
        <w:t>、</w:t>
      </w:r>
      <w:r>
        <w:rPr>
          <w:rFonts w:hint="eastAsia" w:ascii="宋体" w:hAnsi="宋体" w:eastAsia="宋体" w:cs="宋体"/>
          <w:b/>
          <w:bCs/>
          <w:color w:val="auto"/>
          <w:spacing w:val="6"/>
          <w:sz w:val="24"/>
          <w:szCs w:val="24"/>
        </w:rPr>
        <w:t>其他补充事宜</w:t>
      </w:r>
    </w:p>
    <w:p w14:paraId="35C7C241">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1</w:t>
      </w:r>
      <w:r>
        <w:rPr>
          <w:rFonts w:hint="eastAsia" w:cs="宋体"/>
          <w:color w:val="auto"/>
          <w:spacing w:val="6"/>
          <w:sz w:val="24"/>
          <w:szCs w:val="24"/>
          <w:lang w:val="en-US" w:eastAsia="zh-CN"/>
        </w:rPr>
        <w:t>.</w:t>
      </w:r>
      <w:r>
        <w:rPr>
          <w:rFonts w:hint="eastAsia" w:ascii="宋体" w:hAnsi="宋体" w:eastAsia="宋体" w:cs="宋体"/>
          <w:color w:val="auto"/>
          <w:spacing w:val="6"/>
          <w:kern w:val="2"/>
          <w:sz w:val="24"/>
          <w:szCs w:val="24"/>
          <w:lang w:val="en-US" w:eastAsia="zh-CN" w:bidi="ar-SA"/>
        </w:rPr>
        <w:t>本项目通过“乐采云平台（https://www.lecaiyun.com/）”实行在线投标响应（电子投标），供应商应先安装“乐采云电子交易客户端”，并按照本磋商文件和“乐采云平台”的要求，通过“乐采云电子交易客户端”编制并加密磋商响应文件。供应商未按规定加密的磋商响应文件，“乐采云平台”将予以拒收。</w:t>
      </w:r>
    </w:p>
    <w:p w14:paraId="0D07071D">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kern w:val="2"/>
          <w:sz w:val="24"/>
          <w:szCs w:val="24"/>
          <w:lang w:val="en-US" w:eastAsia="zh-CN" w:bidi="ar-SA"/>
        </w:rPr>
        <w:t>“乐采云电子交易客户端”请自行前往“浙江政府采购网-下载专区-电子交易客户端”进行下载；电子投标具体操作流程详见本公告附件《供应商项目采购-电子招投标操作指南》；通过“乐采云平台”参与在线投标时如遇平台技术问题详询95763。</w:t>
      </w:r>
    </w:p>
    <w:p w14:paraId="2F8EB3B8">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06" w:firstLineChars="201"/>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kern w:val="2"/>
          <w:sz w:val="24"/>
          <w:szCs w:val="24"/>
          <w:lang w:val="en-US" w:eastAsia="zh-CN" w:bidi="ar-SA"/>
        </w:rPr>
        <w:t>2.</w:t>
      </w:r>
      <w:r>
        <w:rPr>
          <w:rFonts w:hint="eastAsia" w:ascii="宋体" w:hAnsi="宋体" w:eastAsia="宋体" w:cs="宋体"/>
          <w:color w:val="auto"/>
          <w:spacing w:val="6"/>
          <w:sz w:val="24"/>
          <w:szCs w:val="24"/>
          <w:lang w:val="en-US" w:eastAsia="zh-CN"/>
        </w:rPr>
        <w:t>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21698AAE">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06" w:firstLineChars="201"/>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3.</w:t>
      </w:r>
      <w:r>
        <w:rPr>
          <w:rFonts w:hint="eastAsia" w:ascii="宋体" w:hAnsi="宋体" w:eastAsia="宋体" w:cs="宋体"/>
          <w:color w:val="auto"/>
          <w:spacing w:val="6"/>
          <w:sz w:val="24"/>
          <w:szCs w:val="24"/>
          <w:lang w:eastAsia="zh-CN"/>
        </w:rPr>
        <w:t>投标人应当在投标截止时间前，将生成的“电子加密投标响应文件”上传递交至“乐采云平台”。投标截止时间以后上传递交的磋商响应文件将被“乐采云平台”拒收。</w:t>
      </w:r>
    </w:p>
    <w:p w14:paraId="30E5649C">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504" w:firstLineChars="200"/>
        <w:textAlignment w:val="auto"/>
        <w:rPr>
          <w:rFonts w:hint="eastAsia" w:ascii="仿宋" w:hAnsi="仿宋" w:eastAsia="仿宋" w:cs="仿宋"/>
          <w:color w:val="auto"/>
          <w:sz w:val="24"/>
        </w:rPr>
      </w:pPr>
      <w:r>
        <w:rPr>
          <w:rFonts w:hint="eastAsia" w:ascii="宋体" w:hAnsi="宋体" w:eastAsia="宋体" w:cs="宋体"/>
          <w:color w:val="auto"/>
          <w:spacing w:val="6"/>
          <w:sz w:val="24"/>
          <w:szCs w:val="24"/>
        </w:rPr>
        <w:t>4.</w:t>
      </w:r>
      <w:r>
        <w:rPr>
          <w:rFonts w:hint="eastAsia" w:ascii="宋体" w:hAnsi="宋体" w:eastAsia="宋体" w:cs="宋体"/>
          <w:color w:val="auto"/>
          <w:spacing w:val="6"/>
          <w:kern w:val="2"/>
          <w:sz w:val="24"/>
          <w:szCs w:val="24"/>
          <w:lang w:val="en-US" w:eastAsia="zh-CN" w:bidi="ar-SA"/>
        </w:rPr>
        <w:t>投标人在“乐采云平台”完成“电子加密投标响应文件”的上传递交后，（以邮寄形式）在投标截止时间前送达以介质（U盘）存储的数据电文形式的“备份投标响应文件”，“备份投标响应文件”应当密封包装并在包装上标注投标项目名称、投标单位名称并加盖公章。</w:t>
      </w:r>
    </w:p>
    <w:p w14:paraId="67206C8B">
      <w:pPr>
        <w:pStyle w:val="41"/>
        <w:keepNext w:val="0"/>
        <w:keepLines w:val="0"/>
        <w:pageBreakBefore w:val="0"/>
        <w:widowControl w:val="0"/>
        <w:kinsoku/>
        <w:wordWrap/>
        <w:overflowPunct/>
        <w:topLinePunct w:val="0"/>
        <w:autoSpaceDE/>
        <w:autoSpaceDN/>
        <w:bidi w:val="0"/>
        <w:adjustRightInd w:val="0"/>
        <w:snapToGrid w:val="0"/>
        <w:spacing w:line="440" w:lineRule="exact"/>
        <w:ind w:firstLine="506" w:firstLineChars="201"/>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5.</w:t>
      </w:r>
      <w:r>
        <w:rPr>
          <w:rFonts w:hint="eastAsia" w:ascii="宋体" w:hAnsi="宋体" w:eastAsia="宋体" w:cs="宋体"/>
          <w:color w:val="auto"/>
          <w:spacing w:val="6"/>
          <w:kern w:val="2"/>
          <w:sz w:val="24"/>
          <w:szCs w:val="24"/>
          <w:lang w:val="en-US" w:eastAsia="zh-CN" w:bidi="ar-SA"/>
        </w:rPr>
        <w:t>通过“乐采云平台”上传递交的“电子加密投标响应文件”无法按时解密，投标人递交了备份投标响应文件的，以备份投标响应文件为依据，否则视为磋商响应文件撤回。通过“乐采云平台”上传递交的“电子加密投标响应文件”已按时解密的，“备份投标响应文件”自动失效。投标人仅递交备份投标响应文件的，投标无效。</w:t>
      </w:r>
    </w:p>
    <w:p w14:paraId="1734671E">
      <w:pPr>
        <w:pStyle w:val="7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6.质疑与投诉</w:t>
      </w:r>
    </w:p>
    <w:p w14:paraId="43DE9259">
      <w:pPr>
        <w:pStyle w:val="7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36" w:lineRule="auto"/>
        <w:ind w:left="0" w:leftChars="0"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企采购监督管理部门投诉。质疑函范本、投诉书范本请到浙江政府采购网下载专区下载。</w:t>
      </w:r>
    </w:p>
    <w:p w14:paraId="66FE0F4A">
      <w:pPr>
        <w:pStyle w:val="7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36" w:lineRule="auto"/>
        <w:ind w:left="0" w:leftChars="0" w:firstLine="504" w:firstLineChars="200"/>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color w:val="auto"/>
          <w:spacing w:val="6"/>
          <w:kern w:val="2"/>
          <w:sz w:val="24"/>
          <w:szCs w:val="24"/>
          <w:lang w:val="en-US" w:eastAsia="zh-CN" w:bidi="ar-SA"/>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5542C7A6">
      <w:pPr>
        <w:keepNext w:val="0"/>
        <w:keepLines w:val="0"/>
        <w:pageBreakBefore w:val="0"/>
        <w:kinsoku/>
        <w:wordWrap/>
        <w:overflowPunct/>
        <w:topLinePunct w:val="0"/>
        <w:bidi w:val="0"/>
        <w:spacing w:line="360" w:lineRule="auto"/>
        <w:textAlignment w:val="auto"/>
        <w:rPr>
          <w:rFonts w:hint="eastAsia"/>
        </w:rPr>
      </w:pPr>
      <w:r>
        <w:rPr>
          <w:rFonts w:hint="eastAsia" w:ascii="宋体" w:hAnsi="宋体" w:cs="宋体"/>
          <w:b/>
          <w:bCs/>
          <w:color w:val="auto"/>
          <w:spacing w:val="6"/>
          <w:sz w:val="24"/>
          <w:szCs w:val="24"/>
          <w:lang w:val="en-US" w:eastAsia="zh-CN"/>
        </w:rPr>
        <w:t>八</w:t>
      </w:r>
      <w:r>
        <w:rPr>
          <w:rFonts w:hint="eastAsia" w:ascii="宋体" w:hAnsi="宋体" w:eastAsia="宋体" w:cs="宋体"/>
          <w:b/>
          <w:bCs/>
          <w:color w:val="auto"/>
          <w:spacing w:val="6"/>
          <w:sz w:val="24"/>
          <w:szCs w:val="24"/>
        </w:rPr>
        <w:t>、对本次采购提出询问，请按以下方式联系</w:t>
      </w:r>
    </w:p>
    <w:p w14:paraId="58077430">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1.采购人信息</w:t>
      </w:r>
    </w:p>
    <w:p w14:paraId="731BC279">
      <w:pPr>
        <w:keepNext w:val="0"/>
        <w:keepLines w:val="0"/>
        <w:pageBreakBefore w:val="0"/>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名称：</w:t>
      </w:r>
      <w:r>
        <w:rPr>
          <w:rFonts w:hint="eastAsia" w:ascii="宋体" w:hAnsi="宋体" w:eastAsia="宋体" w:cs="宋体"/>
          <w:color w:val="000000"/>
          <w:kern w:val="1"/>
          <w:sz w:val="24"/>
          <w:highlight w:val="none"/>
          <w:lang w:val="en-US" w:eastAsia="zh-CN"/>
        </w:rPr>
        <w:t>嵊州市</w:t>
      </w:r>
      <w:r>
        <w:rPr>
          <w:rFonts w:hint="eastAsia" w:ascii="宋体" w:hAnsi="宋体" w:cs="宋体"/>
          <w:color w:val="000000"/>
          <w:kern w:val="1"/>
          <w:sz w:val="24"/>
          <w:highlight w:val="none"/>
          <w:lang w:val="en-US" w:eastAsia="zh-CN"/>
        </w:rPr>
        <w:t>鸿发物业管理</w:t>
      </w:r>
      <w:r>
        <w:rPr>
          <w:rFonts w:hint="eastAsia" w:ascii="宋体" w:hAnsi="宋体" w:eastAsia="宋体" w:cs="宋体"/>
          <w:color w:val="000000"/>
          <w:kern w:val="1"/>
          <w:sz w:val="24"/>
          <w:highlight w:val="none"/>
          <w:lang w:val="en-US" w:eastAsia="zh-CN"/>
        </w:rPr>
        <w:t>有限公司</w:t>
      </w:r>
      <w:r>
        <w:rPr>
          <w:rFonts w:hint="eastAsia" w:asciiTheme="minorEastAsia" w:hAnsiTheme="minorEastAsia" w:eastAsiaTheme="minorEastAsia" w:cstheme="minorEastAsia"/>
          <w:color w:val="auto"/>
          <w:sz w:val="24"/>
          <w:szCs w:val="24"/>
          <w:u w:val="none"/>
        </w:rPr>
        <w:t xml:space="preserve">      　</w:t>
      </w:r>
    </w:p>
    <w:p w14:paraId="15387E44">
      <w:pPr>
        <w:keepNext w:val="0"/>
        <w:keepLines w:val="0"/>
        <w:pageBreakBefore w:val="0"/>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地址：</w:t>
      </w:r>
      <w:r>
        <w:rPr>
          <w:rFonts w:hint="default" w:ascii="宋体" w:hAnsi="宋体" w:cs="宋体"/>
          <w:color w:val="000000"/>
          <w:kern w:val="1"/>
          <w:sz w:val="24"/>
          <w:highlight w:val="none"/>
          <w:lang w:val="en-US" w:eastAsia="zh-CN"/>
        </w:rPr>
        <w:t>嵊州市剡湖街道嵊州大道103-107号</w:t>
      </w:r>
      <w:r>
        <w:rPr>
          <w:rFonts w:hint="eastAsia" w:asciiTheme="minorEastAsia" w:hAnsiTheme="minorEastAsia" w:eastAsiaTheme="minorEastAsia" w:cstheme="minorEastAsia"/>
          <w:color w:val="auto"/>
          <w:sz w:val="24"/>
          <w:szCs w:val="24"/>
          <w:u w:val="none"/>
        </w:rPr>
        <w:t xml:space="preserve">  </w:t>
      </w:r>
    </w:p>
    <w:p w14:paraId="06220A34">
      <w:pPr>
        <w:keepNext w:val="0"/>
        <w:keepLines w:val="0"/>
        <w:pageBreakBefore w:val="0"/>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联系人：</w:t>
      </w:r>
      <w:r>
        <w:rPr>
          <w:rFonts w:hint="eastAsia" w:ascii="宋体" w:hAnsi="宋体" w:cs="宋体"/>
          <w:color w:val="auto"/>
          <w:kern w:val="1"/>
          <w:sz w:val="21"/>
          <w:szCs w:val="21"/>
          <w:highlight w:val="none"/>
          <w:lang w:val="en-US" w:eastAsia="zh-CN"/>
        </w:rPr>
        <w:t>金先生</w:t>
      </w:r>
      <w:r>
        <w:rPr>
          <w:rFonts w:hint="eastAsia" w:asciiTheme="minorEastAsia" w:hAnsiTheme="minorEastAsia" w:eastAsiaTheme="minorEastAsia" w:cstheme="minorEastAsia"/>
          <w:color w:val="auto"/>
          <w:sz w:val="24"/>
          <w:szCs w:val="24"/>
          <w:u w:val="none"/>
        </w:rPr>
        <w:t xml:space="preserve"> 　</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rPr>
        <w:t>　</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rPr>
        <w:t xml:space="preserve">   　　  </w:t>
      </w:r>
    </w:p>
    <w:p w14:paraId="75EE6B29">
      <w:pPr>
        <w:keepNext w:val="0"/>
        <w:keepLines w:val="0"/>
        <w:pageBreakBefore w:val="0"/>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rPr>
        <w:t>联系方式：</w:t>
      </w:r>
      <w:r>
        <w:rPr>
          <w:rFonts w:hint="eastAsia" w:ascii="宋体" w:hAnsi="宋体" w:cs="宋体"/>
          <w:color w:val="000000"/>
          <w:kern w:val="1"/>
          <w:sz w:val="24"/>
          <w:highlight w:val="none"/>
          <w:lang w:val="en-US" w:eastAsia="zh-CN"/>
        </w:rPr>
        <w:t>13606577281</w:t>
      </w:r>
      <w:r>
        <w:rPr>
          <w:rFonts w:hint="eastAsia" w:asciiTheme="minorEastAsia" w:hAnsiTheme="minorEastAsia" w:eastAsiaTheme="minorEastAsia" w:cstheme="minorEastAsia"/>
          <w:color w:val="auto"/>
          <w:sz w:val="24"/>
          <w:szCs w:val="24"/>
          <w:u w:val="none"/>
          <w:lang w:val="en-US" w:eastAsia="zh-CN"/>
        </w:rPr>
        <w:t xml:space="preserve">   </w:t>
      </w:r>
    </w:p>
    <w:p w14:paraId="60B4BE30">
      <w:pPr>
        <w:keepNext w:val="0"/>
        <w:keepLines w:val="0"/>
        <w:pageBreakBefore w:val="0"/>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rPr>
        <w:t xml:space="preserve">    </w:t>
      </w:r>
    </w:p>
    <w:p w14:paraId="422C157B">
      <w:pPr>
        <w:keepNext w:val="0"/>
        <w:keepLines w:val="0"/>
        <w:pageBreakBefore w:val="0"/>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2</w:t>
      </w:r>
      <w:r>
        <w:rPr>
          <w:rFonts w:hint="eastAsia" w:asciiTheme="minorEastAsia" w:hAnsiTheme="minorEastAsia" w:eastAsiaTheme="minorEastAsia" w:cstheme="minorEastAsia"/>
          <w:color w:val="auto"/>
          <w:sz w:val="24"/>
          <w:szCs w:val="24"/>
          <w:u w:val="none"/>
        </w:rPr>
        <w:t>.采购代理机构信息</w:t>
      </w:r>
    </w:p>
    <w:p w14:paraId="4781E61A">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名称：</w:t>
      </w:r>
      <w:r>
        <w:rPr>
          <w:rFonts w:hint="eastAsia" w:ascii="宋体" w:hAnsi="宋体" w:eastAsia="宋体" w:cs="宋体"/>
          <w:color w:val="000000"/>
          <w:kern w:val="1"/>
          <w:sz w:val="24"/>
          <w:highlight w:val="none"/>
          <w:lang w:val="en-US" w:eastAsia="zh-CN"/>
        </w:rPr>
        <w:t>浙江中瑞工程管理有限公司</w:t>
      </w:r>
      <w:r>
        <w:rPr>
          <w:rFonts w:hint="eastAsia" w:asciiTheme="minorEastAsia" w:hAnsiTheme="minorEastAsia" w:eastAsiaTheme="minorEastAsia" w:cstheme="minorEastAsia"/>
          <w:color w:val="auto"/>
          <w:sz w:val="24"/>
          <w:szCs w:val="24"/>
          <w:u w:val="none"/>
        </w:rPr>
        <w:t xml:space="preserve">      </w:t>
      </w:r>
    </w:p>
    <w:p w14:paraId="72EA6D7A">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rPr>
        <w:t>地址：</w:t>
      </w:r>
      <w:r>
        <w:rPr>
          <w:rFonts w:hint="eastAsia" w:asciiTheme="minorEastAsia" w:hAnsiTheme="minorEastAsia" w:eastAsiaTheme="minorEastAsia" w:cstheme="minorEastAsia"/>
          <w:color w:val="auto"/>
          <w:sz w:val="24"/>
          <w:szCs w:val="24"/>
          <w:u w:val="none"/>
          <w:lang w:val="en-US" w:eastAsia="zh-CN"/>
        </w:rPr>
        <w:t>嵊州市兴旺街288号-20号1幢609室</w:t>
      </w:r>
    </w:p>
    <w:p w14:paraId="264F90BF">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项目联系人：</w:t>
      </w:r>
      <w:r>
        <w:rPr>
          <w:rFonts w:hint="eastAsia" w:asciiTheme="minorEastAsia" w:hAnsiTheme="minorEastAsia" w:eastAsiaTheme="minorEastAsia" w:cstheme="minorEastAsia"/>
          <w:color w:val="auto"/>
          <w:sz w:val="24"/>
          <w:szCs w:val="24"/>
          <w:u w:val="none"/>
          <w:lang w:val="en-US" w:eastAsia="zh-CN"/>
        </w:rPr>
        <w:t>宋女士</w:t>
      </w:r>
      <w:r>
        <w:rPr>
          <w:rFonts w:hint="eastAsia" w:asciiTheme="minorEastAsia" w:hAnsiTheme="minorEastAsia" w:eastAsiaTheme="minorEastAsia" w:cstheme="minorEastAsia"/>
          <w:color w:val="auto"/>
          <w:sz w:val="24"/>
          <w:szCs w:val="24"/>
          <w:u w:val="none"/>
        </w:rPr>
        <w:t xml:space="preserve">   </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u w:val="none"/>
        </w:rPr>
        <w:t xml:space="preserve">   </w:t>
      </w:r>
      <w:r>
        <w:rPr>
          <w:rFonts w:hint="eastAsia" w:asciiTheme="minorEastAsia" w:hAnsiTheme="minorEastAsia" w:eastAsiaTheme="minorEastAsia" w:cstheme="minorEastAsia"/>
          <w:color w:val="auto"/>
          <w:sz w:val="24"/>
          <w:szCs w:val="24"/>
          <w:u w:val="none"/>
          <w:lang w:val="en-US" w:eastAsia="zh-CN"/>
        </w:rPr>
        <w:t xml:space="preserve"> </w:t>
      </w:r>
    </w:p>
    <w:p w14:paraId="7BA28DBF">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电话：</w:t>
      </w:r>
      <w:r>
        <w:rPr>
          <w:rFonts w:hint="eastAsia" w:asciiTheme="minorEastAsia" w:hAnsiTheme="minorEastAsia" w:eastAsiaTheme="minorEastAsia" w:cstheme="minorEastAsia"/>
          <w:color w:val="auto"/>
          <w:sz w:val="24"/>
          <w:szCs w:val="24"/>
          <w:u w:val="none"/>
          <w:lang w:val="en-US" w:eastAsia="zh-CN"/>
        </w:rPr>
        <w:t>15068558123</w:t>
      </w:r>
      <w:r>
        <w:rPr>
          <w:rFonts w:hint="eastAsia" w:asciiTheme="minorEastAsia" w:hAnsiTheme="minorEastAsia" w:eastAsiaTheme="minorEastAsia" w:cstheme="minorEastAsia"/>
          <w:color w:val="auto"/>
          <w:sz w:val="24"/>
          <w:szCs w:val="24"/>
          <w:u w:val="none"/>
        </w:rPr>
        <w:t>　</w:t>
      </w:r>
    </w:p>
    <w:p w14:paraId="2D9A06FC">
      <w:pPr>
        <w:pStyle w:val="91"/>
        <w:rPr>
          <w:rFonts w:hint="eastAsia" w:asciiTheme="minorEastAsia" w:hAnsiTheme="minorEastAsia" w:eastAsiaTheme="minorEastAsia" w:cstheme="minorEastAsia"/>
          <w:color w:val="auto"/>
          <w:sz w:val="24"/>
          <w:szCs w:val="24"/>
          <w:u w:val="none"/>
        </w:rPr>
      </w:pPr>
    </w:p>
    <w:p w14:paraId="08447A1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若对项目采购电子交易系统操作有疑问，可登录</w:t>
      </w:r>
      <w:r>
        <w:rPr>
          <w:rFonts w:hint="eastAsia" w:ascii="宋体" w:hAnsi="宋体" w:eastAsia="宋体" w:cs="宋体"/>
          <w:b/>
          <w:bCs/>
          <w:color w:val="auto"/>
          <w:sz w:val="24"/>
          <w:szCs w:val="24"/>
          <w:u w:val="none"/>
          <w:lang w:eastAsia="zh-CN"/>
        </w:rPr>
        <w:t>乐采云</w:t>
      </w:r>
      <w:r>
        <w:rPr>
          <w:rFonts w:hint="eastAsia" w:ascii="宋体" w:hAnsi="宋体" w:eastAsia="宋体" w:cs="宋体"/>
          <w:b/>
          <w:bCs/>
          <w:color w:val="auto"/>
          <w:sz w:val="24"/>
          <w:szCs w:val="24"/>
          <w:u w:val="none"/>
        </w:rPr>
        <w:t>（https://www.lecaiyun.com/），点击右侧咨询小采，获取采小蜜智能服务管家帮助，或拨打</w:t>
      </w:r>
      <w:r>
        <w:rPr>
          <w:rFonts w:hint="eastAsia" w:ascii="宋体" w:hAnsi="宋体" w:eastAsia="宋体" w:cs="宋体"/>
          <w:b/>
          <w:bCs/>
          <w:color w:val="auto"/>
          <w:sz w:val="24"/>
          <w:szCs w:val="24"/>
          <w:u w:val="none"/>
          <w:lang w:eastAsia="zh-CN"/>
        </w:rPr>
        <w:t>乐采云</w:t>
      </w:r>
      <w:r>
        <w:rPr>
          <w:rFonts w:hint="eastAsia" w:ascii="宋体" w:hAnsi="宋体" w:eastAsia="宋体" w:cs="宋体"/>
          <w:b/>
          <w:bCs/>
          <w:color w:val="auto"/>
          <w:sz w:val="24"/>
          <w:szCs w:val="24"/>
          <w:u w:val="none"/>
        </w:rPr>
        <w:t>服务热线</w:t>
      </w:r>
      <w:r>
        <w:rPr>
          <w:rFonts w:hint="eastAsia" w:ascii="宋体" w:hAnsi="宋体" w:eastAsia="宋体" w:cs="宋体"/>
          <w:b/>
          <w:bCs/>
          <w:color w:val="auto"/>
          <w:sz w:val="24"/>
          <w:szCs w:val="24"/>
          <w:u w:val="none"/>
          <w:lang w:val="en-US" w:eastAsia="zh-CN"/>
        </w:rPr>
        <w:t>95763</w:t>
      </w:r>
      <w:r>
        <w:rPr>
          <w:rFonts w:hint="eastAsia" w:ascii="宋体" w:hAnsi="宋体" w:eastAsia="宋体" w:cs="宋体"/>
          <w:b/>
          <w:bCs/>
          <w:color w:val="auto"/>
          <w:sz w:val="24"/>
          <w:szCs w:val="24"/>
          <w:u w:val="none"/>
        </w:rPr>
        <w:t>获取热线服务帮助。</w:t>
      </w:r>
    </w:p>
    <w:p w14:paraId="3C91EDD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lang w:val="en-US" w:eastAsia="zh-CN"/>
        </w:rPr>
        <w:sectPr>
          <w:footerReference r:id="rId9" w:type="first"/>
          <w:footerReference r:id="rId8" w:type="default"/>
          <w:pgSz w:w="11906" w:h="16838"/>
          <w:pgMar w:top="1418" w:right="1418" w:bottom="1418" w:left="1418"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b/>
          <w:bCs/>
          <w:color w:val="auto"/>
          <w:sz w:val="24"/>
          <w:szCs w:val="24"/>
          <w:u w:val="none"/>
        </w:rPr>
        <w:t>CA问题联系电话（人工）：汇信CA 400-888-4636；天谷CA 400-087-8198。</w:t>
      </w:r>
    </w:p>
    <w:bookmarkEnd w:id="30"/>
    <w:bookmarkEnd w:id="31"/>
    <w:bookmarkEnd w:id="32"/>
    <w:bookmarkEnd w:id="33"/>
    <w:p w14:paraId="279987CE">
      <w:pPr>
        <w:pStyle w:val="3"/>
        <w:spacing w:line="700" w:lineRule="exact"/>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第二部分</w:t>
      </w:r>
      <w:r>
        <w:rPr>
          <w:rFonts w:hint="eastAsia" w:ascii="宋体" w:hAnsi="宋体" w:eastAsia="宋体" w:cs="宋体"/>
          <w:b/>
          <w:bCs/>
          <w:color w:val="auto"/>
          <w:sz w:val="32"/>
          <w:szCs w:val="32"/>
        </w:rPr>
        <w:t xml:space="preserve"> 投标须知</w:t>
      </w:r>
      <w:bookmarkEnd w:id="12"/>
      <w:bookmarkEnd w:id="13"/>
      <w:bookmarkEnd w:id="14"/>
      <w:bookmarkEnd w:id="15"/>
      <w:bookmarkEnd w:id="16"/>
      <w:bookmarkEnd w:id="17"/>
      <w:bookmarkEnd w:id="18"/>
      <w:bookmarkEnd w:id="19"/>
      <w:bookmarkEnd w:id="20"/>
      <w:bookmarkStart w:id="34" w:name="_Toc180555917"/>
      <w:bookmarkStart w:id="35" w:name="_Toc339302125"/>
      <w:bookmarkStart w:id="36" w:name="_Toc513456140"/>
      <w:bookmarkStart w:id="37" w:name="_Toc248065036"/>
      <w:bookmarkStart w:id="38" w:name="_Toc340322164"/>
      <w:bookmarkStart w:id="39" w:name="_Toc54978889"/>
      <w:bookmarkStart w:id="40" w:name="_Toc489481887"/>
      <w:bookmarkStart w:id="41" w:name="_Toc304551310"/>
      <w:bookmarkStart w:id="42" w:name="_Toc226337758"/>
      <w:bookmarkStart w:id="43" w:name="_Toc340321909"/>
      <w:bookmarkStart w:id="44" w:name="_Toc19659"/>
    </w:p>
    <w:p w14:paraId="58F03975">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一、</w:t>
      </w:r>
      <w:r>
        <w:rPr>
          <w:rFonts w:hint="eastAsia" w:ascii="宋体" w:hAnsi="宋体" w:eastAsia="宋体" w:cs="宋体"/>
          <w:b/>
          <w:bCs w:val="0"/>
          <w:color w:val="auto"/>
          <w:sz w:val="24"/>
          <w:szCs w:val="24"/>
        </w:rPr>
        <w:t>投标须知前附表</w:t>
      </w:r>
      <w:bookmarkEnd w:id="34"/>
      <w:bookmarkEnd w:id="35"/>
      <w:bookmarkEnd w:id="36"/>
      <w:bookmarkEnd w:id="37"/>
      <w:bookmarkEnd w:id="38"/>
      <w:bookmarkEnd w:id="39"/>
      <w:bookmarkEnd w:id="40"/>
      <w:bookmarkEnd w:id="41"/>
      <w:bookmarkEnd w:id="42"/>
      <w:bookmarkEnd w:id="43"/>
      <w:bookmarkEnd w:id="44"/>
    </w:p>
    <w:tbl>
      <w:tblPr>
        <w:tblStyle w:val="80"/>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909"/>
        <w:gridCol w:w="7291"/>
      </w:tblGrid>
      <w:tr w14:paraId="5BD8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2" w:type="dxa"/>
            <w:noWrap w:val="0"/>
            <w:vAlign w:val="center"/>
          </w:tcPr>
          <w:p w14:paraId="507A3FD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bookmarkStart w:id="45" w:name="_Toc82338239"/>
            <w:bookmarkStart w:id="46" w:name="_Toc82873322"/>
            <w:bookmarkStart w:id="47" w:name="_Toc35261571"/>
            <w:r>
              <w:rPr>
                <w:rFonts w:hint="eastAsia" w:ascii="宋体" w:hAnsi="宋体" w:eastAsia="宋体" w:cs="宋体"/>
                <w:color w:val="auto"/>
                <w:sz w:val="24"/>
                <w:szCs w:val="24"/>
              </w:rPr>
              <w:t>序号</w:t>
            </w:r>
          </w:p>
        </w:tc>
        <w:tc>
          <w:tcPr>
            <w:tcW w:w="1909" w:type="dxa"/>
            <w:noWrap w:val="0"/>
            <w:vAlign w:val="center"/>
          </w:tcPr>
          <w:p w14:paraId="6887E667">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291" w:type="dxa"/>
            <w:noWrap w:val="0"/>
            <w:vAlign w:val="center"/>
          </w:tcPr>
          <w:p w14:paraId="648158B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编  例  内  容</w:t>
            </w:r>
          </w:p>
        </w:tc>
      </w:tr>
      <w:tr w14:paraId="2BD0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732" w:type="dxa"/>
            <w:noWrap w:val="0"/>
            <w:vAlign w:val="center"/>
          </w:tcPr>
          <w:p w14:paraId="769CBFF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909" w:type="dxa"/>
            <w:noWrap w:val="0"/>
            <w:vAlign w:val="center"/>
          </w:tcPr>
          <w:p w14:paraId="7037C3B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项目属性</w:t>
            </w:r>
          </w:p>
          <w:p w14:paraId="63025CD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与核心产品</w:t>
            </w:r>
          </w:p>
        </w:tc>
        <w:tc>
          <w:tcPr>
            <w:tcW w:w="7291" w:type="dxa"/>
            <w:noWrap w:val="0"/>
            <w:vAlign w:val="center"/>
          </w:tcPr>
          <w:p w14:paraId="56812B69">
            <w:pPr>
              <w:keepNext w:val="0"/>
              <w:keepLines w:val="0"/>
              <w:pageBreakBefore w:val="0"/>
              <w:widowControl w:val="0"/>
              <w:suppressLineNumbers w:val="0"/>
              <w:kinsoku/>
              <w:wordWrap/>
              <w:overflowPunct/>
              <w:topLinePunct w:val="0"/>
              <w:bidi w:val="0"/>
              <w:adjustRightInd w:val="0"/>
              <w:spacing w:before="0" w:beforeAutospacing="0" w:after="0" w:afterAutospacing="0" w:line="440" w:lineRule="exact"/>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货物类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单一产品或核心产品为：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kern w:val="0"/>
                <w:sz w:val="24"/>
                <w:szCs w:val="22"/>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90F28D8">
            <w:pPr>
              <w:keepNext w:val="0"/>
              <w:keepLines w:val="0"/>
              <w:suppressLineNumbers w:val="0"/>
              <w:autoSpaceDE w:val="0"/>
              <w:autoSpaceDN w:val="0"/>
              <w:snapToGrid w:val="0"/>
              <w:spacing w:before="0" w:beforeAutospacing="0" w:after="0" w:afterAutospacing="0" w:line="400" w:lineRule="exact"/>
              <w:ind w:left="0" w:right="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服务类。</w:t>
            </w:r>
          </w:p>
        </w:tc>
      </w:tr>
      <w:tr w14:paraId="740E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732" w:type="dxa"/>
            <w:noWrap w:val="0"/>
            <w:vAlign w:val="center"/>
          </w:tcPr>
          <w:p w14:paraId="713360F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909" w:type="dxa"/>
            <w:noWrap w:val="0"/>
            <w:vAlign w:val="center"/>
          </w:tcPr>
          <w:p w14:paraId="3A21B9A8">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b w:val="0"/>
                <w:bCs/>
                <w:color w:val="auto"/>
                <w:sz w:val="24"/>
                <w:szCs w:val="24"/>
              </w:rPr>
            </w:pPr>
            <w:r>
              <w:rPr>
                <w:rFonts w:hint="eastAsia" w:ascii="宋体" w:hAnsi="宋体" w:eastAsia="宋体" w:cs="宋体"/>
                <w:b/>
                <w:color w:val="auto"/>
                <w:sz w:val="24"/>
                <w:szCs w:val="24"/>
              </w:rPr>
              <w:t>是否允许采购进口产品</w:t>
            </w:r>
          </w:p>
        </w:tc>
        <w:tc>
          <w:tcPr>
            <w:tcW w:w="7291" w:type="dxa"/>
            <w:noWrap w:val="0"/>
            <w:vAlign w:val="center"/>
          </w:tcPr>
          <w:p w14:paraId="02121896">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sym w:font="Wingdings" w:char="F0FE"/>
            </w:r>
            <w:r>
              <w:rPr>
                <w:rFonts w:hint="eastAsia" w:ascii="宋体" w:hAnsi="宋体" w:eastAsia="宋体" w:cs="宋体"/>
                <w:color w:val="auto"/>
                <w:kern w:val="0"/>
                <w:sz w:val="24"/>
                <w:szCs w:val="24"/>
              </w:rPr>
              <w:t>本项目不允许采购进口产品。</w:t>
            </w:r>
          </w:p>
          <w:p w14:paraId="36B93F25">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kern w:val="0"/>
                <w:sz w:val="24"/>
                <w:szCs w:val="24"/>
              </w:rPr>
              <w:t>☐可以就</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采购进口产品。</w:t>
            </w:r>
          </w:p>
        </w:tc>
      </w:tr>
      <w:tr w14:paraId="2556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732" w:type="dxa"/>
            <w:noWrap w:val="0"/>
            <w:vAlign w:val="center"/>
          </w:tcPr>
          <w:p w14:paraId="22217FC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909" w:type="dxa"/>
            <w:noWrap w:val="0"/>
            <w:vAlign w:val="center"/>
          </w:tcPr>
          <w:p w14:paraId="7B236B8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分包</w:t>
            </w:r>
          </w:p>
        </w:tc>
        <w:tc>
          <w:tcPr>
            <w:tcW w:w="7291" w:type="dxa"/>
            <w:noWrap w:val="0"/>
            <w:vAlign w:val="center"/>
          </w:tcPr>
          <w:p w14:paraId="1D5A1684">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48C867B7">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r>
              <w:rPr>
                <w:rFonts w:hint="eastAsia" w:ascii="宋体" w:hAnsi="宋体" w:eastAsia="宋体" w:cs="宋体"/>
                <w:color w:val="auto"/>
                <w:sz w:val="24"/>
                <w:szCs w:val="24"/>
                <w:highlight w:val="none"/>
                <w:lang w:eastAsia="zh-CN"/>
              </w:rPr>
              <w:t>。</w:t>
            </w:r>
          </w:p>
        </w:tc>
      </w:tr>
      <w:tr w14:paraId="4FFD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31A1F16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909" w:type="dxa"/>
            <w:noWrap w:val="0"/>
            <w:vAlign w:val="center"/>
          </w:tcPr>
          <w:p w14:paraId="0901F7AE">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开标前答疑会或现场考察</w:t>
            </w:r>
          </w:p>
        </w:tc>
        <w:tc>
          <w:tcPr>
            <w:tcW w:w="7291" w:type="dxa"/>
            <w:noWrap w:val="0"/>
            <w:vAlign w:val="center"/>
          </w:tcPr>
          <w:p w14:paraId="244606DC">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r>
              <w:rPr>
                <w:rFonts w:hint="eastAsia" w:ascii="宋体" w:hAnsi="宋体" w:eastAsia="宋体" w:cs="宋体"/>
                <w:color w:val="auto"/>
                <w:kern w:val="0"/>
                <w:sz w:val="24"/>
                <w:szCs w:val="24"/>
              </w:rPr>
              <w:sym w:font="Wingdings" w:char="F0FE"/>
            </w:r>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264AA716">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r>
              <w:rPr>
                <w:rFonts w:hint="eastAsia" w:ascii="宋体" w:hAnsi="宋体" w:eastAsia="宋体" w:cs="宋体"/>
                <w:color w:val="auto"/>
                <w:kern w:val="0"/>
                <w:sz w:val="24"/>
                <w:szCs w:val="24"/>
              </w:rPr>
              <w:t>☐B组织，</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17F7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13D78CC2">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909" w:type="dxa"/>
            <w:noWrap w:val="0"/>
            <w:vAlign w:val="center"/>
          </w:tcPr>
          <w:p w14:paraId="1DF2856E">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7291" w:type="dxa"/>
            <w:noWrap w:val="0"/>
            <w:vAlign w:val="center"/>
          </w:tcPr>
          <w:p w14:paraId="184DE4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sym w:font="Wingdings" w:char="00FE"/>
            </w:r>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不要求提供。</w:t>
            </w:r>
          </w:p>
          <w:p w14:paraId="3B1B07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sym w:font="Wingdings" w:char="00A8"/>
            </w:r>
            <w:r>
              <w:rPr>
                <w:rFonts w:hint="eastAsia" w:ascii="宋体" w:hAnsi="宋体" w:eastAsia="宋体" w:cs="宋体"/>
                <w:color w:val="auto"/>
                <w:kern w:val="0"/>
                <w:sz w:val="24"/>
                <w:szCs w:val="24"/>
              </w:rPr>
              <w:t>B要求提供，</w:t>
            </w:r>
          </w:p>
          <w:p w14:paraId="2D7C25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snapToGrid w:val="0"/>
                <w:color w:val="auto"/>
                <w:kern w:val="28"/>
                <w:sz w:val="24"/>
                <w:szCs w:val="24"/>
              </w:rPr>
              <w:t>样品：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详见项目招标范围及服务要求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C717C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snapToGrid w:val="0"/>
                <w:color w:val="auto"/>
                <w:kern w:val="28"/>
                <w:sz w:val="24"/>
                <w:szCs w:val="24"/>
              </w:rPr>
              <w:t>样品制作的标准和要求：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详见项目招标范围及服务要求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04764B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（3）样品的评审方法以及评审标准</w:t>
            </w:r>
            <w:r>
              <w:rPr>
                <w:rFonts w:hint="eastAsia" w:ascii="宋体" w:hAnsi="宋体" w:eastAsia="宋体" w:cs="宋体"/>
                <w:snapToGrid w:val="0"/>
                <w:color w:val="auto"/>
                <w:kern w:val="28"/>
                <w:sz w:val="24"/>
                <w:szCs w:val="24"/>
              </w:rPr>
              <w:t>：详见</w:t>
            </w:r>
            <w:r>
              <w:rPr>
                <w:rFonts w:hint="eastAsia" w:ascii="宋体" w:hAnsi="宋体" w:eastAsia="宋体" w:cs="宋体"/>
                <w:color w:val="auto"/>
                <w:sz w:val="24"/>
                <w:szCs w:val="24"/>
                <w:u w:val="single"/>
              </w:rPr>
              <w:t>评标办法</w:t>
            </w:r>
            <w:r>
              <w:rPr>
                <w:rFonts w:hint="eastAsia" w:ascii="宋体" w:hAnsi="宋体" w:eastAsia="宋体" w:cs="宋体"/>
                <w:color w:val="auto"/>
                <w:kern w:val="0"/>
                <w:sz w:val="24"/>
                <w:szCs w:val="24"/>
              </w:rPr>
              <w:t>；</w:t>
            </w:r>
          </w:p>
          <w:p w14:paraId="7C5709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（4）是否需要随样品提交检测报告：</w:t>
            </w:r>
            <w:r>
              <w:rPr>
                <w:rFonts w:hint="eastAsia" w:ascii="宋体" w:hAnsi="宋体" w:eastAsia="宋体" w:cs="宋体"/>
                <w:color w:val="auto"/>
                <w:kern w:val="0"/>
                <w:sz w:val="24"/>
                <w:szCs w:val="24"/>
              </w:rPr>
              <w:sym w:font="Wingdings" w:char="00A8"/>
            </w:r>
            <w:r>
              <w:rPr>
                <w:rFonts w:hint="eastAsia" w:ascii="宋体" w:hAnsi="宋体" w:eastAsia="宋体" w:cs="宋体"/>
                <w:color w:val="auto"/>
                <w:kern w:val="0"/>
                <w:sz w:val="24"/>
                <w:szCs w:val="24"/>
              </w:rPr>
              <w:t>否；☐是，检测机构的要求</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；检测内容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89207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（5）提供样品的时间：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strike w:val="0"/>
                <w:dstrike w:val="0"/>
                <w:color w:val="auto"/>
                <w:sz w:val="24"/>
                <w:szCs w:val="24"/>
                <w:u w:val="single"/>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。请投标人在上述时间内提供样品并按规定位置安装完毕。超过截止时间的，采购人或采购代理机构将不予接收，并将清场并封闭样品现场。</w:t>
            </w:r>
          </w:p>
          <w:p w14:paraId="03F6BF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（6）采购活动结束后，对于未</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提供的样品，采购人、采购机构将通知未</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在规定的时间内取回，逾期未取回的，采购人、采购机构不负保管义务；对于</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提供的样品，采购人将进行保管、封存，并作为履约验收的参考。</w:t>
            </w:r>
          </w:p>
          <w:p w14:paraId="2A09A4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（7）制作、运输、安装和保管样品所发生的一切费用由投标人自理。</w:t>
            </w:r>
          </w:p>
        </w:tc>
      </w:tr>
      <w:tr w14:paraId="2313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1CA600D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909" w:type="dxa"/>
            <w:noWrap w:val="0"/>
            <w:vAlign w:val="center"/>
          </w:tcPr>
          <w:p w14:paraId="5E006E2D">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质疑与澄清</w:t>
            </w:r>
          </w:p>
        </w:tc>
        <w:tc>
          <w:tcPr>
            <w:tcW w:w="7291" w:type="dxa"/>
            <w:noWrap w:val="0"/>
            <w:vAlign w:val="center"/>
          </w:tcPr>
          <w:p w14:paraId="794AE351">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投标人</w:t>
            </w:r>
            <w:r>
              <w:rPr>
                <w:rFonts w:hint="eastAsia" w:ascii="宋体" w:hAnsi="宋体" w:eastAsia="宋体" w:cs="宋体"/>
                <w:color w:val="auto"/>
                <w:spacing w:val="6"/>
                <w:sz w:val="24"/>
                <w:szCs w:val="24"/>
              </w:rPr>
              <w:t>如对采购文件有异议应该按规定的时间</w:t>
            </w:r>
            <w:r>
              <w:rPr>
                <w:rFonts w:hint="eastAsia" w:ascii="宋体" w:hAnsi="宋体" w:eastAsia="宋体" w:cs="宋体"/>
                <w:color w:val="auto"/>
                <w:sz w:val="24"/>
                <w:szCs w:val="24"/>
              </w:rPr>
              <w:t>要求一次性提出针对同一采购程序环节的质疑</w:t>
            </w:r>
            <w:r>
              <w:rPr>
                <w:rFonts w:hint="eastAsia" w:ascii="宋体" w:hAnsi="宋体" w:eastAsia="宋体" w:cs="宋体"/>
                <w:color w:val="auto"/>
                <w:spacing w:val="6"/>
                <w:sz w:val="24"/>
                <w:szCs w:val="24"/>
              </w:rPr>
              <w:t>，逾期提出的，代理机构不予受理、答复。对未按上述方式获取采购文件的供应商对该文件提出的质疑，</w:t>
            </w:r>
            <w:r>
              <w:rPr>
                <w:rFonts w:hint="eastAsia" w:ascii="宋体" w:hAnsi="宋体" w:eastAsia="宋体" w:cs="宋体"/>
                <w:color w:val="auto"/>
                <w:spacing w:val="6"/>
                <w:sz w:val="24"/>
                <w:szCs w:val="24"/>
                <w:lang w:eastAsia="zh-CN"/>
              </w:rPr>
              <w:t>采购人</w:t>
            </w:r>
            <w:r>
              <w:rPr>
                <w:rFonts w:hint="eastAsia" w:ascii="宋体" w:hAnsi="宋体" w:eastAsia="宋体" w:cs="宋体"/>
                <w:color w:val="auto"/>
                <w:spacing w:val="6"/>
                <w:sz w:val="24"/>
                <w:szCs w:val="24"/>
              </w:rPr>
              <w:t>或采购代理机构将不予处理。</w:t>
            </w:r>
          </w:p>
        </w:tc>
      </w:tr>
      <w:tr w14:paraId="065A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239709BE">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909" w:type="dxa"/>
            <w:noWrap w:val="0"/>
            <w:vAlign w:val="center"/>
          </w:tcPr>
          <w:p w14:paraId="6E29172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方案讲解演示</w:t>
            </w:r>
          </w:p>
        </w:tc>
        <w:tc>
          <w:tcPr>
            <w:tcW w:w="7291" w:type="dxa"/>
            <w:noWrap w:val="0"/>
            <w:vAlign w:val="center"/>
          </w:tcPr>
          <w:p w14:paraId="3615A3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sym w:font="Wingdings" w:char="F0FE"/>
            </w:r>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2A80F4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☐B组织。</w:t>
            </w:r>
          </w:p>
          <w:p w14:paraId="364F77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14:paraId="79A957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（2）方案讲解演示可选择以下其中一种方式：</w:t>
            </w:r>
          </w:p>
          <w:p w14:paraId="7A2639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b/>
                <w:bCs/>
                <w:color w:val="auto"/>
                <w:kern w:val="0"/>
                <w:sz w:val="24"/>
                <w:szCs w:val="24"/>
              </w:rPr>
              <w:t>方式一：</w:t>
            </w:r>
            <w:r>
              <w:rPr>
                <w:rFonts w:hint="eastAsia" w:ascii="宋体" w:hAnsi="宋体" w:eastAsia="宋体" w:cs="宋体"/>
                <w:color w:val="auto"/>
                <w:kern w:val="0"/>
                <w:sz w:val="24"/>
                <w:szCs w:val="24"/>
                <w:lang w:eastAsia="zh-CN"/>
              </w:rPr>
              <w:t>乐采云</w:t>
            </w:r>
            <w:r>
              <w:rPr>
                <w:rFonts w:hint="eastAsia" w:ascii="宋体" w:hAnsi="宋体" w:eastAsia="宋体" w:cs="宋体"/>
                <w:color w:val="auto"/>
                <w:kern w:val="0"/>
                <w:sz w:val="24"/>
                <w:szCs w:val="24"/>
              </w:rPr>
              <w:t>平台在线讲解演示。</w:t>
            </w:r>
            <w:r>
              <w:rPr>
                <w:rFonts w:hint="eastAsia" w:ascii="宋体" w:hAnsi="宋体" w:eastAsia="宋体" w:cs="宋体"/>
                <w:color w:val="auto"/>
                <w:kern w:val="0"/>
                <w:sz w:val="24"/>
                <w:szCs w:val="24"/>
                <w:lang w:eastAsia="zh-CN"/>
              </w:rPr>
              <w:t>乐采云</w:t>
            </w:r>
            <w:r>
              <w:rPr>
                <w:rFonts w:hint="eastAsia" w:ascii="宋体" w:hAnsi="宋体" w:eastAsia="宋体" w:cs="宋体"/>
                <w:color w:val="auto"/>
                <w:kern w:val="0"/>
                <w:sz w:val="24"/>
                <w:szCs w:val="24"/>
              </w:rPr>
              <w:t>平台在线讲解需投标人根据</w:t>
            </w:r>
            <w:r>
              <w:rPr>
                <w:rFonts w:hint="eastAsia" w:ascii="宋体" w:hAnsi="宋体" w:eastAsia="宋体" w:cs="宋体"/>
                <w:color w:val="auto"/>
                <w:kern w:val="0"/>
                <w:sz w:val="24"/>
                <w:szCs w:val="24"/>
                <w:lang w:eastAsia="zh-CN"/>
              </w:rPr>
              <w:t>乐采云</w:t>
            </w:r>
            <w:r>
              <w:rPr>
                <w:rFonts w:hint="eastAsia" w:ascii="宋体" w:hAnsi="宋体" w:eastAsia="宋体" w:cs="宋体"/>
                <w:color w:val="auto"/>
                <w:kern w:val="0"/>
                <w:sz w:val="24"/>
                <w:szCs w:val="24"/>
              </w:rPr>
              <w:t>平台操作要求做好准备工作，提前完善软硬件配置环境。</w:t>
            </w:r>
          </w:p>
          <w:p w14:paraId="6DB1A7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b/>
                <w:bCs/>
                <w:color w:val="auto"/>
                <w:kern w:val="0"/>
                <w:sz w:val="24"/>
                <w:szCs w:val="24"/>
              </w:rPr>
              <w:t>方式二：</w:t>
            </w:r>
            <w:r>
              <w:rPr>
                <w:rFonts w:hint="eastAsia" w:ascii="宋体" w:hAnsi="宋体" w:eastAsia="宋体" w:cs="宋体"/>
                <w:color w:val="auto"/>
                <w:kern w:val="0"/>
                <w:sz w:val="24"/>
                <w:szCs w:val="24"/>
              </w:rPr>
              <w:t>代理机构评标场所现场讲解演示。现场讲解地点为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，讲解演示所用电脑等设备由投标人自备。现场讲解演示人员进场时提供讲解人员名单（加盖公章）及身份证明，否则不得讲解演示。</w:t>
            </w:r>
          </w:p>
          <w:p w14:paraId="066466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b/>
                <w:bCs/>
                <w:color w:val="auto"/>
                <w:kern w:val="0"/>
                <w:sz w:val="24"/>
                <w:szCs w:val="24"/>
              </w:rPr>
              <w:t>方式三：</w:t>
            </w:r>
            <w:r>
              <w:rPr>
                <w:rFonts w:hint="eastAsia" w:ascii="宋体" w:hAnsi="宋体" w:eastAsia="宋体" w:cs="宋体"/>
                <w:color w:val="auto"/>
                <w:kern w:val="0"/>
                <w:sz w:val="24"/>
                <w:szCs w:val="24"/>
              </w:rPr>
              <w:t>采用视频录制方式，用U盘介质储存快递或邮寄至代理机构（公告中列明的地址），视频中演示人应出示身份证。</w:t>
            </w:r>
            <w:r>
              <w:rPr>
                <w:rFonts w:hint="eastAsia" w:ascii="宋体" w:hAnsi="宋体" w:eastAsia="宋体" w:cs="宋体"/>
                <w:b/>
                <w:bCs/>
                <w:color w:val="auto"/>
                <w:kern w:val="0"/>
                <w:sz w:val="24"/>
                <w:szCs w:val="24"/>
              </w:rPr>
              <w:t>未派遣投标文件中的</w:t>
            </w:r>
            <w:r>
              <w:rPr>
                <w:rFonts w:hint="eastAsia" w:ascii="宋体" w:hAnsi="宋体" w:eastAsia="宋体" w:cs="宋体"/>
                <w:b/>
                <w:bCs/>
                <w:color w:val="auto"/>
                <w:kern w:val="0"/>
                <w:sz w:val="24"/>
                <w:szCs w:val="24"/>
                <w:u w:val="single"/>
              </w:rPr>
              <w:t>项目组人员</w:t>
            </w:r>
            <w:r>
              <w:rPr>
                <w:rFonts w:hint="eastAsia" w:ascii="宋体" w:hAnsi="宋体" w:eastAsia="宋体" w:cs="宋体"/>
                <w:b/>
                <w:bCs/>
                <w:color w:val="auto"/>
                <w:kern w:val="0"/>
                <w:sz w:val="24"/>
                <w:szCs w:val="24"/>
              </w:rPr>
              <w:t>进行演示讲解或未提供身份证明的，评分项不得分。</w:t>
            </w:r>
            <w:r>
              <w:rPr>
                <w:rFonts w:hint="eastAsia" w:ascii="宋体" w:hAnsi="宋体" w:eastAsia="宋体" w:cs="宋体"/>
                <w:color w:val="auto"/>
                <w:kern w:val="0"/>
                <w:sz w:val="24"/>
                <w:szCs w:val="24"/>
              </w:rPr>
              <w:t>若因U盘损坏或打不开则按视为未提交。</w:t>
            </w:r>
          </w:p>
          <w:p w14:paraId="6C0A1C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b/>
                <w:bCs/>
                <w:color w:val="auto"/>
                <w:kern w:val="0"/>
                <w:sz w:val="24"/>
                <w:szCs w:val="24"/>
              </w:rPr>
              <w:t>方式四：</w:t>
            </w:r>
            <w:r>
              <w:rPr>
                <w:rFonts w:hint="eastAsia" w:ascii="宋体" w:hAnsi="宋体" w:eastAsia="宋体" w:cs="宋体"/>
                <w:color w:val="auto"/>
                <w:kern w:val="0"/>
                <w:sz w:val="24"/>
                <w:szCs w:val="24"/>
              </w:rPr>
              <w:t>采用现场钉钉直播演示的。开标后，演示人请加钉钉号：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17F8B3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contextualSpacing/>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F1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2" w:type="dxa"/>
            <w:vMerge w:val="restart"/>
            <w:noWrap w:val="0"/>
            <w:vAlign w:val="center"/>
          </w:tcPr>
          <w:p w14:paraId="4F5D8FAF">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909" w:type="dxa"/>
            <w:vMerge w:val="restart"/>
            <w:noWrap w:val="0"/>
            <w:vAlign w:val="center"/>
          </w:tcPr>
          <w:p w14:paraId="46179AF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 w:val="24"/>
                <w:szCs w:val="24"/>
              </w:rPr>
              <w:t>投标人应当提供的资格、资信证明文件</w:t>
            </w:r>
          </w:p>
        </w:tc>
        <w:tc>
          <w:tcPr>
            <w:tcW w:w="7291" w:type="dxa"/>
            <w:noWrap w:val="0"/>
            <w:vAlign w:val="center"/>
          </w:tcPr>
          <w:p w14:paraId="79B8D5D2">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（1）资格证明文件</w:t>
            </w:r>
            <w:r>
              <w:rPr>
                <w:rFonts w:hint="eastAsia" w:ascii="宋体" w:hAnsi="宋体" w:eastAsia="宋体" w:cs="宋体"/>
                <w:color w:val="auto"/>
                <w:sz w:val="24"/>
                <w:szCs w:val="24"/>
                <w:lang w:val="en-US" w:eastAsia="zh-CN"/>
              </w:rPr>
              <w:t>见招标文件第二部分4.2.1</w:t>
            </w:r>
          </w:p>
          <w:p w14:paraId="2E6BC9FE">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投标人未提供有效的资格证明文件的，视为投标人不具备采购文件中规定的资格要求，投标无效。</w:t>
            </w:r>
          </w:p>
        </w:tc>
      </w:tr>
      <w:tr w14:paraId="2531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2" w:type="dxa"/>
            <w:vMerge w:val="continue"/>
            <w:noWrap w:val="0"/>
            <w:vAlign w:val="center"/>
          </w:tcPr>
          <w:p w14:paraId="7AFCDB7C">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p>
        </w:tc>
        <w:tc>
          <w:tcPr>
            <w:tcW w:w="1909" w:type="dxa"/>
            <w:vMerge w:val="continue"/>
            <w:noWrap w:val="0"/>
            <w:vAlign w:val="center"/>
          </w:tcPr>
          <w:p w14:paraId="6B017FCB">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p>
        </w:tc>
        <w:tc>
          <w:tcPr>
            <w:tcW w:w="7291" w:type="dxa"/>
            <w:noWrap w:val="0"/>
            <w:vAlign w:val="center"/>
          </w:tcPr>
          <w:p w14:paraId="0401E771">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（2）资信证明文件：根据采购文件第四部分评标标准提供。</w:t>
            </w:r>
          </w:p>
        </w:tc>
      </w:tr>
      <w:tr w14:paraId="68BA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27F2E7A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909" w:type="dxa"/>
            <w:noWrap w:val="0"/>
            <w:vAlign w:val="center"/>
          </w:tcPr>
          <w:p w14:paraId="1CA6305D">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投标文件编制</w:t>
            </w:r>
          </w:p>
        </w:tc>
        <w:tc>
          <w:tcPr>
            <w:tcW w:w="7291" w:type="dxa"/>
            <w:noWrap w:val="0"/>
            <w:vAlign w:val="center"/>
          </w:tcPr>
          <w:p w14:paraId="0953D220">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供应商应先安装“</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电子交易客户端”，并按照本采购文件和“</w:t>
            </w:r>
            <w:r>
              <w:rPr>
                <w:rFonts w:hint="eastAsia" w:ascii="宋体" w:hAnsi="宋体" w:eastAsia="宋体" w:cs="宋体"/>
                <w:color w:val="auto"/>
                <w:spacing w:val="6"/>
                <w:sz w:val="24"/>
                <w:szCs w:val="24"/>
                <w:highlight w:val="none"/>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”的要求，通过“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电子交易客户端”编制并加密投标文件。</w:t>
            </w:r>
          </w:p>
        </w:tc>
      </w:tr>
      <w:tr w14:paraId="5CB7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08930B1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909" w:type="dxa"/>
            <w:noWrap w:val="0"/>
            <w:vAlign w:val="center"/>
          </w:tcPr>
          <w:p w14:paraId="17BB9918">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签字或盖章要求</w:t>
            </w:r>
          </w:p>
        </w:tc>
        <w:tc>
          <w:tcPr>
            <w:tcW w:w="7291" w:type="dxa"/>
            <w:noWrap w:val="0"/>
            <w:vAlign w:val="center"/>
          </w:tcPr>
          <w:p w14:paraId="770B9D9E">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）电子投标文件必须有电子签章；</w:t>
            </w:r>
          </w:p>
          <w:p w14:paraId="03527D91">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）开标后，相关信息记录确认、澄清说明、回复等内容，电子签章、或者签章后上传相关文件，均认可；</w:t>
            </w:r>
          </w:p>
          <w:p w14:paraId="10C9D023">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）乐采云系统平台有新的操作流程的，按其规定。</w:t>
            </w:r>
          </w:p>
        </w:tc>
      </w:tr>
      <w:tr w14:paraId="7B45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312D931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909" w:type="dxa"/>
            <w:noWrap w:val="0"/>
            <w:vAlign w:val="center"/>
          </w:tcPr>
          <w:p w14:paraId="13790882">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投标文件的形式</w:t>
            </w:r>
          </w:p>
        </w:tc>
        <w:tc>
          <w:tcPr>
            <w:tcW w:w="7291" w:type="dxa"/>
            <w:noWrap w:val="0"/>
            <w:vAlign w:val="center"/>
          </w:tcPr>
          <w:p w14:paraId="14C5A9D2">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电子投标文件（包括“电子加密投标文件”和“备份投标文件”，在投标文件编制完成后同时生成）；</w:t>
            </w:r>
          </w:p>
          <w:p w14:paraId="44A90CF4">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（1）“电子加密投标文件”是指通过“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电子交易客户端”完成投标文件编制后生成并加密的数据电文形式的投标文件。</w:t>
            </w:r>
          </w:p>
          <w:p w14:paraId="4E6F0898">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（2）“备份投标文件”是指与“电子加密投标文件”同时生成的以介质（U盘）存储的数据电文形式的电子文件（备份标书），其他方式编制的备份投标文件视为无效备份投标文件。</w:t>
            </w:r>
          </w:p>
        </w:tc>
      </w:tr>
      <w:tr w14:paraId="554F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506AACA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909" w:type="dxa"/>
            <w:noWrap w:val="0"/>
            <w:vAlign w:val="center"/>
          </w:tcPr>
          <w:p w14:paraId="41C143C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投标文件份数</w:t>
            </w:r>
          </w:p>
        </w:tc>
        <w:tc>
          <w:tcPr>
            <w:tcW w:w="7291" w:type="dxa"/>
            <w:noWrap w:val="0"/>
            <w:vAlign w:val="center"/>
          </w:tcPr>
          <w:p w14:paraId="519AC0E3">
            <w:pPr>
              <w:keepNext w:val="0"/>
              <w:keepLines w:val="0"/>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一份电子加密标书（后缀格式为.jmbs），一份备份标书文件（后缀格式为.bfbs）。</w:t>
            </w:r>
          </w:p>
          <w:p w14:paraId="20B017E8">
            <w:pPr>
              <w:keepNext w:val="0"/>
              <w:keepLines w:val="0"/>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每份电子投标文件应包括资格证明文件、</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技术文件及报价文件三部分内容。</w:t>
            </w:r>
          </w:p>
          <w:p w14:paraId="1BFB7E0D">
            <w:pPr>
              <w:keepNext w:val="0"/>
              <w:keepLines w:val="0"/>
              <w:numPr>
                <w:ilvl w:val="0"/>
                <w:numId w:val="0"/>
              </w:numPr>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如中标，</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需根据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要求提供纸质投标文件至少一份。采购人有权要求</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提供原版技术资料。</w:t>
            </w:r>
          </w:p>
          <w:p w14:paraId="09EF36AE">
            <w:pPr>
              <w:keepNext w:val="0"/>
              <w:keepLines w:val="0"/>
              <w:numPr>
                <w:ilvl w:val="0"/>
                <w:numId w:val="0"/>
              </w:numPr>
              <w:suppressLineNumbers w:val="0"/>
              <w:autoSpaceDE w:val="0"/>
              <w:autoSpaceDN w:val="0"/>
              <w:snapToGrid w:val="0"/>
              <w:spacing w:before="0" w:beforeAutospacing="0" w:after="0" w:afterAutospacing="0" w:line="240" w:lineRule="auto"/>
              <w:ind w:left="0" w:right="0"/>
              <w:textAlignment w:val="bottom"/>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“备份投标文件”：密封包装后（邮寄形式）投标截止时间前递交一份（邮寄地址：</w:t>
            </w:r>
            <w:r>
              <w:rPr>
                <w:rFonts w:hint="eastAsia" w:ascii="宋体" w:hAnsi="宋体" w:eastAsia="宋体" w:cs="宋体"/>
                <w:color w:val="auto"/>
                <w:sz w:val="24"/>
                <w:szCs w:val="24"/>
                <w:lang w:val="en-US" w:eastAsia="zh-CN"/>
              </w:rPr>
              <w:t>嵊州市兴旺街288号-20号1幢609室，宋工</w:t>
            </w:r>
          </w:p>
          <w:p w14:paraId="6888C8B1">
            <w:pPr>
              <w:keepNext w:val="0"/>
              <w:keepLines w:val="0"/>
              <w:numPr>
                <w:ilvl w:val="0"/>
                <w:numId w:val="0"/>
              </w:numPr>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收）</w:t>
            </w:r>
          </w:p>
        </w:tc>
      </w:tr>
      <w:tr w14:paraId="4F3D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50EC135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909" w:type="dxa"/>
            <w:noWrap w:val="0"/>
            <w:vAlign w:val="center"/>
          </w:tcPr>
          <w:p w14:paraId="20C96D6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电子加密投标文件的上传、递交</w:t>
            </w:r>
          </w:p>
        </w:tc>
        <w:tc>
          <w:tcPr>
            <w:tcW w:w="7291" w:type="dxa"/>
            <w:noWrap w:val="0"/>
            <w:vAlign w:val="center"/>
          </w:tcPr>
          <w:p w14:paraId="4D5D4412">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（1）投标供应商应在投标截止时间前将“电子加密投标文件”成功上传递交至“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”，否则投标无效。</w:t>
            </w:r>
          </w:p>
          <w:p w14:paraId="3798DB1F">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（2）“电子加密投标文件”成功上传递交后，供应商可自行打印投标文件接收回执。</w:t>
            </w:r>
          </w:p>
        </w:tc>
      </w:tr>
      <w:tr w14:paraId="49C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0546832E">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909" w:type="dxa"/>
            <w:noWrap w:val="0"/>
            <w:vAlign w:val="center"/>
          </w:tcPr>
          <w:p w14:paraId="7DB74AC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备份投标文件的密封包装、递交</w:t>
            </w:r>
          </w:p>
        </w:tc>
        <w:tc>
          <w:tcPr>
            <w:tcW w:w="7291" w:type="dxa"/>
            <w:noWrap w:val="0"/>
            <w:vAlign w:val="center"/>
          </w:tcPr>
          <w:p w14:paraId="04E1448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8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（1）投标供应商在“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”完成“电子加密投标文件”的上传递交后，还可以（邮寄形式）在投标截止时间前递交以介质（U盘）存储的“备份投标文件”（一份）；</w:t>
            </w:r>
          </w:p>
          <w:p w14:paraId="450A8E8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8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（2）“备份投标文件”应当密封包装，并在包装上标注投标项目名称、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名称并加盖公章。没有密封包装或者逾期邮寄送达至投标地点的“备份投标文件”将不予接收；</w:t>
            </w:r>
          </w:p>
          <w:p w14:paraId="01B721D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8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”的，投标无效。</w:t>
            </w:r>
          </w:p>
        </w:tc>
      </w:tr>
      <w:tr w14:paraId="41DE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7F721CC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909" w:type="dxa"/>
            <w:noWrap w:val="0"/>
            <w:vAlign w:val="center"/>
          </w:tcPr>
          <w:p w14:paraId="37562B80">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电子加密投标文件的解密和异常情况处理</w:t>
            </w:r>
          </w:p>
        </w:tc>
        <w:tc>
          <w:tcPr>
            <w:tcW w:w="7291" w:type="dxa"/>
            <w:noWrap w:val="0"/>
            <w:vAlign w:val="center"/>
          </w:tcPr>
          <w:p w14:paraId="356D342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8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（1）开标后，采购组织机构将向各投标供应商发出“电子加密投标文件”的解密通知，各投标供应商代表应当在接到解密通知后30分钟内自行完成“电子加密投标文件”的在线解密。</w:t>
            </w:r>
          </w:p>
          <w:p w14:paraId="425BB1E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8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”操作规范将“备份投标文件”上传至“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”，上传成功后，“电子加密投标文件”自动失效），否则视为投标文件撤回。</w:t>
            </w:r>
          </w:p>
          <w:p w14:paraId="7FFDB84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8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（3）投标截止时间前，投标供应商仅递交了“备份投标文件”而未将电子加密投标文件上传至“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”的，投标无效。</w:t>
            </w:r>
          </w:p>
        </w:tc>
      </w:tr>
      <w:tr w14:paraId="0BA5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2" w:type="dxa"/>
            <w:noWrap w:val="0"/>
            <w:vAlign w:val="center"/>
          </w:tcPr>
          <w:p w14:paraId="1FD2BF7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909" w:type="dxa"/>
            <w:noWrap w:val="0"/>
            <w:vAlign w:val="center"/>
          </w:tcPr>
          <w:p w14:paraId="74C2C15C">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投标有效期</w:t>
            </w:r>
          </w:p>
        </w:tc>
        <w:tc>
          <w:tcPr>
            <w:tcW w:w="7291" w:type="dxa"/>
            <w:noWrap w:val="0"/>
            <w:vAlign w:val="center"/>
          </w:tcPr>
          <w:p w14:paraId="35071875">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投标截止时间后90天。</w:t>
            </w:r>
          </w:p>
        </w:tc>
      </w:tr>
      <w:tr w14:paraId="2395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32" w:type="dxa"/>
            <w:noWrap w:val="0"/>
            <w:vAlign w:val="center"/>
          </w:tcPr>
          <w:p w14:paraId="537595E1">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909" w:type="dxa"/>
            <w:noWrap w:val="0"/>
            <w:vAlign w:val="center"/>
          </w:tcPr>
          <w:p w14:paraId="52F3C1B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特别说明</w:t>
            </w:r>
          </w:p>
        </w:tc>
        <w:tc>
          <w:tcPr>
            <w:tcW w:w="7291" w:type="dxa"/>
            <w:noWrap w:val="0"/>
            <w:vAlign w:val="center"/>
          </w:tcPr>
          <w:p w14:paraId="494451E0">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3E7A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32" w:type="dxa"/>
            <w:noWrap w:val="0"/>
            <w:vAlign w:val="center"/>
          </w:tcPr>
          <w:p w14:paraId="4D8204CF">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909" w:type="dxa"/>
            <w:noWrap w:val="0"/>
            <w:vAlign w:val="center"/>
          </w:tcPr>
          <w:p w14:paraId="0662469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有关费用</w:t>
            </w:r>
          </w:p>
        </w:tc>
        <w:tc>
          <w:tcPr>
            <w:tcW w:w="7291" w:type="dxa"/>
            <w:noWrap w:val="0"/>
            <w:vAlign w:val="center"/>
          </w:tcPr>
          <w:p w14:paraId="46F179A0">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w:t>
            </w:r>
            <w:r>
              <w:rPr>
                <w:rFonts w:hint="eastAsia" w:hAnsi="宋体" w:cs="宋体"/>
                <w:color w:val="auto"/>
                <w:sz w:val="24"/>
                <w:szCs w:val="24"/>
                <w:highlight w:val="none"/>
                <w:lang w:val="en-US" w:eastAsia="zh-CN"/>
              </w:rPr>
              <w:t>人参照招标代理机构按如下标准和规定，标准收</w:t>
            </w:r>
            <w:r>
              <w:rPr>
                <w:rFonts w:hint="eastAsia" w:ascii="宋体" w:hAnsi="宋体" w:eastAsia="宋体" w:cs="宋体"/>
                <w:color w:val="auto"/>
                <w:sz w:val="24"/>
                <w:szCs w:val="24"/>
                <w:highlight w:val="none"/>
              </w:rPr>
              <w:t>费</w:t>
            </w:r>
            <w:r>
              <w:rPr>
                <w:rFonts w:hint="eastAsia" w:hAnsi="宋体" w:cs="宋体"/>
                <w:color w:val="auto"/>
                <w:sz w:val="24"/>
                <w:szCs w:val="24"/>
                <w:highlight w:val="none"/>
                <w:lang w:val="en-US" w:eastAsia="zh-CN"/>
              </w:rPr>
              <w:t>下浮40%交纳中标服务费</w:t>
            </w:r>
            <w:r>
              <w:rPr>
                <w:rFonts w:hint="eastAsia" w:ascii="宋体" w:hAnsi="宋体" w:eastAsia="宋体" w:cs="宋体"/>
                <w:color w:val="auto"/>
                <w:sz w:val="24"/>
                <w:szCs w:val="24"/>
                <w:highlight w:val="none"/>
              </w:rPr>
              <w:t>，请在投标报价中自行考虑：</w:t>
            </w:r>
          </w:p>
          <w:p w14:paraId="44A1570B">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4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b/>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506730</wp:posOffset>
                      </wp:positionH>
                      <wp:positionV relativeFrom="paragraph">
                        <wp:posOffset>548005</wp:posOffset>
                      </wp:positionV>
                      <wp:extent cx="1258570" cy="820420"/>
                      <wp:effectExtent l="2540" t="3810" r="15240" b="13970"/>
                      <wp:wrapNone/>
                      <wp:docPr id="12" name="直接箭头连接符 12"/>
                      <wp:cNvGraphicFramePr/>
                      <a:graphic xmlns:a="http://schemas.openxmlformats.org/drawingml/2006/main">
                        <a:graphicData uri="http://schemas.microsoft.com/office/word/2010/wordprocessingShape">
                          <wps:wsp>
                            <wps:cNvCnPr/>
                            <wps:spPr>
                              <a:xfrm>
                                <a:off x="0" y="0"/>
                                <a:ext cx="1258570" cy="8204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9pt;margin-top:43.15pt;height:64.6pt;width:99.1pt;z-index:251662336;mso-width-relative:page;mso-height-relative:page;" filled="f" stroked="t" coordsize="21600,21600" o:gfxdata="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h9lo2AAAAAkBAAAPAAAAAAAAAAEAIAAAACIAAABkcnMv&#10;ZG93bnJldi54bWxQSwECFAAUAAAACACHTuJA8UELcgMCAADzAwAADgAAAAAAAAABACAAAAAnAQAA&#10;ZHJzL2Uyb0RvYy54bWxQSwUGAAAAAAYABgBZAQAAnAUAAAAA&#10;">
                      <v:fill on="f" focussize="0,0"/>
                      <v:stroke color="#000000" joinstyle="round"/>
                      <v:imagedata o:title=""/>
                      <o:lock v:ext="edit" aspectratio="f"/>
                    </v:shape>
                  </w:pict>
                </mc:Fallback>
              </mc:AlternateContent>
            </w:r>
            <w:r>
              <w:rPr>
                <w:rFonts w:hint="eastAsia" w:ascii="宋体" w:hAnsi="宋体" w:eastAsia="宋体" w:cs="宋体"/>
                <w:color w:val="auto"/>
                <w:kern w:val="2"/>
                <w:sz w:val="24"/>
                <w:szCs w:val="24"/>
                <w:highlight w:val="none"/>
                <w:lang w:val="en-US" w:eastAsia="zh-CN" w:bidi="ar-SA"/>
              </w:rPr>
              <w:t>1、本项目代理服务费按照以下标准收取（招标代理费按差额定率累进法计算）：</w:t>
            </w:r>
          </w:p>
          <w:tbl>
            <w:tblPr>
              <w:tblStyle w:val="80"/>
              <w:tblW w:w="6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960"/>
              <w:gridCol w:w="990"/>
              <w:gridCol w:w="1800"/>
            </w:tblGrid>
            <w:tr w14:paraId="7271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1" w:hRule="atLeast"/>
              </w:trPr>
              <w:tc>
                <w:tcPr>
                  <w:tcW w:w="2775" w:type="dxa"/>
                  <w:noWrap w:val="0"/>
                  <w:vAlign w:val="top"/>
                </w:tcPr>
                <w:p w14:paraId="28D9F55F">
                  <w:pPr>
                    <w:keepNext w:val="0"/>
                    <w:keepLines w:val="0"/>
                    <w:suppressLineNumbers w:val="0"/>
                    <w:tabs>
                      <w:tab w:val="right" w:pos="2147"/>
                    </w:tabs>
                    <w:spacing w:before="0" w:beforeAutospacing="0" w:after="0" w:afterAutospacing="0"/>
                    <w:ind w:left="0" w:right="0" w:firstLine="236" w:firstLineChars="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
                      <w:color w:val="auto"/>
                      <w:sz w:val="24"/>
                      <w:szCs w:val="24"/>
                      <w:highlight w:val="none"/>
                    </w:rPr>
                    <w:t>费        服务类型</w:t>
                  </w:r>
                </w:p>
                <w:p w14:paraId="09BB7593">
                  <w:pPr>
                    <w:keepNext w:val="0"/>
                    <w:keepLines w:val="0"/>
                    <w:suppressLineNumbers w:val="0"/>
                    <w:tabs>
                      <w:tab w:val="right" w:pos="2147"/>
                    </w:tabs>
                    <w:spacing w:before="0" w:beforeAutospacing="0" w:after="0" w:afterAutospacing="0"/>
                    <w:ind w:left="0" w:right="0" w:firstLine="236" w:firstLineChars="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14605</wp:posOffset>
                            </wp:positionV>
                            <wp:extent cx="1823720" cy="606425"/>
                            <wp:effectExtent l="1270" t="4445" r="3810" b="17780"/>
                            <wp:wrapNone/>
                            <wp:docPr id="10" name="直接箭头连接符 10"/>
                            <wp:cNvGraphicFramePr/>
                            <a:graphic xmlns:a="http://schemas.openxmlformats.org/drawingml/2006/main">
                              <a:graphicData uri="http://schemas.microsoft.com/office/word/2010/wordprocessingShape">
                                <wps:wsp>
                                  <wps:cNvCnPr/>
                                  <wps:spPr>
                                    <a:xfrm>
                                      <a:off x="0" y="0"/>
                                      <a:ext cx="1823720" cy="6064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15pt;margin-top:1.15pt;height:47.75pt;width:143.6pt;z-index:251661312;mso-width-relative:page;mso-height-relative:page;" filled="f" stroked="t" coordsize="21600,21600" o:gfxdata="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wz1KtgAAAAIAQAADwAAAAAAAAABACAAAAAiAAAAZHJzL2Rv&#10;d25yZXYueG1sUEsBAhQAFAAAAAgAh07iQCoSyG0BAgAA8wMAAA4AAAAAAAAAAQAgAAAAJwEAAGRy&#10;cy9lMm9Eb2MueG1sUEsFBgAAAAAGAAYAWQEAAJoFA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highlight w:val="none"/>
                    </w:rPr>
                    <w:t xml:space="preserve">    率</w:t>
                  </w:r>
                </w:p>
                <w:p w14:paraId="181E0C16">
                  <w:pPr>
                    <w:keepNext w:val="0"/>
                    <w:keepLines w:val="0"/>
                    <w:suppressLineNumbers w:val="0"/>
                    <w:tabs>
                      <w:tab w:val="right" w:pos="2147"/>
                    </w:tabs>
                    <w:spacing w:before="0" w:beforeAutospacing="0" w:after="0" w:afterAutospacing="0"/>
                    <w:ind w:left="0" w:right="0"/>
                    <w:rPr>
                      <w:rFonts w:hint="eastAsia" w:ascii="仿宋" w:hAnsi="仿宋" w:eastAsia="仿宋" w:cs="仿宋"/>
                      <w:b/>
                      <w:color w:val="auto"/>
                      <w:sz w:val="24"/>
                      <w:szCs w:val="24"/>
                      <w:highlight w:val="none"/>
                    </w:rPr>
                  </w:pPr>
                </w:p>
                <w:p w14:paraId="2ACB6DEF">
                  <w:pPr>
                    <w:keepNext w:val="0"/>
                    <w:keepLines w:val="0"/>
                    <w:suppressLineNumbers w:val="0"/>
                    <w:tabs>
                      <w:tab w:val="right" w:pos="2147"/>
                    </w:tabs>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中标金额（万元）</w:t>
                  </w:r>
                </w:p>
              </w:tc>
              <w:tc>
                <w:tcPr>
                  <w:tcW w:w="960" w:type="dxa"/>
                  <w:noWrap w:val="0"/>
                  <w:vAlign w:val="center"/>
                </w:tcPr>
                <w:p w14:paraId="19BD36A3">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w:t>
                  </w:r>
                </w:p>
                <w:p w14:paraId="3DE54660">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w:t>
                  </w:r>
                </w:p>
              </w:tc>
              <w:tc>
                <w:tcPr>
                  <w:tcW w:w="990" w:type="dxa"/>
                  <w:noWrap w:val="0"/>
                  <w:vAlign w:val="center"/>
                </w:tcPr>
                <w:p w14:paraId="56525081">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w:t>
                  </w:r>
                </w:p>
                <w:p w14:paraId="6210A609">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w:t>
                  </w:r>
                </w:p>
              </w:tc>
              <w:tc>
                <w:tcPr>
                  <w:tcW w:w="1800" w:type="dxa"/>
                  <w:noWrap w:val="0"/>
                  <w:vAlign w:val="center"/>
                </w:tcPr>
                <w:p w14:paraId="7CC144DE">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1816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75" w:type="dxa"/>
                  <w:noWrap w:val="0"/>
                  <w:vAlign w:val="center"/>
                </w:tcPr>
                <w:p w14:paraId="1EDDB82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960" w:type="dxa"/>
                  <w:noWrap w:val="0"/>
                  <w:vAlign w:val="center"/>
                </w:tcPr>
                <w:p w14:paraId="77EC852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90" w:type="dxa"/>
                  <w:noWrap w:val="0"/>
                  <w:vAlign w:val="center"/>
                </w:tcPr>
                <w:p w14:paraId="5CBE883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00" w:type="dxa"/>
                  <w:vMerge w:val="restart"/>
                  <w:noWrap w:val="0"/>
                  <w:vAlign w:val="center"/>
                </w:tcPr>
                <w:p w14:paraId="3E8B1A98">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其他费用按实收取，由中标人在领取中标通知书时支付。</w:t>
                  </w:r>
                </w:p>
              </w:tc>
            </w:tr>
            <w:tr w14:paraId="738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75" w:type="dxa"/>
                  <w:noWrap w:val="0"/>
                  <w:vAlign w:val="center"/>
                </w:tcPr>
                <w:p w14:paraId="7B8D060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960" w:type="dxa"/>
                  <w:noWrap w:val="0"/>
                  <w:vAlign w:val="center"/>
                </w:tcPr>
                <w:p w14:paraId="42784F0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90" w:type="dxa"/>
                  <w:noWrap w:val="0"/>
                  <w:vAlign w:val="center"/>
                </w:tcPr>
                <w:p w14:paraId="440D05A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800" w:type="dxa"/>
                  <w:vMerge w:val="continue"/>
                  <w:noWrap w:val="0"/>
                  <w:vAlign w:val="center"/>
                </w:tcPr>
                <w:p w14:paraId="163F97E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19A0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75" w:type="dxa"/>
                  <w:noWrap w:val="0"/>
                  <w:vAlign w:val="center"/>
                </w:tcPr>
                <w:p w14:paraId="46C5257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960" w:type="dxa"/>
                  <w:noWrap w:val="0"/>
                  <w:vAlign w:val="center"/>
                </w:tcPr>
                <w:p w14:paraId="14E35E8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990" w:type="dxa"/>
                  <w:noWrap w:val="0"/>
                  <w:vAlign w:val="center"/>
                </w:tcPr>
                <w:p w14:paraId="7A6F91A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800" w:type="dxa"/>
                  <w:vMerge w:val="continue"/>
                  <w:noWrap w:val="0"/>
                  <w:vAlign w:val="center"/>
                </w:tcPr>
                <w:p w14:paraId="6DA5C88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14:paraId="1C16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775" w:type="dxa"/>
                  <w:noWrap w:val="0"/>
                  <w:vAlign w:val="center"/>
                </w:tcPr>
                <w:p w14:paraId="48792C8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960" w:type="dxa"/>
                  <w:noWrap w:val="0"/>
                  <w:vAlign w:val="center"/>
                </w:tcPr>
                <w:p w14:paraId="18090B4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990" w:type="dxa"/>
                  <w:noWrap w:val="0"/>
                  <w:vAlign w:val="center"/>
                </w:tcPr>
                <w:p w14:paraId="5BC8712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800" w:type="dxa"/>
                  <w:vMerge w:val="continue"/>
                  <w:noWrap w:val="0"/>
                  <w:vAlign w:val="center"/>
                </w:tcPr>
                <w:p w14:paraId="29214BC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bl>
          <w:p w14:paraId="3A2DAF48">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中标服务费的交纳方式：</w:t>
            </w:r>
          </w:p>
          <w:p w14:paraId="66A23728">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用银行支票、汇票、电汇、现金等付款方式直接交纳中标服务费。</w:t>
            </w:r>
          </w:p>
          <w:p w14:paraId="7C6BFE11">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r>
              <w:rPr>
                <w:rFonts w:hint="eastAsia" w:ascii="Times New Roman" w:hAnsi="宋体" w:eastAsia="宋体" w:cs="宋体"/>
                <w:color w:val="000000"/>
                <w:sz w:val="24"/>
                <w:szCs w:val="22"/>
                <w:highlight w:val="none"/>
                <w:lang w:val="en-US" w:eastAsia="zh-CN"/>
              </w:rPr>
              <w:t>浙江中瑞工程管理有限公司嵊州分公司；</w:t>
            </w:r>
          </w:p>
          <w:p w14:paraId="2F33EAE6">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Times New Roman" w:hAnsi="宋体" w:eastAsia="宋体" w:cs="宋体"/>
                <w:color w:val="000000"/>
                <w:sz w:val="24"/>
                <w:szCs w:val="22"/>
                <w:highlight w:val="none"/>
                <w:lang w:val="en-US" w:eastAsia="zh-CN"/>
              </w:rPr>
              <w:t>上海浦东发展银行股份有限公司绍兴嵊州支行；</w:t>
            </w:r>
          </w:p>
          <w:p w14:paraId="1AB8A15D">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Times New Roman" w:hAnsi="宋体" w:eastAsia="宋体" w:cs="宋体"/>
                <w:color w:val="000000"/>
                <w:sz w:val="24"/>
                <w:szCs w:val="22"/>
                <w:highlight w:val="none"/>
                <w:lang w:val="en-US" w:eastAsia="zh-CN"/>
              </w:rPr>
              <w:t>85090078801000000324。</w:t>
            </w:r>
          </w:p>
        </w:tc>
      </w:tr>
      <w:tr w14:paraId="1CE5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14:paraId="62094B71">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909" w:type="dxa"/>
            <w:noWrap w:val="0"/>
            <w:vAlign w:val="center"/>
          </w:tcPr>
          <w:p w14:paraId="73F1541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中标候选人</w:t>
            </w:r>
          </w:p>
        </w:tc>
        <w:tc>
          <w:tcPr>
            <w:tcW w:w="7291" w:type="dxa"/>
            <w:noWrap w:val="0"/>
            <w:vAlign w:val="center"/>
          </w:tcPr>
          <w:p w14:paraId="30E2212A">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推荐中标候选人数量：1名</w:t>
            </w:r>
          </w:p>
        </w:tc>
      </w:tr>
      <w:tr w14:paraId="11F5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2" w:type="dxa"/>
            <w:noWrap w:val="0"/>
            <w:vAlign w:val="center"/>
          </w:tcPr>
          <w:p w14:paraId="46934BC2">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20</w:t>
            </w:r>
          </w:p>
        </w:tc>
        <w:tc>
          <w:tcPr>
            <w:tcW w:w="1909" w:type="dxa"/>
            <w:noWrap w:val="0"/>
            <w:vAlign w:val="center"/>
          </w:tcPr>
          <w:p w14:paraId="5DBF0BEC">
            <w:pPr>
              <w:pStyle w:val="294"/>
              <w:keepNext w:val="0"/>
              <w:keepLines w:val="0"/>
              <w:widowControl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解释</w:t>
            </w:r>
          </w:p>
        </w:tc>
        <w:tc>
          <w:tcPr>
            <w:tcW w:w="7291" w:type="dxa"/>
            <w:noWrap w:val="0"/>
            <w:vAlign w:val="center"/>
          </w:tcPr>
          <w:p w14:paraId="1925CE49">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凡涉及本采购文件的解释权属于招标采购单位</w:t>
            </w:r>
            <w:r>
              <w:rPr>
                <w:rFonts w:hint="eastAsia" w:ascii="宋体" w:hAnsi="宋体" w:eastAsia="宋体" w:cs="宋体"/>
                <w:color w:val="auto"/>
                <w:sz w:val="24"/>
                <w:szCs w:val="24"/>
                <w:lang w:val="en-US" w:eastAsia="zh-CN"/>
              </w:rPr>
              <w:t>及招标代理机构</w:t>
            </w:r>
            <w:r>
              <w:rPr>
                <w:rFonts w:hint="eastAsia" w:ascii="宋体" w:hAnsi="宋体" w:eastAsia="宋体" w:cs="宋体"/>
                <w:color w:val="auto"/>
                <w:sz w:val="24"/>
                <w:szCs w:val="24"/>
              </w:rPr>
              <w:t>。</w:t>
            </w:r>
          </w:p>
        </w:tc>
      </w:tr>
      <w:tr w14:paraId="0B14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932" w:type="dxa"/>
            <w:gridSpan w:val="3"/>
            <w:noWrap w:val="0"/>
            <w:vAlign w:val="center"/>
          </w:tcPr>
          <w:p w14:paraId="433D0F63">
            <w:pPr>
              <w:pStyle w:val="294"/>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放弃中标资格或因质疑、投诉被取消预中标资格或不能履行合同的，</w:t>
            </w:r>
            <w:r>
              <w:rPr>
                <w:rFonts w:hint="eastAsia" w:ascii="宋体" w:hAnsi="宋体" w:eastAsia="宋体" w:cs="宋体"/>
                <w:color w:val="auto"/>
                <w:sz w:val="24"/>
                <w:szCs w:val="24"/>
                <w:lang w:val="en-US" w:eastAsia="zh-CN"/>
              </w:rPr>
              <w:t>本项目组织</w:t>
            </w:r>
            <w:r>
              <w:rPr>
                <w:rFonts w:hint="eastAsia" w:ascii="宋体" w:hAnsi="宋体" w:eastAsia="宋体" w:cs="宋体"/>
                <w:color w:val="auto"/>
                <w:sz w:val="24"/>
                <w:szCs w:val="24"/>
              </w:rPr>
              <w:t>重新招标。</w:t>
            </w:r>
          </w:p>
        </w:tc>
      </w:tr>
    </w:tbl>
    <w:p w14:paraId="0B806774">
      <w:pPr>
        <w:pStyle w:val="2"/>
        <w:spacing w:line="240" w:lineRule="auto"/>
        <w:ind w:left="0" w:leftChars="0" w:firstLine="0" w:firstLineChars="0"/>
        <w:jc w:val="center"/>
        <w:rPr>
          <w:rFonts w:hint="eastAsia" w:ascii="宋体" w:hAnsi="宋体" w:eastAsia="宋体" w:cs="宋体"/>
          <w:color w:val="auto"/>
          <w:sz w:val="32"/>
          <w:szCs w:val="32"/>
        </w:rPr>
      </w:pPr>
      <w:bookmarkStart w:id="48" w:name="_Toc54978890"/>
      <w:r>
        <w:rPr>
          <w:rFonts w:hint="eastAsia" w:ascii="宋体" w:hAnsi="宋体" w:cs="宋体"/>
          <w:color w:val="auto"/>
          <w:sz w:val="32"/>
          <w:szCs w:val="32"/>
          <w:lang w:val="en-US" w:eastAsia="zh-CN"/>
        </w:rPr>
        <w:t>二</w:t>
      </w:r>
      <w:r>
        <w:rPr>
          <w:rFonts w:hint="eastAsia" w:ascii="宋体" w:hAnsi="宋体" w:eastAsia="宋体" w:cs="宋体"/>
          <w:color w:val="auto"/>
          <w:sz w:val="32"/>
          <w:szCs w:val="32"/>
        </w:rPr>
        <w:t>、</w:t>
      </w:r>
      <w:bookmarkEnd w:id="45"/>
      <w:bookmarkEnd w:id="46"/>
      <w:r>
        <w:rPr>
          <w:rFonts w:hint="eastAsia" w:ascii="宋体" w:hAnsi="宋体" w:eastAsia="宋体" w:cs="宋体"/>
          <w:color w:val="auto"/>
          <w:sz w:val="32"/>
          <w:szCs w:val="32"/>
        </w:rPr>
        <w:t>总则</w:t>
      </w:r>
      <w:bookmarkEnd w:id="47"/>
      <w:bookmarkEnd w:id="48"/>
    </w:p>
    <w:p w14:paraId="6C4EE041">
      <w:pPr>
        <w:pageBreakBefore w:val="0"/>
        <w:kinsoku/>
        <w:wordWrap/>
        <w:overflowPunct/>
        <w:topLinePunct w:val="0"/>
        <w:bidi w:val="0"/>
        <w:adjustRightInd/>
        <w:spacing w:line="460" w:lineRule="exact"/>
        <w:textAlignment w:val="auto"/>
        <w:rPr>
          <w:rFonts w:hint="eastAsia" w:ascii="宋体" w:hAnsi="宋体" w:eastAsia="宋体" w:cs="宋体"/>
          <w:color w:val="auto"/>
          <w:sz w:val="24"/>
          <w:szCs w:val="24"/>
          <w:highlight w:val="none"/>
        </w:rPr>
      </w:pPr>
      <w:bookmarkStart w:id="49" w:name="_Toc82873323"/>
      <w:bookmarkStart w:id="50" w:name="_Toc82338240"/>
      <w:r>
        <w:rPr>
          <w:rFonts w:hint="eastAsia" w:ascii="宋体" w:hAnsi="宋体" w:eastAsia="宋体" w:cs="宋体"/>
          <w:color w:val="auto"/>
          <w:sz w:val="24"/>
          <w:szCs w:val="24"/>
          <w:highlight w:val="none"/>
        </w:rPr>
        <w:t>1.适用范围</w:t>
      </w:r>
    </w:p>
    <w:p w14:paraId="5F887BFA">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37C34F7F">
      <w:pPr>
        <w:pageBreakBefore w:val="0"/>
        <w:kinsoku/>
        <w:wordWrap/>
        <w:overflowPunct/>
        <w:topLinePunct w:val="0"/>
        <w:bidi w:val="0"/>
        <w:adjustRightIn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2、定义</w:t>
      </w:r>
    </w:p>
    <w:p w14:paraId="053C744C">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“采购人”系指采购公告中载明的本项目的采购人。</w:t>
      </w:r>
    </w:p>
    <w:p w14:paraId="30CA513E">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“采购机构”系指采购公告中载明的本项目的采购代理机构。</w:t>
      </w:r>
    </w:p>
    <w:p w14:paraId="3CC3DA4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“投标人”系指是指响应招标、参加投标竞争的法人、其他组织或者自然人。</w:t>
      </w:r>
    </w:p>
    <w:p w14:paraId="5B4666D3">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“负责人”系指法人企业的法定负责人，或其他组织为法律、行政法规规定代表单位行使职权的主要负责人，或自然人本人。</w:t>
      </w:r>
    </w:p>
    <w:p w14:paraId="4F591927">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格式见附件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85593E3">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2.6电子交易平台”系指本项目政府采购活动所依托的</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平台（https://</w:t>
      </w:r>
      <w:r>
        <w:rPr>
          <w:rFonts w:hint="eastAsia" w:ascii="宋体" w:hAnsi="宋体" w:eastAsia="宋体" w:cs="宋体"/>
          <w:color w:val="auto"/>
          <w:sz w:val="24"/>
          <w:szCs w:val="24"/>
          <w:lang w:eastAsia="zh-CN"/>
        </w:rPr>
        <w:t>www.lecaiyun.com</w:t>
      </w:r>
      <w:r>
        <w:rPr>
          <w:rFonts w:hint="eastAsia" w:ascii="宋体" w:hAnsi="宋体" w:eastAsia="宋体" w:cs="宋体"/>
          <w:color w:val="auto"/>
          <w:sz w:val="24"/>
          <w:szCs w:val="24"/>
        </w:rPr>
        <w:t>/）。</w:t>
      </w:r>
    </w:p>
    <w:p w14:paraId="706D20F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系指实质性指标要求条款，“▲”系指主要性能指标要求条款。如任意一条打“★”的指标出现负偏离视为实质性不响应招标文件要求，作无效投标处理；如任意一条打“▲”的指标出现负偏离按评分标准规定处理。</w:t>
      </w:r>
    </w:p>
    <w:p w14:paraId="42B0BEF9">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sym w:font="Wingdings" w:char="F0FE"/>
      </w:r>
      <w:r>
        <w:rPr>
          <w:rFonts w:hint="eastAsia" w:ascii="宋体" w:hAnsi="宋体" w:eastAsia="宋体" w:cs="宋体"/>
          <w:color w:val="auto"/>
          <w:sz w:val="24"/>
          <w:szCs w:val="24"/>
        </w:rPr>
        <w:t>” 系指适用本项目的要求，“☐” 系指不适用本项目的要求。</w:t>
      </w:r>
    </w:p>
    <w:p w14:paraId="0DF6F50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投标联合体：是指两个以上供应商组成联合体，以一个投标人的身份参加投标；</w:t>
      </w:r>
    </w:p>
    <w:p w14:paraId="1D73127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货物和服务：是指按采购文件要求的货物和服务；</w:t>
      </w:r>
    </w:p>
    <w:p w14:paraId="38A713D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.特别说明：</w:t>
      </w:r>
    </w:p>
    <w:p w14:paraId="12E6FED3">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.1供应商投标所使用的资格、信誉、荣誉、业绩与企业认证必须为投标单位所拥有。供应商投标所使用的采购项目实施人员必须为投标单位正式员工。</w:t>
      </w:r>
    </w:p>
    <w:p w14:paraId="506B6CF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.2供应商应仔细阅读招标文件的所有内容，按照招标文件的要求提交投标文件，并对所提供的全部资料的真实性承担法律责任。</w:t>
      </w:r>
    </w:p>
    <w:p w14:paraId="472CB46E">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737120EB">
      <w:pPr>
        <w:pageBreakBefore w:val="0"/>
        <w:kinsoku/>
        <w:wordWrap/>
        <w:overflowPunct/>
        <w:topLinePunct w:val="0"/>
        <w:bidi w:val="0"/>
        <w:adjustRightInd/>
        <w:spacing w:line="460" w:lineRule="exact"/>
        <w:ind w:firstLine="42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4、费用</w:t>
      </w:r>
    </w:p>
    <w:p w14:paraId="75F33DCD">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无论招投标过程中的做法和结果如何，投标人自行承担招投标活动中所发生的全部费用。</w:t>
      </w:r>
    </w:p>
    <w:p w14:paraId="1666EAA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5、保密</w:t>
      </w:r>
    </w:p>
    <w:p w14:paraId="0CCAAEA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参与招标投标活动的各方应对采购文件和投标文件中的商业和技术等秘密保密，违者应对此造成的后果承担法律责任。</w:t>
      </w:r>
    </w:p>
    <w:p w14:paraId="4481A1E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6、语言文字</w:t>
      </w:r>
    </w:p>
    <w:p w14:paraId="1B92C79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除专用术语外，与招标投标有关的语言使用中文。专用术语应附有中文注释。</w:t>
      </w:r>
    </w:p>
    <w:p w14:paraId="5265B14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7、计量单位</w:t>
      </w:r>
    </w:p>
    <w:p w14:paraId="437062B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02E7D3A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8、踏勘现场</w:t>
      </w:r>
    </w:p>
    <w:p w14:paraId="7CB5AA8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8.1投标人须知前附表规定组织踏勘现场的，采购人按投标人须知前附表规定的时间、地点组织投标人踏勘项目现场。</w:t>
      </w:r>
    </w:p>
    <w:p w14:paraId="0463AEE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8.2投标人踏勘现场发生的费用自理。</w:t>
      </w:r>
    </w:p>
    <w:p w14:paraId="799238A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8.3除采购人的原因外，投标人自行负责在踏勘现场中所发生的人员伤亡和财产损失。</w:t>
      </w:r>
    </w:p>
    <w:p w14:paraId="07D5CEE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8.4采购人在踏勘现场中介绍的场地和相关的周边环境情况，供投标人在编制投标文件时参考，采购人不对投标人据此作出的判断和决策负责。</w:t>
      </w:r>
    </w:p>
    <w:p w14:paraId="6F5F0EF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9、答疑会</w:t>
      </w:r>
    </w:p>
    <w:p w14:paraId="2C54260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9.1投标人须知前附表规定召开答疑会的，采购人按投标人须知前附表规定的时间和地点召开答疑会，澄清投标人提出的问题。</w:t>
      </w:r>
    </w:p>
    <w:p w14:paraId="57E63C1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9.2投标人应在答疑会时间的前一天，以书面形式将提出的问题送达采购人，以便采购人在会议期间澄清。</w:t>
      </w:r>
    </w:p>
    <w:p w14:paraId="3356D56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9.3答疑会后，采购人按本章3.4款规定对投标人所提问题进行澄清答复。</w:t>
      </w:r>
    </w:p>
    <w:p w14:paraId="1F71B02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10、转包与分包</w:t>
      </w:r>
    </w:p>
    <w:p w14:paraId="23682F0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本项目不允许转包及分包。</w:t>
      </w:r>
    </w:p>
    <w:p w14:paraId="70436F2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11、偏离</w:t>
      </w:r>
    </w:p>
    <w:p w14:paraId="544A9AB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投标文件应完全响应采购文件规定的实质性内容和条件。</w:t>
      </w:r>
    </w:p>
    <w:p w14:paraId="4A34F33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12、其他</w:t>
      </w:r>
    </w:p>
    <w:p w14:paraId="5F59E02C">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12.1★</w:t>
      </w:r>
      <w:r>
        <w:rPr>
          <w:rFonts w:hint="eastAsia" w:ascii="宋体" w:hAnsi="宋体" w:eastAsia="宋体" w:cs="宋体"/>
          <w:b/>
          <w:bCs/>
          <w:color w:val="auto"/>
          <w:sz w:val="24"/>
          <w:szCs w:val="24"/>
          <w:u w:val="single"/>
        </w:rPr>
        <w:t>投标人对所投标项内的产品或服务必须按采购数量全部进行报价。</w:t>
      </w:r>
    </w:p>
    <w:p w14:paraId="235C9C9A">
      <w:pPr>
        <w:pageBreakBefore w:val="0"/>
        <w:kinsoku/>
        <w:wordWrap/>
        <w:overflowPunct/>
        <w:topLinePunct w:val="0"/>
        <w:bidi w:val="0"/>
        <w:adjustRightInd/>
        <w:spacing w:line="460" w:lineRule="exact"/>
        <w:ind w:firstLine="420"/>
        <w:textAlignment w:val="auto"/>
        <w:rPr>
          <w:rFonts w:hint="eastAsia" w:ascii="宋体" w:hAnsi="宋体" w:eastAsia="宋体" w:cs="宋体"/>
          <w:b/>
          <w:bCs w:val="0"/>
          <w:color w:val="auto"/>
          <w:sz w:val="24"/>
          <w:szCs w:val="24"/>
          <w:u w:val="single"/>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2</w:t>
      </w:r>
      <w:r>
        <w:rPr>
          <w:rFonts w:hint="eastAsia" w:ascii="宋体" w:hAnsi="宋体" w:eastAsia="宋体" w:cs="宋体"/>
          <w:b/>
          <w:bCs w:val="0"/>
          <w:color w:val="auto"/>
          <w:sz w:val="24"/>
          <w:szCs w:val="24"/>
          <w:u w:val="single"/>
        </w:rPr>
        <w:t>投标人提供相同品牌产品且通过资格审查、符合性审查的不同投标人参加同一合同项下投标的，按一家投标人计算</w:t>
      </w:r>
      <w:r>
        <w:rPr>
          <w:rFonts w:hint="eastAsia" w:ascii="宋体" w:hAnsi="宋体" w:eastAsia="宋体" w:cs="宋体"/>
          <w:b/>
          <w:bCs w:val="0"/>
          <w:color w:val="auto"/>
          <w:sz w:val="24"/>
          <w:szCs w:val="24"/>
          <w:highlight w:val="none"/>
          <w:u w:val="single"/>
        </w:rPr>
        <w:t>，评审后得分最高的同品牌投标人获得</w:t>
      </w:r>
      <w:r>
        <w:rPr>
          <w:rFonts w:hint="eastAsia" w:ascii="宋体" w:hAnsi="宋体" w:eastAsia="宋体" w:cs="宋体"/>
          <w:b/>
          <w:bCs w:val="0"/>
          <w:color w:val="auto"/>
          <w:sz w:val="24"/>
          <w:szCs w:val="24"/>
          <w:highlight w:val="none"/>
          <w:u w:val="single"/>
          <w:lang w:eastAsia="zh-CN"/>
        </w:rPr>
        <w:t>中标供应商</w:t>
      </w:r>
      <w:r>
        <w:rPr>
          <w:rFonts w:hint="eastAsia" w:ascii="宋体" w:hAnsi="宋体" w:eastAsia="宋体" w:cs="宋体"/>
          <w:b/>
          <w:bCs w:val="0"/>
          <w:color w:val="auto"/>
          <w:sz w:val="24"/>
          <w:szCs w:val="24"/>
          <w:highlight w:val="none"/>
          <w:u w:val="single"/>
        </w:rPr>
        <w:t>推荐资格；评审得分相同的，由采购人或者采购人委托评标委员会按照</w:t>
      </w:r>
      <w:r>
        <w:rPr>
          <w:rFonts w:hint="eastAsia" w:ascii="宋体" w:hAnsi="宋体" w:cs="宋体"/>
          <w:b/>
          <w:bCs w:val="0"/>
          <w:color w:val="auto"/>
          <w:sz w:val="24"/>
          <w:szCs w:val="24"/>
          <w:highlight w:val="none"/>
          <w:u w:val="single"/>
          <w:lang w:val="en-US" w:eastAsia="zh-CN"/>
        </w:rPr>
        <w:t>招标</w:t>
      </w:r>
      <w:r>
        <w:rPr>
          <w:rFonts w:hint="eastAsia" w:ascii="宋体" w:hAnsi="宋体" w:eastAsia="宋体" w:cs="宋体"/>
          <w:b/>
          <w:bCs w:val="0"/>
          <w:color w:val="auto"/>
          <w:sz w:val="24"/>
          <w:szCs w:val="24"/>
          <w:highlight w:val="none"/>
          <w:u w:val="single"/>
        </w:rPr>
        <w:t>文件规定的方式确定一个投标人获得</w:t>
      </w:r>
      <w:r>
        <w:rPr>
          <w:rFonts w:hint="eastAsia" w:ascii="宋体" w:hAnsi="宋体" w:eastAsia="宋体" w:cs="宋体"/>
          <w:b/>
          <w:bCs w:val="0"/>
          <w:color w:val="auto"/>
          <w:sz w:val="24"/>
          <w:szCs w:val="24"/>
          <w:highlight w:val="none"/>
          <w:u w:val="single"/>
          <w:lang w:eastAsia="zh-CN"/>
        </w:rPr>
        <w:t>中标供应商</w:t>
      </w:r>
      <w:r>
        <w:rPr>
          <w:rFonts w:hint="eastAsia" w:ascii="宋体" w:hAnsi="宋体" w:eastAsia="宋体" w:cs="宋体"/>
          <w:b/>
          <w:bCs w:val="0"/>
          <w:color w:val="auto"/>
          <w:sz w:val="24"/>
          <w:szCs w:val="24"/>
          <w:highlight w:val="none"/>
          <w:u w:val="single"/>
        </w:rPr>
        <w:t>推荐资格，</w:t>
      </w:r>
      <w:r>
        <w:rPr>
          <w:rFonts w:hint="eastAsia" w:ascii="宋体" w:hAnsi="宋体" w:cs="宋体"/>
          <w:b/>
          <w:bCs w:val="0"/>
          <w:color w:val="auto"/>
          <w:sz w:val="24"/>
          <w:szCs w:val="24"/>
          <w:highlight w:val="none"/>
          <w:u w:val="single"/>
          <w:lang w:val="en-US" w:eastAsia="zh-CN"/>
        </w:rPr>
        <w:t>招标</w:t>
      </w:r>
      <w:r>
        <w:rPr>
          <w:rFonts w:hint="eastAsia" w:ascii="宋体" w:hAnsi="宋体" w:eastAsia="宋体" w:cs="宋体"/>
          <w:b/>
          <w:bCs w:val="0"/>
          <w:color w:val="auto"/>
          <w:sz w:val="24"/>
          <w:szCs w:val="24"/>
          <w:highlight w:val="none"/>
          <w:u w:val="single"/>
        </w:rPr>
        <w:t>文件未规定的采取随机</w:t>
      </w:r>
      <w:r>
        <w:rPr>
          <w:rFonts w:hint="eastAsia" w:ascii="宋体" w:hAnsi="宋体" w:eastAsia="宋体" w:cs="宋体"/>
          <w:b/>
          <w:bCs w:val="0"/>
          <w:color w:val="auto"/>
          <w:sz w:val="24"/>
          <w:szCs w:val="24"/>
          <w:u w:val="single"/>
        </w:rPr>
        <w:t>抽取方式确定，其他同品牌投标人不作为中标候选人。</w:t>
      </w:r>
    </w:p>
    <w:p w14:paraId="2D0FD57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u w:val="none"/>
          <w:lang w:val="en-US" w:eastAsia="zh-CN"/>
        </w:rPr>
        <w:t>12.3</w:t>
      </w:r>
      <w:r>
        <w:rPr>
          <w:rFonts w:hint="eastAsia" w:ascii="宋体" w:hAnsi="宋体" w:eastAsia="宋体" w:cs="宋体"/>
          <w:color w:val="auto"/>
          <w:sz w:val="24"/>
          <w:szCs w:val="24"/>
        </w:rPr>
        <w:t>投标截止后投标人不足3家或者通过资格审查或符合性审查的投标人不足3家的，除采购任务取消情形外，按照以下方式处理：</w:t>
      </w:r>
    </w:p>
    <w:p w14:paraId="135EE394">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12.3.1</w:t>
      </w:r>
      <w:r>
        <w:rPr>
          <w:rFonts w:hint="eastAsia" w:ascii="宋体" w:hAnsi="宋体" w:eastAsia="宋体" w:cs="宋体"/>
          <w:color w:val="auto"/>
          <w:sz w:val="24"/>
          <w:szCs w:val="24"/>
        </w:rPr>
        <w:t>采购文件存在不合理条款或者招标程序不符合规定的，采购人、采购代理机构改正后依法重新招标；</w:t>
      </w:r>
    </w:p>
    <w:p w14:paraId="714457C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u w:val="thick"/>
        </w:rPr>
      </w:pPr>
      <w:r>
        <w:rPr>
          <w:rFonts w:hint="eastAsia" w:ascii="宋体" w:hAnsi="宋体" w:eastAsia="宋体" w:cs="宋体"/>
          <w:color w:val="auto"/>
          <w:sz w:val="24"/>
          <w:szCs w:val="24"/>
          <w:lang w:val="en-US" w:eastAsia="zh-CN"/>
        </w:rPr>
        <w:t>12.3.2</w:t>
      </w:r>
      <w:r>
        <w:rPr>
          <w:rFonts w:hint="eastAsia" w:ascii="宋体" w:hAnsi="宋体" w:eastAsia="宋体" w:cs="宋体"/>
          <w:color w:val="auto"/>
          <w:sz w:val="24"/>
          <w:szCs w:val="24"/>
        </w:rPr>
        <w:t>采购文件没有不合理条款、招标程序符合规定，需要采用其他采购方式采购的，采购人应当依法报财政部门批准。</w:t>
      </w:r>
    </w:p>
    <w:p w14:paraId="6E2A149D">
      <w:pPr>
        <w:pageBreakBefore w:val="0"/>
        <w:kinsoku/>
        <w:wordWrap/>
        <w:overflowPunct/>
        <w:topLinePunct w:val="0"/>
        <w:bidi w:val="0"/>
        <w:adjustRightInd/>
        <w:spacing w:line="460" w:lineRule="exact"/>
        <w:ind w:firstLine="42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4</w:t>
      </w:r>
      <w:r>
        <w:rPr>
          <w:rFonts w:hint="eastAsia" w:ascii="宋体" w:hAnsi="宋体" w:eastAsia="宋体" w:cs="宋体"/>
          <w:bCs/>
          <w:color w:val="auto"/>
          <w:sz w:val="24"/>
          <w:szCs w:val="24"/>
        </w:rPr>
        <w:t>采购文件中如有描述歧义或前后不一致的地方，评标委员会有权按公平、合理的原则进行评判，但对同一条款的评判适用于每个投标人。</w:t>
      </w:r>
    </w:p>
    <w:p w14:paraId="78A7E3F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投标文件的响应内容必须真实、明确、准确。否则，评标委员会将对其作出不利的评审。</w:t>
      </w:r>
    </w:p>
    <w:p w14:paraId="20A300C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12.</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乙</w:t>
      </w:r>
      <w:r>
        <w:rPr>
          <w:rFonts w:hint="eastAsia" w:ascii="宋体" w:hAnsi="宋体" w:eastAsia="宋体" w:cs="宋体"/>
          <w:color w:val="auto"/>
          <w:sz w:val="24"/>
          <w:szCs w:val="24"/>
        </w:rPr>
        <w:t>方为履行合同引起的相关人员的差旅费、食宿费以及其它不可预知的费用由乙方自理。合同实施过程中，须与甲</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乙</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方积极配合。</w:t>
      </w:r>
    </w:p>
    <w:p w14:paraId="57835E2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12.7项目资金已落实。</w:t>
      </w:r>
    </w:p>
    <w:p w14:paraId="4B231046">
      <w:pPr>
        <w:pStyle w:val="2"/>
        <w:pageBreakBefore w:val="0"/>
        <w:kinsoku/>
        <w:wordWrap/>
        <w:overflowPunct/>
        <w:topLinePunct w:val="0"/>
        <w:bidi w:val="0"/>
        <w:adjustRightInd/>
        <w:spacing w:line="460" w:lineRule="exact"/>
        <w:ind w:firstLine="420"/>
        <w:jc w:val="center"/>
        <w:textAlignment w:val="auto"/>
        <w:rPr>
          <w:rFonts w:hint="eastAsia" w:ascii="宋体" w:hAnsi="宋体" w:eastAsia="宋体" w:cs="宋体"/>
          <w:color w:val="auto"/>
          <w:sz w:val="32"/>
          <w:szCs w:val="32"/>
          <w:lang w:eastAsia="zh-CN"/>
        </w:rPr>
      </w:pPr>
      <w:bookmarkStart w:id="51" w:name="_Toc54978891"/>
      <w:bookmarkStart w:id="52" w:name="_Toc35261572"/>
      <w:r>
        <w:rPr>
          <w:rFonts w:hint="eastAsia" w:ascii="宋体" w:hAnsi="宋体" w:eastAsia="宋体" w:cs="宋体"/>
          <w:color w:val="auto"/>
          <w:sz w:val="32"/>
          <w:szCs w:val="32"/>
        </w:rPr>
        <w:t>三、采购文件</w:t>
      </w:r>
      <w:bookmarkEnd w:id="49"/>
      <w:bookmarkEnd w:id="50"/>
      <w:bookmarkEnd w:id="51"/>
      <w:bookmarkEnd w:id="52"/>
      <w:r>
        <w:rPr>
          <w:rFonts w:hint="eastAsia" w:ascii="宋体" w:hAnsi="宋体" w:eastAsia="宋体" w:cs="宋体"/>
          <w:color w:val="auto"/>
          <w:sz w:val="32"/>
          <w:szCs w:val="32"/>
          <w:lang w:eastAsia="zh-CN"/>
        </w:rPr>
        <w:t>的构成、澄清、修改</w:t>
      </w:r>
    </w:p>
    <w:p w14:paraId="14F39601">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bookmarkStart w:id="53" w:name="_Toc82873324"/>
      <w:bookmarkStart w:id="54" w:name="_Toc82338241"/>
      <w:r>
        <w:rPr>
          <w:rFonts w:hint="eastAsia" w:ascii="宋体" w:hAnsi="宋体" w:eastAsia="宋体" w:cs="宋体"/>
          <w:b/>
          <w:bCs/>
          <w:color w:val="auto"/>
          <w:sz w:val="24"/>
          <w:szCs w:val="24"/>
        </w:rPr>
        <w:t>3.1、采购文件组成</w:t>
      </w:r>
    </w:p>
    <w:p w14:paraId="77A4ADF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3.1.1第一章 采购公告</w:t>
      </w:r>
    </w:p>
    <w:p w14:paraId="246E897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3.1.2第二章 投标须知</w:t>
      </w:r>
    </w:p>
    <w:p w14:paraId="3A7276E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3.1.3第三章 项目招标范围及服务要求</w:t>
      </w:r>
    </w:p>
    <w:p w14:paraId="55529E0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3.1.4第四章 评标办法</w:t>
      </w:r>
    </w:p>
    <w:p w14:paraId="4A39620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3.1.5第五章 </w:t>
      </w:r>
      <w:r>
        <w:rPr>
          <w:rFonts w:hint="eastAsia" w:ascii="宋体" w:hAnsi="宋体" w:eastAsia="宋体" w:cs="宋体"/>
          <w:color w:val="auto"/>
          <w:sz w:val="24"/>
          <w:szCs w:val="24"/>
          <w:lang w:val="en-US" w:eastAsia="zh-CN"/>
        </w:rPr>
        <w:t>拟签订合同范本</w:t>
      </w:r>
    </w:p>
    <w:p w14:paraId="4A755A3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3.1.6第六章 投标文件格式</w:t>
      </w:r>
    </w:p>
    <w:p w14:paraId="77EB2EB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3.1.7补充文件（如有）</w:t>
      </w:r>
    </w:p>
    <w:p w14:paraId="2484607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与本项目有关的</w:t>
      </w:r>
      <w:r>
        <w:rPr>
          <w:rFonts w:hint="eastAsia" w:ascii="宋体" w:hAnsi="宋体" w:eastAsia="宋体" w:cs="宋体"/>
          <w:bCs/>
          <w:color w:val="auto"/>
          <w:sz w:val="24"/>
          <w:szCs w:val="24"/>
        </w:rPr>
        <w:t>澄清或者修改的内容为采购文件的组成部分</w:t>
      </w:r>
      <w:r>
        <w:rPr>
          <w:rFonts w:hint="eastAsia" w:ascii="宋体" w:hAnsi="宋体" w:eastAsia="宋体" w:cs="宋体"/>
          <w:color w:val="auto"/>
          <w:sz w:val="24"/>
          <w:szCs w:val="24"/>
        </w:rPr>
        <w:t>。</w:t>
      </w:r>
    </w:p>
    <w:p w14:paraId="6875CC5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采购文件的解释权归采购组织机构所有。</w:t>
      </w:r>
    </w:p>
    <w:p w14:paraId="7CA0B4A5">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、采购文件的澄清</w:t>
      </w:r>
    </w:p>
    <w:p w14:paraId="1523D3FB">
      <w:pPr>
        <w:snapToGrid w:val="0"/>
        <w:spacing w:beforeLines="0" w:afterLines="0" w:line="360" w:lineRule="auto"/>
        <w:ind w:right="48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.1投标人在获取采购文件后，若有问题需要澄清或认为有必要与采购人进行技术交流，应于前附表规定的时间前，将问题发电子邮件至</w:t>
      </w:r>
      <w:r>
        <w:rPr>
          <w:rFonts w:hint="eastAsia" w:ascii="宋体" w:hAnsi="宋体" w:cs="宋体"/>
          <w:b w:val="0"/>
          <w:bCs/>
          <w:color w:val="auto"/>
          <w:sz w:val="24"/>
          <w:szCs w:val="24"/>
          <w:lang w:val="en-US" w:eastAsia="zh-CN"/>
        </w:rPr>
        <w:t>669562541</w:t>
      </w:r>
      <w:r>
        <w:rPr>
          <w:rFonts w:hint="eastAsia" w:ascii="宋体" w:hAnsi="宋体" w:eastAsia="宋体" w:cs="宋体"/>
          <w:b w:val="0"/>
          <w:bCs/>
          <w:color w:val="auto"/>
          <w:sz w:val="24"/>
          <w:szCs w:val="24"/>
          <w:lang w:val="en-US" w:eastAsia="zh-CN"/>
        </w:rPr>
        <w:t>@qq.com</w:t>
      </w:r>
      <w:r>
        <w:rPr>
          <w:rFonts w:hint="eastAsia" w:ascii="宋体" w:hAnsi="宋体" w:eastAsia="宋体" w:cs="宋体"/>
          <w:color w:val="auto"/>
          <w:sz w:val="24"/>
          <w:szCs w:val="24"/>
        </w:rPr>
        <w:t>（电子邮件与书面文件有不一致的，以书面文件为准）。截止期后的疑问将不予受理、答复。</w:t>
      </w:r>
    </w:p>
    <w:p w14:paraId="0DE4F63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 投标人要求解释或澄清的问题应以书面形式送达，并加盖公章、写明日期。</w:t>
      </w:r>
    </w:p>
    <w:p w14:paraId="501899C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所有要求解释或澄清的问题都予以解答，答疑内容与补充内容以更正（澄清）公告形式告知所有购买采购文件的投标人。</w:t>
      </w:r>
    </w:p>
    <w:p w14:paraId="02C7A703">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、采购文件的修改</w:t>
      </w:r>
    </w:p>
    <w:p w14:paraId="2F87E6B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6EE0C4C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 采购文件的修改将以更正（澄清）公告通知所有购买采购文件的投标人，并对其具有约束力。投标人应及时关注浙江政府采购网、</w:t>
      </w:r>
      <w:r>
        <w:rPr>
          <w:rFonts w:hint="eastAsia" w:ascii="宋体" w:hAnsi="宋体" w:eastAsia="宋体" w:cs="宋体"/>
          <w:color w:val="auto"/>
          <w:sz w:val="24"/>
          <w:szCs w:val="24"/>
          <w:lang w:eastAsia="zh-CN"/>
        </w:rPr>
        <w:t>嵊州市</w:t>
      </w:r>
      <w:r>
        <w:rPr>
          <w:rFonts w:hint="eastAsia" w:ascii="宋体" w:hAnsi="宋体" w:eastAsia="宋体" w:cs="宋体"/>
          <w:color w:val="auto"/>
          <w:sz w:val="24"/>
          <w:szCs w:val="24"/>
        </w:rPr>
        <w:t>公共资源交易网上该项目的公告信息。</w:t>
      </w:r>
    </w:p>
    <w:p w14:paraId="276186D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 在更正（澄清）公告发布后，如果投标人认为编制投标文件的时间不充分的，必须在公告发布之日的24小时内通知采购人和采购代理机构。否则，视同投标人有充足时间编制投标文件。</w:t>
      </w:r>
    </w:p>
    <w:p w14:paraId="52939BE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.4采购文件澄清、答复、修改、补充的内容为采购文件的组成部分。当采购文件与采购文件的答复、澄清、修改、补充通知就同一内容的表述不一致时，以最后发出的更正（澄清）公告为准。</w:t>
      </w:r>
    </w:p>
    <w:p w14:paraId="081B8C8F">
      <w:pPr>
        <w:snapToGrid w:val="0"/>
        <w:spacing w:line="4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采购文件的澄清、答复、修改或补充都应该通过本代理机构以法定形式发布，除此以外的发布不属于采购文件的组成部分。</w:t>
      </w:r>
    </w:p>
    <w:bookmarkEnd w:id="53"/>
    <w:bookmarkEnd w:id="54"/>
    <w:p w14:paraId="60CF8079">
      <w:pPr>
        <w:pStyle w:val="2"/>
        <w:pageBreakBefore w:val="0"/>
        <w:kinsoku/>
        <w:wordWrap/>
        <w:overflowPunct/>
        <w:topLinePunct w:val="0"/>
        <w:bidi w:val="0"/>
        <w:adjustRightInd/>
        <w:spacing w:line="460" w:lineRule="exact"/>
        <w:ind w:firstLine="420"/>
        <w:jc w:val="center"/>
        <w:textAlignment w:val="auto"/>
        <w:rPr>
          <w:rFonts w:hint="eastAsia" w:ascii="宋体" w:hAnsi="宋体" w:eastAsia="宋体" w:cs="宋体"/>
          <w:color w:val="auto"/>
          <w:sz w:val="32"/>
          <w:szCs w:val="32"/>
        </w:rPr>
      </w:pPr>
      <w:bookmarkStart w:id="55" w:name="_Toc54978892"/>
      <w:bookmarkStart w:id="56" w:name="_Toc450482498"/>
      <w:bookmarkStart w:id="57" w:name="_Toc35261573"/>
      <w:bookmarkStart w:id="58" w:name="_Toc82873325"/>
      <w:bookmarkStart w:id="59" w:name="_Toc82338242"/>
      <w:r>
        <w:rPr>
          <w:rFonts w:hint="eastAsia" w:ascii="宋体" w:hAnsi="宋体" w:eastAsia="宋体" w:cs="宋体"/>
          <w:color w:val="auto"/>
          <w:sz w:val="32"/>
          <w:szCs w:val="32"/>
        </w:rPr>
        <w:t>四、投标文件</w:t>
      </w:r>
      <w:bookmarkEnd w:id="55"/>
      <w:bookmarkEnd w:id="56"/>
      <w:bookmarkEnd w:id="57"/>
    </w:p>
    <w:p w14:paraId="1B94604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4.1、投标文件</w:t>
      </w:r>
    </w:p>
    <w:p w14:paraId="66ACDE5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 投标人应仔细阅读采购文件规定的所有内容，以保证能全面准确理解采购文件，并按照采购文件要求，详细编制投标文件，投标文件内容必须针对本次招标响应。</w:t>
      </w:r>
    </w:p>
    <w:p w14:paraId="324A2AFE">
      <w:pPr>
        <w:pageBreakBefore w:val="0"/>
        <w:kinsoku/>
        <w:wordWrap/>
        <w:overflowPunct/>
        <w:topLinePunct w:val="0"/>
        <w:bidi w:val="0"/>
        <w:adjustRightInd/>
        <w:spacing w:line="460" w:lineRule="exact"/>
        <w:ind w:firstLine="42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4.1.2投标人必须按采购文件的要求提供相关资料，并对采购文件中提出的所有内容要求给予实质性响应，须保证投标文件的准确、真实、明确</w:t>
      </w:r>
      <w:r>
        <w:rPr>
          <w:rFonts w:hint="eastAsia" w:ascii="宋体" w:hAnsi="宋体" w:eastAsia="宋体" w:cs="宋体"/>
          <w:bCs/>
          <w:color w:val="auto"/>
          <w:sz w:val="24"/>
          <w:szCs w:val="24"/>
        </w:rPr>
        <w:t>。投标文件响应内容对采购文件要求如有偏离均应填写偏离表，如不填写，采购人有权视作投标文件完全响应采购文件要求。</w:t>
      </w:r>
    </w:p>
    <w:p w14:paraId="108977D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4.2、投标文件组成</w:t>
      </w:r>
    </w:p>
    <w:p w14:paraId="4BAA7BF8">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4.2.1资格证明文件</w:t>
      </w:r>
    </w:p>
    <w:p w14:paraId="13580D4B">
      <w:pPr>
        <w:pageBreakBefore w:val="0"/>
        <w:numPr>
          <w:ilvl w:val="0"/>
          <w:numId w:val="11"/>
        </w:numPr>
        <w:kinsoku/>
        <w:wordWrap/>
        <w:overflowPunct/>
        <w:topLinePunct w:val="0"/>
        <w:bidi w:val="0"/>
        <w:adjustRightInd/>
        <w:spacing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符合参加采购活动应当具备的一般条件的承诺函；</w:t>
      </w:r>
    </w:p>
    <w:p w14:paraId="20BF1CC1">
      <w:pPr>
        <w:pageBreakBefore w:val="0"/>
        <w:numPr>
          <w:ilvl w:val="0"/>
          <w:numId w:val="11"/>
        </w:numPr>
        <w:kinsoku/>
        <w:wordWrap/>
        <w:overflowPunct/>
        <w:topLinePunct w:val="0"/>
        <w:bidi w:val="0"/>
        <w:adjustRightInd/>
        <w:spacing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营业执照复印件</w:t>
      </w:r>
    </w:p>
    <w:p w14:paraId="0C5D8CB3">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）落实采购政策需满足的资格要求（如果有)；</w:t>
      </w:r>
    </w:p>
    <w:p w14:paraId="07DAA867">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）本项目的特定资格要求（如果有)；</w:t>
      </w:r>
    </w:p>
    <w:p w14:paraId="005C2833">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）投标保证金（提供投标保证金缴纳凭证截图）；</w:t>
      </w:r>
    </w:p>
    <w:p w14:paraId="74143F3E">
      <w:pPr>
        <w:pageBreakBefore w:val="0"/>
        <w:kinsoku/>
        <w:wordWrap/>
        <w:overflowPunct/>
        <w:topLinePunct w:val="0"/>
        <w:bidi w:val="0"/>
        <w:adjustRightInd/>
        <w:spacing w:line="460" w:lineRule="exact"/>
        <w:ind w:firstLine="480" w:firstLineChars="200"/>
        <w:textAlignment w:val="auto"/>
        <w:rPr>
          <w:rFonts w:hint="eastAsia"/>
          <w:lang w:val="en-US" w:eastAsia="zh-CN"/>
        </w:rPr>
      </w:pPr>
      <w:r>
        <w:rPr>
          <w:rFonts w:hint="eastAsia" w:ascii="宋体" w:hAnsi="宋体" w:cs="宋体"/>
          <w:color w:val="auto"/>
          <w:sz w:val="24"/>
          <w:szCs w:val="24"/>
          <w:lang w:val="en-US" w:eastAsia="zh-CN"/>
        </w:rPr>
        <w:t>6）</w:t>
      </w:r>
      <w:r>
        <w:rPr>
          <w:rFonts w:hint="eastAsia" w:ascii="宋体" w:hAnsi="宋体" w:eastAsia="宋体" w:cs="宋体"/>
          <w:b w:val="0"/>
          <w:bCs/>
          <w:color w:val="auto"/>
          <w:sz w:val="24"/>
          <w:szCs w:val="24"/>
          <w:lang w:val="en-US" w:eastAsia="zh-CN"/>
        </w:rPr>
        <w:t>开标时提供《采购活动现场确认声明书》，发送至邮箱</w:t>
      </w:r>
      <w:r>
        <w:rPr>
          <w:rFonts w:hint="eastAsia" w:ascii="宋体" w:hAnsi="宋体" w:cs="宋体"/>
          <w:b w:val="0"/>
          <w:bCs/>
          <w:color w:val="auto"/>
          <w:sz w:val="24"/>
          <w:szCs w:val="24"/>
          <w:lang w:val="en-US" w:eastAsia="zh-CN"/>
        </w:rPr>
        <w:t>669562541</w:t>
      </w:r>
      <w:r>
        <w:rPr>
          <w:rFonts w:hint="eastAsia" w:ascii="宋体" w:hAnsi="宋体" w:eastAsia="宋体" w:cs="宋体"/>
          <w:b w:val="0"/>
          <w:bCs/>
          <w:color w:val="auto"/>
          <w:sz w:val="24"/>
          <w:szCs w:val="24"/>
          <w:lang w:val="en-US" w:eastAsia="zh-CN"/>
        </w:rPr>
        <w:t>@qq.com</w:t>
      </w:r>
    </w:p>
    <w:p w14:paraId="6E3DA003">
      <w:pPr>
        <w:pageBreakBefore w:val="0"/>
        <w:kinsoku/>
        <w:wordWrap/>
        <w:overflowPunct/>
        <w:topLinePunct w:val="0"/>
        <w:bidi w:val="0"/>
        <w:adjustRightInd/>
        <w:spacing w:line="460" w:lineRule="exact"/>
        <w:ind w:firstLine="420"/>
        <w:textAlignment w:val="auto"/>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rPr>
        <w:t>4.2.2</w:t>
      </w:r>
      <w:r>
        <w:rPr>
          <w:rFonts w:hint="eastAsia" w:ascii="宋体" w:hAnsi="宋体" w:eastAsia="宋体" w:cs="宋体"/>
          <w:b/>
          <w:bCs w:val="0"/>
          <w:color w:val="auto"/>
          <w:sz w:val="24"/>
          <w:szCs w:val="24"/>
          <w:lang w:eastAsia="zh-CN"/>
        </w:rPr>
        <w:t>商务</w:t>
      </w:r>
      <w:r>
        <w:rPr>
          <w:rFonts w:hint="eastAsia" w:ascii="宋体" w:hAnsi="宋体" w:eastAsia="宋体" w:cs="宋体"/>
          <w:b/>
          <w:bCs w:val="0"/>
          <w:color w:val="auto"/>
          <w:sz w:val="24"/>
          <w:szCs w:val="24"/>
        </w:rPr>
        <w:t>技术</w:t>
      </w:r>
      <w:r>
        <w:rPr>
          <w:rFonts w:hint="eastAsia" w:ascii="宋体" w:hAnsi="宋体" w:eastAsia="宋体" w:cs="宋体"/>
          <w:b/>
          <w:bCs w:val="0"/>
          <w:color w:val="auto"/>
          <w:sz w:val="24"/>
          <w:szCs w:val="24"/>
          <w:lang w:eastAsia="zh-CN"/>
        </w:rPr>
        <w:t>文件</w:t>
      </w:r>
    </w:p>
    <w:p w14:paraId="6166E0C9">
      <w:pPr>
        <w:pageBreakBefore w:val="0"/>
        <w:kinsoku/>
        <w:wordWrap/>
        <w:overflowPunct/>
        <w:topLinePunct w:val="0"/>
        <w:bidi w:val="0"/>
        <w:adjustRightInd/>
        <w:spacing w:line="460" w:lineRule="exact"/>
        <w:ind w:firstLine="420"/>
        <w:textAlignment w:val="auto"/>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en-US" w:eastAsia="zh-CN" w:bidi="ar-SA"/>
        </w:rPr>
        <w:t>1)投标函；</w:t>
      </w:r>
      <w:r>
        <w:rPr>
          <w:rFonts w:hint="eastAsia" w:ascii="宋体" w:hAnsi="宋体" w:eastAsia="宋体" w:cs="宋体"/>
          <w:b w:val="0"/>
          <w:bCs w:val="0"/>
          <w:color w:val="auto"/>
          <w:kern w:val="0"/>
          <w:sz w:val="24"/>
          <w:szCs w:val="24"/>
          <w:lang w:val="zh-CN" w:eastAsia="zh-CN" w:bidi="ar-SA"/>
        </w:rPr>
        <w:t>（格式见附件）；</w:t>
      </w:r>
    </w:p>
    <w:p w14:paraId="214BDA39">
      <w:pPr>
        <w:pageBreakBefore w:val="0"/>
        <w:kinsoku/>
        <w:wordWrap/>
        <w:overflowPunct/>
        <w:topLinePunct w:val="0"/>
        <w:bidi w:val="0"/>
        <w:adjustRightInd/>
        <w:spacing w:line="460" w:lineRule="exact"/>
        <w:ind w:firstLine="420"/>
        <w:textAlignment w:val="auto"/>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zh-CN" w:eastAsia="zh-CN" w:bidi="ar-SA"/>
        </w:rPr>
        <w:t>）法定代表人授权委托书、法定代表人身份证扫描件、授权委托人身份证扫描件；</w:t>
      </w:r>
    </w:p>
    <w:p w14:paraId="249D669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技</w:t>
      </w:r>
      <w:r>
        <w:rPr>
          <w:rFonts w:hint="eastAsia" w:ascii="宋体" w:hAnsi="宋体" w:eastAsia="宋体" w:cs="宋体"/>
          <w:color w:val="auto"/>
          <w:sz w:val="24"/>
          <w:szCs w:val="24"/>
          <w:highlight w:val="none"/>
          <w:lang w:val="en-US" w:eastAsia="zh-CN"/>
        </w:rPr>
        <w:t>术偏离表；</w:t>
      </w:r>
    </w:p>
    <w:p w14:paraId="4B0E1C5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highlight w:val="none"/>
          <w:lang w:val="en-US" w:eastAsia="zh-CN"/>
        </w:rPr>
        <w:t>廉政承诺书（格式见第六部分附件）</w:t>
      </w:r>
      <w:r>
        <w:rPr>
          <w:rFonts w:hint="eastAsia" w:ascii="宋体" w:hAnsi="宋体" w:eastAsia="宋体" w:cs="宋体"/>
          <w:color w:val="auto"/>
          <w:sz w:val="24"/>
          <w:szCs w:val="24"/>
          <w:lang w:val="zh-CN"/>
        </w:rPr>
        <w:t>；</w:t>
      </w:r>
    </w:p>
    <w:p w14:paraId="2C854EB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同类似</w:t>
      </w:r>
      <w:r>
        <w:rPr>
          <w:rFonts w:hint="eastAsia" w:ascii="宋体" w:hAnsi="宋体" w:eastAsia="宋体" w:cs="宋体"/>
          <w:color w:val="auto"/>
          <w:sz w:val="24"/>
          <w:szCs w:val="24"/>
          <w:lang w:val="en-US" w:eastAsia="zh-CN"/>
        </w:rPr>
        <w:t>业绩</w:t>
      </w:r>
      <w:r>
        <w:rPr>
          <w:rFonts w:hint="eastAsia" w:ascii="宋体" w:hAnsi="宋体" w:eastAsia="宋体" w:cs="宋体"/>
          <w:color w:val="auto"/>
          <w:sz w:val="24"/>
          <w:szCs w:val="24"/>
          <w:lang w:val="zh-CN"/>
        </w:rPr>
        <w:t>；</w:t>
      </w:r>
    </w:p>
    <w:p w14:paraId="581CEE0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项目负责人情况表</w:t>
      </w:r>
      <w:r>
        <w:rPr>
          <w:rFonts w:hint="eastAsia" w:ascii="宋体" w:hAnsi="宋体" w:eastAsia="宋体" w:cs="宋体"/>
          <w:color w:val="auto"/>
          <w:sz w:val="24"/>
          <w:szCs w:val="24"/>
          <w:lang w:val="en-US" w:eastAsia="zh-CN"/>
        </w:rPr>
        <w:t>；</w:t>
      </w:r>
    </w:p>
    <w:p w14:paraId="59E0717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本项目服务人员配备表</w:t>
      </w:r>
      <w:r>
        <w:rPr>
          <w:rFonts w:hint="eastAsia" w:ascii="宋体" w:hAnsi="宋体" w:eastAsia="宋体" w:cs="宋体"/>
          <w:color w:val="auto"/>
          <w:sz w:val="24"/>
          <w:szCs w:val="24"/>
          <w:lang w:val="zh-CN" w:eastAsia="zh-CN"/>
        </w:rPr>
        <w:t>；</w:t>
      </w:r>
    </w:p>
    <w:p w14:paraId="005B171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8）运维组织架构体系</w:t>
      </w:r>
      <w:r>
        <w:rPr>
          <w:rFonts w:hint="eastAsia" w:ascii="宋体" w:hAnsi="宋体" w:eastAsia="宋体" w:cs="宋体"/>
          <w:color w:val="auto"/>
          <w:sz w:val="24"/>
          <w:szCs w:val="24"/>
          <w:lang w:val="zh-CN" w:eastAsia="zh-CN"/>
        </w:rPr>
        <w:t>；</w:t>
      </w:r>
    </w:p>
    <w:p w14:paraId="6DD9734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9）运维目标和标准；</w:t>
      </w:r>
    </w:p>
    <w:p w14:paraId="0891EE2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10）运维方案及重难点；</w:t>
      </w:r>
    </w:p>
    <w:p w14:paraId="10E668D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11）安全文明生产；</w:t>
      </w:r>
    </w:p>
    <w:p w14:paraId="6DA277D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12）拟投入设备；</w:t>
      </w:r>
    </w:p>
    <w:p w14:paraId="252A7EC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13）档案资料整理归档；</w:t>
      </w:r>
    </w:p>
    <w:p w14:paraId="0C44C5C7">
      <w:pPr>
        <w:pageBreakBefore w:val="0"/>
        <w:kinsoku/>
        <w:wordWrap/>
        <w:overflowPunct/>
        <w:topLinePunct w:val="0"/>
        <w:bidi w:val="0"/>
        <w:adjustRightInd/>
        <w:spacing w:line="460" w:lineRule="exact"/>
        <w:ind w:firstLine="42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14）保密措施；</w:t>
      </w:r>
    </w:p>
    <w:p w14:paraId="0940D7D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15）培训计划；</w:t>
      </w:r>
    </w:p>
    <w:p w14:paraId="34C965E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16）防汛应急抢险预案；</w:t>
      </w:r>
    </w:p>
    <w:p w14:paraId="4E1A190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投标人认为需要提供的与投标评标有关的其他资料。</w:t>
      </w:r>
    </w:p>
    <w:p w14:paraId="32111217">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4.2.3报价</w:t>
      </w:r>
      <w:r>
        <w:rPr>
          <w:rFonts w:hint="eastAsia" w:ascii="宋体" w:hAnsi="宋体" w:eastAsia="宋体" w:cs="宋体"/>
          <w:b/>
          <w:bCs/>
          <w:color w:val="auto"/>
          <w:sz w:val="24"/>
          <w:szCs w:val="24"/>
          <w:lang w:eastAsia="zh-CN"/>
        </w:rPr>
        <w:t>文件</w:t>
      </w:r>
    </w:p>
    <w:p w14:paraId="38D2669A">
      <w:pPr>
        <w:pageBreakBefore w:val="0"/>
        <w:tabs>
          <w:tab w:val="left" w:pos="399"/>
        </w:tabs>
        <w:kinsoku/>
        <w:wordWrap/>
        <w:overflowPunct/>
        <w:topLinePunct w:val="0"/>
        <w:bidi w:val="0"/>
        <w:adjustRightInd/>
        <w:spacing w:line="460" w:lineRule="exact"/>
        <w:ind w:firstLine="42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开标一览表（</w:t>
      </w:r>
      <w:r>
        <w:rPr>
          <w:rFonts w:hint="eastAsia" w:ascii="宋体" w:hAnsi="宋体" w:eastAsia="宋体" w:cs="宋体"/>
          <w:b w:val="0"/>
          <w:bCs w:val="0"/>
          <w:color w:val="auto"/>
          <w:sz w:val="24"/>
          <w:szCs w:val="24"/>
        </w:rPr>
        <w:t>格式见附件</w:t>
      </w:r>
      <w:r>
        <w:rPr>
          <w:rFonts w:hint="eastAsia" w:ascii="宋体" w:hAnsi="宋体" w:eastAsia="宋体" w:cs="宋体"/>
          <w:b w:val="0"/>
          <w:bCs w:val="0"/>
          <w:color w:val="auto"/>
          <w:sz w:val="24"/>
          <w:szCs w:val="24"/>
          <w:lang w:val="zh-CN"/>
        </w:rPr>
        <w:t>）；</w:t>
      </w:r>
    </w:p>
    <w:p w14:paraId="2BA2D15D">
      <w:pPr>
        <w:pageBreakBefore w:val="0"/>
        <w:tabs>
          <w:tab w:val="left" w:pos="399"/>
        </w:tabs>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投标人针对报价需要说明的其他文件和说明，格式自拟。</w:t>
      </w:r>
    </w:p>
    <w:p w14:paraId="23CD0D9B">
      <w:pPr>
        <w:pageBreakBefore w:val="0"/>
        <w:tabs>
          <w:tab w:val="left" w:pos="399"/>
        </w:tabs>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4.2.4投标时提供的人员、业绩、荣誉、资质、项目案例等，必须为投标人本身所具有。</w:t>
      </w:r>
    </w:p>
    <w:p w14:paraId="2CE1B3ED">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4.2.5注意事项：</w:t>
      </w:r>
      <w:r>
        <w:rPr>
          <w:rFonts w:hint="eastAsia" w:ascii="宋体" w:hAnsi="宋体" w:eastAsia="宋体" w:cs="宋体"/>
          <w:b/>
          <w:color w:val="auto"/>
          <w:sz w:val="24"/>
          <w:szCs w:val="24"/>
        </w:rPr>
        <w:t>投标文件含有采购人不能接受的附加条件的，投标无效；</w:t>
      </w:r>
    </w:p>
    <w:p w14:paraId="283CC2FC">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lang w:val="en-US" w:eastAsia="zh-CN"/>
        </w:rPr>
        <w:t>4.2.6</w:t>
      </w:r>
      <w:r>
        <w:rPr>
          <w:rFonts w:hint="eastAsia" w:ascii="宋体" w:hAnsi="宋体" w:eastAsia="宋体" w:cs="宋体"/>
          <w:b/>
          <w:color w:val="auto"/>
          <w:sz w:val="24"/>
          <w:szCs w:val="24"/>
        </w:rPr>
        <w:t>投标人提供虚假材料投标的，投标无效。</w:t>
      </w:r>
    </w:p>
    <w:p w14:paraId="289CE606">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4.3、投标文件的编制</w:t>
      </w:r>
    </w:p>
    <w:p w14:paraId="391D67B3">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rPr>
        <w:t>4.3.1</w:t>
      </w:r>
      <w:r>
        <w:rPr>
          <w:rFonts w:hint="eastAsia" w:ascii="宋体" w:hAnsi="宋体" w:eastAsia="宋体" w:cs="宋体"/>
          <w:b/>
          <w:bCs/>
          <w:color w:val="auto"/>
          <w:kern w:val="0"/>
          <w:sz w:val="24"/>
          <w:szCs w:val="24"/>
          <w:lang w:val="zh-CN"/>
        </w:rPr>
        <w:t>投标文件分为资格</w:t>
      </w:r>
      <w:r>
        <w:rPr>
          <w:rFonts w:hint="eastAsia" w:ascii="宋体" w:hAnsi="宋体" w:eastAsia="宋体" w:cs="宋体"/>
          <w:b/>
          <w:bCs/>
          <w:color w:val="auto"/>
          <w:kern w:val="0"/>
          <w:sz w:val="24"/>
          <w:szCs w:val="24"/>
          <w:lang w:val="en-US" w:eastAsia="zh-CN"/>
        </w:rPr>
        <w:t>证明</w:t>
      </w:r>
      <w:r>
        <w:rPr>
          <w:rFonts w:hint="eastAsia" w:ascii="宋体" w:hAnsi="宋体" w:eastAsia="宋体" w:cs="宋体"/>
          <w:b/>
          <w:bCs/>
          <w:color w:val="auto"/>
          <w:kern w:val="0"/>
          <w:sz w:val="24"/>
          <w:szCs w:val="24"/>
          <w:lang w:val="zh-CN"/>
        </w:rPr>
        <w:t>文件、商务技术文件、报价文件三部分。各投标人在编制投标文件时请按照采购文件第六部分规定的格式进行，混乱的编排导致投标文件被误读或评标委员会查找不到有效文件是投标人的风险。</w:t>
      </w:r>
    </w:p>
    <w:p w14:paraId="25E357A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w:t>
      </w:r>
      <w:r>
        <w:rPr>
          <w:rFonts w:hint="eastAsia" w:ascii="宋体" w:hAnsi="宋体" w:eastAsia="宋体" w:cs="宋体"/>
          <w:color w:val="auto"/>
          <w:sz w:val="24"/>
          <w:szCs w:val="24"/>
          <w:lang w:eastAsia="zh-CN"/>
        </w:rPr>
        <w:t>ww.lecaiyun.com</w:t>
      </w:r>
      <w:r>
        <w:rPr>
          <w:rFonts w:hint="eastAsia" w:ascii="宋体" w:hAnsi="宋体" w:eastAsia="宋体" w:cs="宋体"/>
          <w:color w:val="auto"/>
          <w:sz w:val="24"/>
          <w:szCs w:val="24"/>
        </w:rPr>
        <w:t>）”实行在线投标响应（电子投标）。供应商应通过“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电子交易客户端”，并按照本采购文件和“</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”的要求编制并加密投标文件。</w:t>
      </w:r>
    </w:p>
    <w:p w14:paraId="65B0BFB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投标供应商应当按照本章4.2款中规定的内容及顺序在“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电子交易客户端”编制投标文件。其中《资格证明文件》和《</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技术文件》中不得出现本项目投标报价</w:t>
      </w:r>
      <w:r>
        <w:rPr>
          <w:rFonts w:hint="eastAsia" w:ascii="宋体" w:hAnsi="宋体" w:eastAsia="宋体" w:cs="宋体"/>
          <w:color w:val="auto"/>
          <w:sz w:val="24"/>
          <w:szCs w:val="24"/>
          <w:lang w:eastAsia="zh-CN"/>
        </w:rPr>
        <w:t>，否则作无效投标</w:t>
      </w:r>
      <w:r>
        <w:rPr>
          <w:rFonts w:hint="eastAsia" w:ascii="宋体" w:hAnsi="宋体" w:eastAsia="宋体" w:cs="宋体"/>
          <w:color w:val="auto"/>
          <w:sz w:val="24"/>
          <w:szCs w:val="24"/>
        </w:rPr>
        <w:t>。</w:t>
      </w:r>
    </w:p>
    <w:p w14:paraId="17BBCD5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286B79D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投标文件应当对采购文件规定的内容进行明确，对采购文件规定的实质性内容应当作出响应。</w:t>
      </w:r>
    </w:p>
    <w:p w14:paraId="008A572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投标文件由于字迹模糊或表达不清引起的后果由投标人负责。</w:t>
      </w:r>
    </w:p>
    <w:p w14:paraId="13A893C7">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715E01E0">
      <w:pPr>
        <w:pageBreakBefore w:val="0"/>
        <w:kinsoku/>
        <w:wordWrap/>
        <w:overflowPunct/>
        <w:topLinePunct w:val="0"/>
        <w:bidi w:val="0"/>
        <w:adjustRightInd/>
        <w:snapToGrid w:val="0"/>
        <w:spacing w:line="460" w:lineRule="exact"/>
        <w:jc w:val="left"/>
        <w:textAlignment w:val="auto"/>
        <w:outlineLvl w:val="2"/>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rPr>
        <w:t>投标文件的签署、盖章</w:t>
      </w:r>
    </w:p>
    <w:p w14:paraId="4C93D2EF">
      <w:pPr>
        <w:pageBreakBefore w:val="0"/>
        <w:kinsoku/>
        <w:wordWrap/>
        <w:overflowPunct/>
        <w:topLinePunct w:val="0"/>
        <w:bidi w:val="0"/>
        <w:adjustRightInd/>
        <w:snapToGrid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5.1</w:t>
      </w:r>
      <w:r>
        <w:rPr>
          <w:rFonts w:hint="eastAsia" w:ascii="宋体" w:hAnsi="宋体" w:eastAsia="宋体" w:cs="宋体"/>
          <w:b/>
          <w:bCs/>
          <w:color w:val="auto"/>
          <w:sz w:val="24"/>
          <w:szCs w:val="24"/>
        </w:rPr>
        <w:t>投标文件按照采购文件第六部分格式要求进行签署、盖章。投标人的投标文件未按照采购文件要求签署、盖章的，其投标无效。</w:t>
      </w:r>
    </w:p>
    <w:p w14:paraId="640CCAF8">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5.2</w:t>
      </w:r>
      <w:r>
        <w:rPr>
          <w:rFonts w:hint="eastAsia" w:ascii="宋体" w:hAnsi="宋体" w:eastAsia="宋体" w:cs="宋体"/>
          <w:b w:val="0"/>
          <w:bCs w:val="0"/>
          <w:color w:val="auto"/>
          <w:sz w:val="24"/>
          <w:szCs w:val="24"/>
        </w:rPr>
        <w:t>为确保网上操作合法、有效和安全，投标人应当在投标截止时间前完成在“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b w:val="0"/>
          <w:bCs w:val="0"/>
          <w:color w:val="auto"/>
          <w:sz w:val="24"/>
          <w:szCs w:val="24"/>
        </w:rPr>
        <w:t>”的身份认证，确保在电子投标过程中能够对相关数据电文进行加密和使用电子签名。</w:t>
      </w:r>
    </w:p>
    <w:p w14:paraId="637BC085">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5.3</w:t>
      </w:r>
      <w:r>
        <w:rPr>
          <w:rFonts w:hint="eastAsia" w:ascii="宋体" w:hAnsi="宋体" w:eastAsia="宋体" w:cs="宋体"/>
          <w:b w:val="0"/>
          <w:bCs w:val="0"/>
          <w:color w:val="auto"/>
          <w:sz w:val="24"/>
          <w:szCs w:val="24"/>
        </w:rPr>
        <w:t>采购文件对投标文件签署、盖章的要求适用于电子签名。</w:t>
      </w:r>
    </w:p>
    <w:p w14:paraId="0A52C09E">
      <w:pPr>
        <w:pageBreakBefore w:val="0"/>
        <w:kinsoku/>
        <w:wordWrap/>
        <w:overflowPunct/>
        <w:topLinePunct w:val="0"/>
        <w:bidi w:val="0"/>
        <w:adjustRightInd/>
        <w:snapToGrid w:val="0"/>
        <w:spacing w:line="460" w:lineRule="exact"/>
        <w:jc w:val="left"/>
        <w:textAlignment w:val="auto"/>
        <w:outlineLvl w:val="2"/>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投</w:t>
      </w:r>
      <w:r>
        <w:rPr>
          <w:rFonts w:hint="eastAsia" w:ascii="宋体" w:hAnsi="宋体" w:eastAsia="宋体" w:cs="宋体"/>
          <w:b/>
          <w:color w:val="auto"/>
          <w:sz w:val="24"/>
          <w:szCs w:val="24"/>
        </w:rPr>
        <w:t>标文件的提交、补充、修改、撤回</w:t>
      </w:r>
    </w:p>
    <w:p w14:paraId="23D475F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.1、投标文件的上传、递交</w:t>
      </w:r>
    </w:p>
    <w:p w14:paraId="4F3DA74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.1.1电子加密投标文件的上传、递交：</w:t>
      </w:r>
    </w:p>
    <w:p w14:paraId="439C007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6.1.1.1</w:t>
      </w:r>
      <w:r>
        <w:rPr>
          <w:rFonts w:hint="eastAsia" w:ascii="宋体" w:hAnsi="宋体" w:eastAsia="宋体" w:cs="宋体"/>
          <w:color w:val="auto"/>
          <w:sz w:val="24"/>
          <w:szCs w:val="24"/>
        </w:rPr>
        <w:t>投标供应商应在投标截止时间前将“电子加密投标文件”成功上传递交至“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”，否则投标无效。</w:t>
      </w:r>
    </w:p>
    <w:p w14:paraId="016CED4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6.1.1.2</w:t>
      </w:r>
      <w:r>
        <w:rPr>
          <w:rFonts w:hint="eastAsia" w:ascii="宋体" w:hAnsi="宋体" w:eastAsia="宋体" w:cs="宋体"/>
          <w:color w:val="auto"/>
          <w:sz w:val="24"/>
          <w:szCs w:val="24"/>
        </w:rPr>
        <w:t>“电子加密投标文件”成功上传递交后，供应商可自行打印投标文件接收回执。</w:t>
      </w:r>
    </w:p>
    <w:p w14:paraId="755FC06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.1.2备份投标文件的密封包装、递交：</w:t>
      </w:r>
    </w:p>
    <w:p w14:paraId="03F7F91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6.1.2.1</w:t>
      </w:r>
      <w:r>
        <w:rPr>
          <w:rFonts w:hint="eastAsia" w:ascii="宋体" w:hAnsi="宋体" w:eastAsia="宋体" w:cs="宋体"/>
          <w:color w:val="auto"/>
          <w:sz w:val="24"/>
          <w:szCs w:val="24"/>
        </w:rPr>
        <w:t>投标供应商在“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”完成“电子加密投标文件”的上传递交后，还可以（邮寄形式）在投标截止时间前递交以介质（U盘）存储的“备份投标文件”（一份）；</w:t>
      </w:r>
    </w:p>
    <w:p w14:paraId="3E7E96E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6.1.2.2</w:t>
      </w:r>
      <w:r>
        <w:rPr>
          <w:rFonts w:hint="eastAsia" w:ascii="宋体" w:hAnsi="宋体" w:eastAsia="宋体" w:cs="宋体"/>
          <w:color w:val="auto"/>
          <w:sz w:val="24"/>
          <w:szCs w:val="24"/>
        </w:rPr>
        <w:t>“备份投标文件”应当密封包装，并在包装上标注投标项目名称、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名称并加盖公章。没有密封包装或者逾期邮寄送达至投标地点的“备份投标文件”将不予接收，（邮寄公司采用EMS或顺丰，以代理机构工作人员签收时间为准），采用邮寄的方式的请提前一天通知代理机构；</w:t>
      </w:r>
    </w:p>
    <w:p w14:paraId="0D75595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6.1.2.3</w:t>
      </w:r>
      <w:r>
        <w:rPr>
          <w:rFonts w:hint="eastAsia" w:ascii="宋体" w:hAnsi="宋体" w:eastAsia="宋体" w:cs="宋体"/>
          <w:color w:val="auto"/>
          <w:sz w:val="24"/>
          <w:szCs w:val="24"/>
        </w:rPr>
        <w:t>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”的，投标无效。</w:t>
      </w:r>
    </w:p>
    <w:p w14:paraId="28CC98E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.2、解密和异常情况处理</w:t>
      </w:r>
    </w:p>
    <w:p w14:paraId="39A8969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.2.1开标后，采购组织机构将向各投标供应商发出“电子加密投标文件”的解密通知，各投标供应商代表应当在接到解密通知后30分钟内自行完成“电子加密投标文件”的在线解密。</w:t>
      </w:r>
    </w:p>
    <w:p w14:paraId="148DFA1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.2.2通过“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”操作规范将“备份投标文件”上传至“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”，上传成功后，“电子加密投标文件”自动失效），否则视为投标文件撤回。</w:t>
      </w:r>
    </w:p>
    <w:p w14:paraId="1EFDA3B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.2.3投标截止时间前，投标供应商仅递交了“备份投标文件”而未将电子加密投标文件上传至“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”的，投标无效。</w:t>
      </w:r>
    </w:p>
    <w:p w14:paraId="7AA8F62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.3、投标文件的修改和撤回</w:t>
      </w:r>
    </w:p>
    <w:p w14:paraId="2DBEB53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”将予以拒收。</w:t>
      </w:r>
    </w:p>
    <w:p w14:paraId="5A2C85D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.3.2投标截止时间后，投标供应商不得撤回、修改投标文件。</w:t>
      </w:r>
    </w:p>
    <w:p w14:paraId="2BAAFD0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.4、备选投标方案</w:t>
      </w:r>
    </w:p>
    <w:p w14:paraId="4557C187">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投标人不得提交备选投标方案，否则，投标文件将被判定为无效标。（与“电子加密投标文件”同时生成的“备份投标文件”不是投标备选（替代）方案）</w:t>
      </w:r>
    </w:p>
    <w:p w14:paraId="395AAF7C">
      <w:pPr>
        <w:pageBreakBefore w:val="0"/>
        <w:numPr>
          <w:ilvl w:val="0"/>
          <w:numId w:val="0"/>
        </w:numPr>
        <w:kinsoku/>
        <w:wordWrap/>
        <w:overflowPunct/>
        <w:topLinePunct w:val="0"/>
        <w:bidi w:val="0"/>
        <w:adjustRightInd/>
        <w:spacing w:line="460" w:lineRule="exac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备份投标文件</w:t>
      </w:r>
    </w:p>
    <w:p w14:paraId="61E98B36">
      <w:pPr>
        <w:pageBreakBefore w:val="0"/>
        <w:numPr>
          <w:ilvl w:val="0"/>
          <w:numId w:val="0"/>
        </w:numPr>
        <w:kinsoku/>
        <w:wordWrap/>
        <w:overflowPunct/>
        <w:topLinePunct w:val="0"/>
        <w:bidi w:val="0"/>
        <w:adjustRightInd/>
        <w:spacing w:line="460" w:lineRule="exact"/>
        <w:ind w:firstLine="480" w:firstLineChars="200"/>
        <w:textAlignment w:val="auto"/>
        <w:rPr>
          <w:rFonts w:hint="eastAsia" w:ascii="宋体" w:hAnsi="宋体" w:eastAsia="宋体" w:cs="宋体"/>
          <w:b w:val="0"/>
          <w:bCs w:val="0"/>
          <w:snapToGrid w:val="0"/>
          <w:color w:val="auto"/>
          <w:sz w:val="24"/>
          <w:szCs w:val="24"/>
        </w:rPr>
      </w:pPr>
      <w:r>
        <w:rPr>
          <w:rFonts w:hint="eastAsia" w:ascii="宋体" w:hAnsi="宋体" w:eastAsia="宋体" w:cs="宋体"/>
          <w:b w:val="0"/>
          <w:bCs w:val="0"/>
          <w:color w:val="auto"/>
          <w:sz w:val="24"/>
          <w:szCs w:val="24"/>
          <w:lang w:val="en-US" w:eastAsia="zh-CN"/>
        </w:rPr>
        <w:t>7.1</w:t>
      </w:r>
      <w:r>
        <w:rPr>
          <w:rFonts w:hint="eastAsia" w:ascii="宋体" w:hAnsi="宋体" w:eastAsia="宋体" w:cs="宋体"/>
          <w:snapToGrid w:val="0"/>
          <w:color w:val="auto"/>
          <w:sz w:val="24"/>
          <w:szCs w:val="24"/>
        </w:rPr>
        <w:t>投标人在电子交易平台传输递交投标文件后，还可以在投标截止时间前直接提交或者以邮政快递方式递交备份投标文件1份</w:t>
      </w:r>
      <w:r>
        <w:rPr>
          <w:rFonts w:hint="eastAsia" w:ascii="宋体" w:hAnsi="宋体" w:eastAsia="宋体" w:cs="宋体"/>
          <w:b/>
          <w:bCs/>
          <w:snapToGrid w:val="0"/>
          <w:color w:val="auto"/>
          <w:sz w:val="24"/>
          <w:szCs w:val="24"/>
        </w:rPr>
        <w:t>，</w:t>
      </w:r>
      <w:r>
        <w:rPr>
          <w:rFonts w:hint="eastAsia" w:ascii="宋体" w:hAnsi="宋体" w:eastAsia="宋体" w:cs="宋体"/>
          <w:b w:val="0"/>
          <w:bCs w:val="0"/>
          <w:snapToGrid w:val="0"/>
          <w:color w:val="auto"/>
          <w:sz w:val="24"/>
          <w:szCs w:val="24"/>
        </w:rPr>
        <w:t>但采购人、采购机构不强制或变相强制投标人提交备份投标文件。</w:t>
      </w:r>
    </w:p>
    <w:p w14:paraId="1D557FCF">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.2备份投标文件须在“</w:t>
      </w:r>
      <w:r>
        <w:rPr>
          <w:rFonts w:hint="eastAsia" w:ascii="宋体" w:hAnsi="宋体" w:eastAsia="宋体" w:cs="宋体"/>
          <w:snapToGrid w:val="0"/>
          <w:color w:val="auto"/>
          <w:sz w:val="24"/>
          <w:szCs w:val="24"/>
          <w:lang w:eastAsia="zh-CN"/>
        </w:rPr>
        <w:t>乐采云</w:t>
      </w:r>
      <w:r>
        <w:rPr>
          <w:rFonts w:hint="eastAsia" w:ascii="宋体" w:hAnsi="宋体" w:eastAsia="宋体" w:cs="宋体"/>
          <w:snapToGrid w:val="0"/>
          <w:color w:val="auto"/>
          <w:sz w:val="24"/>
          <w:szCs w:val="24"/>
        </w:rPr>
        <w:t>投标客户端”制作生成，并储存在DVD光盘或U盘中。</w:t>
      </w:r>
      <w:r>
        <w:rPr>
          <w:rFonts w:hint="eastAsia" w:ascii="宋体" w:hAnsi="宋体" w:eastAsia="宋体" w:cs="宋体"/>
          <w:b/>
          <w:bCs/>
          <w:snapToGrid w:val="0"/>
          <w:color w:val="auto"/>
          <w:sz w:val="24"/>
          <w:szCs w:val="24"/>
        </w:rPr>
        <w:t>备份投标文件应当密封包装并在包装上加盖公章并注明投标项目名称，投标人名称</w:t>
      </w:r>
      <w:r>
        <w:rPr>
          <w:rFonts w:hint="eastAsia" w:ascii="宋体" w:hAnsi="宋体" w:eastAsia="宋体" w:cs="宋体"/>
          <w:snapToGrid w:val="0"/>
          <w:color w:val="auto"/>
          <w:sz w:val="24"/>
          <w:szCs w:val="24"/>
        </w:rPr>
        <w:t>(联合体投标的，包装物封面需注明联合体投标，并注明联合体成员各方的名称和联合协议中约定的牵头人的名称)。</w:t>
      </w:r>
      <w:r>
        <w:rPr>
          <w:rFonts w:hint="eastAsia" w:ascii="宋体" w:hAnsi="宋体" w:eastAsia="宋体" w:cs="宋体"/>
          <w:b/>
          <w:snapToGrid w:val="0"/>
          <w:color w:val="auto"/>
          <w:sz w:val="24"/>
          <w:szCs w:val="24"/>
        </w:rPr>
        <w:t>不符合上述制作、存储、密封规定的备份投标文件将被视为无效或者被拒绝接收。</w:t>
      </w:r>
    </w:p>
    <w:p w14:paraId="5650521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.3直接提交备份投标文件的，投标人应于投标截止时间前在采购公告中载明的开标地点将备份投标文件提交给采购机构，采购机构将拒绝接受逾期送达的备份投标文件。</w:t>
      </w:r>
    </w:p>
    <w:p w14:paraId="21051488">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.4以邮政快递方式递交备份投标文件的，投标人应先将备份投标文件按要求密封和标记，再进行邮政快递包装后邮寄。</w:t>
      </w:r>
    </w:p>
    <w:p w14:paraId="7EECB67D">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5</w:t>
      </w:r>
      <w:r>
        <w:rPr>
          <w:rFonts w:hint="eastAsia" w:ascii="宋体" w:hAnsi="宋体" w:eastAsia="宋体" w:cs="宋体"/>
          <w:snapToGrid w:val="0"/>
          <w:color w:val="auto"/>
          <w:sz w:val="24"/>
          <w:szCs w:val="24"/>
        </w:rPr>
        <w:t>备份投标文件须在投标截止时间之前送达</w:t>
      </w:r>
      <w:r>
        <w:rPr>
          <w:rFonts w:hint="eastAsia" w:ascii="宋体" w:hAnsi="宋体" w:eastAsia="宋体" w:cs="宋体"/>
          <w:color w:val="auto"/>
          <w:sz w:val="24"/>
          <w:szCs w:val="24"/>
        </w:rPr>
        <w:t>采购文件第二部分投标人须知前附表规定的备份投标文件送达地点；</w:t>
      </w:r>
      <w:r>
        <w:rPr>
          <w:rFonts w:hint="eastAsia" w:ascii="宋体" w:hAnsi="宋体" w:eastAsia="宋体" w:cs="宋体"/>
          <w:snapToGrid w:val="0"/>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1126288E">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lang w:val="en-US" w:eastAsia="zh-CN"/>
        </w:rPr>
        <w:t>7</w:t>
      </w:r>
      <w:r>
        <w:rPr>
          <w:rFonts w:hint="eastAsia" w:ascii="宋体" w:hAnsi="宋体" w:eastAsia="宋体" w:cs="宋体"/>
          <w:b/>
          <w:snapToGrid w:val="0"/>
          <w:color w:val="auto"/>
          <w:sz w:val="24"/>
          <w:szCs w:val="24"/>
        </w:rPr>
        <w:t>.</w:t>
      </w:r>
      <w:r>
        <w:rPr>
          <w:rFonts w:hint="eastAsia" w:ascii="宋体" w:hAnsi="宋体" w:eastAsia="宋体" w:cs="宋体"/>
          <w:b/>
          <w:snapToGrid w:val="0"/>
          <w:color w:val="auto"/>
          <w:sz w:val="24"/>
          <w:szCs w:val="24"/>
          <w:lang w:val="en-US" w:eastAsia="zh-CN"/>
        </w:rPr>
        <w:t>6</w:t>
      </w:r>
      <w:r>
        <w:rPr>
          <w:rFonts w:hint="eastAsia" w:ascii="宋体" w:hAnsi="宋体" w:eastAsia="宋体" w:cs="宋体"/>
          <w:b/>
          <w:snapToGrid w:val="0"/>
          <w:color w:val="auto"/>
          <w:sz w:val="24"/>
          <w:szCs w:val="24"/>
        </w:rPr>
        <w:t>投标人仅提交备份投标文件，没有在电子交易平台传输递交投标文件的，投标无效。</w:t>
      </w:r>
    </w:p>
    <w:p w14:paraId="2CCA8B42">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宋体" w:hAnsi="宋体" w:eastAsia="宋体" w:cs="宋体"/>
          <w:b/>
          <w:color w:val="auto"/>
          <w:sz w:val="24"/>
          <w:szCs w:val="24"/>
        </w:rPr>
      </w:pPr>
      <w:r>
        <w:rPr>
          <w:rFonts w:hint="eastAsia" w:ascii="宋体" w:hAnsi="宋体" w:eastAsia="宋体" w:cs="宋体"/>
          <w:b/>
          <w:snapToGrid w:val="0"/>
          <w:color w:val="auto"/>
          <w:sz w:val="24"/>
          <w:szCs w:val="24"/>
          <w:lang w:val="en-US" w:eastAsia="zh-CN"/>
        </w:rPr>
        <w:t>8.</w:t>
      </w:r>
      <w:r>
        <w:rPr>
          <w:rFonts w:hint="eastAsia" w:ascii="宋体" w:hAnsi="宋体" w:eastAsia="宋体" w:cs="宋体"/>
          <w:b/>
          <w:color w:val="auto"/>
          <w:sz w:val="24"/>
          <w:szCs w:val="24"/>
        </w:rPr>
        <w:t>投标有效期</w:t>
      </w:r>
    </w:p>
    <w:p w14:paraId="3A5C83E8">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.1投标有效期为从提交投标文件的截止之日起90天。</w:t>
      </w:r>
      <w:r>
        <w:rPr>
          <w:rFonts w:hint="eastAsia" w:ascii="宋体" w:hAnsi="宋体" w:eastAsia="宋体" w:cs="宋体"/>
          <w:b w:val="0"/>
          <w:bCs w:val="0"/>
          <w:color w:val="auto"/>
          <w:sz w:val="24"/>
          <w:szCs w:val="24"/>
        </w:rPr>
        <w:t>★投标人的投标文件中承诺的投标有效期少于采购文件中载明的投标有效期的，投标无效。</w:t>
      </w:r>
    </w:p>
    <w:p w14:paraId="5A75CEF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.2投标文件合格投递后，自投标截止日期起，在投标有效期内有效。</w:t>
      </w:r>
    </w:p>
    <w:p w14:paraId="69F686B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.3在原定投标有效期满之前，如果出现特殊情况，采购机构可以以书面形式通知投标人延长投标有效期。投标人同意延长的，不得要求或被允许修改其投标文件，投标人拒绝延长的，其投标无效。</w:t>
      </w:r>
    </w:p>
    <w:p w14:paraId="05D347F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8.4</w:t>
      </w:r>
      <w:r>
        <w:rPr>
          <w:rFonts w:hint="eastAsia" w:ascii="宋体" w:hAnsi="宋体" w:eastAsia="宋体" w:cs="宋体"/>
          <w:snapToGrid w:val="0"/>
          <w:color w:val="auto"/>
          <w:kern w:val="0"/>
          <w:sz w:val="24"/>
          <w:szCs w:val="24"/>
          <w:lang w:eastAsia="zh-CN"/>
        </w:rPr>
        <w:t>中标供应商</w:t>
      </w:r>
      <w:r>
        <w:rPr>
          <w:rFonts w:hint="eastAsia" w:ascii="宋体" w:hAnsi="宋体" w:eastAsia="宋体" w:cs="宋体"/>
          <w:snapToGrid w:val="0"/>
          <w:color w:val="auto"/>
          <w:kern w:val="0"/>
          <w:sz w:val="24"/>
          <w:szCs w:val="24"/>
        </w:rPr>
        <w:t>的投标文件自开标之日起至合同履行完毕止均应保持有效。</w:t>
      </w:r>
    </w:p>
    <w:p w14:paraId="59FE7A1C">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、投标报价</w:t>
      </w:r>
    </w:p>
    <w:p w14:paraId="0C4AB573">
      <w:pPr>
        <w:pageBreakBefore w:val="0"/>
        <w:kinsoku/>
        <w:wordWrap/>
        <w:overflowPunct/>
        <w:topLinePunct w:val="0"/>
        <w:bidi w:val="0"/>
        <w:adjustRightInd/>
        <w:spacing w:line="460" w:lineRule="exact"/>
        <w:ind w:firstLine="420"/>
        <w:textAlignment w:val="auto"/>
        <w:rPr>
          <w:rFonts w:hint="eastAsia" w:ascii="宋体" w:hAnsi="宋体" w:eastAsia="宋体" w:cs="宋体"/>
          <w:b/>
          <w:color w:val="auto"/>
          <w:sz w:val="24"/>
          <w:szCs w:val="24"/>
          <w:u w:val="thick"/>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 ★</w:t>
      </w:r>
      <w:r>
        <w:rPr>
          <w:rFonts w:hint="eastAsia" w:ascii="宋体" w:hAnsi="宋体" w:eastAsia="宋体" w:cs="宋体"/>
          <w:b/>
          <w:color w:val="auto"/>
          <w:sz w:val="24"/>
          <w:szCs w:val="24"/>
          <w:u w:val="thick"/>
        </w:rPr>
        <w:t>本次投标报价为</w:t>
      </w:r>
      <w:r>
        <w:rPr>
          <w:rFonts w:hint="eastAsia" w:ascii="宋体" w:hAnsi="宋体" w:eastAsia="宋体" w:cs="宋体"/>
          <w:b/>
          <w:color w:val="auto"/>
          <w:sz w:val="24"/>
          <w:szCs w:val="24"/>
          <w:u w:val="thick"/>
          <w:lang w:eastAsia="zh-CN"/>
        </w:rPr>
        <w:t>人民币报。</w:t>
      </w:r>
    </w:p>
    <w:p w14:paraId="45F4A69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294F2E3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 xml:space="preserve">.3 </w:t>
      </w:r>
      <w:r>
        <w:rPr>
          <w:rFonts w:hint="eastAsia" w:ascii="宋体" w:hAnsi="宋体" w:eastAsia="宋体" w:cs="宋体"/>
          <w:color w:val="auto"/>
          <w:sz w:val="24"/>
          <w:szCs w:val="24"/>
        </w:rPr>
        <w:t>投标报价应按不同费用类别分开填写，具体详见“投标文件格式”。</w:t>
      </w:r>
    </w:p>
    <w:p w14:paraId="766701BB">
      <w:pPr>
        <w:pageBreakBefore w:val="0"/>
        <w:kinsoku/>
        <w:wordWrap/>
        <w:overflowPunct/>
        <w:topLinePunct w:val="0"/>
        <w:bidi w:val="0"/>
        <w:adjustRightInd/>
        <w:spacing w:line="460" w:lineRule="exact"/>
        <w:ind w:firstLine="420"/>
        <w:textAlignment w:val="auto"/>
        <w:rPr>
          <w:rFonts w:hint="eastAsia" w:ascii="宋体" w:hAnsi="宋体" w:eastAsia="宋体" w:cs="宋体"/>
          <w:b/>
          <w:color w:val="auto"/>
          <w:sz w:val="24"/>
          <w:szCs w:val="24"/>
          <w:u w:val="thick"/>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 ★</w:t>
      </w:r>
      <w:r>
        <w:rPr>
          <w:rFonts w:hint="eastAsia" w:ascii="宋体" w:hAnsi="宋体" w:eastAsia="宋体" w:cs="宋体"/>
          <w:b/>
          <w:color w:val="auto"/>
          <w:sz w:val="24"/>
          <w:szCs w:val="24"/>
          <w:u w:val="thick"/>
        </w:rPr>
        <w:t>所投标项只允许有一个报价，不接受有选择报价的投标文件。</w:t>
      </w:r>
    </w:p>
    <w:p w14:paraId="452F0A6F">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、投标文件的式样</w:t>
      </w:r>
    </w:p>
    <w:p w14:paraId="22B3DEC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 投标人通过“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”平台制作电子投标文件，投标文件制作详见“供应商-采购项目电子交易操作指南”。</w:t>
      </w:r>
    </w:p>
    <w:p w14:paraId="0AC21CA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 投标文件是电子投标文件，包括“电子加密投标文件”和“备份投标文件”，在投标文件编制完成后同时生成。</w:t>
      </w:r>
    </w:p>
    <w:p w14:paraId="11AEB21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10.2.1</w:t>
      </w:r>
      <w:r>
        <w:rPr>
          <w:rFonts w:hint="eastAsia" w:ascii="宋体" w:hAnsi="宋体" w:eastAsia="宋体" w:cs="宋体"/>
          <w:color w:val="auto"/>
          <w:sz w:val="24"/>
          <w:szCs w:val="24"/>
        </w:rPr>
        <w:t>“电子加密投标文件”是指通过“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电子交易客户端”完成投标文件编制后生成并加密的数据电文形式的投标文件。</w:t>
      </w:r>
    </w:p>
    <w:p w14:paraId="6AF6BE2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10.2.2</w:t>
      </w:r>
      <w:r>
        <w:rPr>
          <w:rFonts w:hint="eastAsia" w:ascii="宋体" w:hAnsi="宋体" w:eastAsia="宋体" w:cs="宋体"/>
          <w:color w:val="auto"/>
          <w:sz w:val="24"/>
          <w:szCs w:val="24"/>
        </w:rPr>
        <w:t>“备份投标文件”是指与“电子加密投标文件”同时生成的数据电文形式的电子文件（备份标书，用于供应商标书解密异常时应急使用），其他方式编制的备份投标文件视为无效备份投标文件。</w:t>
      </w:r>
    </w:p>
    <w:p w14:paraId="3DFCBFF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10.2.3</w:t>
      </w:r>
      <w:r>
        <w:rPr>
          <w:rFonts w:hint="eastAsia" w:ascii="宋体" w:hAnsi="宋体" w:eastAsia="宋体" w:cs="宋体"/>
          <w:color w:val="auto"/>
          <w:sz w:val="24"/>
          <w:szCs w:val="24"/>
        </w:rPr>
        <w:t>一份电子加密标书（后缀格式为.jmbs），一份备份标书文件（后缀格式为.bfbs）</w:t>
      </w:r>
    </w:p>
    <w:p w14:paraId="1E0D8D2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10.2.4</w:t>
      </w:r>
      <w:r>
        <w:rPr>
          <w:rFonts w:hint="eastAsia" w:ascii="宋体" w:hAnsi="宋体" w:eastAsia="宋体" w:cs="宋体"/>
          <w:color w:val="auto"/>
          <w:sz w:val="24"/>
          <w:szCs w:val="24"/>
        </w:rPr>
        <w:t>每份电子投标文件应包括资格证明文件、</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技术文件、报价文件三部分内容。</w:t>
      </w:r>
    </w:p>
    <w:p w14:paraId="38779D7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.3 投标文件中投标函、</w:t>
      </w:r>
      <w:r>
        <w:rPr>
          <w:rFonts w:hint="eastAsia" w:ascii="宋体" w:hAnsi="宋体" w:eastAsia="宋体" w:cs="宋体"/>
          <w:color w:val="auto"/>
          <w:sz w:val="24"/>
          <w:szCs w:val="24"/>
          <w:lang w:val="zh-CN"/>
        </w:rPr>
        <w:t>法定代表人授权委托书</w:t>
      </w:r>
      <w:r>
        <w:rPr>
          <w:rFonts w:hint="eastAsia" w:ascii="宋体" w:hAnsi="宋体" w:eastAsia="宋体" w:cs="宋体"/>
          <w:color w:val="auto"/>
          <w:sz w:val="24"/>
          <w:szCs w:val="24"/>
        </w:rPr>
        <w:t>的格式、签字、盖章及内容均应符合采购文件格式要求，否则投标文件无效。</w:t>
      </w:r>
    </w:p>
    <w:p w14:paraId="3E2F190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.4投标人应根据“</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供应商项目采购-电子招投标操作指南”及本采购文件规定编制电子投标文件并进行关联定位，以便评标委员会在评标时，点击评分项，可直接定位到该评分项内容。</w:t>
      </w:r>
    </w:p>
    <w:p w14:paraId="3F5324B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如对采购文件的某项要求，投标人的投标响应文件未能提供相应的内容与其对应，则评标委员会在评审时会提示投标人未对此项招标要求提供相应内容。由此产生的评分影响由投标人自行承担。</w:t>
      </w:r>
    </w:p>
    <w:bookmarkEnd w:id="58"/>
    <w:bookmarkEnd w:id="59"/>
    <w:p w14:paraId="0F7A2182">
      <w:pPr>
        <w:pStyle w:val="2"/>
        <w:pageBreakBefore w:val="0"/>
        <w:kinsoku/>
        <w:wordWrap/>
        <w:overflowPunct/>
        <w:topLinePunct w:val="0"/>
        <w:bidi w:val="0"/>
        <w:adjustRightInd/>
        <w:spacing w:line="460" w:lineRule="exact"/>
        <w:ind w:firstLine="420"/>
        <w:jc w:val="center"/>
        <w:textAlignment w:val="auto"/>
        <w:rPr>
          <w:rFonts w:hint="eastAsia" w:ascii="宋体" w:hAnsi="宋体" w:eastAsia="宋体" w:cs="宋体"/>
          <w:color w:val="auto"/>
          <w:sz w:val="32"/>
          <w:szCs w:val="32"/>
        </w:rPr>
      </w:pPr>
      <w:bookmarkStart w:id="60" w:name="_Toc35261575"/>
      <w:bookmarkStart w:id="61" w:name="_Toc82338243"/>
      <w:bookmarkStart w:id="62" w:name="_Toc450482500"/>
      <w:bookmarkStart w:id="63" w:name="_Toc82873326"/>
      <w:bookmarkStart w:id="64" w:name="_Toc54978894"/>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、开标、</w:t>
      </w:r>
      <w:r>
        <w:rPr>
          <w:rFonts w:hint="eastAsia" w:ascii="宋体" w:hAnsi="宋体" w:eastAsia="宋体" w:cs="宋体"/>
          <w:color w:val="auto"/>
          <w:sz w:val="32"/>
          <w:szCs w:val="32"/>
          <w:lang w:eastAsia="zh-CN"/>
        </w:rPr>
        <w:t>资格审查与信用信息查询</w:t>
      </w:r>
      <w:bookmarkEnd w:id="60"/>
      <w:bookmarkEnd w:id="61"/>
      <w:bookmarkEnd w:id="62"/>
      <w:bookmarkEnd w:id="63"/>
      <w:bookmarkEnd w:id="64"/>
    </w:p>
    <w:p w14:paraId="5FBF13F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.1．开标</w:t>
      </w:r>
    </w:p>
    <w:p w14:paraId="6A8B756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.1.1 </w:t>
      </w:r>
      <w:r>
        <w:rPr>
          <w:rFonts w:hint="eastAsia" w:ascii="宋体" w:hAnsi="宋体" w:eastAsia="宋体" w:cs="宋体"/>
          <w:color w:val="auto"/>
          <w:kern w:val="0"/>
          <w:sz w:val="24"/>
          <w:szCs w:val="24"/>
        </w:rPr>
        <w:t>采购机构按照采购文件规定的时间通过电子交易平台组织开标，所有投标人均应当准时在线参加。投标人不足3家的，不得开标。</w:t>
      </w:r>
    </w:p>
    <w:p w14:paraId="7EB89362">
      <w:pPr>
        <w:pageBreakBefore w:val="0"/>
        <w:kinsoku/>
        <w:wordWrap/>
        <w:overflowPunct/>
        <w:topLinePunct w:val="0"/>
        <w:autoSpaceDE w:val="0"/>
        <w:autoSpaceDN w:val="0"/>
        <w:bidi w:val="0"/>
        <w:adjustRightInd/>
        <w:spacing w:line="460" w:lineRule="exact"/>
        <w:ind w:firstLine="480" w:firstLineChars="20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.1.2</w:t>
      </w:r>
      <w:r>
        <w:rPr>
          <w:rFonts w:hint="eastAsia" w:ascii="宋体" w:hAnsi="宋体" w:eastAsia="宋体" w:cs="宋体"/>
          <w:color w:val="auto"/>
          <w:kern w:val="0"/>
          <w:sz w:val="24"/>
          <w:szCs w:val="24"/>
        </w:rPr>
        <w:t>开标时，电子交易平台按开标时间自动提取所有投标文件。采购机构依托电子交易平台发起开始解密指令，投标人按照平台提示和采购文件的规定在半小时内完成在线解密。</w:t>
      </w:r>
    </w:p>
    <w:p w14:paraId="43E9BD17">
      <w:pPr>
        <w:pageBreakBefore w:val="0"/>
        <w:kinsoku/>
        <w:wordWrap/>
        <w:overflowPunct/>
        <w:topLinePunct w:val="0"/>
        <w:autoSpaceDE w:val="0"/>
        <w:autoSpaceDN w:val="0"/>
        <w:bidi w:val="0"/>
        <w:adjustRightInd/>
        <w:spacing w:line="460" w:lineRule="exact"/>
        <w:ind w:firstLine="482" w:firstLineChars="200"/>
        <w:contextualSpacing/>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5.1.3</w:t>
      </w:r>
      <w:r>
        <w:rPr>
          <w:rFonts w:hint="eastAsia" w:ascii="宋体" w:hAnsi="宋体" w:eastAsia="宋体" w:cs="宋体"/>
          <w:b/>
          <w:bCs/>
          <w:color w:val="auto"/>
          <w:kern w:val="0"/>
          <w:sz w:val="24"/>
          <w:szCs w:val="24"/>
        </w:rPr>
        <w:t>投标文件未按时解密，投标人提供了备份投标文件的，以备份投标文件作为依据，否则视为投标文件撤回。投标文件已按时解密的，备份投标文件自动失效。</w:t>
      </w:r>
    </w:p>
    <w:p w14:paraId="7455596E">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5.1.4</w:t>
      </w:r>
      <w:r>
        <w:rPr>
          <w:rFonts w:hint="eastAsia" w:ascii="宋体" w:hAnsi="宋体" w:eastAsia="宋体" w:cs="宋体"/>
          <w:color w:val="auto"/>
          <w:sz w:val="24"/>
          <w:szCs w:val="24"/>
        </w:rPr>
        <w:t>开评标期间，投标人代表应在线操作，并关注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有关信息公布、澄清等情况。投标人代表不参加开标程序的，事后不得对采购相关人员、开标过程和开标结果提出异议。</w:t>
      </w:r>
    </w:p>
    <w:p w14:paraId="578FCD1B">
      <w:pPr>
        <w:pageBreakBefore w:val="0"/>
        <w:kinsoku/>
        <w:wordWrap/>
        <w:overflowPunct/>
        <w:topLinePunct w:val="0"/>
        <w:bidi w:val="0"/>
        <w:adjustRightInd/>
        <w:snapToGrid w:val="0"/>
        <w:spacing w:line="460" w:lineRule="exact"/>
        <w:ind w:firstLine="241" w:firstLineChars="100"/>
        <w:jc w:val="left"/>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5.2</w:t>
      </w:r>
      <w:r>
        <w:rPr>
          <w:rFonts w:hint="eastAsia" w:ascii="宋体" w:hAnsi="宋体" w:eastAsia="宋体" w:cs="宋体"/>
          <w:b/>
          <w:bCs/>
          <w:color w:val="auto"/>
          <w:sz w:val="24"/>
          <w:szCs w:val="24"/>
        </w:rPr>
        <w:t>资格审查</w:t>
      </w:r>
    </w:p>
    <w:p w14:paraId="2EE84C1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.1开标后，采购人或采购机构将依法对投标人的资格进行审查。</w:t>
      </w:r>
    </w:p>
    <w:p w14:paraId="6A25C1F3">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sz w:val="24"/>
          <w:szCs w:val="24"/>
        </w:rPr>
        <w:t>采购人或采购机构依据法律法规和采购文件的规定，对投标人的资格进行审查。</w:t>
      </w:r>
    </w:p>
    <w:p w14:paraId="39DDF03F">
      <w:pPr>
        <w:pStyle w:val="289"/>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.3投标人未按照采购文件要求提供与</w:t>
      </w:r>
      <w:r>
        <w:rPr>
          <w:rFonts w:hint="eastAsia" w:ascii="宋体" w:hAnsi="宋体" w:eastAsia="宋体" w:cs="宋体"/>
          <w:color w:val="auto"/>
          <w:sz w:val="24"/>
          <w:szCs w:val="24"/>
        </w:rPr>
        <w:t>资格条件相应的</w:t>
      </w:r>
      <w:r>
        <w:rPr>
          <w:rFonts w:hint="eastAsia" w:ascii="宋体" w:hAnsi="宋体" w:eastAsia="宋体" w:cs="宋体"/>
          <w:color w:val="auto"/>
          <w:kern w:val="0"/>
          <w:sz w:val="24"/>
          <w:szCs w:val="24"/>
        </w:rPr>
        <w:t>有效资格证明材料的，视为</w:t>
      </w:r>
      <w:r>
        <w:rPr>
          <w:rFonts w:hint="eastAsia" w:ascii="宋体" w:hAnsi="宋体" w:eastAsia="宋体" w:cs="宋体"/>
          <w:color w:val="auto"/>
          <w:sz w:val="24"/>
          <w:szCs w:val="24"/>
        </w:rPr>
        <w:t>投标人不具备采购文件中规定的资格要求，其投标无效。</w:t>
      </w:r>
    </w:p>
    <w:p w14:paraId="6CD7C4FB">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4对未通过资格审查的投标人，采购人或采购机构告知其未通过的原因。</w:t>
      </w:r>
    </w:p>
    <w:p w14:paraId="380A177C">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5合格投标人不足3家的，不再评标。</w:t>
      </w:r>
    </w:p>
    <w:p w14:paraId="5A397DF7">
      <w:pPr>
        <w:pStyle w:val="289"/>
        <w:pageBreakBefore w:val="0"/>
        <w:kinsoku/>
        <w:wordWrap/>
        <w:overflowPunct/>
        <w:topLinePunct w:val="0"/>
        <w:bidi w:val="0"/>
        <w:adjustRightInd/>
        <w:spacing w:before="0" w:line="460" w:lineRule="exact"/>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5.3</w:t>
      </w:r>
      <w:r>
        <w:rPr>
          <w:rFonts w:hint="eastAsia" w:ascii="宋体" w:hAnsi="宋体" w:eastAsia="宋体" w:cs="宋体"/>
          <w:b/>
          <w:bCs/>
          <w:color w:val="auto"/>
          <w:kern w:val="0"/>
          <w:sz w:val="24"/>
          <w:szCs w:val="24"/>
        </w:rPr>
        <w:t>信用信息查询</w:t>
      </w:r>
    </w:p>
    <w:p w14:paraId="2F197138">
      <w:pPr>
        <w:pStyle w:val="289"/>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5.3.1</w:t>
      </w:r>
      <w:r>
        <w:rPr>
          <w:rFonts w:hint="eastAsia" w:ascii="宋体" w:hAnsi="宋体" w:eastAsia="宋体" w:cs="宋体"/>
          <w:color w:val="auto"/>
          <w:kern w:val="0"/>
          <w:sz w:val="24"/>
          <w:szCs w:val="24"/>
          <w:lang w:eastAsia="zh-CN"/>
        </w:rPr>
        <w:t>信用信息查询</w:t>
      </w:r>
      <w:r>
        <w:rPr>
          <w:rFonts w:hint="eastAsia" w:ascii="宋体" w:hAnsi="宋体" w:eastAsia="宋体" w:cs="宋体"/>
          <w:color w:val="auto"/>
          <w:kern w:val="0"/>
          <w:sz w:val="24"/>
          <w:szCs w:val="24"/>
        </w:rPr>
        <w:t>渠道及截止时间：采购机构将在资格审查时通过“信用中国”网站(www.creditchina.gov.cn)、中国政府采购网(www.ccgp.gov.cn)渠道查询投标人接受资格时的信用记录。</w:t>
      </w:r>
    </w:p>
    <w:p w14:paraId="6819BD17">
      <w:pPr>
        <w:pStyle w:val="289"/>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kern w:val="0"/>
          <w:sz w:val="24"/>
          <w:szCs w:val="24"/>
        </w:rPr>
      </w:pPr>
      <w:bookmarkStart w:id="65" w:name="_Hlk125840869"/>
      <w:r>
        <w:rPr>
          <w:rFonts w:hint="eastAsia" w:ascii="宋体" w:hAnsi="宋体" w:eastAsia="宋体" w:cs="宋体"/>
          <w:color w:val="auto"/>
          <w:kern w:val="0"/>
          <w:sz w:val="24"/>
          <w:szCs w:val="24"/>
          <w:lang w:val="en-US" w:eastAsia="zh-CN"/>
        </w:rPr>
        <w:t>5.3.2</w:t>
      </w:r>
      <w:r>
        <w:rPr>
          <w:rFonts w:hint="eastAsia" w:ascii="宋体" w:hAnsi="宋体" w:eastAsia="宋体" w:cs="宋体"/>
          <w:color w:val="auto"/>
          <w:kern w:val="0"/>
          <w:sz w:val="24"/>
          <w:szCs w:val="24"/>
        </w:rPr>
        <w:t>信用信息查询记录和证据留存的具体方式：现场查询的投标人的信用记录、查询结果经确认后将与采购文件一起存档。</w:t>
      </w:r>
    </w:p>
    <w:p w14:paraId="14995245">
      <w:pPr>
        <w:pStyle w:val="289"/>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5.3.3</w:t>
      </w:r>
      <w:r>
        <w:rPr>
          <w:rFonts w:hint="eastAsia" w:ascii="宋体" w:hAnsi="宋体" w:eastAsia="宋体" w:cs="宋体"/>
          <w:color w:val="auto"/>
          <w:kern w:val="0"/>
          <w:sz w:val="24"/>
          <w:szCs w:val="24"/>
        </w:rPr>
        <w:t>信用信息的使用规则：经查询列入失信被执行人名单、重大税收违法案件当事人名单、政府采购严重违法失信行为记录名单的投标人将被拒绝参与采购活动。</w:t>
      </w:r>
    </w:p>
    <w:p w14:paraId="5CBFCED9">
      <w:pPr>
        <w:pStyle w:val="289"/>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rPr>
        <w:t>5.3.4</w:t>
      </w:r>
      <w:r>
        <w:rPr>
          <w:rFonts w:hint="eastAsia" w:ascii="宋体" w:hAnsi="宋体" w:eastAsia="宋体" w:cs="宋体"/>
          <w:color w:val="auto"/>
          <w:kern w:val="0"/>
          <w:sz w:val="24"/>
          <w:szCs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sz w:val="24"/>
          <w:szCs w:val="24"/>
        </w:rPr>
        <w:t>。</w:t>
      </w:r>
      <w:bookmarkEnd w:id="65"/>
    </w:p>
    <w:p w14:paraId="15E4AFD6">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开标程序</w:t>
      </w:r>
    </w:p>
    <w:p w14:paraId="2B94876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开标第一阶段</w:t>
      </w:r>
    </w:p>
    <w:p w14:paraId="4E57762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6、1.1</w:t>
      </w:r>
      <w:r>
        <w:rPr>
          <w:rFonts w:hint="eastAsia" w:ascii="宋体" w:hAnsi="宋体" w:eastAsia="宋体" w:cs="宋体"/>
          <w:color w:val="auto"/>
          <w:sz w:val="24"/>
          <w:szCs w:val="24"/>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”操作规范将备份投标文件上传至“</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”，上传成功后，“电子加密投标文件”自动失效；</w:t>
      </w:r>
    </w:p>
    <w:p w14:paraId="5E69420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w:t>
      </w:r>
      <w:r>
        <w:rPr>
          <w:rFonts w:hint="eastAsia" w:ascii="宋体" w:hAnsi="宋体" w:eastAsia="宋体" w:cs="宋体"/>
          <w:color w:val="auto"/>
          <w:sz w:val="24"/>
          <w:szCs w:val="24"/>
        </w:rPr>
        <w:t>投标文件解密结束，通过邮件形式发送各投标人组织签署《采购活动现场确认声明书》；</w:t>
      </w:r>
    </w:p>
    <w:p w14:paraId="04DBBF9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6.1.3</w:t>
      </w:r>
      <w:r>
        <w:rPr>
          <w:rFonts w:hint="eastAsia" w:ascii="宋体" w:hAnsi="宋体" w:eastAsia="宋体" w:cs="宋体"/>
          <w:color w:val="auto"/>
          <w:sz w:val="24"/>
          <w:szCs w:val="24"/>
        </w:rPr>
        <w:t>开启投标文件，进入资格审查；</w:t>
      </w:r>
    </w:p>
    <w:p w14:paraId="33ECBE2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6.1.4</w:t>
      </w:r>
      <w:r>
        <w:rPr>
          <w:rFonts w:hint="eastAsia" w:ascii="宋体" w:hAnsi="宋体" w:eastAsia="宋体" w:cs="宋体"/>
          <w:color w:val="auto"/>
          <w:sz w:val="24"/>
          <w:szCs w:val="24"/>
        </w:rPr>
        <w:t>开启资格审查通过的投标供应商的商务技术文件进入符合性审查、商务技术评审；</w:t>
      </w:r>
    </w:p>
    <w:p w14:paraId="7A8CA23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6.1.5</w:t>
      </w:r>
      <w:r>
        <w:rPr>
          <w:rFonts w:hint="eastAsia" w:ascii="宋体" w:hAnsi="宋体" w:eastAsia="宋体" w:cs="宋体"/>
          <w:color w:val="auto"/>
          <w:sz w:val="24"/>
          <w:szCs w:val="24"/>
        </w:rPr>
        <w:t>第一阶段开标结束。</w:t>
      </w:r>
    </w:p>
    <w:p w14:paraId="43CD28C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备注：开标程序的第一阶段结束后，采购人或采购代理机构将对依法对投标供应商的资格进行审查，资格审查结束后进入符合性审查和商务技术的评审工作。</w:t>
      </w:r>
    </w:p>
    <w:p w14:paraId="5DE6022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开标第二阶段</w:t>
      </w:r>
    </w:p>
    <w:p w14:paraId="7DF55B1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6.2.1</w:t>
      </w:r>
      <w:r>
        <w:rPr>
          <w:rFonts w:hint="eastAsia" w:ascii="宋体" w:hAnsi="宋体" w:eastAsia="宋体" w:cs="宋体"/>
          <w:color w:val="auto"/>
          <w:sz w:val="24"/>
          <w:szCs w:val="24"/>
        </w:rPr>
        <w:t>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14:paraId="1035A43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6.2.2</w:t>
      </w:r>
      <w:r>
        <w:rPr>
          <w:rFonts w:hint="eastAsia" w:ascii="宋体" w:hAnsi="宋体" w:eastAsia="宋体" w:cs="宋体"/>
          <w:color w:val="auto"/>
          <w:sz w:val="24"/>
          <w:szCs w:val="24"/>
        </w:rPr>
        <w:t>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14:paraId="6DE78D3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6.2.3</w:t>
      </w:r>
      <w:r>
        <w:rPr>
          <w:rFonts w:hint="eastAsia" w:ascii="宋体" w:hAnsi="宋体" w:eastAsia="宋体" w:cs="宋体"/>
          <w:color w:val="auto"/>
          <w:sz w:val="24"/>
          <w:szCs w:val="24"/>
        </w:rPr>
        <w:t>评审结束后，通过发送邮件形式公布中标（成交）候选供应商名单，及采购人最终确定中标或成交供应商名单的时间和公告方式等。</w:t>
      </w:r>
    </w:p>
    <w:p w14:paraId="6FBA96D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.4如遇“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highlight w:val="none"/>
          <w:lang w:eastAsia="zh-CN"/>
        </w:rPr>
        <w:t>平台</w:t>
      </w:r>
      <w:r>
        <w:rPr>
          <w:rFonts w:hint="eastAsia" w:ascii="宋体" w:hAnsi="宋体" w:eastAsia="宋体" w:cs="宋体"/>
          <w:color w:val="auto"/>
          <w:sz w:val="24"/>
          <w:szCs w:val="24"/>
        </w:rPr>
        <w:t>”电子化开标或评审程序调整的，或者</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系统提供数据电文交互功能的，按其规定执行。</w:t>
      </w:r>
    </w:p>
    <w:p w14:paraId="37034660">
      <w:pPr>
        <w:pageBreakBefore w:val="0"/>
        <w:kinsoku/>
        <w:wordWrap/>
        <w:overflowPunct/>
        <w:topLinePunct w:val="0"/>
        <w:bidi w:val="0"/>
        <w:adjustRightInd/>
        <w:spacing w:line="46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评标</w:t>
      </w:r>
    </w:p>
    <w:p w14:paraId="70CA39E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评标组织</w:t>
      </w:r>
    </w:p>
    <w:p w14:paraId="60E8DE6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评标工作由招标采购单位负责组织，具体评标事务由招标采购单位依法组建的评标委员会负责。评标委员会由采购人代表和有关技术、经济等方面的专家组成，成员人数应当为五人及以上单数。</w:t>
      </w:r>
    </w:p>
    <w:p w14:paraId="15B2E5E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6.2评标纪律</w:t>
      </w:r>
    </w:p>
    <w:p w14:paraId="60A164E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本次评标工作将在严格保密的情况下进行，评标委员会成员名单在定标前将保密。</w:t>
      </w:r>
    </w:p>
    <w:p w14:paraId="1111CEC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6.3评标办法</w:t>
      </w:r>
    </w:p>
    <w:p w14:paraId="26A4A10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采用综合评分法，详见采购文件第四章“评标办法”。</w:t>
      </w:r>
    </w:p>
    <w:p w14:paraId="726C9C0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 评标程序</w:t>
      </w:r>
    </w:p>
    <w:p w14:paraId="50FB993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6.4.1投标文件初审。初审分为资格性检查和符合性检查。</w:t>
      </w:r>
    </w:p>
    <w:p w14:paraId="78F258E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6.4.1.1</w:t>
      </w:r>
      <w:r>
        <w:rPr>
          <w:rFonts w:hint="eastAsia" w:ascii="宋体" w:hAnsi="宋体" w:eastAsia="宋体" w:cs="宋体"/>
          <w:color w:val="auto"/>
          <w:sz w:val="24"/>
          <w:szCs w:val="24"/>
        </w:rPr>
        <w:t>资格性检查。</w:t>
      </w:r>
    </w:p>
    <w:p w14:paraId="7304582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开标后，采购人或采购代理机构将依据法律法规和供应商资格条件对投标人的基本资格条件、特定资格条件进行审查。</w:t>
      </w:r>
    </w:p>
    <w:p w14:paraId="1F6D42F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投标人未按照采购文件中供应商资格条件要求提供相应的有效资格证明材料的，视为投标人不具备采购文件中规定的资格要求，其资格审查不通过。</w:t>
      </w:r>
    </w:p>
    <w:p w14:paraId="0A4074D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6.4.1.2</w:t>
      </w:r>
      <w:r>
        <w:rPr>
          <w:rFonts w:hint="eastAsia" w:ascii="宋体" w:hAnsi="宋体" w:eastAsia="宋体" w:cs="宋体"/>
          <w:color w:val="auto"/>
          <w:sz w:val="24"/>
          <w:szCs w:val="24"/>
        </w:rPr>
        <w:t>符合性检查。依据采购文件的规定，从投标文件的有效性、完整性和对采购文件的响应程度进行审查，以确定是否对采购文件的实质性要求作出响应。具体审查内容见投标须知6.3.1条“无效投标的认定”。</w:t>
      </w:r>
    </w:p>
    <w:p w14:paraId="5165976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评标委员会决定投标文件的响应性只根据投标文件本身的内容，而不寻求外部证据。</w:t>
      </w:r>
    </w:p>
    <w:p w14:paraId="489E65E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如果投标文件没有实质上响应采购文件的要求，评标委员会将判定无效，投标人不得通过修改或撤销不合要求的偏离或保留而使其投标成为实质性响应的投标。</w:t>
      </w:r>
    </w:p>
    <w:p w14:paraId="5C00301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4.1.3</w:t>
      </w:r>
      <w:r>
        <w:rPr>
          <w:rFonts w:hint="eastAsia" w:ascii="宋体" w:hAnsi="宋体" w:eastAsia="宋体" w:cs="宋体"/>
          <w:color w:val="auto"/>
          <w:sz w:val="24"/>
          <w:szCs w:val="24"/>
        </w:rPr>
        <w:t>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3357039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投标供应商的澄清、说明或者补正应当由法定代表人或其授权的代表签字（或加盖公章）后扫描上传提交。</w:t>
      </w:r>
    </w:p>
    <w:p w14:paraId="580FB07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授权代表对澄清、说明或者补正内容未签字确认的，将自行承担由此可能导致的对其不利的评审结果，评标委员会按少数服从多数原则对相关内容进行评判。</w:t>
      </w:r>
    </w:p>
    <w:p w14:paraId="6D94775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除邮件交互外，如</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平台提供信息发布、澄清说明、数据交换等操作方式的，或者</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系统平台有新的操作流程的，按其规定。</w:t>
      </w:r>
    </w:p>
    <w:p w14:paraId="6A3407F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.4修正原则</w:t>
      </w:r>
    </w:p>
    <w:p w14:paraId="015EE73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投标文件报价出现前后不一致的，按照下列规定修正：</w:t>
      </w:r>
    </w:p>
    <w:p w14:paraId="56275D6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1)投标文件中开标一览表(报价表)内容与投标文件中相应内容不一致的，以开标一览表(报价表)为准；</w:t>
      </w:r>
    </w:p>
    <w:p w14:paraId="4CB73B0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14:paraId="7D4AD26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3)单价金额小数点或者百分比有明显错位的，以开标一览表的总价为准，并修改单价；</w:t>
      </w:r>
    </w:p>
    <w:p w14:paraId="09678B5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14:paraId="1DB6F50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1D79D4D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4.1.5</w:t>
      </w:r>
      <w:r>
        <w:rPr>
          <w:rFonts w:hint="eastAsia" w:ascii="宋体" w:hAnsi="宋体" w:eastAsia="宋体" w:cs="宋体"/>
          <w:color w:val="auto"/>
          <w:sz w:val="24"/>
          <w:szCs w:val="24"/>
        </w:rPr>
        <w:t>比较与评价。</w:t>
      </w:r>
    </w:p>
    <w:p w14:paraId="2C11165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按采购文件中规定的评标方法和标准，对资格性检查和符合性检查合格的投标文件进行商务和技术评估，综合比较与评价。</w:t>
      </w:r>
    </w:p>
    <w:p w14:paraId="76C57E9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4.1.6</w:t>
      </w:r>
      <w:r>
        <w:rPr>
          <w:rFonts w:hint="eastAsia" w:ascii="宋体" w:hAnsi="宋体" w:eastAsia="宋体" w:cs="宋体"/>
          <w:color w:val="auto"/>
          <w:sz w:val="24"/>
          <w:szCs w:val="24"/>
        </w:rPr>
        <w:t>按采购文件中规定的评标方法和标准，对投标人进行排序，并推荐中标候选人。</w:t>
      </w:r>
    </w:p>
    <w:p w14:paraId="26360F9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4.1.7</w:t>
      </w:r>
      <w:r>
        <w:rPr>
          <w:rFonts w:hint="eastAsia" w:ascii="宋体" w:hAnsi="宋体" w:eastAsia="宋体" w:cs="宋体"/>
          <w:color w:val="auto"/>
          <w:sz w:val="24"/>
          <w:szCs w:val="24"/>
        </w:rPr>
        <w:t>编写评标报告。</w:t>
      </w:r>
    </w:p>
    <w:p w14:paraId="0019B108">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无效投标的认定</w:t>
      </w:r>
    </w:p>
    <w:p w14:paraId="0D90F17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965B505">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.1如发现下列情形之一的，投标文件将被视为无效投标：</w:t>
      </w:r>
    </w:p>
    <w:p w14:paraId="2CF68EA1">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投标人不具备采购文件中规定的资格要求的（投标人未提供有效的资格文件的，视为投标人不具备采购文件中规定的资格要求）；</w:t>
      </w:r>
    </w:p>
    <w:p w14:paraId="766B505D">
      <w:pPr>
        <w:pageBreakBefore w:val="0"/>
        <w:numPr>
          <w:ilvl w:val="0"/>
          <w:numId w:val="0"/>
        </w:numPr>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按时上传或按时解密电子投标文件的</w:t>
      </w:r>
    </w:p>
    <w:p w14:paraId="1C758F51">
      <w:pPr>
        <w:pageBreakBefore w:val="0"/>
        <w:numPr>
          <w:ilvl w:val="0"/>
          <w:numId w:val="0"/>
        </w:numPr>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）电</w:t>
      </w:r>
      <w:r>
        <w:rPr>
          <w:rFonts w:hint="eastAsia" w:ascii="宋体" w:hAnsi="宋体" w:eastAsia="宋体" w:cs="宋体"/>
          <w:color w:val="auto"/>
          <w:sz w:val="24"/>
          <w:szCs w:val="24"/>
        </w:rPr>
        <w:t>子投标文件解密失败的，且未在规定时间内提交有效备份投标文件的；</w:t>
      </w:r>
    </w:p>
    <w:p w14:paraId="7B1F2D3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电子投标文件未按规定要求提供电子签章的；</w:t>
      </w:r>
    </w:p>
    <w:p w14:paraId="58957180">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）投标文件没有投标人的法定代表人或法定代表人授权委托人签字、投标文件应盖公章而未盖公章或盖非公司公章、未有效授权、法定代表人授权书填写不完整或有涂改的；</w:t>
      </w:r>
    </w:p>
    <w:p w14:paraId="4629D1C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）不响应采购文件标注“★”条款要求的；</w:t>
      </w:r>
    </w:p>
    <w:p w14:paraId="22C594D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）投标文件载明的招标项目合同期或服务期少于采购文件规定期限的；</w:t>
      </w:r>
    </w:p>
    <w:p w14:paraId="3B46C39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）投标文件未响应采购文件规定的付款方式的；</w:t>
      </w:r>
    </w:p>
    <w:p w14:paraId="1371E1E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）投标报价超出预算或最高限价，采购人无法接受的；</w:t>
      </w:r>
    </w:p>
    <w:p w14:paraId="62A99FD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lang w:eastAsia="zh-CN"/>
        </w:rPr>
        <w:t>；</w:t>
      </w:r>
    </w:p>
    <w:p w14:paraId="4AC18A4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）投标货物的技术规范、技术标准明显不符合国家强制性要求的；</w:t>
      </w:r>
    </w:p>
    <w:p w14:paraId="4451BBA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）投标人提交两份或多份内容不同的报价响应文件，或在一份报价响应文件中对同一内容报有两个或多个报价，且未声明哪一个为最终报价的；</w:t>
      </w:r>
    </w:p>
    <w:p w14:paraId="19599F7D">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投标报价超过采购文件中规定的预算金额或者最高限价的</w:t>
      </w:r>
      <w:r>
        <w:rPr>
          <w:rFonts w:hint="eastAsia" w:ascii="宋体" w:hAnsi="宋体" w:eastAsia="宋体" w:cs="宋体"/>
          <w:color w:val="auto"/>
          <w:kern w:val="0"/>
          <w:sz w:val="24"/>
          <w:szCs w:val="24"/>
          <w:lang w:eastAsia="zh-CN"/>
        </w:rPr>
        <w:t>；</w:t>
      </w:r>
    </w:p>
    <w:p w14:paraId="40F80EF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rPr>
        <w:t>投标人对根据修正原则修正后的报价不确认的；</w:t>
      </w:r>
    </w:p>
    <w:p w14:paraId="6A6DF30C">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投标人提供虚假材料投标的</w:t>
      </w:r>
      <w:r>
        <w:rPr>
          <w:rFonts w:hint="eastAsia" w:ascii="宋体" w:hAnsi="宋体" w:eastAsia="宋体" w:cs="宋体"/>
          <w:color w:val="auto"/>
          <w:kern w:val="0"/>
          <w:sz w:val="24"/>
          <w:szCs w:val="24"/>
          <w:lang w:val="en-US" w:eastAsia="zh-CN"/>
        </w:rPr>
        <w:t>；</w:t>
      </w:r>
    </w:p>
    <w:p w14:paraId="1A931F14">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投标人有恶意串通、妨碍其他投标人的竞争行为、损害采购人或者其他投标人的合法权益情形的；</w:t>
      </w:r>
    </w:p>
    <w:p w14:paraId="540F780D">
      <w:pPr>
        <w:pageBreakBefore w:val="0"/>
        <w:kinsoku/>
        <w:wordWrap/>
        <w:overflowPunct/>
        <w:topLinePunct w:val="0"/>
        <w:bidi w:val="0"/>
        <w:adjustRightInd/>
        <w:spacing w:line="460" w:lineRule="exact"/>
        <w:ind w:left="658" w:leftChars="174" w:hanging="240" w:hangingChars="1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r>
        <w:rPr>
          <w:rFonts w:hint="eastAsia" w:ascii="宋体" w:hAnsi="宋体" w:cs="宋体"/>
          <w:color w:val="auto"/>
          <w:kern w:val="0"/>
          <w:sz w:val="24"/>
          <w:szCs w:val="24"/>
          <w:lang w:val="en-US" w:eastAsia="zh-CN"/>
        </w:rPr>
        <w:t>商务</w:t>
      </w:r>
      <w:r>
        <w:rPr>
          <w:rFonts w:hint="eastAsia" w:ascii="宋体" w:hAnsi="宋体" w:eastAsia="宋体" w:cs="宋体"/>
          <w:color w:val="auto"/>
          <w:kern w:val="0"/>
          <w:sz w:val="24"/>
          <w:szCs w:val="24"/>
          <w:lang w:val="en-US" w:eastAsia="zh-CN"/>
        </w:rPr>
        <w:t>技术文件出现投标报价的；</w:t>
      </w:r>
    </w:p>
    <w:p w14:paraId="59028B5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）投标文件附有采购人不能接受的条款；</w:t>
      </w:r>
    </w:p>
    <w:p w14:paraId="14DB28B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投标人仅提交备份投标文件，没有在电子交易平台传输递交投标文件的，投标无效；</w:t>
      </w:r>
    </w:p>
    <w:p w14:paraId="03C5166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）不满足采购文件规定的实质性要求的；</w:t>
      </w:r>
    </w:p>
    <w:p w14:paraId="7C435B0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）国家和省另有规定属无效投标文件的。</w:t>
      </w:r>
    </w:p>
    <w:p w14:paraId="54B19C0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6.3.2有下列情形之一的，视为投标人串通投标，其投标无效：</w:t>
      </w:r>
    </w:p>
    <w:p w14:paraId="2824081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1）不同投标人的投标文件由同一单位或者个人编制；</w:t>
      </w:r>
    </w:p>
    <w:p w14:paraId="0579729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2）不同投标人委托同一单位或者个人办理投标事宜；</w:t>
      </w:r>
    </w:p>
    <w:p w14:paraId="44739F2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3）不同投标人的投标文件载明的项目管理成员或者联系人员为同一人；</w:t>
      </w:r>
    </w:p>
    <w:p w14:paraId="5219EE0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4）不同投标人的投标文件异常一致或者投标报价呈规律性差异；</w:t>
      </w:r>
    </w:p>
    <w:p w14:paraId="55BC776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5）不同投标人的投标文件相互混装。</w:t>
      </w:r>
    </w:p>
    <w:p w14:paraId="5AB788E8">
      <w:pPr>
        <w:pageBreakBefore w:val="0"/>
        <w:numPr>
          <w:ilvl w:val="0"/>
          <w:numId w:val="0"/>
        </w:numPr>
        <w:kinsoku/>
        <w:wordWrap/>
        <w:overflowPunct/>
        <w:topLinePunct w:val="0"/>
        <w:bidi w:val="0"/>
        <w:adjustRightInd/>
        <w:snapToGrid w:val="0"/>
        <w:spacing w:line="460" w:lineRule="exact"/>
        <w:jc w:val="left"/>
        <w:textAlignment w:val="auto"/>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p w14:paraId="173249DE">
      <w:pPr>
        <w:pageBreakBefore w:val="0"/>
        <w:numPr>
          <w:ilvl w:val="0"/>
          <w:numId w:val="0"/>
        </w:numPr>
        <w:kinsoku/>
        <w:wordWrap/>
        <w:overflowPunct/>
        <w:topLinePunct w:val="0"/>
        <w:bidi w:val="0"/>
        <w:adjustRightInd/>
        <w:snapToGrid w:val="0"/>
        <w:spacing w:line="460" w:lineRule="exact"/>
        <w:jc w:val="center"/>
        <w:textAlignment w:val="auto"/>
        <w:outlineLvl w:val="2"/>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七、  </w:t>
      </w:r>
      <w:r>
        <w:rPr>
          <w:rFonts w:hint="eastAsia" w:ascii="宋体" w:hAnsi="宋体" w:eastAsia="宋体" w:cs="宋体"/>
          <w:b/>
          <w:bCs/>
          <w:color w:val="auto"/>
          <w:sz w:val="32"/>
          <w:szCs w:val="32"/>
          <w:lang w:eastAsia="zh-CN"/>
        </w:rPr>
        <w:t>定标</w:t>
      </w:r>
    </w:p>
    <w:p w14:paraId="3CB5494A">
      <w:pPr>
        <w:pStyle w:val="289"/>
        <w:pageBreakBefore w:val="0"/>
        <w:kinsoku/>
        <w:wordWrap/>
        <w:overflowPunct/>
        <w:topLinePunct w:val="0"/>
        <w:bidi w:val="0"/>
        <w:adjustRightInd/>
        <w:snapToGrid w:val="0"/>
        <w:spacing w:before="0" w:line="460" w:lineRule="exact"/>
        <w:ind w:firstLine="48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7.1</w:t>
      </w:r>
      <w:r>
        <w:rPr>
          <w:rFonts w:hint="eastAsia" w:ascii="宋体" w:hAnsi="宋体" w:eastAsia="宋体" w:cs="宋体"/>
          <w:b/>
          <w:color w:val="auto"/>
          <w:sz w:val="24"/>
          <w:szCs w:val="24"/>
        </w:rPr>
        <w:t>确定</w:t>
      </w:r>
      <w:r>
        <w:rPr>
          <w:rFonts w:hint="eastAsia" w:ascii="宋体" w:hAnsi="宋体" w:eastAsia="宋体" w:cs="宋体"/>
          <w:b/>
          <w:color w:val="auto"/>
          <w:sz w:val="24"/>
          <w:szCs w:val="24"/>
          <w:lang w:eastAsia="zh-CN"/>
        </w:rPr>
        <w:t>中标供应商</w:t>
      </w:r>
    </w:p>
    <w:p w14:paraId="6FCC13E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7.1.1采购代理机构应当自评审结束之日起2个工作日内将评审报告送交采购人。</w:t>
      </w:r>
    </w:p>
    <w:p w14:paraId="2C6CE8F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采购人应当自收到评标报告之日起5个工作日内，在评标报告确定的中标候选人名单中按顺序确定</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。中标候选人并列的，由采购人或者采购人委托评标委员会按照采购文件规定的方式确定</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；采购文件未规定的，采取随机抽取的方式确定。</w:t>
      </w:r>
    </w:p>
    <w:p w14:paraId="2B84FE7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采购人在收到评标报告5个工作日内未按评标报告推荐的中标候选人顺序确定</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，又不能说明合法理由的，视同按评标报告推荐的顺序确定排名第一的中标候选人为</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w:t>
      </w:r>
    </w:p>
    <w:p w14:paraId="55BBF4F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采购人或者采购代理机构应当自</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确定之日起2个工作日内，在省级以上财政部门指定的媒体上公告中标结果。</w:t>
      </w:r>
    </w:p>
    <w:p w14:paraId="18C7BDA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公告期限为1个工作日。</w:t>
      </w:r>
    </w:p>
    <w:p w14:paraId="7F4E2C9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2 除国务院财政部门规定的情形外，采购人、采购代理机构不得以任何理由组织重新评审。采购人、采购代理机构按照国务院财政部门的规定组织重新评审的，应当书面报告本级人民政府财政部门。</w:t>
      </w:r>
    </w:p>
    <w:p w14:paraId="118C809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3中标通知书发出后，采购人不得违法改变中标结果，</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 xml:space="preserve">无正当理由不得放弃中标。 </w:t>
      </w:r>
    </w:p>
    <w:p w14:paraId="59C190D3">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7.2</w:t>
      </w:r>
      <w:r>
        <w:rPr>
          <w:rFonts w:hint="eastAsia" w:ascii="宋体" w:hAnsi="宋体" w:eastAsia="宋体" w:cs="宋体"/>
          <w:b/>
          <w:color w:val="auto"/>
          <w:sz w:val="24"/>
          <w:szCs w:val="24"/>
        </w:rPr>
        <w:t>. 中标通知与中标结果公告</w:t>
      </w:r>
    </w:p>
    <w:p w14:paraId="078D0E50">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.1自</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确定之日起2个工作日内，采购机构通过电子交易平台向</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发出中标通知书，同时编制发布采购结果公告。采购机构也可以以纸质形式进行中标通知。</w:t>
      </w:r>
    </w:p>
    <w:p w14:paraId="0D9FB488">
      <w:pPr>
        <w:pageBreakBefore w:val="0"/>
        <w:widowControl/>
        <w:shd w:val="clear" w:color="auto" w:fill="FFFFFF"/>
        <w:kinsoku/>
        <w:wordWrap/>
        <w:overflowPunct/>
        <w:topLinePunct w:val="0"/>
        <w:bidi w:val="0"/>
        <w:adjustRightIn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.2中标结果公告内容包括采购人及其委托的采购机构的名称、地址、联系方式，项目名称和项目编号，</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名称、地址和中标金额，主要中标标的的名称、规格型号、数量、单价、服务要求，开标记录、</w:t>
      </w:r>
      <w:bookmarkStart w:id="66" w:name="_Hlk101184471"/>
      <w:r>
        <w:rPr>
          <w:rFonts w:hint="eastAsia" w:ascii="宋体" w:hAnsi="宋体" w:eastAsia="宋体" w:cs="宋体"/>
          <w:color w:val="auto"/>
          <w:sz w:val="24"/>
          <w:szCs w:val="24"/>
        </w:rPr>
        <w:t>资格审查情况、评审专家抽取规则、符合性审查情况、</w:t>
      </w:r>
      <w:bookmarkEnd w:id="66"/>
      <w:r>
        <w:rPr>
          <w:rFonts w:hint="eastAsia" w:ascii="宋体" w:hAnsi="宋体" w:eastAsia="宋体" w:cs="宋体"/>
          <w:color w:val="auto"/>
          <w:sz w:val="24"/>
          <w:szCs w:val="24"/>
        </w:rPr>
        <w:t>未中标情况说明、中标公告期限以及评审专家名单、评分汇总及明细。</w:t>
      </w:r>
    </w:p>
    <w:p w14:paraId="0089BB6E">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.3公告期限为1个工作日。</w:t>
      </w:r>
    </w:p>
    <w:p w14:paraId="59CFEF65">
      <w:pPr>
        <w:pageBreakBefore w:val="0"/>
        <w:kinsoku/>
        <w:wordWrap/>
        <w:overflowPunct/>
        <w:topLinePunct w:val="0"/>
        <w:bidi w:val="0"/>
        <w:adjustRightInd/>
        <w:spacing w:line="46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八、</w:t>
      </w:r>
      <w:r>
        <w:rPr>
          <w:rFonts w:hint="eastAsia" w:ascii="宋体" w:hAnsi="宋体" w:eastAsia="宋体" w:cs="宋体"/>
          <w:b/>
          <w:bCs/>
          <w:color w:val="auto"/>
          <w:sz w:val="32"/>
          <w:szCs w:val="32"/>
        </w:rPr>
        <w:t>废标</w:t>
      </w:r>
    </w:p>
    <w:p w14:paraId="41FF665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供应商的</w:t>
      </w:r>
      <w:r>
        <w:rPr>
          <w:rFonts w:hint="eastAsia" w:ascii="宋体" w:hAnsi="宋体" w:eastAsia="宋体" w:cs="宋体"/>
          <w:color w:val="auto"/>
          <w:sz w:val="24"/>
          <w:highlight w:val="none"/>
        </w:rPr>
        <w:t>投标文件有下列情形之一的作无效投标处理</w:t>
      </w:r>
      <w:r>
        <w:rPr>
          <w:rFonts w:hint="eastAsia" w:ascii="宋体" w:hAnsi="宋体" w:eastAsia="宋体" w:cs="宋体"/>
          <w:color w:val="auto"/>
          <w:sz w:val="24"/>
          <w:szCs w:val="24"/>
          <w:highlight w:val="none"/>
        </w:rPr>
        <w:t>，应予以废标：</w:t>
      </w:r>
    </w:p>
    <w:p w14:paraId="53CD38F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rPr>
        <w:t>符合专业条件的供应商或者对采购文件作实质响应的供应商不足三家的；</w:t>
      </w:r>
    </w:p>
    <w:p w14:paraId="5496D39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rPr>
        <w:t>出现影响采购公正的违法、违规行为的；</w:t>
      </w:r>
    </w:p>
    <w:p w14:paraId="28F47F3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8.1.3</w:t>
      </w:r>
      <w:r>
        <w:rPr>
          <w:rFonts w:hint="eastAsia" w:ascii="宋体" w:hAnsi="宋体" w:eastAsia="宋体" w:cs="宋体"/>
          <w:color w:val="auto"/>
          <w:sz w:val="24"/>
          <w:szCs w:val="24"/>
        </w:rPr>
        <w:t>所有投标人的报价均超过了采购预算，采购人不能支付的；</w:t>
      </w:r>
    </w:p>
    <w:p w14:paraId="6D8A60B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8.1.4</w:t>
      </w:r>
      <w:r>
        <w:rPr>
          <w:rFonts w:hint="eastAsia" w:ascii="宋体" w:hAnsi="宋体" w:eastAsia="宋体" w:cs="宋体"/>
          <w:color w:val="auto"/>
          <w:sz w:val="24"/>
          <w:szCs w:val="24"/>
        </w:rPr>
        <w:t>因重大变故，采购任务取消的。</w:t>
      </w:r>
    </w:p>
    <w:p w14:paraId="66DC9DF6">
      <w:pPr>
        <w:pageBreakBefore w:val="0"/>
        <w:kinsoku/>
        <w:wordWrap/>
        <w:overflowPunct/>
        <w:topLinePunct w:val="0"/>
        <w:bidi w:val="0"/>
        <w:adjustRightInd/>
        <w:spacing w:line="460" w:lineRule="exact"/>
        <w:ind w:left="718" w:leftChars="174" w:hanging="300" w:hangingChars="12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.2采购过程中出现以下情形，导致电子交易平台无法正常运行，或者无法保证电子交易的公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平、公正和安全时，采购组织机构可中止电子交易活动：</w:t>
      </w:r>
    </w:p>
    <w:p w14:paraId="051529D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8.2.1</w:t>
      </w:r>
      <w:r>
        <w:rPr>
          <w:rFonts w:hint="eastAsia" w:ascii="宋体" w:hAnsi="宋体" w:eastAsia="宋体" w:cs="宋体"/>
          <w:color w:val="auto"/>
          <w:sz w:val="24"/>
          <w:szCs w:val="24"/>
        </w:rPr>
        <w:t xml:space="preserve">电子交易平台发生故障而无法登录访问的； </w:t>
      </w:r>
    </w:p>
    <w:p w14:paraId="56128A0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8.2.2</w:t>
      </w:r>
      <w:r>
        <w:rPr>
          <w:rFonts w:hint="eastAsia" w:ascii="宋体" w:hAnsi="宋体" w:eastAsia="宋体" w:cs="宋体"/>
          <w:color w:val="auto"/>
          <w:sz w:val="24"/>
          <w:szCs w:val="24"/>
        </w:rPr>
        <w:t>电子交易平台应用或数据库出现错误，不能进行正常操作的；</w:t>
      </w:r>
    </w:p>
    <w:p w14:paraId="1128AE2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8.2.3</w:t>
      </w:r>
      <w:r>
        <w:rPr>
          <w:rFonts w:hint="eastAsia" w:ascii="宋体" w:hAnsi="宋体" w:eastAsia="宋体" w:cs="宋体"/>
          <w:color w:val="auto"/>
          <w:sz w:val="24"/>
          <w:szCs w:val="24"/>
        </w:rPr>
        <w:t>电子交易平台发现严重安全漏洞，有潜在泄密危险的；</w:t>
      </w:r>
    </w:p>
    <w:p w14:paraId="03BEC73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8.2.4</w:t>
      </w:r>
      <w:r>
        <w:rPr>
          <w:rFonts w:hint="eastAsia" w:ascii="宋体" w:hAnsi="宋体" w:eastAsia="宋体" w:cs="宋体"/>
          <w:color w:val="auto"/>
          <w:sz w:val="24"/>
          <w:szCs w:val="24"/>
        </w:rPr>
        <w:t xml:space="preserve">病毒发作导致不能进行正常操作的； </w:t>
      </w:r>
    </w:p>
    <w:p w14:paraId="4394DC9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8.2.5</w:t>
      </w:r>
      <w:r>
        <w:rPr>
          <w:rFonts w:hint="eastAsia" w:ascii="宋体" w:hAnsi="宋体" w:eastAsia="宋体" w:cs="宋体"/>
          <w:color w:val="auto"/>
          <w:sz w:val="24"/>
          <w:szCs w:val="24"/>
        </w:rPr>
        <w:t>其他无法保证电子交易的公平、公正和安全的情况。</w:t>
      </w:r>
    </w:p>
    <w:p w14:paraId="27EF2FA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C2659C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8.2.6</w:t>
      </w:r>
      <w:r>
        <w:rPr>
          <w:rFonts w:hint="eastAsia" w:ascii="宋体" w:hAnsi="宋体" w:eastAsia="宋体" w:cs="宋体"/>
          <w:color w:val="auto"/>
          <w:sz w:val="24"/>
          <w:szCs w:val="24"/>
        </w:rPr>
        <w:t xml:space="preserve"> 废标后，采购人应当将废标理由通知所有投标人并重新组织招标；或者经主管部门批准，采取其他方式组织采购。</w:t>
      </w:r>
    </w:p>
    <w:p w14:paraId="46D4E292">
      <w:pPr>
        <w:pStyle w:val="2"/>
        <w:pageBreakBefore w:val="0"/>
        <w:kinsoku/>
        <w:wordWrap/>
        <w:overflowPunct/>
        <w:topLinePunct w:val="0"/>
        <w:bidi w:val="0"/>
        <w:adjustRightInd/>
        <w:spacing w:line="460" w:lineRule="exact"/>
        <w:jc w:val="center"/>
        <w:textAlignment w:val="auto"/>
        <w:rPr>
          <w:rFonts w:hint="eastAsia" w:ascii="宋体" w:hAnsi="宋体" w:eastAsia="宋体" w:cs="宋体"/>
          <w:color w:val="auto"/>
          <w:sz w:val="32"/>
          <w:szCs w:val="32"/>
        </w:rPr>
      </w:pPr>
      <w:bookmarkStart w:id="67" w:name="_Toc450482502"/>
      <w:bookmarkStart w:id="68" w:name="_Toc35261577"/>
      <w:bookmarkStart w:id="69" w:name="_Toc54978896"/>
      <w:r>
        <w:rPr>
          <w:rFonts w:hint="eastAsia" w:ascii="宋体" w:hAnsi="宋体" w:eastAsia="宋体" w:cs="宋体"/>
          <w:color w:val="auto"/>
          <w:sz w:val="32"/>
          <w:szCs w:val="32"/>
          <w:lang w:eastAsia="zh-CN"/>
        </w:rPr>
        <w:t>九</w:t>
      </w:r>
      <w:r>
        <w:rPr>
          <w:rFonts w:hint="eastAsia" w:ascii="宋体" w:hAnsi="宋体" w:eastAsia="宋体" w:cs="宋体"/>
          <w:color w:val="auto"/>
          <w:sz w:val="32"/>
          <w:szCs w:val="32"/>
        </w:rPr>
        <w:t>、合同授予</w:t>
      </w:r>
      <w:bookmarkEnd w:id="67"/>
      <w:r>
        <w:rPr>
          <w:rFonts w:hint="eastAsia" w:ascii="宋体" w:hAnsi="宋体" w:eastAsia="宋体" w:cs="宋体"/>
          <w:color w:val="auto"/>
          <w:sz w:val="32"/>
          <w:szCs w:val="32"/>
        </w:rPr>
        <w:t>及签订</w:t>
      </w:r>
      <w:bookmarkEnd w:id="68"/>
      <w:bookmarkEnd w:id="69"/>
    </w:p>
    <w:p w14:paraId="5BD9D52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.1合同授予</w:t>
      </w:r>
    </w:p>
    <w:p w14:paraId="61B332A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.1.1本项目的合同将授予按本须知第7.1.1款所确定的</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w:t>
      </w:r>
    </w:p>
    <w:p w14:paraId="2A3FAF9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.1.2 中标或者成交供应商拒绝与采购人签订合同的，采购人可以按照评审报告推荐的中标或者成交候选人名单排序，确定下一候选人为中标或者成交供应商，也可以重新开展采购活动。</w:t>
      </w:r>
    </w:p>
    <w:p w14:paraId="0501B7F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.2签订合同</w:t>
      </w:r>
    </w:p>
    <w:p w14:paraId="72B9445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应按中标通知书规定的时间与采购人签订合同。</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在领取中标通知书时须向采购人提供一份关于本项目在实施过程中的相关人员的通讯录作为合同附件。</w:t>
      </w:r>
    </w:p>
    <w:p w14:paraId="448D215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如不遵守采购文件或投标文件各项条款的邀约与要约，或在接到中标通知书后借故拖延，拒签合同的，采购人将依据国家和采购文件有关规定要求</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予以赔偿，同时采购人可根据</w:t>
      </w:r>
      <w:r>
        <w:rPr>
          <w:rFonts w:hint="eastAsia" w:ascii="宋体" w:hAnsi="宋体" w:eastAsia="宋体" w:cs="宋体"/>
          <w:color w:val="auto"/>
          <w:sz w:val="24"/>
          <w:szCs w:val="24"/>
          <w:lang w:val="en-US" w:eastAsia="zh-CN"/>
        </w:rPr>
        <w:t>相关规定</w:t>
      </w:r>
      <w:r>
        <w:rPr>
          <w:rFonts w:hint="eastAsia" w:ascii="宋体" w:hAnsi="宋体" w:eastAsia="宋体" w:cs="宋体"/>
          <w:color w:val="auto"/>
          <w:sz w:val="24"/>
          <w:szCs w:val="24"/>
        </w:rPr>
        <w:t>另行选择</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w:t>
      </w:r>
    </w:p>
    <w:p w14:paraId="3DFFA09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.2.3 采购文件、</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的投标文件及投标修改文件、评标过程中有关澄清文件及经投标人法定代表人或授权代表签字确认的询标回复和承诺及中标通知书均作为合同组成部分。</w:t>
      </w:r>
    </w:p>
    <w:p w14:paraId="669E060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.3履约保证金</w:t>
      </w:r>
    </w:p>
    <w:p w14:paraId="09218ED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.3.1</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按“投标人须知前附表”规定的缴纳履约保证金。</w:t>
      </w:r>
    </w:p>
    <w:p w14:paraId="03C7C5D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.3.2履约保证金有效期按“投标人须知前附表”规定。</w:t>
      </w:r>
    </w:p>
    <w:p w14:paraId="22450EC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.3.3履约保证金有效期结束后，</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凭保证金收据无息退还。</w:t>
      </w:r>
    </w:p>
    <w:p w14:paraId="0FE8ACF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.3.4如投标人有下列情况，投标人将承担赔偿责任，赔偿金额为项目预算金额的2%，如实际损失超过前述金额的，投标人需赔偿超过前述金额部分的实际损失。</w:t>
      </w:r>
    </w:p>
    <w:p w14:paraId="5FFB3C2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9.3.4.1</w:t>
      </w:r>
      <w:r>
        <w:rPr>
          <w:rFonts w:hint="eastAsia" w:ascii="宋体" w:hAnsi="宋体" w:eastAsia="宋体" w:cs="宋体"/>
          <w:color w:val="auto"/>
          <w:sz w:val="24"/>
          <w:szCs w:val="24"/>
        </w:rPr>
        <w:t>投标人在投标截止时间后撤销投标文件的；</w:t>
      </w:r>
    </w:p>
    <w:p w14:paraId="0725008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9.3.4.2</w:t>
      </w:r>
      <w:r>
        <w:rPr>
          <w:rFonts w:hint="eastAsia" w:ascii="宋体" w:hAnsi="宋体" w:eastAsia="宋体" w:cs="宋体"/>
          <w:color w:val="auto"/>
          <w:sz w:val="24"/>
          <w:szCs w:val="24"/>
        </w:rPr>
        <w:t>投标人未按规定签订合同或转让中标的；</w:t>
      </w:r>
    </w:p>
    <w:p w14:paraId="7F3CA49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9.3.4.3</w:t>
      </w:r>
      <w:r>
        <w:rPr>
          <w:rFonts w:hint="eastAsia" w:ascii="宋体" w:hAnsi="宋体" w:eastAsia="宋体" w:cs="宋体"/>
          <w:color w:val="auto"/>
          <w:sz w:val="24"/>
          <w:szCs w:val="24"/>
        </w:rPr>
        <w:t>其他投标人违反法律法规规定，给采购人造成损失的。</w:t>
      </w:r>
    </w:p>
    <w:p w14:paraId="39A1C34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.4采购代理服务费</w:t>
      </w:r>
    </w:p>
    <w:p w14:paraId="5DBD385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本次采购代理服务费按“投标人须知前附表”规定收取。</w:t>
      </w:r>
      <w:bookmarkStart w:id="70" w:name="_Toc248065069"/>
      <w:bookmarkStart w:id="71" w:name="_Toc180555950"/>
      <w:bookmarkStart w:id="72" w:name="_Toc226337791"/>
    </w:p>
    <w:p w14:paraId="79BC636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.5诚实信用</w:t>
      </w:r>
      <w:bookmarkEnd w:id="70"/>
      <w:bookmarkEnd w:id="71"/>
      <w:bookmarkEnd w:id="72"/>
    </w:p>
    <w:p w14:paraId="4B133B0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bookmarkStart w:id="73" w:name="_Toc248065070"/>
      <w:bookmarkStart w:id="74" w:name="_Toc226337792"/>
      <w:bookmarkStart w:id="75" w:name="_Toc180555951"/>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2473EA8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.5.2如果采购人有证据表明投标人在本招标项目的竞争中存在腐败、欺诈、失信记录或其他严重违背诚信原则的行为，则将拒绝其投标，或中标无效。</w:t>
      </w:r>
    </w:p>
    <w:p w14:paraId="669A184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.5.3如果</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没有按照采购文件和中标通知书的规定签订合同，报</w:t>
      </w:r>
      <w:r>
        <w:rPr>
          <w:rFonts w:hint="eastAsia" w:ascii="宋体" w:hAnsi="宋体" w:eastAsia="宋体" w:cs="宋体"/>
          <w:color w:val="auto"/>
          <w:sz w:val="24"/>
          <w:szCs w:val="24"/>
          <w:lang w:eastAsia="zh-CN"/>
        </w:rPr>
        <w:t>嵊州市</w:t>
      </w:r>
      <w:r>
        <w:rPr>
          <w:rFonts w:hint="eastAsia" w:ascii="宋体" w:hAnsi="宋体" w:eastAsia="宋体" w:cs="宋体"/>
          <w:color w:val="auto"/>
          <w:sz w:val="24"/>
          <w:szCs w:val="24"/>
        </w:rPr>
        <w:t>采购监督管理部门按照采购的有关规定进行处理。</w:t>
      </w:r>
      <w:bookmarkEnd w:id="73"/>
      <w:bookmarkEnd w:id="74"/>
      <w:bookmarkEnd w:id="75"/>
    </w:p>
    <w:p w14:paraId="6739A465">
      <w:pPr>
        <w:pStyle w:val="2"/>
        <w:pageBreakBefore w:val="0"/>
        <w:kinsoku/>
        <w:wordWrap/>
        <w:overflowPunct/>
        <w:topLinePunct w:val="0"/>
        <w:bidi w:val="0"/>
        <w:adjustRightInd/>
        <w:spacing w:line="460" w:lineRule="exact"/>
        <w:jc w:val="center"/>
        <w:textAlignment w:val="auto"/>
        <w:rPr>
          <w:rFonts w:hint="eastAsia" w:ascii="宋体" w:hAnsi="宋体" w:eastAsia="宋体" w:cs="宋体"/>
          <w:color w:val="auto"/>
          <w:sz w:val="32"/>
          <w:szCs w:val="32"/>
        </w:rPr>
      </w:pPr>
      <w:bookmarkStart w:id="76" w:name="_Toc54978897"/>
      <w:bookmarkStart w:id="77" w:name="_Toc35261578"/>
      <w:r>
        <w:rPr>
          <w:rFonts w:hint="eastAsia" w:ascii="宋体" w:hAnsi="宋体" w:eastAsia="宋体" w:cs="宋体"/>
          <w:color w:val="auto"/>
          <w:sz w:val="32"/>
          <w:szCs w:val="32"/>
          <w:lang w:eastAsia="zh-CN"/>
        </w:rPr>
        <w:t>十</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询问、</w:t>
      </w:r>
      <w:r>
        <w:rPr>
          <w:rFonts w:hint="eastAsia" w:ascii="宋体" w:hAnsi="宋体" w:eastAsia="宋体" w:cs="宋体"/>
          <w:color w:val="auto"/>
          <w:sz w:val="32"/>
          <w:szCs w:val="32"/>
        </w:rPr>
        <w:t>投诉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质疑</w:t>
      </w:r>
      <w:bookmarkEnd w:id="76"/>
      <w:bookmarkEnd w:id="77"/>
    </w:p>
    <w:p w14:paraId="4FFD0FA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线提起询问，路径为：乐采云-项目采购-询问质疑投诉-询问列表；供应商在线提起质疑，路径为：乐采云-项目采购-询问质疑投诉-质疑列表。质疑供应商对在线质疑答复不满意的，可在线提起投诉，路径为：浙江政府服务网-政府采购投诉处理-在线办理。</w:t>
      </w:r>
    </w:p>
    <w:p w14:paraId="54430F8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质疑函范本、投诉书范本请到浙江政府采购网下载专区下载。</w:t>
      </w:r>
    </w:p>
    <w:p w14:paraId="1FB2166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.1供应商询问</w:t>
      </w:r>
    </w:p>
    <w:p w14:paraId="1D187BA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供应商对采购活动事项有疑问的，可以向采购机构提出询问，采购人或者采购代理机构应当在3个工作日内对供应商依法提出的询问作出答复，但答复的内容不得涉及商业秘密。</w:t>
      </w:r>
    </w:p>
    <w:p w14:paraId="40FAE13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.2供应商质疑</w:t>
      </w:r>
    </w:p>
    <w:p w14:paraId="6D8E327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.2.1投标人认为采购文件、采购过程、中标或者成交结果使自己的权益受到损害的，可以在知道或者应知其权益受到损害之日起7个工作日内，以书面形式向采购人、采购代理机构提出质疑。</w:t>
      </w:r>
    </w:p>
    <w:p w14:paraId="2AD9B2B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本项目要求投标人在法定质疑期内一次性提出针对同一采购程序环节的质疑。</w:t>
      </w:r>
    </w:p>
    <w:p w14:paraId="6B0FC6F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.2.2提出质疑的投标人（以下简称质疑人）应当是参与所质疑项目采购活动的投标人。</w:t>
      </w:r>
    </w:p>
    <w:p w14:paraId="4FA240A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潜在投标人已依法获取其可质疑的采购文件的，可以对该文件提出质疑。对采购文件提出质疑的，应当在获取采购文件或者采购文件公告期限届满之日起7个工作日内提出。</w:t>
      </w:r>
    </w:p>
    <w:p w14:paraId="2E15E8F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.2.3投标人提出质疑应当提交质疑函和必要的证明材料。质疑函应当包括下列内容：</w:t>
      </w:r>
    </w:p>
    <w:p w14:paraId="3747BAB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（一）投标人的姓名或者名称、地址、邮编、联系人及联系电话；</w:t>
      </w:r>
    </w:p>
    <w:p w14:paraId="68643B4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（二）质疑项目的名称、编号；</w:t>
      </w:r>
    </w:p>
    <w:p w14:paraId="5FBB20A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（三）具体、明确的质疑事项和与质疑事项相关的请求；</w:t>
      </w:r>
    </w:p>
    <w:p w14:paraId="687CBED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（四）事实依据；</w:t>
      </w:r>
    </w:p>
    <w:p w14:paraId="1255A48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（五）必要的法律依据；</w:t>
      </w:r>
    </w:p>
    <w:p w14:paraId="21E8A49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（六）提出质疑的日期。</w:t>
      </w:r>
    </w:p>
    <w:p w14:paraId="560CFF1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投标人为自然人的，应当由本人签字；投标人为法人或者其他组织的，应当由法定代表人、主要负责人，或者其授权代表签字或者盖章，并加盖公章。</w:t>
      </w:r>
    </w:p>
    <w:p w14:paraId="36E9BB5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.4采购人、采购代理机构在收到法定质疑期内发出的质疑函后7个工作日内作出答复，并以书面形式通知质疑人和其他有关投标人。质疑答复的内容不得涉及商业秘密。</w:t>
      </w:r>
    </w:p>
    <w:p w14:paraId="4DB585F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.3供应商投诉</w:t>
      </w:r>
    </w:p>
    <w:p w14:paraId="05A0E51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质疑供应商对采购机构的答复不满意或者采购机构未在规定的时间内作出答复的，可以在答复期满后十五个工作日内向同级采购监督管理部门提出投诉。</w:t>
      </w:r>
    </w:p>
    <w:p w14:paraId="3D3A53E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.4采购结束</w:t>
      </w:r>
    </w:p>
    <w:p w14:paraId="03B3FCD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.4.1</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与采购人签订合同生效后即为采购结束。</w:t>
      </w:r>
    </w:p>
    <w:p w14:paraId="3E5B8B5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.4.2本项目的投标文件不予退回。</w:t>
      </w:r>
    </w:p>
    <w:p w14:paraId="0FF56287">
      <w:pPr>
        <w:pageBreakBefore w:val="0"/>
        <w:kinsoku/>
        <w:wordWrap/>
        <w:overflowPunct/>
        <w:topLinePunct w:val="0"/>
        <w:bidi w:val="0"/>
        <w:adjustRightInd/>
        <w:snapToGrid w:val="0"/>
        <w:spacing w:line="460" w:lineRule="exact"/>
        <w:jc w:val="both"/>
        <w:textAlignment w:val="auto"/>
        <w:outlineLvl w:val="1"/>
        <w:rPr>
          <w:rFonts w:hint="eastAsia" w:ascii="宋体" w:hAnsi="宋体" w:eastAsia="宋体" w:cs="宋体"/>
          <w:b/>
          <w:color w:val="auto"/>
          <w:sz w:val="24"/>
          <w:szCs w:val="24"/>
          <w:lang w:eastAsia="zh-CN"/>
        </w:rPr>
      </w:pPr>
      <w:bookmarkStart w:id="78" w:name="_Toc54978898"/>
    </w:p>
    <w:p w14:paraId="140472FD">
      <w:pPr>
        <w:pageBreakBefore w:val="0"/>
        <w:kinsoku/>
        <w:wordWrap/>
        <w:overflowPunct/>
        <w:topLinePunct w:val="0"/>
        <w:bidi w:val="0"/>
        <w:adjustRightInd/>
        <w:snapToGrid w:val="0"/>
        <w:spacing w:line="460" w:lineRule="exact"/>
        <w:jc w:val="center"/>
        <w:textAlignment w:val="auto"/>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十一、</w:t>
      </w:r>
      <w:r>
        <w:rPr>
          <w:rFonts w:hint="eastAsia" w:ascii="宋体" w:hAnsi="宋体" w:eastAsia="宋体" w:cs="宋体"/>
          <w:b/>
          <w:color w:val="auto"/>
          <w:sz w:val="32"/>
          <w:szCs w:val="32"/>
        </w:rPr>
        <w:t>电子交易活动的中止</w:t>
      </w:r>
    </w:p>
    <w:p w14:paraId="5EFBC2AF">
      <w:pPr>
        <w:pageBreakBefore w:val="0"/>
        <w:kinsoku/>
        <w:wordWrap/>
        <w:overflowPunct/>
        <w:topLinePunct w:val="0"/>
        <w:bidi w:val="0"/>
        <w:adjustRightInd/>
        <w:snapToGrid w:val="0"/>
        <w:spacing w:line="460" w:lineRule="exact"/>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11.1</w:t>
      </w:r>
      <w:r>
        <w:rPr>
          <w:rFonts w:hint="eastAsia" w:ascii="宋体" w:hAnsi="宋体" w:eastAsia="宋体" w:cs="宋体"/>
          <w:b/>
          <w:color w:val="auto"/>
          <w:sz w:val="24"/>
          <w:szCs w:val="24"/>
        </w:rPr>
        <w:t>电子交易活动的中止。</w:t>
      </w:r>
    </w:p>
    <w:p w14:paraId="2C066995">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采购过程中出现以下情形，导致电子交易平台无法正常运行，或者无法保证电子交易的公平、公正和安全时，采购机构可中止电子交易活动：</w:t>
      </w:r>
    </w:p>
    <w:p w14:paraId="049BA792">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电子交易平台发生故障而无法登录访问的； </w:t>
      </w:r>
    </w:p>
    <w:p w14:paraId="350811F7">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11.1.2</w:t>
      </w:r>
      <w:r>
        <w:rPr>
          <w:rFonts w:hint="eastAsia" w:ascii="宋体" w:hAnsi="宋体" w:eastAsia="宋体" w:cs="宋体"/>
          <w:color w:val="auto"/>
          <w:sz w:val="24"/>
          <w:szCs w:val="24"/>
        </w:rPr>
        <w:t>电子交易平台应用或数据库出现错误，不能进行正常操作的；</w:t>
      </w:r>
    </w:p>
    <w:p w14:paraId="7462416C">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11.1.3</w:t>
      </w:r>
      <w:r>
        <w:rPr>
          <w:rFonts w:hint="eastAsia" w:ascii="宋体" w:hAnsi="宋体" w:eastAsia="宋体" w:cs="宋体"/>
          <w:color w:val="auto"/>
          <w:sz w:val="24"/>
          <w:szCs w:val="24"/>
        </w:rPr>
        <w:t>电子交易平台发现严重安全漏洞，有潜在泄密危险的；</w:t>
      </w:r>
    </w:p>
    <w:p w14:paraId="5C30BF34">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11.1.4</w:t>
      </w:r>
      <w:r>
        <w:rPr>
          <w:rFonts w:hint="eastAsia" w:ascii="宋体" w:hAnsi="宋体" w:eastAsia="宋体" w:cs="宋体"/>
          <w:color w:val="auto"/>
          <w:sz w:val="24"/>
          <w:szCs w:val="24"/>
        </w:rPr>
        <w:t>病毒发作导致不能进行正常操作的；</w:t>
      </w:r>
    </w:p>
    <w:p w14:paraId="335F8C7B">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11.1.5</w:t>
      </w:r>
      <w:r>
        <w:rPr>
          <w:rFonts w:hint="eastAsia" w:ascii="宋体" w:hAnsi="宋体" w:eastAsia="宋体" w:cs="宋体"/>
          <w:color w:val="auto"/>
          <w:sz w:val="24"/>
          <w:szCs w:val="24"/>
        </w:rPr>
        <w:t>其他无法保证电子交易的公平、公正和安全的情况。</w:t>
      </w:r>
    </w:p>
    <w:p w14:paraId="6A8CB12D">
      <w:pPr>
        <w:pageBreakBefore w:val="0"/>
        <w:widowControl/>
        <w:kinsoku/>
        <w:wordWrap/>
        <w:overflowPunct/>
        <w:topLinePunct w:val="0"/>
        <w:bidi w:val="0"/>
        <w:adjustRightInd/>
        <w:snapToGrid w:val="0"/>
        <w:spacing w:line="460" w:lineRule="exac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5F870815">
      <w:pPr>
        <w:pageBreakBefore w:val="0"/>
        <w:kinsoku/>
        <w:wordWrap/>
        <w:overflowPunct/>
        <w:topLinePunct w:val="0"/>
        <w:bidi w:val="0"/>
        <w:adjustRightInd/>
        <w:snapToGrid w:val="0"/>
        <w:spacing w:line="460" w:lineRule="exact"/>
        <w:jc w:val="both"/>
        <w:textAlignment w:val="auto"/>
        <w:outlineLvl w:val="1"/>
        <w:rPr>
          <w:rFonts w:hint="eastAsia" w:ascii="宋体" w:hAnsi="宋体" w:eastAsia="宋体" w:cs="宋体"/>
          <w:b/>
          <w:bCs/>
          <w:color w:val="auto"/>
          <w:sz w:val="24"/>
          <w:szCs w:val="24"/>
          <w:lang w:eastAsia="zh-CN"/>
        </w:rPr>
      </w:pPr>
    </w:p>
    <w:p w14:paraId="1CE4E58C">
      <w:pPr>
        <w:pageBreakBefore w:val="0"/>
        <w:kinsoku/>
        <w:wordWrap/>
        <w:overflowPunct/>
        <w:topLinePunct w:val="0"/>
        <w:bidi w:val="0"/>
        <w:adjustRightInd/>
        <w:snapToGrid w:val="0"/>
        <w:spacing w:line="460" w:lineRule="exact"/>
        <w:jc w:val="center"/>
        <w:textAlignment w:val="auto"/>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十二、</w:t>
      </w:r>
      <w:r>
        <w:rPr>
          <w:rFonts w:hint="eastAsia" w:ascii="宋体" w:hAnsi="宋体" w:eastAsia="宋体" w:cs="宋体"/>
          <w:b/>
          <w:bCs/>
          <w:color w:val="auto"/>
          <w:sz w:val="32"/>
          <w:szCs w:val="32"/>
        </w:rPr>
        <w:t>验收</w:t>
      </w:r>
    </w:p>
    <w:p w14:paraId="280F9716">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87712F">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.2采购人可以邀请参加本项目的其他投标人或者第三方机构参与验收。参与验收的投标人或者第三方机构的意见作为验收书的参考资料一并存档。</w:t>
      </w:r>
    </w:p>
    <w:p w14:paraId="3DE70CD7">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7B27B6">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b/>
          <w:bCs/>
          <w:color w:val="auto"/>
          <w:kern w:val="0"/>
          <w:sz w:val="32"/>
          <w:szCs w:val="32"/>
          <w:lang w:val="en-US" w:eastAsia="zh-CN" w:bidi="ar-SA"/>
        </w:rPr>
        <w:sectPr>
          <w:footerReference r:id="rId11" w:type="first"/>
          <w:footerReference r:id="rId10" w:type="default"/>
          <w:pgSz w:w="11906" w:h="16838"/>
          <w:pgMar w:top="1418" w:right="1418" w:bottom="1418" w:left="1418" w:header="851" w:footer="992"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79" w:name="_Hlt68057669"/>
      <w:bookmarkEnd w:id="79"/>
      <w:bookmarkStart w:id="80" w:name="_Hlt74730295"/>
      <w:bookmarkEnd w:id="80"/>
      <w:bookmarkStart w:id="81" w:name="_Hlt68072998"/>
      <w:bookmarkEnd w:id="81"/>
      <w:bookmarkStart w:id="82" w:name="_Hlt75236290"/>
      <w:bookmarkEnd w:id="82"/>
      <w:bookmarkStart w:id="83" w:name="_Hlt75236101"/>
      <w:bookmarkEnd w:id="83"/>
      <w:bookmarkStart w:id="84" w:name="_Hlt68403820"/>
      <w:bookmarkEnd w:id="84"/>
      <w:bookmarkStart w:id="85" w:name="_Hlt74714665"/>
      <w:bookmarkEnd w:id="85"/>
      <w:bookmarkStart w:id="86" w:name="_Hlt74707468"/>
      <w:bookmarkEnd w:id="86"/>
      <w:bookmarkStart w:id="87" w:name="_Hlt75236011"/>
      <w:bookmarkEnd w:id="87"/>
      <w:bookmarkStart w:id="88" w:name="_Hlt68072990"/>
      <w:bookmarkEnd w:id="88"/>
      <w:bookmarkStart w:id="89" w:name="_Hlt68073093"/>
      <w:bookmarkEnd w:id="89"/>
      <w:bookmarkStart w:id="90" w:name="_Hlt74729768"/>
      <w:bookmarkEnd w:id="90"/>
      <w:r>
        <w:rPr>
          <w:rFonts w:hint="eastAsia" w:ascii="宋体" w:hAnsi="宋体" w:eastAsia="宋体" w:cs="宋体"/>
          <w:color w:val="auto"/>
          <w:sz w:val="24"/>
          <w:szCs w:val="24"/>
          <w:lang w:val="en-US" w:eastAsia="zh-CN"/>
        </w:rPr>
        <w:t>相关主管部门</w:t>
      </w:r>
      <w:r>
        <w:rPr>
          <w:rFonts w:hint="eastAsia" w:ascii="宋体" w:hAnsi="宋体" w:eastAsia="宋体" w:cs="宋体"/>
          <w:color w:val="auto"/>
          <w:sz w:val="24"/>
          <w:szCs w:val="24"/>
          <w:lang w:eastAsia="zh-CN"/>
        </w:rPr>
        <w:t>。</w:t>
      </w:r>
    </w:p>
    <w:p w14:paraId="40BDC73C">
      <w:pPr>
        <w:pStyle w:val="3"/>
        <w:spacing w:line="700" w:lineRule="exact"/>
        <w:jc w:val="center"/>
        <w:rPr>
          <w:rFonts w:hint="eastAsia" w:ascii="宋体" w:hAnsi="宋体" w:eastAsia="宋体" w:cs="宋体"/>
          <w:b/>
          <w:bCs/>
          <w:color w:val="auto"/>
          <w:kern w:val="0"/>
          <w:sz w:val="24"/>
          <w:szCs w:val="24"/>
          <w:lang w:val="en-US" w:eastAsia="zh-CN" w:bidi="ar-SA"/>
        </w:rPr>
      </w:pPr>
      <w:r>
        <w:rPr>
          <w:rFonts w:hint="eastAsia" w:hAnsi="宋体" w:cs="宋体"/>
          <w:b/>
          <w:bCs/>
          <w:color w:val="auto"/>
          <w:kern w:val="0"/>
          <w:sz w:val="32"/>
          <w:szCs w:val="32"/>
          <w:lang w:val="en-US" w:eastAsia="zh-CN" w:bidi="ar-SA"/>
        </w:rPr>
        <w:t>第三部分</w:t>
      </w:r>
      <w:r>
        <w:rPr>
          <w:rFonts w:hint="eastAsia" w:ascii="宋体" w:hAnsi="宋体" w:eastAsia="宋体" w:cs="宋体"/>
          <w:b/>
          <w:bCs/>
          <w:color w:val="auto"/>
          <w:kern w:val="0"/>
          <w:sz w:val="32"/>
          <w:szCs w:val="32"/>
          <w:lang w:val="en-US" w:eastAsia="zh-CN" w:bidi="ar-SA"/>
        </w:rPr>
        <w:t xml:space="preserve"> 项目招标范围及服务要求</w:t>
      </w:r>
    </w:p>
    <w:bookmarkEnd w:id="78"/>
    <w:p w14:paraId="5B7144E7">
      <w:pPr>
        <w:keepNext/>
        <w:keepLines/>
        <w:tabs>
          <w:tab w:val="left" w:pos="358"/>
        </w:tabs>
        <w:spacing w:before="400" w:line="360" w:lineRule="auto"/>
        <w:ind w:left="358" w:hanging="420"/>
        <w:outlineLvl w:val="1"/>
        <w:rPr>
          <w:rFonts w:hint="eastAsia" w:ascii="宋体" w:hAnsi="宋体" w:eastAsia="宋体" w:cs="宋体"/>
          <w:b/>
          <w:bCs/>
          <w:color w:val="auto"/>
          <w:sz w:val="21"/>
          <w:szCs w:val="21"/>
          <w:highlight w:val="none"/>
        </w:rPr>
      </w:pPr>
      <w:bookmarkStart w:id="91" w:name="_Toc339302155"/>
      <w:bookmarkStart w:id="92" w:name="_Toc54978899"/>
      <w:bookmarkStart w:id="93" w:name="_Toc297662418"/>
      <w:bookmarkStart w:id="94" w:name="_Toc17741"/>
      <w:bookmarkStart w:id="95" w:name="_Toc340322195"/>
      <w:bookmarkStart w:id="96" w:name="_Toc340321940"/>
      <w:bookmarkStart w:id="97" w:name="_Toc22296"/>
      <w:bookmarkStart w:id="98" w:name="_Toc226337793"/>
      <w:bookmarkStart w:id="99" w:name="_Toc4171"/>
      <w:bookmarkStart w:id="100" w:name="_Toc248065071"/>
      <w:bookmarkStart w:id="101" w:name="_Toc340321928"/>
      <w:bookmarkStart w:id="102" w:name="_Toc340322183"/>
      <w:bookmarkStart w:id="103" w:name="_Toc339302144"/>
      <w:r>
        <w:rPr>
          <w:rFonts w:hint="eastAsia" w:ascii="宋体" w:hAnsi="宋体" w:eastAsia="宋体" w:cs="宋体"/>
          <w:b/>
          <w:bCs/>
          <w:color w:val="auto"/>
          <w:sz w:val="21"/>
          <w:szCs w:val="21"/>
          <w:highlight w:val="none"/>
        </w:rPr>
        <w:t>一、项目概况</w:t>
      </w:r>
    </w:p>
    <w:p w14:paraId="3F789B41">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艇湖枢纽工程位于浙江省绍兴市曹娥江上游剡溪江</w:t>
      </w:r>
      <w:r>
        <w:rPr>
          <w:rFonts w:hint="eastAsia" w:ascii="宋体" w:hAnsi="宋体" w:eastAsia="宋体" w:cs="宋体"/>
          <w:color w:val="auto"/>
          <w:kern w:val="0"/>
          <w:sz w:val="21"/>
          <w:szCs w:val="21"/>
          <w:highlight w:val="none"/>
          <w:lang w:val="en-US" w:eastAsia="zh-CN"/>
        </w:rPr>
        <w:t>干</w:t>
      </w:r>
      <w:r>
        <w:rPr>
          <w:rFonts w:hint="eastAsia" w:ascii="宋体" w:hAnsi="宋体" w:eastAsia="宋体" w:cs="宋体"/>
          <w:color w:val="auto"/>
          <w:kern w:val="0"/>
          <w:sz w:val="21"/>
          <w:szCs w:val="21"/>
          <w:highlight w:val="none"/>
        </w:rPr>
        <w:t>流</w:t>
      </w:r>
      <w:r>
        <w:rPr>
          <w:rFonts w:hint="eastAsia" w:ascii="宋体" w:hAnsi="宋体" w:eastAsia="宋体" w:cs="宋体"/>
          <w:color w:val="auto"/>
          <w:kern w:val="0"/>
          <w:sz w:val="21"/>
          <w:szCs w:val="21"/>
          <w:highlight w:val="none"/>
          <w:lang w:val="en-US" w:eastAsia="zh-CN"/>
        </w:rPr>
        <w:t>嵊州</w:t>
      </w:r>
      <w:r>
        <w:rPr>
          <w:rFonts w:hint="eastAsia" w:ascii="宋体" w:hAnsi="宋体" w:eastAsia="宋体" w:cs="宋体"/>
          <w:color w:val="auto"/>
          <w:kern w:val="0"/>
          <w:sz w:val="21"/>
          <w:szCs w:val="21"/>
          <w:highlight w:val="none"/>
        </w:rPr>
        <w:t>市区段双塔大桥以北100米口</w:t>
      </w:r>
      <w:r>
        <w:rPr>
          <w:rFonts w:hint="eastAsia" w:ascii="宋体" w:hAnsi="宋体" w:eastAsia="宋体" w:cs="宋体"/>
          <w:color w:val="auto"/>
          <w:kern w:val="0"/>
          <w:sz w:val="21"/>
          <w:szCs w:val="21"/>
          <w:highlight w:val="none"/>
          <w:lang w:val="en-US" w:eastAsia="zh-CN"/>
        </w:rPr>
        <w:t>处</w:t>
      </w:r>
      <w:r>
        <w:rPr>
          <w:rFonts w:hint="eastAsia" w:ascii="宋体" w:hAnsi="宋体" w:eastAsia="宋体" w:cs="宋体"/>
          <w:color w:val="auto"/>
          <w:kern w:val="0"/>
          <w:sz w:val="21"/>
          <w:szCs w:val="21"/>
          <w:highlight w:val="none"/>
        </w:rPr>
        <w:t>，整体布置自西向东依次为橡胶坝冲砂闻，河</w:t>
      </w:r>
      <w:r>
        <w:rPr>
          <w:rFonts w:hint="eastAsia" w:ascii="宋体" w:hAnsi="宋体" w:eastAsia="宋体" w:cs="宋体"/>
          <w:color w:val="auto"/>
          <w:kern w:val="0"/>
          <w:sz w:val="21"/>
          <w:szCs w:val="21"/>
          <w:highlight w:val="none"/>
          <w:lang w:val="en-US" w:eastAsia="zh-CN"/>
        </w:rPr>
        <w:t>床</w:t>
      </w:r>
      <w:r>
        <w:rPr>
          <w:rFonts w:hint="eastAsia" w:ascii="宋体" w:hAnsi="宋体" w:eastAsia="宋体" w:cs="宋体"/>
          <w:color w:val="auto"/>
          <w:kern w:val="0"/>
          <w:sz w:val="21"/>
          <w:szCs w:val="21"/>
          <w:highlight w:val="none"/>
        </w:rPr>
        <w:t>式电站。是一座以改善城市环境为</w:t>
      </w:r>
      <w:r>
        <w:rPr>
          <w:rFonts w:hint="eastAsia" w:ascii="宋体" w:hAnsi="宋体" w:eastAsia="宋体" w:cs="宋体"/>
          <w:color w:val="auto"/>
          <w:kern w:val="0"/>
          <w:sz w:val="21"/>
          <w:szCs w:val="21"/>
          <w:highlight w:val="none"/>
          <w:lang w:val="en-US" w:eastAsia="zh-CN"/>
        </w:rPr>
        <w:t>主</w:t>
      </w:r>
      <w:r>
        <w:rPr>
          <w:rFonts w:hint="eastAsia" w:ascii="宋体" w:hAnsi="宋体" w:eastAsia="宋体" w:cs="宋体"/>
          <w:color w:val="auto"/>
          <w:kern w:val="0"/>
          <w:sz w:val="21"/>
          <w:szCs w:val="21"/>
          <w:highlight w:val="none"/>
        </w:rPr>
        <w:t>并结合发</w:t>
      </w:r>
      <w:r>
        <w:rPr>
          <w:rFonts w:hint="eastAsia" w:ascii="宋体" w:hAnsi="宋体" w:eastAsia="宋体" w:cs="宋体"/>
          <w:color w:val="auto"/>
          <w:kern w:val="0"/>
          <w:sz w:val="21"/>
          <w:szCs w:val="21"/>
          <w:highlight w:val="none"/>
          <w:lang w:val="en-US" w:eastAsia="zh-CN"/>
        </w:rPr>
        <w:t>电的</w:t>
      </w:r>
      <w:r>
        <w:rPr>
          <w:rFonts w:hint="eastAsia" w:ascii="宋体" w:hAnsi="宋体" w:eastAsia="宋体" w:cs="宋体"/>
          <w:color w:val="auto"/>
          <w:kern w:val="0"/>
          <w:sz w:val="21"/>
          <w:szCs w:val="21"/>
          <w:highlight w:val="none"/>
        </w:rPr>
        <w:t>综合性水利工程。</w:t>
      </w:r>
    </w:p>
    <w:p w14:paraId="2B6FE1AA">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橡胶坝全长200.1m、分三跨，坝袋厚10m</w:t>
      </w:r>
      <w:r>
        <w:rPr>
          <w:rFonts w:hint="eastAsia" w:ascii="宋体" w:hAnsi="宋体" w:eastAsia="宋体" w:cs="宋体"/>
          <w:color w:val="auto"/>
          <w:kern w:val="0"/>
          <w:sz w:val="21"/>
          <w:szCs w:val="21"/>
          <w:highlight w:val="none"/>
          <w:lang w:val="en-US" w:eastAsia="zh-CN"/>
        </w:rPr>
        <w:t>m</w:t>
      </w:r>
      <w:r>
        <w:rPr>
          <w:rFonts w:hint="eastAsia" w:ascii="宋体" w:hAnsi="宋体" w:eastAsia="宋体" w:cs="宋体"/>
          <w:color w:val="auto"/>
          <w:kern w:val="0"/>
          <w:sz w:val="21"/>
          <w:szCs w:val="21"/>
          <w:highlight w:val="none"/>
        </w:rPr>
        <w:t>，坝高4.</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m，总充水量4500</w:t>
      </w:r>
      <w:r>
        <w:rPr>
          <w:rFonts w:hint="eastAsia" w:ascii="宋体" w:hAnsi="宋体" w:eastAsia="宋体" w:cs="宋体"/>
          <w:color w:val="auto"/>
          <w:kern w:val="0"/>
          <w:sz w:val="21"/>
          <w:szCs w:val="21"/>
          <w:highlight w:val="none"/>
          <w:lang w:val="en-US" w:eastAsia="zh-CN"/>
        </w:rPr>
        <w:t>m³</w:t>
      </w:r>
      <w:r>
        <w:rPr>
          <w:rFonts w:hint="eastAsia" w:ascii="宋体" w:hAnsi="宋体" w:eastAsia="宋体" w:cs="宋体"/>
          <w:color w:val="auto"/>
          <w:kern w:val="0"/>
          <w:sz w:val="21"/>
          <w:szCs w:val="21"/>
          <w:highlight w:val="none"/>
        </w:rPr>
        <w:t>。坝顶高程14.9m(黄海,下同)，正常蓄水位14.8m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形成水面积1.25K</w:t>
      </w:r>
      <w:r>
        <w:rPr>
          <w:rFonts w:hint="eastAsia" w:ascii="宋体" w:hAnsi="宋体" w:eastAsia="宋体" w:cs="宋体"/>
          <w:color w:val="auto"/>
          <w:kern w:val="0"/>
          <w:sz w:val="21"/>
          <w:szCs w:val="21"/>
          <w:highlight w:val="none"/>
          <w:lang w:val="en-US" w:eastAsia="zh-CN"/>
        </w:rPr>
        <w:t>M³</w:t>
      </w:r>
      <w:r>
        <w:rPr>
          <w:rFonts w:hint="eastAsia" w:ascii="宋体" w:hAnsi="宋体" w:eastAsia="宋体" w:cs="宋体"/>
          <w:color w:val="auto"/>
          <w:kern w:val="0"/>
          <w:sz w:val="21"/>
          <w:szCs w:val="21"/>
          <w:highlight w:val="none"/>
        </w:rPr>
        <w:t>(约1800亩)，蓄水量245万</w:t>
      </w:r>
      <w:r>
        <w:rPr>
          <w:rFonts w:hint="eastAsia" w:ascii="宋体" w:hAnsi="宋体" w:eastAsia="宋体" w:cs="宋体"/>
          <w:color w:val="auto"/>
          <w:kern w:val="0"/>
          <w:sz w:val="21"/>
          <w:szCs w:val="21"/>
          <w:highlight w:val="none"/>
          <w:lang w:val="en-US" w:eastAsia="zh-CN"/>
        </w:rPr>
        <w:t>m³</w:t>
      </w:r>
      <w:r>
        <w:rPr>
          <w:rFonts w:hint="eastAsia" w:ascii="宋体" w:hAnsi="宋体" w:eastAsia="宋体" w:cs="宋体"/>
          <w:color w:val="auto"/>
          <w:kern w:val="0"/>
          <w:sz w:val="21"/>
          <w:szCs w:val="21"/>
          <w:highlight w:val="none"/>
        </w:rPr>
        <w:t>的人工湖。坝址</w:t>
      </w:r>
      <w:r>
        <w:rPr>
          <w:rFonts w:hint="eastAsia" w:ascii="宋体" w:hAnsi="宋体" w:eastAsia="宋体" w:cs="宋体"/>
          <w:color w:val="auto"/>
          <w:kern w:val="0"/>
          <w:sz w:val="21"/>
          <w:szCs w:val="21"/>
          <w:highlight w:val="none"/>
          <w:lang w:val="en-US" w:eastAsia="zh-CN"/>
        </w:rPr>
        <w:t>以上集雨2280km²，</w:t>
      </w:r>
      <w:r>
        <w:rPr>
          <w:rFonts w:hint="eastAsia" w:ascii="宋体" w:hAnsi="宋体" w:eastAsia="宋体" w:cs="宋体"/>
          <w:color w:val="auto"/>
          <w:kern w:val="0"/>
          <w:sz w:val="21"/>
          <w:szCs w:val="21"/>
          <w:highlight w:val="none"/>
        </w:rPr>
        <w:t>坝址</w:t>
      </w:r>
      <w:r>
        <w:rPr>
          <w:rFonts w:hint="eastAsia" w:ascii="宋体" w:hAnsi="宋体" w:eastAsia="宋体" w:cs="宋体"/>
          <w:color w:val="auto"/>
          <w:kern w:val="0"/>
          <w:sz w:val="21"/>
          <w:szCs w:val="21"/>
          <w:highlight w:val="none"/>
          <w:lang w:val="en-US" w:eastAsia="zh-CN"/>
        </w:rPr>
        <w:t>年均降水量</w:t>
      </w:r>
      <w:r>
        <w:rPr>
          <w:rFonts w:hint="eastAsia" w:ascii="宋体" w:hAnsi="宋体" w:eastAsia="宋体" w:cs="宋体"/>
          <w:color w:val="auto"/>
          <w:kern w:val="0"/>
          <w:sz w:val="21"/>
          <w:szCs w:val="21"/>
          <w:highlight w:val="none"/>
        </w:rPr>
        <w:t>1400mm,平均入库流量51</w:t>
      </w:r>
      <w:r>
        <w:rPr>
          <w:rFonts w:hint="eastAsia" w:ascii="宋体" w:hAnsi="宋体" w:eastAsia="宋体" w:cs="宋体"/>
          <w:color w:val="auto"/>
          <w:kern w:val="0"/>
          <w:sz w:val="21"/>
          <w:szCs w:val="21"/>
          <w:highlight w:val="none"/>
          <w:lang w:val="en-US" w:eastAsia="zh-CN"/>
        </w:rPr>
        <w:t>m³</w:t>
      </w:r>
      <w:r>
        <w:rPr>
          <w:rFonts w:hint="eastAsia" w:ascii="宋体" w:hAnsi="宋体" w:eastAsia="宋体" w:cs="宋体"/>
          <w:color w:val="auto"/>
          <w:kern w:val="0"/>
          <w:sz w:val="21"/>
          <w:szCs w:val="21"/>
          <w:highlight w:val="none"/>
        </w:rPr>
        <w:t>/s。</w:t>
      </w:r>
    </w:p>
    <w:p w14:paraId="6C02969D">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冲砂闸安装一扇6.4</w:t>
      </w:r>
      <w:r>
        <w:rPr>
          <w:rFonts w:hint="eastAsia" w:ascii="宋体" w:hAnsi="宋体" w:eastAsia="宋体" w:cs="宋体"/>
          <w:color w:val="auto"/>
          <w:kern w:val="0"/>
          <w:sz w:val="21"/>
          <w:szCs w:val="21"/>
          <w:highlight w:val="none"/>
          <w:lang w:val="en-US" w:eastAsia="zh-CN"/>
        </w:rPr>
        <w:t>x</w:t>
      </w:r>
      <w:r>
        <w:rPr>
          <w:rFonts w:hint="eastAsia" w:ascii="宋体" w:hAnsi="宋体" w:eastAsia="宋体" w:cs="宋体"/>
          <w:color w:val="auto"/>
          <w:kern w:val="0"/>
          <w:sz w:val="21"/>
          <w:szCs w:val="21"/>
          <w:highlight w:val="none"/>
        </w:rPr>
        <w:t>4.8m升卧式钢平板闸门，主要起排污冲砂、下泄发电多余水量和引洪作用，最大下泄流量87</w:t>
      </w:r>
      <w:r>
        <w:rPr>
          <w:rFonts w:hint="eastAsia" w:ascii="宋体" w:hAnsi="宋体" w:eastAsia="宋体" w:cs="宋体"/>
          <w:color w:val="auto"/>
          <w:kern w:val="0"/>
          <w:sz w:val="21"/>
          <w:szCs w:val="21"/>
          <w:highlight w:val="none"/>
          <w:lang w:val="en-US" w:eastAsia="zh-CN"/>
        </w:rPr>
        <w:t>m³</w:t>
      </w:r>
      <w:r>
        <w:rPr>
          <w:rFonts w:hint="eastAsia" w:ascii="宋体" w:hAnsi="宋体" w:eastAsia="宋体" w:cs="宋体"/>
          <w:color w:val="auto"/>
          <w:kern w:val="0"/>
          <w:sz w:val="21"/>
          <w:szCs w:val="21"/>
          <w:highlight w:val="none"/>
        </w:rPr>
        <w:t>/s。</w:t>
      </w:r>
    </w:p>
    <w:p w14:paraId="7951C322">
      <w:pPr>
        <w:pStyle w:val="564"/>
        <w:keepNext w:val="0"/>
        <w:keepLines w:val="0"/>
        <w:pageBreakBefore w:val="0"/>
        <w:widowControl w:val="0"/>
        <w:kinsoku/>
        <w:wordWrap/>
        <w:overflowPunct/>
        <w:topLinePunct w:val="0"/>
        <w:autoSpaceDE/>
        <w:autoSpaceDN/>
        <w:bidi w:val="0"/>
        <w:snapToGrid/>
        <w:spacing w:line="400" w:lineRule="exact"/>
        <w:ind w:firstLine="44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电站装有3X500kw轴流式水轮发电机组，设计水头3.5m，单机额定流量18.7</w:t>
      </w:r>
      <w:r>
        <w:rPr>
          <w:rFonts w:hint="eastAsia" w:ascii="宋体" w:hAnsi="宋体" w:eastAsia="宋体" w:cs="宋体"/>
          <w:color w:val="auto"/>
          <w:kern w:val="0"/>
          <w:sz w:val="21"/>
          <w:szCs w:val="21"/>
          <w:highlight w:val="none"/>
          <w:lang w:val="en-US" w:eastAsia="zh-CN"/>
        </w:rPr>
        <w:t>m³</w:t>
      </w:r>
      <w:r>
        <w:rPr>
          <w:rFonts w:hint="eastAsia" w:ascii="宋体" w:hAnsi="宋体" w:eastAsia="宋体" w:cs="宋体"/>
          <w:color w:val="auto"/>
          <w:kern w:val="0"/>
          <w:sz w:val="21"/>
          <w:szCs w:val="21"/>
          <w:highlight w:val="none"/>
        </w:rPr>
        <w:t>/s。设计年发电量500</w:t>
      </w:r>
      <w:r>
        <w:rPr>
          <w:rFonts w:hint="eastAsia" w:ascii="宋体" w:hAnsi="宋体" w:eastAsia="宋体" w:cs="宋体"/>
          <w:color w:val="auto"/>
          <w:kern w:val="0"/>
          <w:sz w:val="21"/>
          <w:szCs w:val="21"/>
          <w:highlight w:val="none"/>
          <w:lang w:val="en-US" w:eastAsia="zh-CN"/>
        </w:rPr>
        <w:t>万k</w:t>
      </w:r>
      <w:r>
        <w:rPr>
          <w:rFonts w:hint="eastAsia" w:ascii="宋体" w:hAnsi="宋体" w:eastAsia="宋体" w:cs="宋体"/>
          <w:color w:val="auto"/>
          <w:kern w:val="0"/>
          <w:sz w:val="21"/>
          <w:szCs w:val="21"/>
          <w:highlight w:val="none"/>
        </w:rPr>
        <w:t>wh，通过10.5/0.4kv升压变，经1.7km输电线至城关变电所并入电网，采用微机监控</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一键式操作，2000年6月建成并网。2015年4月通过农村水电站安全生产标准化二级达标验收。2024年4月份更换了3台机组自动化控制设备。</w:t>
      </w:r>
    </w:p>
    <w:p w14:paraId="41EA5156">
      <w:pPr>
        <w:pStyle w:val="564"/>
        <w:keepNext w:val="0"/>
        <w:keepLines w:val="0"/>
        <w:pageBreakBefore w:val="0"/>
        <w:widowControl w:val="0"/>
        <w:kinsoku/>
        <w:wordWrap/>
        <w:overflowPunct/>
        <w:topLinePunct w:val="0"/>
        <w:autoSpaceDE/>
        <w:autoSpaceDN/>
        <w:bidi w:val="0"/>
        <w:snapToGrid/>
        <w:spacing w:line="400" w:lineRule="exact"/>
        <w:ind w:left="0" w:leftChars="0" w:firstLine="0" w:firstLineChars="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auto"/>
          <w:sz w:val="21"/>
          <w:szCs w:val="21"/>
          <w:highlight w:val="none"/>
        </w:rPr>
        <w:t>服务内容</w:t>
      </w:r>
    </w:p>
    <w:p w14:paraId="0991F6E0">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包括但不限于</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坝及电站的运行和日常维修养护的以下工作内容。</w:t>
      </w:r>
    </w:p>
    <w:p w14:paraId="0DCA8458">
      <w:pPr>
        <w:spacing w:line="360" w:lineRule="auto"/>
        <w:ind w:lef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w:t>
      </w:r>
      <w:r>
        <w:rPr>
          <w:rFonts w:hint="eastAsia" w:ascii="宋体" w:hAnsi="宋体" w:cs="宋体"/>
          <w:color w:val="000000" w:themeColor="text1"/>
          <w:sz w:val="21"/>
          <w:szCs w:val="21"/>
          <w:highlight w:val="none"/>
          <w:lang w:val="en-US" w:eastAsia="zh-CN"/>
          <w14:textFill>
            <w14:solidFill>
              <w14:schemeClr w14:val="tx1"/>
            </w14:solidFill>
          </w14:textFill>
        </w:rPr>
        <w:t>运</w:t>
      </w:r>
      <w:r>
        <w:rPr>
          <w:rFonts w:hint="eastAsia" w:ascii="宋体" w:hAnsi="宋体" w:eastAsia="宋体" w:cs="宋体"/>
          <w:color w:val="000000" w:themeColor="text1"/>
          <w:sz w:val="21"/>
          <w:szCs w:val="21"/>
          <w:highlight w:val="none"/>
          <w14:textFill>
            <w14:solidFill>
              <w14:schemeClr w14:val="tx1"/>
            </w14:solidFill>
          </w14:textFill>
        </w:rPr>
        <w:t>行、维护、管理；</w:t>
      </w:r>
    </w:p>
    <w:p w14:paraId="6762B152">
      <w:pPr>
        <w:spacing w:line="360" w:lineRule="auto"/>
        <w:ind w:lef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（2）电站运行、维护、管理；</w:t>
      </w:r>
    </w:p>
    <w:p w14:paraId="0BE051AE">
      <w:pPr>
        <w:spacing w:line="360" w:lineRule="auto"/>
        <w:ind w:lef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）后勤管理和档案管理。</w:t>
      </w:r>
    </w:p>
    <w:p w14:paraId="378C60C5">
      <w:pPr>
        <w:pStyle w:val="566"/>
        <w:ind w:firstLine="422"/>
        <w:outlineLvl w:val="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cs="宋体"/>
          <w:b/>
          <w:color w:val="000000" w:themeColor="text1"/>
          <w:sz w:val="21"/>
          <w:szCs w:val="21"/>
          <w:highlight w:val="none"/>
          <w:lang w:eastAsia="zh-CN"/>
          <w14:textFill>
            <w14:solidFill>
              <w14:schemeClr w14:val="tx1"/>
            </w14:solidFill>
          </w14:textFill>
        </w:rPr>
        <w:t>橡胶</w:t>
      </w:r>
      <w:r>
        <w:rPr>
          <w:rFonts w:hint="eastAsia" w:ascii="宋体" w:hAnsi="宋体" w:eastAsia="宋体" w:cs="宋体"/>
          <w:b/>
          <w:color w:val="000000" w:themeColor="text1"/>
          <w:sz w:val="21"/>
          <w:szCs w:val="21"/>
          <w:highlight w:val="none"/>
          <w14:textFill>
            <w14:solidFill>
              <w14:schemeClr w14:val="tx1"/>
            </w14:solidFill>
          </w14:textFill>
        </w:rPr>
        <w:t>坝运行、维护、管理</w:t>
      </w:r>
    </w:p>
    <w:p w14:paraId="79FDAAAF">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1.1负责按照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eastAsia="宋体" w:cs="宋体"/>
          <w:color w:val="000000" w:themeColor="text1"/>
          <w:sz w:val="21"/>
          <w:szCs w:val="21"/>
          <w:highlight w:val="none"/>
          <w14:textFill>
            <w14:solidFill>
              <w14:schemeClr w14:val="tx1"/>
            </w14:solidFill>
          </w14:textFill>
        </w:rPr>
        <w:t>标准化管理要求值班值守，开展日常巡查、设备巡检，做好相关数据资料的观测、记录、整理、上传、归档。</w:t>
      </w:r>
    </w:p>
    <w:p w14:paraId="38F9B6F8">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1.2负责按照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eastAsia="宋体" w:cs="宋体"/>
          <w:color w:val="000000" w:themeColor="text1"/>
          <w:sz w:val="21"/>
          <w:szCs w:val="21"/>
          <w:highlight w:val="none"/>
          <w14:textFill>
            <w14:solidFill>
              <w14:schemeClr w14:val="tx1"/>
            </w14:solidFill>
          </w14:textFill>
        </w:rPr>
        <w:t>标准化管理要求，做好水文数据的观测、记录、整理、上报、归档。</w:t>
      </w:r>
    </w:p>
    <w:p w14:paraId="16ABBEB3">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1.3负责按照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eastAsia="宋体" w:cs="宋体"/>
          <w:color w:val="000000" w:themeColor="text1"/>
          <w:sz w:val="21"/>
          <w:szCs w:val="21"/>
          <w:highlight w:val="none"/>
          <w14:textFill>
            <w14:solidFill>
              <w14:schemeClr w14:val="tx1"/>
            </w14:solidFill>
          </w14:textFill>
        </w:rPr>
        <w:t>标准化管理要求进行日常维护，负责</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坝水工程及机电设备安全运行，做好相关数据资料的观测、记录、整理、上传、归档。</w:t>
      </w:r>
    </w:p>
    <w:p w14:paraId="41457422">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1.4负责做好</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坝工程扬压力、位移和渗流量数据观测和资料整理。</w:t>
      </w:r>
    </w:p>
    <w:p w14:paraId="38A251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1.5负责按照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auto"/>
          <w:sz w:val="21"/>
          <w:szCs w:val="21"/>
          <w:highlight w:val="none"/>
        </w:rPr>
        <w:t>要求，根据批准的控制运用计划和指令执行调度运行，负责泄洪闸开启、关闭，根据需要调整泄洪、输水、生态流量等闸门开度，记录齐全、及时预报，做好洪水调度总结，资料整理上报、归档。</w:t>
      </w:r>
    </w:p>
    <w:p w14:paraId="10D6C8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1.6负责按</w:t>
      </w:r>
      <w:r>
        <w:rPr>
          <w:rFonts w:hint="eastAsia" w:ascii="宋体" w:hAnsi="宋体" w:cs="宋体"/>
          <w:color w:val="auto"/>
          <w:sz w:val="21"/>
          <w:szCs w:val="21"/>
          <w:highlight w:val="none"/>
          <w:lang w:val="en-US" w:eastAsia="zh-CN"/>
        </w:rPr>
        <w:t>照</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要求，定期开展金属结构、机电设备、监测设施的维护保养，确保闸门与启闭机等金属结构、机电设备、监测设施完整完好、使用正常、安全可靠。</w:t>
      </w:r>
    </w:p>
    <w:p w14:paraId="13CD8FBD">
      <w:pPr>
        <w:spacing w:line="360" w:lineRule="auto"/>
        <w:ind w:firstLine="420" w:firstLineChars="200"/>
        <w:rPr>
          <w:rFonts w:hint="eastAsia" w:ascii="宋体" w:hAnsi="宋体" w:eastAsia="宋体" w:cs="宋体"/>
          <w:color w:val="auto"/>
          <w:sz w:val="21"/>
          <w:szCs w:val="21"/>
          <w:highlight w:val="none"/>
        </w:rPr>
        <w:sectPr>
          <w:footerReference r:id="rId12" w:type="default"/>
          <w:pgSz w:w="11906" w:h="16838"/>
          <w:pgMar w:top="1440" w:right="1225" w:bottom="1440" w:left="1502"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75570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eastAsia="宋体" w:cs="宋体"/>
          <w:color w:val="auto"/>
          <w:sz w:val="21"/>
          <w:szCs w:val="21"/>
          <w:highlight w:val="none"/>
        </w:rPr>
        <w:t>的要求，对相关技术人员进行操作培训；</w:t>
      </w:r>
    </w:p>
    <w:p w14:paraId="59075D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cs="宋体"/>
          <w:color w:val="auto"/>
          <w:sz w:val="21"/>
          <w:szCs w:val="21"/>
          <w:highlight w:val="none"/>
          <w:lang w:val="en-US" w:eastAsia="zh-CN"/>
        </w:rPr>
        <w:t>安全</w:t>
      </w:r>
      <w:r>
        <w:rPr>
          <w:rFonts w:hint="eastAsia" w:ascii="宋体" w:hAnsi="宋体" w:eastAsia="宋体" w:cs="宋体"/>
          <w:color w:val="auto"/>
          <w:sz w:val="21"/>
          <w:szCs w:val="21"/>
          <w:highlight w:val="none"/>
        </w:rPr>
        <w:t>应急预案要求，参与应急抢险工作；</w:t>
      </w:r>
    </w:p>
    <w:p w14:paraId="215ADE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1.9服从</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eastAsia="宋体" w:cs="宋体"/>
          <w:color w:val="auto"/>
          <w:sz w:val="21"/>
          <w:szCs w:val="21"/>
          <w:highlight w:val="none"/>
        </w:rPr>
        <w:t>管理</w:t>
      </w:r>
      <w:r>
        <w:rPr>
          <w:rFonts w:hint="eastAsia" w:ascii="宋体" w:hAnsi="宋体" w:cs="宋体"/>
          <w:color w:val="auto"/>
          <w:sz w:val="21"/>
          <w:szCs w:val="21"/>
          <w:highlight w:val="none"/>
          <w:lang w:val="en-US" w:eastAsia="zh-CN"/>
        </w:rPr>
        <w:t>的要求</w:t>
      </w:r>
      <w:r>
        <w:rPr>
          <w:rFonts w:hint="eastAsia" w:ascii="宋体" w:hAnsi="宋体" w:eastAsia="宋体" w:cs="宋体"/>
          <w:color w:val="auto"/>
          <w:sz w:val="21"/>
          <w:szCs w:val="21"/>
          <w:highlight w:val="none"/>
        </w:rPr>
        <w:t>安排，完成有关管理事项。</w:t>
      </w:r>
    </w:p>
    <w:p w14:paraId="433D3882">
      <w:pPr>
        <w:pStyle w:val="78"/>
        <w:spacing w:line="360" w:lineRule="auto"/>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2.电站运行、维护、管理</w:t>
      </w:r>
    </w:p>
    <w:p w14:paraId="730365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2.1负责按照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eastAsia="宋体" w:cs="宋体"/>
          <w:color w:val="auto"/>
          <w:sz w:val="21"/>
          <w:szCs w:val="21"/>
          <w:highlight w:val="none"/>
        </w:rPr>
        <w:t>标准化管理要求，开展电站运行、维护、管理工作，确保电站安全、高效发电；</w:t>
      </w:r>
    </w:p>
    <w:p w14:paraId="7EEE43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2.2负责编制电站年度安全生产计划，经</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批准后组织实施；</w:t>
      </w:r>
    </w:p>
    <w:p w14:paraId="575111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2.3负责做好机组、设备日常消缺工作，确保机组、设备正常运行；</w:t>
      </w:r>
    </w:p>
    <w:p w14:paraId="5B5BEA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2.4负责做好电站突发事件和事故的应急处置工作并及时上报；</w:t>
      </w:r>
    </w:p>
    <w:p w14:paraId="6C5A72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2.5负责电站发电量、设备运行状况以及维护维修的统计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，逐月、逐年上报</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w:t>
      </w:r>
    </w:p>
    <w:p w14:paraId="23237D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2.6服从</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cs="宋体"/>
          <w:color w:val="auto"/>
          <w:sz w:val="21"/>
          <w:szCs w:val="21"/>
          <w:highlight w:val="none"/>
          <w:lang w:val="en-US" w:eastAsia="zh-CN"/>
        </w:rPr>
        <w:t>的要求</w:t>
      </w:r>
      <w:r>
        <w:rPr>
          <w:rFonts w:hint="eastAsia" w:ascii="宋体" w:hAnsi="宋体" w:eastAsia="宋体" w:cs="宋体"/>
          <w:color w:val="auto"/>
          <w:sz w:val="21"/>
          <w:szCs w:val="21"/>
          <w:highlight w:val="none"/>
        </w:rPr>
        <w:t>安排，完成有关管理事项。</w:t>
      </w:r>
    </w:p>
    <w:p w14:paraId="1E1E4D56">
      <w:pPr>
        <w:pStyle w:val="78"/>
        <w:spacing w:line="360" w:lineRule="auto"/>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.后勤管理和档案管理</w:t>
      </w:r>
    </w:p>
    <w:p w14:paraId="21E592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.1负责服务方后勤管理工作，保障员工正常生活条件。</w:t>
      </w:r>
    </w:p>
    <w:p w14:paraId="16A8E0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 协助</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做好对外联络、协调、接待工作。</w:t>
      </w:r>
    </w:p>
    <w:p w14:paraId="7BB9EC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 负责相关资料、记录的收集整理、归档。</w:t>
      </w:r>
    </w:p>
    <w:p w14:paraId="571BE4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4服从</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cs="宋体"/>
          <w:color w:val="auto"/>
          <w:sz w:val="21"/>
          <w:szCs w:val="21"/>
          <w:highlight w:val="none"/>
          <w:lang w:val="en-US" w:eastAsia="zh-CN"/>
        </w:rPr>
        <w:t>的要求</w:t>
      </w:r>
      <w:r>
        <w:rPr>
          <w:rFonts w:hint="eastAsia" w:ascii="宋体" w:hAnsi="宋体" w:eastAsia="宋体" w:cs="宋体"/>
          <w:color w:val="auto"/>
          <w:sz w:val="21"/>
          <w:szCs w:val="21"/>
          <w:highlight w:val="none"/>
        </w:rPr>
        <w:t>安排，完成有关管理事项。</w:t>
      </w:r>
      <w:bookmarkStart w:id="104" w:name="_Toc450859766"/>
      <w:bookmarkStart w:id="105" w:name="_Toc22961"/>
      <w:bookmarkStart w:id="106" w:name="_Toc433094820"/>
      <w:bookmarkStart w:id="107" w:name="_Toc113272942"/>
    </w:p>
    <w:p w14:paraId="417C6FE4">
      <w:pPr>
        <w:numPr>
          <w:ilvl w:val="0"/>
          <w:numId w:val="0"/>
        </w:numPr>
        <w:spacing w:line="360" w:lineRule="auto"/>
        <w:ind w:left="358" w:leftChars="0" w:hanging="42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kern w:val="2"/>
          <w:sz w:val="21"/>
          <w:szCs w:val="21"/>
          <w:lang w:val="en-US" w:eastAsia="zh-CN" w:bidi="ar-SA"/>
        </w:rPr>
        <w:t>三、</w:t>
      </w:r>
      <w:r>
        <w:rPr>
          <w:rFonts w:hint="eastAsia" w:ascii="宋体" w:hAnsi="宋体" w:eastAsia="宋体" w:cs="宋体"/>
          <w:b/>
          <w:bCs/>
          <w:color w:val="auto"/>
          <w:sz w:val="21"/>
          <w:szCs w:val="21"/>
          <w:highlight w:val="none"/>
          <w:lang w:val="en-US" w:eastAsia="zh-CN"/>
        </w:rPr>
        <w:t>主要参数</w:t>
      </w:r>
      <w:bookmarkEnd w:id="104"/>
      <w:bookmarkEnd w:id="105"/>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p>
    <w:p w14:paraId="2BE782A3">
      <w:pPr>
        <w:numPr>
          <w:ilvl w:val="0"/>
          <w:numId w:val="0"/>
        </w:numPr>
        <w:spacing w:line="360" w:lineRule="auto"/>
        <w:ind w:left="-62" w:leftChars="0"/>
        <w:jc w:val="center"/>
        <w:rPr>
          <w:rFonts w:hint="eastAsia" w:ascii="宋体" w:hAnsi="宋体" w:eastAsia="宋体" w:cs="宋体"/>
          <w:color w:val="auto"/>
          <w:kern w:val="0"/>
          <w:sz w:val="28"/>
          <w:szCs w:val="28"/>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主要设备参数表</w:t>
      </w:r>
    </w:p>
    <w:tbl>
      <w:tblPr>
        <w:tblStyle w:val="80"/>
        <w:tblW w:w="9615" w:type="dxa"/>
        <w:tblInd w:w="-218" w:type="dxa"/>
        <w:tblLayout w:type="fixed"/>
        <w:tblCellMar>
          <w:top w:w="0" w:type="dxa"/>
          <w:left w:w="108" w:type="dxa"/>
          <w:bottom w:w="0" w:type="dxa"/>
          <w:right w:w="108" w:type="dxa"/>
        </w:tblCellMar>
      </w:tblPr>
      <w:tblGrid>
        <w:gridCol w:w="2025"/>
        <w:gridCol w:w="5865"/>
        <w:gridCol w:w="1725"/>
      </w:tblGrid>
      <w:tr w14:paraId="5DB6B90B">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15ACC47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设备名称：发电机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3台</w:t>
            </w:r>
            <w:r>
              <w:rPr>
                <w:rFonts w:hint="eastAsia" w:ascii="仿宋" w:hAnsi="仿宋" w:eastAsia="仿宋" w:cs="仿宋"/>
                <w:color w:val="auto"/>
                <w:kern w:val="0"/>
                <w:sz w:val="24"/>
                <w:szCs w:val="24"/>
                <w:highlight w:val="none"/>
                <w:lang w:eastAsia="zh-CN"/>
              </w:rPr>
              <w:t>）</w:t>
            </w:r>
          </w:p>
        </w:tc>
        <w:tc>
          <w:tcPr>
            <w:tcW w:w="1725" w:type="dxa"/>
            <w:tcBorders>
              <w:top w:val="single" w:color="auto" w:sz="4" w:space="0"/>
              <w:left w:val="nil"/>
              <w:bottom w:val="single" w:color="auto" w:sz="4" w:space="0"/>
              <w:right w:val="single" w:color="auto" w:sz="4" w:space="0"/>
            </w:tcBorders>
            <w:noWrap/>
            <w:vAlign w:val="center"/>
          </w:tcPr>
          <w:p w14:paraId="2DD7BCE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备注</w:t>
            </w:r>
          </w:p>
        </w:tc>
      </w:tr>
      <w:tr w14:paraId="692EFD92">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79DD1B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型    号</w:t>
            </w:r>
          </w:p>
        </w:tc>
        <w:tc>
          <w:tcPr>
            <w:tcW w:w="5865" w:type="dxa"/>
            <w:tcBorders>
              <w:top w:val="nil"/>
              <w:left w:val="nil"/>
              <w:bottom w:val="single" w:color="auto" w:sz="4" w:space="0"/>
              <w:right w:val="single" w:color="auto" w:sz="4" w:space="0"/>
            </w:tcBorders>
            <w:noWrap/>
            <w:vAlign w:val="center"/>
          </w:tcPr>
          <w:p w14:paraId="6730A22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SF500-40/2800</w:t>
            </w:r>
          </w:p>
        </w:tc>
        <w:tc>
          <w:tcPr>
            <w:tcW w:w="1725" w:type="dxa"/>
            <w:tcBorders>
              <w:top w:val="nil"/>
              <w:left w:val="nil"/>
              <w:bottom w:val="single" w:color="auto" w:sz="4" w:space="0"/>
              <w:right w:val="single" w:color="auto" w:sz="4" w:space="0"/>
            </w:tcBorders>
            <w:noWrap/>
            <w:vAlign w:val="center"/>
          </w:tcPr>
          <w:p w14:paraId="0F44AD6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B7159D9">
        <w:tblPrEx>
          <w:tblCellMar>
            <w:top w:w="0" w:type="dxa"/>
            <w:left w:w="108" w:type="dxa"/>
            <w:bottom w:w="0" w:type="dxa"/>
            <w:right w:w="108" w:type="dxa"/>
          </w:tblCellMar>
        </w:tblPrEx>
        <w:trPr>
          <w:trHeight w:val="281" w:hRule="atLeast"/>
        </w:trPr>
        <w:tc>
          <w:tcPr>
            <w:tcW w:w="2025" w:type="dxa"/>
            <w:tcBorders>
              <w:top w:val="nil"/>
              <w:left w:val="single" w:color="auto" w:sz="4" w:space="0"/>
              <w:bottom w:val="single" w:color="auto" w:sz="4" w:space="0"/>
              <w:right w:val="single" w:color="auto" w:sz="4" w:space="0"/>
            </w:tcBorders>
            <w:noWrap/>
            <w:vAlign w:val="center"/>
          </w:tcPr>
          <w:p w14:paraId="5AC3B1D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额定功率</w:t>
            </w:r>
          </w:p>
        </w:tc>
        <w:tc>
          <w:tcPr>
            <w:tcW w:w="5865" w:type="dxa"/>
            <w:tcBorders>
              <w:top w:val="nil"/>
              <w:left w:val="nil"/>
              <w:bottom w:val="single" w:color="auto" w:sz="4" w:space="0"/>
              <w:right w:val="single" w:color="auto" w:sz="4" w:space="0"/>
            </w:tcBorders>
            <w:noWrap/>
            <w:vAlign w:val="center"/>
          </w:tcPr>
          <w:p w14:paraId="4D04D7D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625KVA</w:t>
            </w:r>
          </w:p>
        </w:tc>
        <w:tc>
          <w:tcPr>
            <w:tcW w:w="1725" w:type="dxa"/>
            <w:tcBorders>
              <w:top w:val="nil"/>
              <w:left w:val="nil"/>
              <w:bottom w:val="single" w:color="auto" w:sz="4" w:space="0"/>
              <w:right w:val="single" w:color="auto" w:sz="4" w:space="0"/>
            </w:tcBorders>
            <w:noWrap/>
            <w:vAlign w:val="center"/>
          </w:tcPr>
          <w:p w14:paraId="3A18E4D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EEABC0C">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DD5548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额定电压</w:t>
            </w:r>
          </w:p>
        </w:tc>
        <w:tc>
          <w:tcPr>
            <w:tcW w:w="5865" w:type="dxa"/>
            <w:tcBorders>
              <w:top w:val="nil"/>
              <w:left w:val="nil"/>
              <w:bottom w:val="single" w:color="auto" w:sz="4" w:space="0"/>
              <w:right w:val="single" w:color="auto" w:sz="4" w:space="0"/>
            </w:tcBorders>
            <w:noWrap/>
            <w:vAlign w:val="center"/>
          </w:tcPr>
          <w:p w14:paraId="7344858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400V</w:t>
            </w:r>
          </w:p>
        </w:tc>
        <w:tc>
          <w:tcPr>
            <w:tcW w:w="1725" w:type="dxa"/>
            <w:tcBorders>
              <w:top w:val="nil"/>
              <w:left w:val="nil"/>
              <w:bottom w:val="single" w:color="auto" w:sz="4" w:space="0"/>
              <w:right w:val="single" w:color="auto" w:sz="4" w:space="0"/>
            </w:tcBorders>
            <w:noWrap/>
            <w:vAlign w:val="center"/>
          </w:tcPr>
          <w:p w14:paraId="6ABEF67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19C7931">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522839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额定电流</w:t>
            </w:r>
          </w:p>
        </w:tc>
        <w:tc>
          <w:tcPr>
            <w:tcW w:w="5865" w:type="dxa"/>
            <w:tcBorders>
              <w:top w:val="nil"/>
              <w:left w:val="nil"/>
              <w:bottom w:val="single" w:color="auto" w:sz="4" w:space="0"/>
              <w:right w:val="single" w:color="auto" w:sz="4" w:space="0"/>
            </w:tcBorders>
            <w:noWrap/>
            <w:vAlign w:val="center"/>
          </w:tcPr>
          <w:p w14:paraId="182FDC5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902.1</w:t>
            </w:r>
            <w:r>
              <w:rPr>
                <w:rFonts w:hint="eastAsia" w:ascii="仿宋" w:hAnsi="仿宋" w:eastAsia="仿宋" w:cs="仿宋"/>
                <w:color w:val="auto"/>
                <w:kern w:val="0"/>
                <w:sz w:val="24"/>
                <w:szCs w:val="24"/>
                <w:highlight w:val="none"/>
              </w:rPr>
              <w:t>A</w:t>
            </w:r>
          </w:p>
        </w:tc>
        <w:tc>
          <w:tcPr>
            <w:tcW w:w="1725" w:type="dxa"/>
            <w:tcBorders>
              <w:top w:val="nil"/>
              <w:left w:val="nil"/>
              <w:bottom w:val="single" w:color="auto" w:sz="4" w:space="0"/>
              <w:right w:val="single" w:color="auto" w:sz="4" w:space="0"/>
            </w:tcBorders>
            <w:noWrap/>
            <w:vAlign w:val="center"/>
          </w:tcPr>
          <w:p w14:paraId="652D110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40ECCAA">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3937C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功率因数</w:t>
            </w:r>
          </w:p>
        </w:tc>
        <w:tc>
          <w:tcPr>
            <w:tcW w:w="5865" w:type="dxa"/>
            <w:tcBorders>
              <w:top w:val="nil"/>
              <w:left w:val="nil"/>
              <w:bottom w:val="single" w:color="auto" w:sz="4" w:space="0"/>
              <w:right w:val="single" w:color="auto" w:sz="4" w:space="0"/>
            </w:tcBorders>
            <w:noWrap/>
            <w:vAlign w:val="center"/>
          </w:tcPr>
          <w:p w14:paraId="41277B0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0.8</w:t>
            </w:r>
            <w:r>
              <w:rPr>
                <w:rFonts w:hint="eastAsia" w:ascii="仿宋" w:hAnsi="仿宋" w:eastAsia="仿宋" w:cs="仿宋"/>
                <w:color w:val="auto"/>
                <w:kern w:val="0"/>
                <w:sz w:val="24"/>
                <w:szCs w:val="24"/>
                <w:highlight w:val="none"/>
                <w:lang w:val="en-US" w:eastAsia="zh-CN"/>
              </w:rPr>
              <w:t>0</w:t>
            </w:r>
          </w:p>
        </w:tc>
        <w:tc>
          <w:tcPr>
            <w:tcW w:w="1725" w:type="dxa"/>
            <w:tcBorders>
              <w:top w:val="nil"/>
              <w:left w:val="nil"/>
              <w:bottom w:val="single" w:color="auto" w:sz="4" w:space="0"/>
              <w:right w:val="single" w:color="auto" w:sz="4" w:space="0"/>
            </w:tcBorders>
            <w:noWrap/>
            <w:vAlign w:val="center"/>
          </w:tcPr>
          <w:p w14:paraId="24046B4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B4067B6">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1C88C1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频率</w:t>
            </w:r>
          </w:p>
        </w:tc>
        <w:tc>
          <w:tcPr>
            <w:tcW w:w="5865" w:type="dxa"/>
            <w:tcBorders>
              <w:top w:val="nil"/>
              <w:left w:val="nil"/>
              <w:bottom w:val="single" w:color="auto" w:sz="4" w:space="0"/>
              <w:right w:val="single" w:color="auto" w:sz="4" w:space="0"/>
            </w:tcBorders>
            <w:noWrap/>
            <w:vAlign w:val="center"/>
          </w:tcPr>
          <w:p w14:paraId="6016A7EF">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50HZ</w:t>
            </w:r>
          </w:p>
        </w:tc>
        <w:tc>
          <w:tcPr>
            <w:tcW w:w="1725" w:type="dxa"/>
            <w:tcBorders>
              <w:top w:val="nil"/>
              <w:left w:val="nil"/>
              <w:bottom w:val="single" w:color="auto" w:sz="4" w:space="0"/>
              <w:right w:val="single" w:color="auto" w:sz="4" w:space="0"/>
            </w:tcBorders>
            <w:noWrap/>
            <w:vAlign w:val="center"/>
          </w:tcPr>
          <w:p w14:paraId="15E8A54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p>
        </w:tc>
      </w:tr>
      <w:tr w14:paraId="6EF9195C">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D462A1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    法</w:t>
            </w:r>
          </w:p>
        </w:tc>
        <w:tc>
          <w:tcPr>
            <w:tcW w:w="5865" w:type="dxa"/>
            <w:tcBorders>
              <w:top w:val="nil"/>
              <w:left w:val="nil"/>
              <w:bottom w:val="single" w:color="auto" w:sz="4" w:space="0"/>
              <w:right w:val="single" w:color="auto" w:sz="4" w:space="0"/>
            </w:tcBorders>
            <w:noWrap/>
            <w:vAlign w:val="center"/>
          </w:tcPr>
          <w:p w14:paraId="2C332A9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w:t>
            </w:r>
          </w:p>
        </w:tc>
        <w:tc>
          <w:tcPr>
            <w:tcW w:w="1725" w:type="dxa"/>
            <w:tcBorders>
              <w:top w:val="nil"/>
              <w:left w:val="nil"/>
              <w:bottom w:val="single" w:color="auto" w:sz="4" w:space="0"/>
              <w:right w:val="single" w:color="auto" w:sz="4" w:space="0"/>
            </w:tcBorders>
            <w:noWrap/>
            <w:vAlign w:val="center"/>
          </w:tcPr>
          <w:p w14:paraId="2C95737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9FAEFC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DEFCA0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额定励磁电压</w:t>
            </w:r>
          </w:p>
        </w:tc>
        <w:tc>
          <w:tcPr>
            <w:tcW w:w="5865" w:type="dxa"/>
            <w:tcBorders>
              <w:top w:val="nil"/>
              <w:left w:val="nil"/>
              <w:bottom w:val="single" w:color="auto" w:sz="4" w:space="0"/>
              <w:right w:val="single" w:color="auto" w:sz="4" w:space="0"/>
            </w:tcBorders>
            <w:noWrap/>
            <w:vAlign w:val="center"/>
          </w:tcPr>
          <w:p w14:paraId="5C4911B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117</w:t>
            </w:r>
            <w:r>
              <w:rPr>
                <w:rFonts w:hint="eastAsia" w:ascii="仿宋" w:hAnsi="仿宋" w:eastAsia="仿宋" w:cs="仿宋"/>
                <w:color w:val="auto"/>
                <w:kern w:val="0"/>
                <w:sz w:val="24"/>
                <w:szCs w:val="24"/>
                <w:highlight w:val="none"/>
              </w:rPr>
              <w:t>V</w:t>
            </w:r>
          </w:p>
        </w:tc>
        <w:tc>
          <w:tcPr>
            <w:tcW w:w="1725" w:type="dxa"/>
            <w:tcBorders>
              <w:top w:val="nil"/>
              <w:left w:val="nil"/>
              <w:bottom w:val="single" w:color="auto" w:sz="4" w:space="0"/>
              <w:right w:val="single" w:color="auto" w:sz="4" w:space="0"/>
            </w:tcBorders>
            <w:noWrap/>
            <w:vAlign w:val="center"/>
          </w:tcPr>
          <w:p w14:paraId="7EB8E8D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9AD9CF1">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B1C602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额定励磁电流</w:t>
            </w:r>
          </w:p>
        </w:tc>
        <w:tc>
          <w:tcPr>
            <w:tcW w:w="5865" w:type="dxa"/>
            <w:tcBorders>
              <w:top w:val="nil"/>
              <w:left w:val="nil"/>
              <w:bottom w:val="single" w:color="auto" w:sz="4" w:space="0"/>
              <w:right w:val="single" w:color="auto" w:sz="4" w:space="0"/>
            </w:tcBorders>
            <w:noWrap/>
            <w:vAlign w:val="center"/>
          </w:tcPr>
          <w:p w14:paraId="3F1E402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241</w:t>
            </w:r>
            <w:r>
              <w:rPr>
                <w:rFonts w:hint="eastAsia" w:ascii="仿宋" w:hAnsi="仿宋" w:eastAsia="仿宋" w:cs="仿宋"/>
                <w:color w:val="auto"/>
                <w:kern w:val="0"/>
                <w:sz w:val="24"/>
                <w:szCs w:val="24"/>
                <w:highlight w:val="none"/>
              </w:rPr>
              <w:t>A</w:t>
            </w:r>
          </w:p>
        </w:tc>
        <w:tc>
          <w:tcPr>
            <w:tcW w:w="1725" w:type="dxa"/>
            <w:tcBorders>
              <w:top w:val="nil"/>
              <w:left w:val="nil"/>
              <w:bottom w:val="single" w:color="auto" w:sz="4" w:space="0"/>
              <w:right w:val="single" w:color="auto" w:sz="4" w:space="0"/>
            </w:tcBorders>
            <w:noWrap/>
            <w:vAlign w:val="center"/>
          </w:tcPr>
          <w:p w14:paraId="1E55BE1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E86D2E1">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B96DA3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绝缘等级</w:t>
            </w:r>
          </w:p>
        </w:tc>
        <w:tc>
          <w:tcPr>
            <w:tcW w:w="5865" w:type="dxa"/>
            <w:tcBorders>
              <w:top w:val="nil"/>
              <w:left w:val="nil"/>
              <w:bottom w:val="single" w:color="auto" w:sz="4" w:space="0"/>
              <w:right w:val="single" w:color="auto" w:sz="4" w:space="0"/>
            </w:tcBorders>
            <w:noWrap/>
            <w:vAlign w:val="center"/>
          </w:tcPr>
          <w:p w14:paraId="74DC021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B/B</w:t>
            </w:r>
          </w:p>
        </w:tc>
        <w:tc>
          <w:tcPr>
            <w:tcW w:w="1725" w:type="dxa"/>
            <w:tcBorders>
              <w:top w:val="nil"/>
              <w:left w:val="nil"/>
              <w:bottom w:val="single" w:color="auto" w:sz="4" w:space="0"/>
              <w:right w:val="single" w:color="auto" w:sz="4" w:space="0"/>
            </w:tcBorders>
            <w:noWrap/>
            <w:vAlign w:val="center"/>
          </w:tcPr>
          <w:p w14:paraId="212847D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681A28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514315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    数</w:t>
            </w:r>
          </w:p>
        </w:tc>
        <w:tc>
          <w:tcPr>
            <w:tcW w:w="5865" w:type="dxa"/>
            <w:tcBorders>
              <w:top w:val="nil"/>
              <w:left w:val="nil"/>
              <w:bottom w:val="single" w:color="auto" w:sz="4" w:space="0"/>
              <w:right w:val="single" w:color="auto" w:sz="4" w:space="0"/>
            </w:tcBorders>
            <w:noWrap/>
            <w:vAlign w:val="center"/>
          </w:tcPr>
          <w:p w14:paraId="7EED33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725" w:type="dxa"/>
            <w:tcBorders>
              <w:top w:val="nil"/>
              <w:left w:val="nil"/>
              <w:bottom w:val="single" w:color="auto" w:sz="4" w:space="0"/>
              <w:right w:val="single" w:color="auto" w:sz="4" w:space="0"/>
            </w:tcBorders>
            <w:noWrap/>
            <w:vAlign w:val="center"/>
          </w:tcPr>
          <w:p w14:paraId="446985F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2EF2830">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49CB31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额定转速</w:t>
            </w:r>
          </w:p>
        </w:tc>
        <w:tc>
          <w:tcPr>
            <w:tcW w:w="5865" w:type="dxa"/>
            <w:tcBorders>
              <w:top w:val="nil"/>
              <w:left w:val="nil"/>
              <w:bottom w:val="single" w:color="auto" w:sz="4" w:space="0"/>
              <w:right w:val="single" w:color="auto" w:sz="4" w:space="0"/>
            </w:tcBorders>
            <w:noWrap/>
            <w:vAlign w:val="center"/>
          </w:tcPr>
          <w:p w14:paraId="043C0D2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50r/min</w:t>
            </w:r>
          </w:p>
        </w:tc>
        <w:tc>
          <w:tcPr>
            <w:tcW w:w="1725" w:type="dxa"/>
            <w:tcBorders>
              <w:top w:val="nil"/>
              <w:left w:val="nil"/>
              <w:bottom w:val="single" w:color="auto" w:sz="4" w:space="0"/>
              <w:right w:val="single" w:color="auto" w:sz="4" w:space="0"/>
            </w:tcBorders>
            <w:noWrap/>
            <w:vAlign w:val="center"/>
          </w:tcPr>
          <w:p w14:paraId="1A9E751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D50251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BC759F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飞</w:t>
            </w:r>
            <w:r>
              <w:rPr>
                <w:rFonts w:hint="eastAsia" w:ascii="仿宋" w:hAnsi="仿宋" w:eastAsia="仿宋" w:cs="仿宋"/>
                <w:color w:val="auto"/>
                <w:kern w:val="0"/>
                <w:sz w:val="24"/>
                <w:szCs w:val="24"/>
                <w:highlight w:val="none"/>
                <w:lang w:val="en-US" w:eastAsia="zh-CN"/>
              </w:rPr>
              <w:t>逸</w:t>
            </w:r>
            <w:r>
              <w:rPr>
                <w:rFonts w:hint="eastAsia" w:ascii="仿宋" w:hAnsi="仿宋" w:eastAsia="仿宋" w:cs="仿宋"/>
                <w:color w:val="auto"/>
                <w:kern w:val="0"/>
                <w:sz w:val="24"/>
                <w:szCs w:val="24"/>
                <w:highlight w:val="none"/>
              </w:rPr>
              <w:t>转速</w:t>
            </w:r>
          </w:p>
        </w:tc>
        <w:tc>
          <w:tcPr>
            <w:tcW w:w="5865" w:type="dxa"/>
            <w:tcBorders>
              <w:top w:val="nil"/>
              <w:left w:val="nil"/>
              <w:bottom w:val="single" w:color="auto" w:sz="4" w:space="0"/>
              <w:right w:val="single" w:color="auto" w:sz="4" w:space="0"/>
            </w:tcBorders>
            <w:noWrap/>
            <w:vAlign w:val="center"/>
          </w:tcPr>
          <w:p w14:paraId="620C2BD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360</w:t>
            </w:r>
            <w:r>
              <w:rPr>
                <w:rFonts w:hint="eastAsia" w:ascii="仿宋" w:hAnsi="仿宋" w:eastAsia="仿宋" w:cs="仿宋"/>
                <w:color w:val="auto"/>
                <w:kern w:val="0"/>
                <w:sz w:val="24"/>
                <w:szCs w:val="24"/>
                <w:highlight w:val="none"/>
              </w:rPr>
              <w:t>r/min</w:t>
            </w:r>
          </w:p>
        </w:tc>
        <w:tc>
          <w:tcPr>
            <w:tcW w:w="1725" w:type="dxa"/>
            <w:tcBorders>
              <w:top w:val="nil"/>
              <w:left w:val="nil"/>
              <w:bottom w:val="single" w:color="auto" w:sz="4" w:space="0"/>
              <w:right w:val="single" w:color="auto" w:sz="4" w:space="0"/>
            </w:tcBorders>
            <w:noWrap/>
            <w:vAlign w:val="center"/>
          </w:tcPr>
          <w:p w14:paraId="225856B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5A3F08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43D776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标准编码</w:t>
            </w:r>
          </w:p>
        </w:tc>
        <w:tc>
          <w:tcPr>
            <w:tcW w:w="5865" w:type="dxa"/>
            <w:tcBorders>
              <w:top w:val="nil"/>
              <w:left w:val="nil"/>
              <w:bottom w:val="single" w:color="auto" w:sz="4" w:space="0"/>
              <w:right w:val="single" w:color="auto" w:sz="4" w:space="0"/>
            </w:tcBorders>
            <w:noWrap/>
            <w:vAlign w:val="center"/>
          </w:tcPr>
          <w:p w14:paraId="18D11D3E">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GB7894-87</w:t>
            </w:r>
          </w:p>
        </w:tc>
        <w:tc>
          <w:tcPr>
            <w:tcW w:w="1725" w:type="dxa"/>
            <w:tcBorders>
              <w:top w:val="nil"/>
              <w:left w:val="nil"/>
              <w:bottom w:val="single" w:color="auto" w:sz="4" w:space="0"/>
              <w:right w:val="single" w:color="auto" w:sz="4" w:space="0"/>
            </w:tcBorders>
            <w:noWrap/>
            <w:vAlign w:val="center"/>
          </w:tcPr>
          <w:p w14:paraId="43F2F72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p>
        </w:tc>
      </w:tr>
      <w:tr w14:paraId="4BEE2EE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C049B5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出厂编号</w:t>
            </w:r>
          </w:p>
        </w:tc>
        <w:tc>
          <w:tcPr>
            <w:tcW w:w="5865" w:type="dxa"/>
            <w:tcBorders>
              <w:top w:val="nil"/>
              <w:left w:val="nil"/>
              <w:bottom w:val="single" w:color="auto" w:sz="4" w:space="0"/>
              <w:right w:val="single" w:color="auto" w:sz="4" w:space="0"/>
            </w:tcBorders>
            <w:noWrap/>
            <w:vAlign w:val="center"/>
          </w:tcPr>
          <w:p w14:paraId="12F4107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99-0047</w:t>
            </w:r>
          </w:p>
        </w:tc>
        <w:tc>
          <w:tcPr>
            <w:tcW w:w="1725" w:type="dxa"/>
            <w:tcBorders>
              <w:top w:val="nil"/>
              <w:left w:val="nil"/>
              <w:bottom w:val="single" w:color="auto" w:sz="4" w:space="0"/>
              <w:right w:val="single" w:color="auto" w:sz="4" w:space="0"/>
            </w:tcBorders>
            <w:noWrap/>
            <w:vAlign w:val="center"/>
          </w:tcPr>
          <w:p w14:paraId="536CCF2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78933F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C6C27D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出厂年月</w:t>
            </w:r>
          </w:p>
        </w:tc>
        <w:tc>
          <w:tcPr>
            <w:tcW w:w="5865" w:type="dxa"/>
            <w:tcBorders>
              <w:top w:val="nil"/>
              <w:left w:val="nil"/>
              <w:bottom w:val="single" w:color="auto" w:sz="4" w:space="0"/>
              <w:right w:val="single" w:color="auto" w:sz="4" w:space="0"/>
            </w:tcBorders>
            <w:noWrap/>
            <w:vAlign w:val="center"/>
          </w:tcPr>
          <w:p w14:paraId="213004F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1999</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月</w:t>
            </w:r>
          </w:p>
        </w:tc>
        <w:tc>
          <w:tcPr>
            <w:tcW w:w="1725" w:type="dxa"/>
            <w:tcBorders>
              <w:top w:val="nil"/>
              <w:left w:val="nil"/>
              <w:bottom w:val="single" w:color="auto" w:sz="4" w:space="0"/>
              <w:right w:val="single" w:color="auto" w:sz="4" w:space="0"/>
            </w:tcBorders>
            <w:noWrap/>
            <w:vAlign w:val="center"/>
          </w:tcPr>
          <w:p w14:paraId="059E30D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7A54930">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F37CE3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出厂厂家</w:t>
            </w:r>
          </w:p>
        </w:tc>
        <w:tc>
          <w:tcPr>
            <w:tcW w:w="5865" w:type="dxa"/>
            <w:tcBorders>
              <w:top w:val="nil"/>
              <w:left w:val="nil"/>
              <w:bottom w:val="single" w:color="auto" w:sz="4" w:space="0"/>
              <w:right w:val="single" w:color="auto" w:sz="4" w:space="0"/>
            </w:tcBorders>
            <w:noWrap/>
            <w:vAlign w:val="center"/>
          </w:tcPr>
          <w:p w14:paraId="10724CD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广东省化州水轮厂</w:t>
            </w:r>
          </w:p>
        </w:tc>
        <w:tc>
          <w:tcPr>
            <w:tcW w:w="1725" w:type="dxa"/>
            <w:tcBorders>
              <w:top w:val="nil"/>
              <w:left w:val="nil"/>
              <w:bottom w:val="single" w:color="auto" w:sz="4" w:space="0"/>
              <w:right w:val="single" w:color="auto" w:sz="4" w:space="0"/>
            </w:tcBorders>
            <w:noWrap/>
            <w:vAlign w:val="center"/>
          </w:tcPr>
          <w:p w14:paraId="16DDC14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14517EE">
        <w:tblPrEx>
          <w:tblCellMar>
            <w:top w:w="0" w:type="dxa"/>
            <w:left w:w="108" w:type="dxa"/>
            <w:bottom w:w="0" w:type="dxa"/>
            <w:right w:w="108" w:type="dxa"/>
          </w:tblCellMar>
        </w:tblPrEx>
        <w:trPr>
          <w:trHeight w:val="283" w:hRule="atLeast"/>
        </w:trPr>
        <w:tc>
          <w:tcPr>
            <w:tcW w:w="9615" w:type="dxa"/>
            <w:gridSpan w:val="3"/>
            <w:tcBorders>
              <w:top w:val="nil"/>
              <w:left w:val="nil"/>
              <w:bottom w:val="nil"/>
              <w:right w:val="nil"/>
            </w:tcBorders>
            <w:noWrap/>
            <w:vAlign w:val="center"/>
          </w:tcPr>
          <w:p w14:paraId="6DD2641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lang w:val="en-US" w:eastAsia="zh-CN"/>
              </w:rPr>
            </w:pPr>
          </w:p>
          <w:p w14:paraId="074D20B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   2.</w:t>
            </w:r>
            <w:r>
              <w:rPr>
                <w:rFonts w:hint="eastAsia" w:ascii="仿宋" w:hAnsi="仿宋" w:eastAsia="仿宋" w:cs="仿宋"/>
                <w:b/>
                <w:bCs/>
                <w:color w:val="auto"/>
                <w:kern w:val="0"/>
                <w:sz w:val="24"/>
                <w:szCs w:val="24"/>
                <w:highlight w:val="none"/>
              </w:rPr>
              <w:t>主要设备参数表</w:t>
            </w:r>
          </w:p>
        </w:tc>
      </w:tr>
      <w:tr w14:paraId="50B3CE27">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18ED97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设备名称：水轮机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3台</w:t>
            </w:r>
            <w:r>
              <w:rPr>
                <w:rFonts w:hint="eastAsia" w:ascii="仿宋" w:hAnsi="仿宋" w:eastAsia="仿宋" w:cs="仿宋"/>
                <w:color w:val="auto"/>
                <w:kern w:val="0"/>
                <w:sz w:val="24"/>
                <w:szCs w:val="24"/>
                <w:highlight w:val="none"/>
                <w:lang w:eastAsia="zh-CN"/>
              </w:rPr>
              <w:t>）</w:t>
            </w:r>
          </w:p>
        </w:tc>
        <w:tc>
          <w:tcPr>
            <w:tcW w:w="1725" w:type="dxa"/>
            <w:tcBorders>
              <w:top w:val="single" w:color="auto" w:sz="4" w:space="0"/>
              <w:left w:val="nil"/>
              <w:bottom w:val="single" w:color="auto" w:sz="4" w:space="0"/>
              <w:right w:val="single" w:color="auto" w:sz="4" w:space="0"/>
            </w:tcBorders>
            <w:noWrap/>
            <w:vAlign w:val="center"/>
          </w:tcPr>
          <w:p w14:paraId="2B10E39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备注</w:t>
            </w:r>
          </w:p>
        </w:tc>
      </w:tr>
      <w:tr w14:paraId="2B2453F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A01C5B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型   号</w:t>
            </w:r>
          </w:p>
        </w:tc>
        <w:tc>
          <w:tcPr>
            <w:tcW w:w="5865" w:type="dxa"/>
            <w:tcBorders>
              <w:top w:val="nil"/>
              <w:left w:val="nil"/>
              <w:bottom w:val="single" w:color="auto" w:sz="4" w:space="0"/>
              <w:right w:val="single" w:color="auto" w:sz="4" w:space="0"/>
            </w:tcBorders>
            <w:noWrap/>
            <w:vAlign w:val="center"/>
          </w:tcPr>
          <w:p w14:paraId="09586117">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ZD830-LH-200</w:t>
            </w:r>
          </w:p>
        </w:tc>
        <w:tc>
          <w:tcPr>
            <w:tcW w:w="1725" w:type="dxa"/>
            <w:tcBorders>
              <w:top w:val="nil"/>
              <w:left w:val="nil"/>
              <w:bottom w:val="single" w:color="auto" w:sz="4" w:space="0"/>
              <w:right w:val="single" w:color="auto" w:sz="4" w:space="0"/>
            </w:tcBorders>
            <w:noWrap/>
            <w:vAlign w:val="center"/>
          </w:tcPr>
          <w:p w14:paraId="0306DC6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BC788FE">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3B15AF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   率</w:t>
            </w:r>
          </w:p>
        </w:tc>
        <w:tc>
          <w:tcPr>
            <w:tcW w:w="5865" w:type="dxa"/>
            <w:tcBorders>
              <w:top w:val="nil"/>
              <w:left w:val="nil"/>
              <w:bottom w:val="single" w:color="auto" w:sz="4" w:space="0"/>
              <w:right w:val="single" w:color="auto" w:sz="4" w:space="0"/>
            </w:tcBorders>
            <w:noWrap/>
            <w:vAlign w:val="center"/>
          </w:tcPr>
          <w:p w14:paraId="7A85EEE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557</w:t>
            </w:r>
            <w:r>
              <w:rPr>
                <w:rFonts w:hint="eastAsia" w:ascii="仿宋" w:hAnsi="仿宋" w:eastAsia="仿宋" w:cs="仿宋"/>
                <w:color w:val="auto"/>
                <w:kern w:val="0"/>
                <w:sz w:val="24"/>
                <w:szCs w:val="24"/>
                <w:highlight w:val="none"/>
              </w:rPr>
              <w:t>KW</w:t>
            </w:r>
          </w:p>
        </w:tc>
        <w:tc>
          <w:tcPr>
            <w:tcW w:w="1725" w:type="dxa"/>
            <w:tcBorders>
              <w:top w:val="nil"/>
              <w:left w:val="nil"/>
              <w:bottom w:val="single" w:color="auto" w:sz="4" w:space="0"/>
              <w:right w:val="single" w:color="auto" w:sz="4" w:space="0"/>
            </w:tcBorders>
            <w:noWrap/>
            <w:vAlign w:val="center"/>
          </w:tcPr>
          <w:p w14:paraId="5F263E4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370C5BA">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9B3286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流   量</w:t>
            </w:r>
          </w:p>
        </w:tc>
        <w:tc>
          <w:tcPr>
            <w:tcW w:w="5865" w:type="dxa"/>
            <w:tcBorders>
              <w:top w:val="nil"/>
              <w:left w:val="nil"/>
              <w:bottom w:val="single" w:color="auto" w:sz="4" w:space="0"/>
              <w:right w:val="single" w:color="auto" w:sz="4" w:space="0"/>
            </w:tcBorders>
            <w:noWrap/>
            <w:vAlign w:val="center"/>
          </w:tcPr>
          <w:p w14:paraId="5D6C0D7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18.7</w:t>
            </w:r>
            <w:r>
              <w:rPr>
                <w:rFonts w:hint="eastAsia" w:ascii="仿宋" w:hAnsi="仿宋" w:eastAsia="仿宋" w:cs="仿宋"/>
                <w:color w:val="auto"/>
                <w:kern w:val="0"/>
                <w:sz w:val="24"/>
                <w:szCs w:val="24"/>
                <w:highlight w:val="none"/>
              </w:rPr>
              <w:t>米/秒</w:t>
            </w:r>
          </w:p>
        </w:tc>
        <w:tc>
          <w:tcPr>
            <w:tcW w:w="1725" w:type="dxa"/>
            <w:tcBorders>
              <w:top w:val="nil"/>
              <w:left w:val="nil"/>
              <w:bottom w:val="single" w:color="auto" w:sz="4" w:space="0"/>
              <w:right w:val="single" w:color="auto" w:sz="4" w:space="0"/>
            </w:tcBorders>
            <w:noWrap/>
            <w:vAlign w:val="center"/>
          </w:tcPr>
          <w:p w14:paraId="7F70755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9ABB22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C368D1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   头</w:t>
            </w:r>
          </w:p>
        </w:tc>
        <w:tc>
          <w:tcPr>
            <w:tcW w:w="5865" w:type="dxa"/>
            <w:tcBorders>
              <w:top w:val="nil"/>
              <w:left w:val="nil"/>
              <w:bottom w:val="single" w:color="auto" w:sz="4" w:space="0"/>
              <w:right w:val="single" w:color="auto" w:sz="4" w:space="0"/>
            </w:tcBorders>
            <w:noWrap/>
            <w:vAlign w:val="center"/>
          </w:tcPr>
          <w:p w14:paraId="32744BE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3.6</w:t>
            </w:r>
            <w:r>
              <w:rPr>
                <w:rFonts w:hint="eastAsia" w:ascii="仿宋" w:hAnsi="仿宋" w:eastAsia="仿宋" w:cs="仿宋"/>
                <w:color w:val="auto"/>
                <w:kern w:val="0"/>
                <w:sz w:val="24"/>
                <w:szCs w:val="24"/>
                <w:highlight w:val="none"/>
              </w:rPr>
              <w:t>米</w:t>
            </w:r>
          </w:p>
        </w:tc>
        <w:tc>
          <w:tcPr>
            <w:tcW w:w="1725" w:type="dxa"/>
            <w:tcBorders>
              <w:top w:val="nil"/>
              <w:left w:val="nil"/>
              <w:bottom w:val="single" w:color="auto" w:sz="4" w:space="0"/>
              <w:right w:val="single" w:color="auto" w:sz="4" w:space="0"/>
            </w:tcBorders>
            <w:noWrap/>
            <w:vAlign w:val="center"/>
          </w:tcPr>
          <w:p w14:paraId="38629C8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4857DA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124629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转   速</w:t>
            </w:r>
          </w:p>
        </w:tc>
        <w:tc>
          <w:tcPr>
            <w:tcW w:w="5865" w:type="dxa"/>
            <w:tcBorders>
              <w:top w:val="nil"/>
              <w:left w:val="nil"/>
              <w:bottom w:val="single" w:color="auto" w:sz="4" w:space="0"/>
              <w:right w:val="single" w:color="auto" w:sz="4" w:space="0"/>
            </w:tcBorders>
            <w:noWrap/>
            <w:vAlign w:val="center"/>
          </w:tcPr>
          <w:p w14:paraId="74C8D83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150</w:t>
            </w:r>
            <w:r>
              <w:rPr>
                <w:rFonts w:hint="eastAsia" w:ascii="仿宋" w:hAnsi="仿宋" w:eastAsia="仿宋" w:cs="仿宋"/>
                <w:color w:val="auto"/>
                <w:kern w:val="0"/>
                <w:sz w:val="24"/>
                <w:szCs w:val="24"/>
                <w:highlight w:val="none"/>
              </w:rPr>
              <w:t>转/分</w:t>
            </w:r>
          </w:p>
        </w:tc>
        <w:tc>
          <w:tcPr>
            <w:tcW w:w="1725" w:type="dxa"/>
            <w:tcBorders>
              <w:top w:val="nil"/>
              <w:left w:val="nil"/>
              <w:bottom w:val="single" w:color="auto" w:sz="4" w:space="0"/>
              <w:right w:val="single" w:color="auto" w:sz="4" w:space="0"/>
            </w:tcBorders>
            <w:noWrap/>
            <w:vAlign w:val="center"/>
          </w:tcPr>
          <w:p w14:paraId="34FB96F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5165366">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5A6C87F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标准编码</w:t>
            </w:r>
          </w:p>
        </w:tc>
        <w:tc>
          <w:tcPr>
            <w:tcW w:w="5865" w:type="dxa"/>
            <w:tcBorders>
              <w:top w:val="nil"/>
              <w:left w:val="nil"/>
              <w:bottom w:val="single" w:color="auto" w:sz="4" w:space="0"/>
              <w:right w:val="single" w:color="auto" w:sz="4" w:space="0"/>
            </w:tcBorders>
            <w:shd w:val="clear" w:color="auto" w:fill="auto"/>
            <w:noWrap/>
            <w:vAlign w:val="center"/>
          </w:tcPr>
          <w:p w14:paraId="3390A537">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GB/T15468-95</w:t>
            </w:r>
          </w:p>
        </w:tc>
        <w:tc>
          <w:tcPr>
            <w:tcW w:w="1725" w:type="dxa"/>
            <w:tcBorders>
              <w:top w:val="nil"/>
              <w:left w:val="nil"/>
              <w:bottom w:val="single" w:color="auto" w:sz="4" w:space="0"/>
              <w:right w:val="single" w:color="auto" w:sz="4" w:space="0"/>
            </w:tcBorders>
            <w:noWrap/>
            <w:vAlign w:val="center"/>
          </w:tcPr>
          <w:p w14:paraId="67E5AF6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1BCBB23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37F3E3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出厂编号</w:t>
            </w:r>
          </w:p>
        </w:tc>
        <w:tc>
          <w:tcPr>
            <w:tcW w:w="5865" w:type="dxa"/>
            <w:tcBorders>
              <w:top w:val="nil"/>
              <w:left w:val="nil"/>
              <w:bottom w:val="single" w:color="auto" w:sz="4" w:space="0"/>
              <w:right w:val="single" w:color="auto" w:sz="4" w:space="0"/>
            </w:tcBorders>
            <w:noWrap/>
            <w:vAlign w:val="center"/>
          </w:tcPr>
          <w:p w14:paraId="159B250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ZD990901</w:t>
            </w:r>
          </w:p>
        </w:tc>
        <w:tc>
          <w:tcPr>
            <w:tcW w:w="1725" w:type="dxa"/>
            <w:tcBorders>
              <w:top w:val="nil"/>
              <w:left w:val="nil"/>
              <w:bottom w:val="single" w:color="auto" w:sz="4" w:space="0"/>
              <w:right w:val="single" w:color="auto" w:sz="4" w:space="0"/>
            </w:tcBorders>
            <w:noWrap/>
            <w:vAlign w:val="center"/>
          </w:tcPr>
          <w:p w14:paraId="37D6E09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47D73C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40DAA0A8">
            <w:pPr>
              <w:keepNext w:val="0"/>
              <w:keepLines w:val="0"/>
              <w:suppressLineNumbers w:val="0"/>
              <w:spacing w:before="0" w:beforeAutospacing="0" w:after="0" w:afterAutospacing="0"/>
              <w:ind w:left="0" w:right="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出厂年月</w:t>
            </w:r>
          </w:p>
        </w:tc>
        <w:tc>
          <w:tcPr>
            <w:tcW w:w="5865" w:type="dxa"/>
            <w:tcBorders>
              <w:top w:val="single" w:color="auto" w:sz="4" w:space="0"/>
              <w:left w:val="nil"/>
              <w:bottom w:val="single" w:color="auto" w:sz="4" w:space="0"/>
              <w:right w:val="single" w:color="auto" w:sz="4" w:space="0"/>
            </w:tcBorders>
            <w:noWrap/>
            <w:vAlign w:val="center"/>
          </w:tcPr>
          <w:p w14:paraId="5FE77BA9">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1999年10月</w:t>
            </w:r>
          </w:p>
        </w:tc>
        <w:tc>
          <w:tcPr>
            <w:tcW w:w="1725" w:type="dxa"/>
            <w:tcBorders>
              <w:top w:val="single" w:color="auto" w:sz="4" w:space="0"/>
              <w:left w:val="nil"/>
              <w:bottom w:val="single" w:color="auto" w:sz="4" w:space="0"/>
              <w:right w:val="single" w:color="auto" w:sz="4" w:space="0"/>
            </w:tcBorders>
            <w:noWrap/>
            <w:vAlign w:val="center"/>
          </w:tcPr>
          <w:p w14:paraId="0ACC9AD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5E4DDC74">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67DD8ED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出厂厂家</w:t>
            </w:r>
          </w:p>
        </w:tc>
        <w:tc>
          <w:tcPr>
            <w:tcW w:w="5865" w:type="dxa"/>
            <w:tcBorders>
              <w:top w:val="single" w:color="auto" w:sz="4" w:space="0"/>
              <w:left w:val="single" w:color="auto" w:sz="4" w:space="0"/>
              <w:bottom w:val="single" w:color="auto" w:sz="4" w:space="0"/>
              <w:right w:val="single" w:color="auto" w:sz="4" w:space="0"/>
            </w:tcBorders>
            <w:noWrap/>
            <w:vAlign w:val="center"/>
          </w:tcPr>
          <w:p w14:paraId="081BC06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广东省化州水轮厂</w:t>
            </w:r>
          </w:p>
        </w:tc>
        <w:tc>
          <w:tcPr>
            <w:tcW w:w="1725" w:type="dxa"/>
            <w:tcBorders>
              <w:top w:val="single" w:color="auto" w:sz="4" w:space="0"/>
              <w:left w:val="single" w:color="auto" w:sz="4" w:space="0"/>
              <w:bottom w:val="single" w:color="auto" w:sz="4" w:space="0"/>
              <w:right w:val="single" w:color="auto" w:sz="4" w:space="0"/>
            </w:tcBorders>
            <w:noWrap/>
            <w:vAlign w:val="center"/>
          </w:tcPr>
          <w:p w14:paraId="0D7B506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6DF346F2">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3E6744D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noWrap/>
            <w:vAlign w:val="center"/>
          </w:tcPr>
          <w:p w14:paraId="2CDCA88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ign w:val="center"/>
          </w:tcPr>
          <w:p w14:paraId="37C4F6D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37A15D6A">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68075BCF">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充排泵(2台）</w:t>
            </w:r>
          </w:p>
        </w:tc>
        <w:tc>
          <w:tcPr>
            <w:tcW w:w="1725" w:type="dxa"/>
            <w:tcBorders>
              <w:top w:val="single" w:color="auto" w:sz="4" w:space="0"/>
              <w:left w:val="single" w:color="auto" w:sz="4" w:space="0"/>
              <w:bottom w:val="single" w:color="auto" w:sz="4" w:space="0"/>
              <w:right w:val="single" w:color="auto" w:sz="4" w:space="0"/>
            </w:tcBorders>
            <w:noWrap/>
            <w:vAlign w:val="center"/>
          </w:tcPr>
          <w:p w14:paraId="51DB96D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0006EB9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6570207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型号规格</w:t>
            </w:r>
          </w:p>
        </w:tc>
        <w:tc>
          <w:tcPr>
            <w:tcW w:w="5865" w:type="dxa"/>
            <w:tcBorders>
              <w:top w:val="single" w:color="auto" w:sz="4" w:space="0"/>
              <w:left w:val="nil"/>
              <w:bottom w:val="single" w:color="auto" w:sz="4" w:space="0"/>
              <w:right w:val="single" w:color="auto" w:sz="4" w:space="0"/>
            </w:tcBorders>
            <w:noWrap/>
            <w:vAlign w:val="center"/>
          </w:tcPr>
          <w:p w14:paraId="2AE1923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Y225S-4</w:t>
            </w:r>
          </w:p>
        </w:tc>
        <w:tc>
          <w:tcPr>
            <w:tcW w:w="1725" w:type="dxa"/>
            <w:tcBorders>
              <w:top w:val="single" w:color="auto" w:sz="4" w:space="0"/>
              <w:left w:val="nil"/>
              <w:bottom w:val="single" w:color="auto" w:sz="4" w:space="0"/>
              <w:right w:val="single" w:color="auto" w:sz="4" w:space="0"/>
            </w:tcBorders>
            <w:noWrap/>
            <w:vAlign w:val="center"/>
          </w:tcPr>
          <w:p w14:paraId="69EB32D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ED18FD0">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048A01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电压</w:t>
            </w:r>
          </w:p>
        </w:tc>
        <w:tc>
          <w:tcPr>
            <w:tcW w:w="5865" w:type="dxa"/>
            <w:tcBorders>
              <w:top w:val="nil"/>
              <w:left w:val="nil"/>
              <w:bottom w:val="single" w:color="auto" w:sz="4" w:space="0"/>
              <w:right w:val="single" w:color="auto" w:sz="4" w:space="0"/>
            </w:tcBorders>
            <w:noWrap/>
            <w:vAlign w:val="center"/>
          </w:tcPr>
          <w:p w14:paraId="0E355DF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380V</w:t>
            </w:r>
          </w:p>
        </w:tc>
        <w:tc>
          <w:tcPr>
            <w:tcW w:w="1725" w:type="dxa"/>
            <w:tcBorders>
              <w:top w:val="nil"/>
              <w:left w:val="nil"/>
              <w:bottom w:val="single" w:color="auto" w:sz="4" w:space="0"/>
              <w:right w:val="single" w:color="auto" w:sz="4" w:space="0"/>
            </w:tcBorders>
            <w:noWrap/>
            <w:vAlign w:val="center"/>
          </w:tcPr>
          <w:p w14:paraId="708DA07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76794A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64D714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电流</w:t>
            </w:r>
          </w:p>
        </w:tc>
        <w:tc>
          <w:tcPr>
            <w:tcW w:w="5865" w:type="dxa"/>
            <w:tcBorders>
              <w:top w:val="nil"/>
              <w:left w:val="nil"/>
              <w:bottom w:val="single" w:color="auto" w:sz="4" w:space="0"/>
              <w:right w:val="single" w:color="auto" w:sz="4" w:space="0"/>
            </w:tcBorders>
            <w:noWrap/>
            <w:vAlign w:val="center"/>
          </w:tcPr>
          <w:p w14:paraId="551E1A84">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69.4A</w:t>
            </w:r>
          </w:p>
        </w:tc>
        <w:tc>
          <w:tcPr>
            <w:tcW w:w="1725" w:type="dxa"/>
            <w:tcBorders>
              <w:top w:val="nil"/>
              <w:left w:val="nil"/>
              <w:bottom w:val="single" w:color="auto" w:sz="4" w:space="0"/>
              <w:right w:val="single" w:color="auto" w:sz="4" w:space="0"/>
            </w:tcBorders>
            <w:noWrap/>
            <w:vAlign w:val="center"/>
          </w:tcPr>
          <w:p w14:paraId="4F4A898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29B9664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363928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电机功率</w:t>
            </w:r>
          </w:p>
        </w:tc>
        <w:tc>
          <w:tcPr>
            <w:tcW w:w="5865" w:type="dxa"/>
            <w:tcBorders>
              <w:top w:val="nil"/>
              <w:left w:val="nil"/>
              <w:bottom w:val="single" w:color="auto" w:sz="4" w:space="0"/>
              <w:right w:val="single" w:color="auto" w:sz="4" w:space="0"/>
            </w:tcBorders>
            <w:noWrap/>
            <w:vAlign w:val="center"/>
          </w:tcPr>
          <w:p w14:paraId="4B531DD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37</w:t>
            </w:r>
            <w:r>
              <w:rPr>
                <w:rFonts w:hint="eastAsia" w:ascii="仿宋" w:hAnsi="仿宋" w:eastAsia="仿宋" w:cs="仿宋"/>
                <w:color w:val="auto"/>
                <w:kern w:val="0"/>
                <w:sz w:val="24"/>
                <w:szCs w:val="24"/>
                <w:highlight w:val="none"/>
              </w:rPr>
              <w:t>KW</w:t>
            </w:r>
          </w:p>
        </w:tc>
        <w:tc>
          <w:tcPr>
            <w:tcW w:w="1725" w:type="dxa"/>
            <w:tcBorders>
              <w:top w:val="nil"/>
              <w:left w:val="nil"/>
              <w:bottom w:val="single" w:color="auto" w:sz="4" w:space="0"/>
              <w:right w:val="single" w:color="auto" w:sz="4" w:space="0"/>
            </w:tcBorders>
            <w:noWrap/>
            <w:vAlign w:val="center"/>
          </w:tcPr>
          <w:p w14:paraId="3851A10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EF3595C">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C580EA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接法</w:t>
            </w:r>
          </w:p>
        </w:tc>
        <w:tc>
          <w:tcPr>
            <w:tcW w:w="5865" w:type="dxa"/>
            <w:tcBorders>
              <w:top w:val="nil"/>
              <w:left w:val="nil"/>
              <w:bottom w:val="single" w:color="auto" w:sz="4" w:space="0"/>
              <w:right w:val="single" w:color="auto" w:sz="4" w:space="0"/>
            </w:tcBorders>
            <w:noWrap/>
            <w:vAlign w:val="center"/>
          </w:tcPr>
          <w:p w14:paraId="36400B6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1725" w:type="dxa"/>
            <w:tcBorders>
              <w:top w:val="nil"/>
              <w:left w:val="nil"/>
              <w:bottom w:val="single" w:color="auto" w:sz="4" w:space="0"/>
              <w:right w:val="single" w:color="auto" w:sz="4" w:space="0"/>
            </w:tcBorders>
            <w:noWrap/>
            <w:vAlign w:val="center"/>
          </w:tcPr>
          <w:p w14:paraId="2762A26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36BF09A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BBB586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转速</w:t>
            </w:r>
          </w:p>
        </w:tc>
        <w:tc>
          <w:tcPr>
            <w:tcW w:w="5865" w:type="dxa"/>
            <w:tcBorders>
              <w:top w:val="nil"/>
              <w:left w:val="nil"/>
              <w:bottom w:val="single" w:color="auto" w:sz="4" w:space="0"/>
              <w:right w:val="single" w:color="auto" w:sz="4" w:space="0"/>
            </w:tcBorders>
            <w:noWrap/>
            <w:vAlign w:val="center"/>
          </w:tcPr>
          <w:p w14:paraId="602859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480</w:t>
            </w:r>
            <w:r>
              <w:rPr>
                <w:rFonts w:hint="eastAsia" w:ascii="仿宋" w:hAnsi="仿宋" w:eastAsia="仿宋" w:cs="仿宋"/>
                <w:color w:val="auto"/>
                <w:kern w:val="0"/>
                <w:sz w:val="24"/>
                <w:szCs w:val="24"/>
                <w:highlight w:val="none"/>
              </w:rPr>
              <w:t>r/min</w:t>
            </w:r>
          </w:p>
        </w:tc>
        <w:tc>
          <w:tcPr>
            <w:tcW w:w="1725" w:type="dxa"/>
            <w:tcBorders>
              <w:top w:val="nil"/>
              <w:left w:val="nil"/>
              <w:bottom w:val="single" w:color="auto" w:sz="4" w:space="0"/>
              <w:right w:val="single" w:color="auto" w:sz="4" w:space="0"/>
            </w:tcBorders>
            <w:noWrap/>
            <w:vAlign w:val="center"/>
          </w:tcPr>
          <w:p w14:paraId="29607AF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CF5E4B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DDE051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频率</w:t>
            </w:r>
          </w:p>
        </w:tc>
        <w:tc>
          <w:tcPr>
            <w:tcW w:w="5865" w:type="dxa"/>
            <w:tcBorders>
              <w:top w:val="nil"/>
              <w:left w:val="nil"/>
              <w:bottom w:val="single" w:color="auto" w:sz="4" w:space="0"/>
              <w:right w:val="single" w:color="auto" w:sz="4" w:space="0"/>
            </w:tcBorders>
            <w:noWrap/>
            <w:vAlign w:val="center"/>
          </w:tcPr>
          <w:p w14:paraId="31B7C59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50HZ</w:t>
            </w:r>
          </w:p>
        </w:tc>
        <w:tc>
          <w:tcPr>
            <w:tcW w:w="1725" w:type="dxa"/>
            <w:tcBorders>
              <w:top w:val="nil"/>
              <w:left w:val="nil"/>
              <w:bottom w:val="single" w:color="auto" w:sz="4" w:space="0"/>
              <w:right w:val="single" w:color="auto" w:sz="4" w:space="0"/>
            </w:tcBorders>
            <w:noWrap/>
            <w:vAlign w:val="center"/>
          </w:tcPr>
          <w:p w14:paraId="54E46FC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3CDD69E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7492F5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w:t>
            </w:r>
          </w:p>
        </w:tc>
        <w:tc>
          <w:tcPr>
            <w:tcW w:w="5865" w:type="dxa"/>
            <w:tcBorders>
              <w:top w:val="nil"/>
              <w:left w:val="nil"/>
              <w:bottom w:val="single" w:color="auto" w:sz="4" w:space="0"/>
              <w:right w:val="single" w:color="auto" w:sz="4" w:space="0"/>
            </w:tcBorders>
            <w:noWrap/>
            <w:vAlign w:val="center"/>
          </w:tcPr>
          <w:p w14:paraId="6771AE8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IP</w:t>
            </w:r>
            <w:r>
              <w:rPr>
                <w:rFonts w:hint="eastAsia" w:ascii="仿宋" w:hAnsi="仿宋" w:eastAsia="仿宋" w:cs="仿宋"/>
                <w:color w:val="auto"/>
                <w:kern w:val="0"/>
                <w:sz w:val="24"/>
                <w:szCs w:val="24"/>
                <w:highlight w:val="none"/>
                <w:lang w:val="en-US" w:eastAsia="zh-CN"/>
              </w:rPr>
              <w:t>44</w:t>
            </w:r>
          </w:p>
        </w:tc>
        <w:tc>
          <w:tcPr>
            <w:tcW w:w="1725" w:type="dxa"/>
            <w:tcBorders>
              <w:top w:val="nil"/>
              <w:left w:val="nil"/>
              <w:bottom w:val="single" w:color="auto" w:sz="4" w:space="0"/>
              <w:right w:val="single" w:color="auto" w:sz="4" w:space="0"/>
            </w:tcBorders>
            <w:noWrap/>
            <w:vAlign w:val="center"/>
          </w:tcPr>
          <w:p w14:paraId="112A154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83BA42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7C35D3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标准</w:t>
            </w:r>
            <w:r>
              <w:rPr>
                <w:rFonts w:hint="eastAsia" w:ascii="仿宋" w:hAnsi="仿宋" w:eastAsia="仿宋" w:cs="仿宋"/>
                <w:color w:val="auto"/>
                <w:kern w:val="0"/>
                <w:sz w:val="24"/>
                <w:szCs w:val="24"/>
                <w:highlight w:val="none"/>
              </w:rPr>
              <w:t>编号</w:t>
            </w:r>
          </w:p>
        </w:tc>
        <w:tc>
          <w:tcPr>
            <w:tcW w:w="5865" w:type="dxa"/>
            <w:tcBorders>
              <w:top w:val="nil"/>
              <w:left w:val="nil"/>
              <w:bottom w:val="single" w:color="auto" w:sz="4" w:space="0"/>
              <w:right w:val="single" w:color="auto" w:sz="4" w:space="0"/>
            </w:tcBorders>
            <w:noWrap/>
            <w:vAlign w:val="center"/>
          </w:tcPr>
          <w:p w14:paraId="476B7617">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ZBK22007-88</w:t>
            </w:r>
          </w:p>
        </w:tc>
        <w:tc>
          <w:tcPr>
            <w:tcW w:w="1725" w:type="dxa"/>
            <w:tcBorders>
              <w:top w:val="nil"/>
              <w:left w:val="nil"/>
              <w:bottom w:val="single" w:color="auto" w:sz="4" w:space="0"/>
              <w:right w:val="single" w:color="auto" w:sz="4" w:space="0"/>
            </w:tcBorders>
            <w:noWrap/>
            <w:vAlign w:val="center"/>
          </w:tcPr>
          <w:p w14:paraId="726AF6D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8E8319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4EA7C5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出厂年月</w:t>
            </w:r>
          </w:p>
        </w:tc>
        <w:tc>
          <w:tcPr>
            <w:tcW w:w="5865" w:type="dxa"/>
            <w:tcBorders>
              <w:top w:val="nil"/>
              <w:left w:val="nil"/>
              <w:bottom w:val="single" w:color="auto" w:sz="4" w:space="0"/>
              <w:right w:val="single" w:color="auto" w:sz="4" w:space="0"/>
            </w:tcBorders>
            <w:noWrap/>
            <w:vAlign w:val="center"/>
          </w:tcPr>
          <w:p w14:paraId="5094C6C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1999</w:t>
            </w:r>
            <w:r>
              <w:rPr>
                <w:rFonts w:hint="eastAsia" w:ascii="仿宋" w:hAnsi="仿宋" w:eastAsia="仿宋" w:cs="仿宋"/>
                <w:color w:val="auto"/>
                <w:kern w:val="0"/>
                <w:sz w:val="24"/>
                <w:szCs w:val="24"/>
                <w:highlight w:val="none"/>
              </w:rPr>
              <w:t>年10月</w:t>
            </w:r>
          </w:p>
        </w:tc>
        <w:tc>
          <w:tcPr>
            <w:tcW w:w="1725" w:type="dxa"/>
            <w:tcBorders>
              <w:top w:val="nil"/>
              <w:left w:val="nil"/>
              <w:bottom w:val="single" w:color="auto" w:sz="4" w:space="0"/>
              <w:right w:val="single" w:color="auto" w:sz="4" w:space="0"/>
            </w:tcBorders>
            <w:noWrap/>
            <w:vAlign w:val="center"/>
          </w:tcPr>
          <w:p w14:paraId="10931D1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0546635">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DE65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出厂厂家</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0B64E">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浙江特种电机厂</w:t>
            </w:r>
          </w:p>
        </w:tc>
        <w:tc>
          <w:tcPr>
            <w:tcW w:w="1725" w:type="dxa"/>
            <w:tcBorders>
              <w:top w:val="single" w:color="auto" w:sz="4" w:space="0"/>
              <w:left w:val="single" w:color="auto" w:sz="4" w:space="0"/>
              <w:bottom w:val="single" w:color="auto" w:sz="4" w:space="0"/>
              <w:right w:val="single" w:color="auto" w:sz="4" w:space="0"/>
            </w:tcBorders>
            <w:noWrap/>
            <w:vAlign w:val="center"/>
          </w:tcPr>
          <w:p w14:paraId="4E7D29A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1190C85">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shd w:val="clear" w:color="auto" w:fill="auto"/>
            <w:noWrap/>
            <w:vAlign w:val="center"/>
          </w:tcPr>
          <w:p w14:paraId="75E4ADC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shd w:val="clear" w:color="auto" w:fill="auto"/>
            <w:noWrap/>
            <w:vAlign w:val="center"/>
          </w:tcPr>
          <w:p w14:paraId="14F7E4C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 xml:space="preserve">  4.</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ign w:val="center"/>
          </w:tcPr>
          <w:p w14:paraId="0099E52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07EC722">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2387B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空压机控制箱(1台）</w:t>
            </w:r>
          </w:p>
        </w:tc>
        <w:tc>
          <w:tcPr>
            <w:tcW w:w="1725" w:type="dxa"/>
            <w:tcBorders>
              <w:top w:val="single" w:color="auto" w:sz="4" w:space="0"/>
              <w:left w:val="single" w:color="auto" w:sz="4" w:space="0"/>
              <w:bottom w:val="single" w:color="auto" w:sz="4" w:space="0"/>
              <w:right w:val="single" w:color="auto" w:sz="4" w:space="0"/>
            </w:tcBorders>
            <w:noWrap/>
            <w:vAlign w:val="center"/>
          </w:tcPr>
          <w:p w14:paraId="1A06280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14:paraId="56D2DE4F">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A4A7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636B97D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DZWX-2000</w:t>
            </w:r>
          </w:p>
        </w:tc>
        <w:tc>
          <w:tcPr>
            <w:tcW w:w="1725" w:type="dxa"/>
            <w:tcBorders>
              <w:top w:val="single" w:color="auto" w:sz="4" w:space="0"/>
              <w:left w:val="nil"/>
              <w:bottom w:val="single" w:color="auto" w:sz="4" w:space="0"/>
              <w:right w:val="single" w:color="auto" w:sz="4" w:space="0"/>
            </w:tcBorders>
            <w:noWrap/>
            <w:vAlign w:val="center"/>
          </w:tcPr>
          <w:p w14:paraId="6ED95A2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0F05B65D">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DA99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w:t>
            </w:r>
            <w:r>
              <w:rPr>
                <w:rFonts w:hint="eastAsia" w:ascii="仿宋" w:hAnsi="仿宋" w:eastAsia="仿宋" w:cs="仿宋"/>
                <w:color w:val="auto"/>
                <w:kern w:val="0"/>
                <w:sz w:val="24"/>
                <w:szCs w:val="24"/>
                <w:highlight w:val="none"/>
              </w:rPr>
              <w:t>额定电压</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3BACE99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380V</w:t>
            </w:r>
          </w:p>
        </w:tc>
        <w:tc>
          <w:tcPr>
            <w:tcW w:w="1725" w:type="dxa"/>
            <w:tcBorders>
              <w:top w:val="single" w:color="auto" w:sz="4" w:space="0"/>
              <w:left w:val="nil"/>
              <w:bottom w:val="single" w:color="auto" w:sz="4" w:space="0"/>
              <w:right w:val="single" w:color="auto" w:sz="4" w:space="0"/>
            </w:tcBorders>
            <w:noWrap/>
            <w:vAlign w:val="center"/>
          </w:tcPr>
          <w:p w14:paraId="3F1996A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7BC6BEA">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4BCC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短路切断能力</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60637D2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6KA</w:t>
            </w:r>
          </w:p>
        </w:tc>
        <w:tc>
          <w:tcPr>
            <w:tcW w:w="1725" w:type="dxa"/>
            <w:tcBorders>
              <w:top w:val="single" w:color="auto" w:sz="4" w:space="0"/>
              <w:left w:val="nil"/>
              <w:bottom w:val="single" w:color="auto" w:sz="4" w:space="0"/>
              <w:right w:val="single" w:color="auto" w:sz="4" w:space="0"/>
            </w:tcBorders>
            <w:noWrap/>
            <w:vAlign w:val="center"/>
          </w:tcPr>
          <w:p w14:paraId="4A130F7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6C45180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76B7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相数</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61FC2A5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725" w:type="dxa"/>
            <w:tcBorders>
              <w:top w:val="single" w:color="auto" w:sz="4" w:space="0"/>
              <w:left w:val="nil"/>
              <w:bottom w:val="single" w:color="auto" w:sz="4" w:space="0"/>
              <w:right w:val="single" w:color="auto" w:sz="4" w:space="0"/>
            </w:tcBorders>
            <w:noWrap/>
            <w:vAlign w:val="center"/>
          </w:tcPr>
          <w:p w14:paraId="6DBCAE2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69650FEC">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369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交流额定频率</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1669CAE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50HZ</w:t>
            </w:r>
          </w:p>
        </w:tc>
        <w:tc>
          <w:tcPr>
            <w:tcW w:w="1725" w:type="dxa"/>
            <w:tcBorders>
              <w:top w:val="single" w:color="auto" w:sz="4" w:space="0"/>
              <w:left w:val="nil"/>
              <w:bottom w:val="single" w:color="auto" w:sz="4" w:space="0"/>
              <w:right w:val="single" w:color="auto" w:sz="4" w:space="0"/>
            </w:tcBorders>
            <w:noWrap/>
            <w:vAlign w:val="center"/>
          </w:tcPr>
          <w:p w14:paraId="6562B23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AAE344E">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D94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交流满载电流</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7B4D66C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40A</w:t>
            </w:r>
          </w:p>
        </w:tc>
        <w:tc>
          <w:tcPr>
            <w:tcW w:w="1725" w:type="dxa"/>
            <w:tcBorders>
              <w:top w:val="single" w:color="auto" w:sz="4" w:space="0"/>
              <w:left w:val="nil"/>
              <w:bottom w:val="single" w:color="auto" w:sz="4" w:space="0"/>
              <w:right w:val="single" w:color="auto" w:sz="4" w:space="0"/>
            </w:tcBorders>
            <w:noWrap/>
            <w:vAlign w:val="center"/>
          </w:tcPr>
          <w:p w14:paraId="4FEF3F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6A1FC40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F473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出厂编号</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78C56D2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20240303014</w:t>
            </w:r>
          </w:p>
        </w:tc>
        <w:tc>
          <w:tcPr>
            <w:tcW w:w="1725" w:type="dxa"/>
            <w:tcBorders>
              <w:top w:val="single" w:color="auto" w:sz="4" w:space="0"/>
              <w:left w:val="nil"/>
              <w:bottom w:val="single" w:color="auto" w:sz="4" w:space="0"/>
              <w:right w:val="single" w:color="auto" w:sz="4" w:space="0"/>
            </w:tcBorders>
            <w:noWrap/>
            <w:vAlign w:val="center"/>
          </w:tcPr>
          <w:p w14:paraId="2B25EC1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448C51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7258641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出厂厂家</w:t>
            </w:r>
          </w:p>
        </w:tc>
        <w:tc>
          <w:tcPr>
            <w:tcW w:w="5865" w:type="dxa"/>
            <w:tcBorders>
              <w:top w:val="nil"/>
              <w:left w:val="nil"/>
              <w:bottom w:val="single" w:color="auto" w:sz="4" w:space="0"/>
              <w:right w:val="single" w:color="auto" w:sz="4" w:space="0"/>
            </w:tcBorders>
            <w:shd w:val="clear" w:color="auto" w:fill="auto"/>
            <w:noWrap/>
            <w:vAlign w:val="center"/>
          </w:tcPr>
          <w:p w14:paraId="3775246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杭州思绿能源科技有限公司</w:t>
            </w:r>
          </w:p>
        </w:tc>
        <w:tc>
          <w:tcPr>
            <w:tcW w:w="1725" w:type="dxa"/>
            <w:tcBorders>
              <w:top w:val="nil"/>
              <w:left w:val="nil"/>
              <w:bottom w:val="single" w:color="auto" w:sz="4" w:space="0"/>
              <w:right w:val="single" w:color="auto" w:sz="4" w:space="0"/>
            </w:tcBorders>
            <w:noWrap/>
            <w:vAlign w:val="center"/>
          </w:tcPr>
          <w:p w14:paraId="2E63155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9400778">
        <w:tblPrEx>
          <w:tblCellMar>
            <w:top w:w="0" w:type="dxa"/>
            <w:left w:w="108" w:type="dxa"/>
            <w:bottom w:w="0" w:type="dxa"/>
            <w:right w:w="108" w:type="dxa"/>
          </w:tblCellMar>
        </w:tblPrEx>
        <w:trPr>
          <w:trHeight w:val="283" w:hRule="atLeast"/>
        </w:trPr>
        <w:tc>
          <w:tcPr>
            <w:tcW w:w="9615" w:type="dxa"/>
            <w:gridSpan w:val="3"/>
            <w:tcBorders>
              <w:top w:val="nil"/>
              <w:left w:val="nil"/>
              <w:bottom w:val="nil"/>
              <w:right w:val="nil"/>
            </w:tcBorders>
            <w:noWrap/>
            <w:vAlign w:val="center"/>
          </w:tcPr>
          <w:p w14:paraId="43BB507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 xml:space="preserve">     5.</w:t>
            </w:r>
            <w:r>
              <w:rPr>
                <w:rFonts w:hint="eastAsia" w:ascii="仿宋" w:hAnsi="仿宋" w:eastAsia="仿宋" w:cs="仿宋"/>
                <w:b/>
                <w:bCs/>
                <w:color w:val="auto"/>
                <w:kern w:val="0"/>
                <w:sz w:val="24"/>
                <w:szCs w:val="24"/>
              </w:rPr>
              <w:t>主要设备参数表</w:t>
            </w:r>
          </w:p>
        </w:tc>
      </w:tr>
      <w:tr w14:paraId="5EC29685">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nil"/>
            </w:tcBorders>
            <w:noWrap/>
            <w:vAlign w:val="center"/>
          </w:tcPr>
          <w:p w14:paraId="5975A44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空压机(2台）</w:t>
            </w:r>
          </w:p>
        </w:tc>
        <w:tc>
          <w:tcPr>
            <w:tcW w:w="1725" w:type="dxa"/>
            <w:tcBorders>
              <w:top w:val="single" w:color="auto" w:sz="4" w:space="0"/>
              <w:left w:val="single" w:color="auto" w:sz="4" w:space="0"/>
              <w:bottom w:val="single" w:color="auto" w:sz="4" w:space="0"/>
              <w:right w:val="single" w:color="auto" w:sz="4" w:space="0"/>
            </w:tcBorders>
            <w:noWrap/>
            <w:vAlign w:val="center"/>
          </w:tcPr>
          <w:p w14:paraId="3E7E093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37CC9C5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C85D29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5865" w:type="dxa"/>
            <w:tcBorders>
              <w:top w:val="nil"/>
              <w:left w:val="nil"/>
              <w:bottom w:val="single" w:color="auto" w:sz="4" w:space="0"/>
              <w:right w:val="single" w:color="auto" w:sz="4" w:space="0"/>
            </w:tcBorders>
            <w:noWrap/>
            <w:vAlign w:val="center"/>
          </w:tcPr>
          <w:p w14:paraId="38B135FD">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Y132S2-2</w:t>
            </w:r>
          </w:p>
        </w:tc>
        <w:tc>
          <w:tcPr>
            <w:tcW w:w="1725" w:type="dxa"/>
            <w:tcBorders>
              <w:top w:val="nil"/>
              <w:left w:val="nil"/>
              <w:bottom w:val="single" w:color="auto" w:sz="4" w:space="0"/>
              <w:right w:val="single" w:color="auto" w:sz="4" w:space="0"/>
            </w:tcBorders>
            <w:noWrap/>
            <w:vAlign w:val="center"/>
          </w:tcPr>
          <w:p w14:paraId="7447150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78FC4C2">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2DC23FB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电压</w:t>
            </w:r>
          </w:p>
        </w:tc>
        <w:tc>
          <w:tcPr>
            <w:tcW w:w="5865" w:type="dxa"/>
            <w:tcBorders>
              <w:top w:val="single" w:color="auto" w:sz="4" w:space="0"/>
              <w:left w:val="nil"/>
              <w:bottom w:val="single" w:color="auto" w:sz="4" w:space="0"/>
              <w:right w:val="single" w:color="auto" w:sz="4" w:space="0"/>
            </w:tcBorders>
            <w:noWrap/>
            <w:vAlign w:val="center"/>
          </w:tcPr>
          <w:p w14:paraId="1279540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380V</w:t>
            </w:r>
          </w:p>
        </w:tc>
        <w:tc>
          <w:tcPr>
            <w:tcW w:w="1725" w:type="dxa"/>
            <w:tcBorders>
              <w:top w:val="single" w:color="auto" w:sz="4" w:space="0"/>
              <w:left w:val="nil"/>
              <w:bottom w:val="single" w:color="auto" w:sz="4" w:space="0"/>
              <w:right w:val="single" w:color="auto" w:sz="4" w:space="0"/>
            </w:tcBorders>
            <w:noWrap/>
            <w:vAlign w:val="center"/>
          </w:tcPr>
          <w:p w14:paraId="173943C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3B2014A">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2925C3B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电流</w:t>
            </w:r>
          </w:p>
        </w:tc>
        <w:tc>
          <w:tcPr>
            <w:tcW w:w="5865" w:type="dxa"/>
            <w:tcBorders>
              <w:top w:val="single" w:color="auto" w:sz="4" w:space="0"/>
              <w:left w:val="nil"/>
              <w:bottom w:val="single" w:color="auto" w:sz="4" w:space="0"/>
              <w:right w:val="single" w:color="auto" w:sz="4" w:space="0"/>
            </w:tcBorders>
            <w:noWrap/>
            <w:vAlign w:val="center"/>
          </w:tcPr>
          <w:p w14:paraId="24B1CAE8">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15.0A</w:t>
            </w:r>
          </w:p>
        </w:tc>
        <w:tc>
          <w:tcPr>
            <w:tcW w:w="1725" w:type="dxa"/>
            <w:tcBorders>
              <w:top w:val="single" w:color="auto" w:sz="4" w:space="0"/>
              <w:left w:val="nil"/>
              <w:bottom w:val="single" w:color="auto" w:sz="4" w:space="0"/>
              <w:right w:val="single" w:color="auto" w:sz="4" w:space="0"/>
            </w:tcBorders>
            <w:noWrap/>
            <w:vAlign w:val="center"/>
          </w:tcPr>
          <w:p w14:paraId="434DCC9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120FF6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728DBF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电机功率</w:t>
            </w:r>
          </w:p>
        </w:tc>
        <w:tc>
          <w:tcPr>
            <w:tcW w:w="5865" w:type="dxa"/>
            <w:tcBorders>
              <w:top w:val="single" w:color="auto" w:sz="4" w:space="0"/>
              <w:left w:val="nil"/>
              <w:bottom w:val="single" w:color="auto" w:sz="4" w:space="0"/>
              <w:right w:val="single" w:color="auto" w:sz="4" w:space="0"/>
            </w:tcBorders>
            <w:noWrap/>
            <w:vAlign w:val="center"/>
          </w:tcPr>
          <w:p w14:paraId="3AC73184">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50A</w:t>
            </w:r>
          </w:p>
        </w:tc>
        <w:tc>
          <w:tcPr>
            <w:tcW w:w="1725" w:type="dxa"/>
            <w:tcBorders>
              <w:top w:val="single" w:color="auto" w:sz="4" w:space="0"/>
              <w:left w:val="nil"/>
              <w:bottom w:val="single" w:color="auto" w:sz="4" w:space="0"/>
              <w:right w:val="single" w:color="auto" w:sz="4" w:space="0"/>
            </w:tcBorders>
            <w:noWrap/>
            <w:vAlign w:val="center"/>
          </w:tcPr>
          <w:p w14:paraId="77ED839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524DE723">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51876FE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接法</w:t>
            </w:r>
          </w:p>
        </w:tc>
        <w:tc>
          <w:tcPr>
            <w:tcW w:w="5865" w:type="dxa"/>
            <w:tcBorders>
              <w:top w:val="single" w:color="auto" w:sz="4" w:space="0"/>
              <w:left w:val="nil"/>
              <w:bottom w:val="single" w:color="auto" w:sz="4" w:space="0"/>
              <w:right w:val="single" w:color="auto" w:sz="4" w:space="0"/>
            </w:tcBorders>
            <w:noWrap/>
            <w:vAlign w:val="center"/>
          </w:tcPr>
          <w:p w14:paraId="274551F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p>
        </w:tc>
        <w:tc>
          <w:tcPr>
            <w:tcW w:w="1725" w:type="dxa"/>
            <w:tcBorders>
              <w:top w:val="single" w:color="auto" w:sz="4" w:space="0"/>
              <w:left w:val="nil"/>
              <w:bottom w:val="single" w:color="auto" w:sz="4" w:space="0"/>
              <w:right w:val="single" w:color="auto" w:sz="4" w:space="0"/>
            </w:tcBorders>
            <w:noWrap/>
            <w:vAlign w:val="center"/>
          </w:tcPr>
          <w:p w14:paraId="59D30EE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5D994392">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9ACE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转速</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7AF6502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2900</w:t>
            </w:r>
            <w:r>
              <w:rPr>
                <w:rFonts w:hint="eastAsia" w:ascii="仿宋" w:hAnsi="仿宋" w:eastAsia="仿宋" w:cs="仿宋"/>
                <w:color w:val="auto"/>
                <w:kern w:val="0"/>
                <w:sz w:val="24"/>
                <w:szCs w:val="24"/>
                <w:highlight w:val="none"/>
              </w:rPr>
              <w:t>r/min</w:t>
            </w:r>
          </w:p>
        </w:tc>
        <w:tc>
          <w:tcPr>
            <w:tcW w:w="1725" w:type="dxa"/>
            <w:tcBorders>
              <w:top w:val="single" w:color="auto" w:sz="4" w:space="0"/>
              <w:left w:val="nil"/>
              <w:bottom w:val="single" w:color="auto" w:sz="4" w:space="0"/>
              <w:right w:val="single" w:color="auto" w:sz="4" w:space="0"/>
            </w:tcBorders>
            <w:noWrap/>
            <w:vAlign w:val="center"/>
          </w:tcPr>
          <w:p w14:paraId="5672251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5DCB5A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8F82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频率</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1DF3BDD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50HZ</w:t>
            </w:r>
          </w:p>
        </w:tc>
        <w:tc>
          <w:tcPr>
            <w:tcW w:w="1725" w:type="dxa"/>
            <w:tcBorders>
              <w:top w:val="single" w:color="auto" w:sz="4" w:space="0"/>
              <w:left w:val="nil"/>
              <w:bottom w:val="single" w:color="auto" w:sz="4" w:space="0"/>
              <w:right w:val="single" w:color="auto" w:sz="4" w:space="0"/>
            </w:tcBorders>
            <w:noWrap/>
            <w:vAlign w:val="center"/>
          </w:tcPr>
          <w:p w14:paraId="4859B9D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24FD33BF">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2810422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w:t>
            </w:r>
          </w:p>
        </w:tc>
        <w:tc>
          <w:tcPr>
            <w:tcW w:w="5865" w:type="dxa"/>
            <w:tcBorders>
              <w:top w:val="single" w:color="auto" w:sz="4" w:space="0"/>
              <w:left w:val="nil"/>
              <w:bottom w:val="single" w:color="auto" w:sz="4" w:space="0"/>
              <w:right w:val="single" w:color="auto" w:sz="4" w:space="0"/>
            </w:tcBorders>
            <w:noWrap/>
            <w:vAlign w:val="center"/>
          </w:tcPr>
          <w:p w14:paraId="0CAF332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w:t>
            </w:r>
            <w:r>
              <w:rPr>
                <w:rFonts w:hint="eastAsia" w:ascii="仿宋" w:hAnsi="仿宋" w:eastAsia="仿宋" w:cs="仿宋"/>
                <w:color w:val="auto"/>
                <w:kern w:val="0"/>
                <w:sz w:val="24"/>
                <w:szCs w:val="24"/>
                <w:highlight w:val="none"/>
                <w:lang w:val="en-US" w:eastAsia="zh-CN"/>
              </w:rPr>
              <w:t>44</w:t>
            </w:r>
          </w:p>
        </w:tc>
        <w:tc>
          <w:tcPr>
            <w:tcW w:w="1725" w:type="dxa"/>
            <w:tcBorders>
              <w:top w:val="single" w:color="auto" w:sz="4" w:space="0"/>
              <w:left w:val="nil"/>
              <w:bottom w:val="single" w:color="auto" w:sz="4" w:space="0"/>
              <w:right w:val="single" w:color="auto" w:sz="4" w:space="0"/>
            </w:tcBorders>
            <w:noWrap/>
            <w:vAlign w:val="center"/>
          </w:tcPr>
          <w:p w14:paraId="13759A1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331A4326">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8267BF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出厂编号</w:t>
            </w:r>
          </w:p>
        </w:tc>
        <w:tc>
          <w:tcPr>
            <w:tcW w:w="5865" w:type="dxa"/>
            <w:tcBorders>
              <w:top w:val="nil"/>
              <w:left w:val="nil"/>
              <w:bottom w:val="single" w:color="auto" w:sz="4" w:space="0"/>
              <w:right w:val="single" w:color="auto" w:sz="4" w:space="0"/>
            </w:tcBorders>
            <w:noWrap/>
            <w:vAlign w:val="center"/>
          </w:tcPr>
          <w:p w14:paraId="446F753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ZBK22007-88</w:t>
            </w:r>
          </w:p>
        </w:tc>
        <w:tc>
          <w:tcPr>
            <w:tcW w:w="1725" w:type="dxa"/>
            <w:tcBorders>
              <w:top w:val="nil"/>
              <w:left w:val="nil"/>
              <w:bottom w:val="single" w:color="auto" w:sz="4" w:space="0"/>
              <w:right w:val="single" w:color="auto" w:sz="4" w:space="0"/>
            </w:tcBorders>
            <w:noWrap/>
            <w:vAlign w:val="center"/>
          </w:tcPr>
          <w:p w14:paraId="5731BBE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D929ABB">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648157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出厂日期</w:t>
            </w:r>
          </w:p>
        </w:tc>
        <w:tc>
          <w:tcPr>
            <w:tcW w:w="5865" w:type="dxa"/>
            <w:tcBorders>
              <w:top w:val="nil"/>
              <w:left w:val="nil"/>
              <w:bottom w:val="single" w:color="auto" w:sz="4" w:space="0"/>
              <w:right w:val="single" w:color="auto" w:sz="4" w:space="0"/>
            </w:tcBorders>
            <w:noWrap/>
            <w:vAlign w:val="center"/>
          </w:tcPr>
          <w:p w14:paraId="5AFD783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1999</w:t>
            </w:r>
            <w:r>
              <w:rPr>
                <w:rFonts w:hint="eastAsia" w:ascii="仿宋" w:hAnsi="仿宋" w:eastAsia="仿宋" w:cs="仿宋"/>
                <w:color w:val="auto"/>
                <w:kern w:val="0"/>
                <w:sz w:val="24"/>
                <w:szCs w:val="24"/>
                <w:highlight w:val="none"/>
              </w:rPr>
              <w:t>年10月</w:t>
            </w:r>
          </w:p>
        </w:tc>
        <w:tc>
          <w:tcPr>
            <w:tcW w:w="1725" w:type="dxa"/>
            <w:tcBorders>
              <w:top w:val="nil"/>
              <w:left w:val="nil"/>
              <w:bottom w:val="single" w:color="auto" w:sz="4" w:space="0"/>
              <w:right w:val="single" w:color="auto" w:sz="4" w:space="0"/>
            </w:tcBorders>
            <w:noWrap/>
            <w:vAlign w:val="center"/>
          </w:tcPr>
          <w:p w14:paraId="62621E6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E81E1B0">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CB2F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出厂厂家</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5E0B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浙江特种电机厂一分厂</w:t>
            </w:r>
          </w:p>
        </w:tc>
        <w:tc>
          <w:tcPr>
            <w:tcW w:w="1725" w:type="dxa"/>
            <w:tcBorders>
              <w:top w:val="single" w:color="auto" w:sz="4" w:space="0"/>
              <w:left w:val="single" w:color="auto" w:sz="4" w:space="0"/>
              <w:bottom w:val="single" w:color="auto" w:sz="4" w:space="0"/>
              <w:right w:val="single" w:color="auto" w:sz="4" w:space="0"/>
            </w:tcBorders>
            <w:noWrap/>
            <w:vAlign w:val="center"/>
          </w:tcPr>
          <w:p w14:paraId="745F56B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5691C4E">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shd w:val="clear" w:color="auto" w:fill="auto"/>
            <w:noWrap/>
            <w:vAlign w:val="center"/>
          </w:tcPr>
          <w:p w14:paraId="15F414E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shd w:val="clear" w:color="auto" w:fill="auto"/>
            <w:noWrap/>
            <w:vAlign w:val="center"/>
          </w:tcPr>
          <w:p w14:paraId="06CC900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ign w:val="center"/>
          </w:tcPr>
          <w:p w14:paraId="7BDFD0D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5D31830">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5EAA3928">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设备名称：储气罐（1台）</w:t>
            </w:r>
          </w:p>
        </w:tc>
        <w:tc>
          <w:tcPr>
            <w:tcW w:w="1725" w:type="dxa"/>
            <w:tcBorders>
              <w:top w:val="single" w:color="auto" w:sz="4" w:space="0"/>
              <w:left w:val="single" w:color="auto" w:sz="4" w:space="0"/>
              <w:bottom w:val="single" w:color="auto" w:sz="4" w:space="0"/>
              <w:right w:val="single" w:color="auto" w:sz="4" w:space="0"/>
            </w:tcBorders>
            <w:noWrap/>
            <w:vAlign w:val="center"/>
          </w:tcPr>
          <w:p w14:paraId="3CD71A3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14:paraId="0BACC76D">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73E39D9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型    号</w:t>
            </w:r>
          </w:p>
        </w:tc>
        <w:tc>
          <w:tcPr>
            <w:tcW w:w="5865" w:type="dxa"/>
            <w:tcBorders>
              <w:top w:val="single" w:color="auto" w:sz="4" w:space="0"/>
              <w:left w:val="nil"/>
              <w:bottom w:val="single" w:color="auto" w:sz="4" w:space="0"/>
              <w:right w:val="single" w:color="auto" w:sz="4" w:space="0"/>
            </w:tcBorders>
            <w:noWrap/>
            <w:vAlign w:val="center"/>
          </w:tcPr>
          <w:p w14:paraId="0EF7804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Y99152-38</w:t>
            </w:r>
          </w:p>
        </w:tc>
        <w:tc>
          <w:tcPr>
            <w:tcW w:w="1725" w:type="dxa"/>
            <w:tcBorders>
              <w:top w:val="single" w:color="auto" w:sz="4" w:space="0"/>
              <w:left w:val="nil"/>
              <w:bottom w:val="single" w:color="auto" w:sz="4" w:space="0"/>
              <w:right w:val="single" w:color="auto" w:sz="4" w:space="0"/>
            </w:tcBorders>
            <w:noWrap/>
            <w:vAlign w:val="center"/>
          </w:tcPr>
          <w:p w14:paraId="31C220B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21512790">
        <w:tblPrEx>
          <w:tblCellMar>
            <w:top w:w="0" w:type="dxa"/>
            <w:left w:w="108" w:type="dxa"/>
            <w:bottom w:w="0" w:type="dxa"/>
            <w:right w:w="108" w:type="dxa"/>
          </w:tblCellMar>
        </w:tblPrEx>
        <w:trPr>
          <w:trHeight w:val="266" w:hRule="atLeast"/>
        </w:trPr>
        <w:tc>
          <w:tcPr>
            <w:tcW w:w="2025" w:type="dxa"/>
            <w:tcBorders>
              <w:top w:val="nil"/>
              <w:left w:val="single" w:color="auto" w:sz="4" w:space="0"/>
              <w:bottom w:val="single" w:color="auto" w:sz="4" w:space="0"/>
              <w:right w:val="single" w:color="auto" w:sz="4" w:space="0"/>
            </w:tcBorders>
            <w:noWrap/>
            <w:vAlign w:val="center"/>
          </w:tcPr>
          <w:p w14:paraId="7402ED29">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设计压力</w:t>
            </w:r>
          </w:p>
        </w:tc>
        <w:tc>
          <w:tcPr>
            <w:tcW w:w="5865" w:type="dxa"/>
            <w:tcBorders>
              <w:top w:val="nil"/>
              <w:left w:val="nil"/>
              <w:bottom w:val="single" w:color="auto" w:sz="4" w:space="0"/>
              <w:right w:val="single" w:color="auto" w:sz="4" w:space="0"/>
            </w:tcBorders>
            <w:noWrap/>
            <w:vAlign w:val="center"/>
          </w:tcPr>
          <w:p w14:paraId="664379E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0.88Mpa</w:t>
            </w:r>
          </w:p>
        </w:tc>
        <w:tc>
          <w:tcPr>
            <w:tcW w:w="1725" w:type="dxa"/>
            <w:tcBorders>
              <w:top w:val="nil"/>
              <w:left w:val="nil"/>
              <w:bottom w:val="single" w:color="auto" w:sz="4" w:space="0"/>
              <w:right w:val="single" w:color="auto" w:sz="4" w:space="0"/>
            </w:tcBorders>
            <w:noWrap/>
            <w:vAlign w:val="center"/>
          </w:tcPr>
          <w:p w14:paraId="00E2048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6916C71">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7E0D89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工作压力</w:t>
            </w:r>
          </w:p>
        </w:tc>
        <w:tc>
          <w:tcPr>
            <w:tcW w:w="5865" w:type="dxa"/>
            <w:tcBorders>
              <w:top w:val="nil"/>
              <w:left w:val="nil"/>
              <w:bottom w:val="single" w:color="auto" w:sz="4" w:space="0"/>
              <w:right w:val="single" w:color="auto" w:sz="4" w:space="0"/>
            </w:tcBorders>
            <w:noWrap/>
            <w:vAlign w:val="center"/>
          </w:tcPr>
          <w:p w14:paraId="373B89C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0.8Mpa</w:t>
            </w:r>
          </w:p>
        </w:tc>
        <w:tc>
          <w:tcPr>
            <w:tcW w:w="1725" w:type="dxa"/>
            <w:tcBorders>
              <w:top w:val="nil"/>
              <w:left w:val="nil"/>
              <w:bottom w:val="single" w:color="auto" w:sz="4" w:space="0"/>
              <w:right w:val="single" w:color="auto" w:sz="4" w:space="0"/>
            </w:tcBorders>
            <w:noWrap/>
            <w:vAlign w:val="center"/>
          </w:tcPr>
          <w:p w14:paraId="0FD6B9F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34A296A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45A4CC5">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设计工作温度</w:t>
            </w:r>
          </w:p>
        </w:tc>
        <w:tc>
          <w:tcPr>
            <w:tcW w:w="5865" w:type="dxa"/>
            <w:tcBorders>
              <w:top w:val="nil"/>
              <w:left w:val="nil"/>
              <w:bottom w:val="single" w:color="auto" w:sz="4" w:space="0"/>
              <w:right w:val="single" w:color="auto" w:sz="4" w:space="0"/>
            </w:tcBorders>
            <w:noWrap/>
            <w:vAlign w:val="center"/>
          </w:tcPr>
          <w:p w14:paraId="273889C0">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r>
              <w:rPr>
                <w:rFonts w:hint="eastAsia" w:ascii="宋体" w:hAnsi="宋体" w:eastAsia="宋体" w:cs="宋体"/>
                <w:color w:val="auto"/>
                <w:kern w:val="0"/>
                <w:sz w:val="24"/>
                <w:szCs w:val="24"/>
                <w:highlight w:val="none"/>
                <w:lang w:val="en-US" w:eastAsia="zh-CN" w:bidi="ar-SA"/>
              </w:rPr>
              <w:t>℃</w:t>
            </w:r>
          </w:p>
        </w:tc>
        <w:tc>
          <w:tcPr>
            <w:tcW w:w="1725" w:type="dxa"/>
            <w:tcBorders>
              <w:top w:val="nil"/>
              <w:left w:val="nil"/>
              <w:bottom w:val="single" w:color="auto" w:sz="4" w:space="0"/>
              <w:right w:val="single" w:color="auto" w:sz="4" w:space="0"/>
            </w:tcBorders>
            <w:noWrap/>
            <w:vAlign w:val="center"/>
          </w:tcPr>
          <w:p w14:paraId="79B6A56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561AE09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8F9E98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容积</w:t>
            </w:r>
          </w:p>
        </w:tc>
        <w:tc>
          <w:tcPr>
            <w:tcW w:w="5865" w:type="dxa"/>
            <w:tcBorders>
              <w:top w:val="nil"/>
              <w:left w:val="nil"/>
              <w:bottom w:val="single" w:color="auto" w:sz="4" w:space="0"/>
              <w:right w:val="single" w:color="auto" w:sz="4" w:space="0"/>
            </w:tcBorders>
            <w:noWrap/>
            <w:vAlign w:val="center"/>
          </w:tcPr>
          <w:p w14:paraId="4F1B471D">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r>
              <w:rPr>
                <w:rFonts w:hint="eastAsia" w:ascii="微软雅黑" w:hAnsi="微软雅黑" w:eastAsia="微软雅黑" w:cs="微软雅黑"/>
                <w:color w:val="auto"/>
                <w:kern w:val="0"/>
                <w:sz w:val="24"/>
                <w:szCs w:val="24"/>
                <w:highlight w:val="none"/>
                <w:lang w:val="en-US" w:eastAsia="zh-CN" w:bidi="ar-SA"/>
              </w:rPr>
              <w:t>㎥</w:t>
            </w:r>
          </w:p>
        </w:tc>
        <w:tc>
          <w:tcPr>
            <w:tcW w:w="1725" w:type="dxa"/>
            <w:tcBorders>
              <w:top w:val="nil"/>
              <w:left w:val="nil"/>
              <w:bottom w:val="single" w:color="auto" w:sz="4" w:space="0"/>
              <w:right w:val="single" w:color="auto" w:sz="4" w:space="0"/>
            </w:tcBorders>
            <w:noWrap/>
            <w:vAlign w:val="center"/>
          </w:tcPr>
          <w:p w14:paraId="18002E4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36D6B0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132D38E">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容器质量</w:t>
            </w:r>
          </w:p>
        </w:tc>
        <w:tc>
          <w:tcPr>
            <w:tcW w:w="5865" w:type="dxa"/>
            <w:tcBorders>
              <w:top w:val="nil"/>
              <w:left w:val="nil"/>
              <w:bottom w:val="single" w:color="auto" w:sz="4" w:space="0"/>
              <w:right w:val="single" w:color="auto" w:sz="4" w:space="0"/>
            </w:tcBorders>
            <w:noWrap/>
            <w:vAlign w:val="center"/>
          </w:tcPr>
          <w:p w14:paraId="5B5CC055">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348Kg</w:t>
            </w:r>
          </w:p>
        </w:tc>
        <w:tc>
          <w:tcPr>
            <w:tcW w:w="1725" w:type="dxa"/>
            <w:tcBorders>
              <w:top w:val="nil"/>
              <w:left w:val="nil"/>
              <w:bottom w:val="single" w:color="auto" w:sz="4" w:space="0"/>
              <w:right w:val="single" w:color="auto" w:sz="4" w:space="0"/>
            </w:tcBorders>
            <w:noWrap/>
            <w:vAlign w:val="center"/>
          </w:tcPr>
          <w:p w14:paraId="6C7780B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0B9A7D5F">
        <w:tblPrEx>
          <w:tblCellMar>
            <w:top w:w="0" w:type="dxa"/>
            <w:left w:w="108" w:type="dxa"/>
            <w:bottom w:w="0" w:type="dxa"/>
            <w:right w:w="108" w:type="dxa"/>
          </w:tblCellMar>
        </w:tblPrEx>
        <w:trPr>
          <w:trHeight w:val="266" w:hRule="atLeast"/>
        </w:trPr>
        <w:tc>
          <w:tcPr>
            <w:tcW w:w="2025" w:type="dxa"/>
            <w:tcBorders>
              <w:top w:val="nil"/>
              <w:left w:val="single" w:color="auto" w:sz="4" w:space="0"/>
              <w:bottom w:val="single" w:color="auto" w:sz="4" w:space="0"/>
              <w:right w:val="single" w:color="auto" w:sz="4" w:space="0"/>
            </w:tcBorders>
            <w:noWrap/>
            <w:vAlign w:val="center"/>
          </w:tcPr>
          <w:p w14:paraId="55D7803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出厂编号</w:t>
            </w:r>
          </w:p>
        </w:tc>
        <w:tc>
          <w:tcPr>
            <w:tcW w:w="5865" w:type="dxa"/>
            <w:tcBorders>
              <w:top w:val="nil"/>
              <w:left w:val="nil"/>
              <w:bottom w:val="single" w:color="auto" w:sz="4" w:space="0"/>
              <w:right w:val="single" w:color="auto" w:sz="4" w:space="0"/>
            </w:tcBorders>
            <w:noWrap/>
            <w:vAlign w:val="center"/>
          </w:tcPr>
          <w:p w14:paraId="49B56A1F">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RZZ-024-99</w:t>
            </w:r>
          </w:p>
        </w:tc>
        <w:tc>
          <w:tcPr>
            <w:tcW w:w="1725" w:type="dxa"/>
            <w:tcBorders>
              <w:top w:val="nil"/>
              <w:left w:val="nil"/>
              <w:bottom w:val="single" w:color="auto" w:sz="4" w:space="0"/>
              <w:right w:val="single" w:color="auto" w:sz="4" w:space="0"/>
            </w:tcBorders>
            <w:noWrap/>
            <w:vAlign w:val="center"/>
          </w:tcPr>
          <w:p w14:paraId="39A93BA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003B968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CA5FBA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出厂日期</w:t>
            </w:r>
          </w:p>
        </w:tc>
        <w:tc>
          <w:tcPr>
            <w:tcW w:w="5865" w:type="dxa"/>
            <w:tcBorders>
              <w:top w:val="nil"/>
              <w:left w:val="nil"/>
              <w:bottom w:val="single" w:color="auto" w:sz="4" w:space="0"/>
              <w:right w:val="single" w:color="auto" w:sz="4" w:space="0"/>
            </w:tcBorders>
            <w:noWrap/>
            <w:vAlign w:val="center"/>
          </w:tcPr>
          <w:p w14:paraId="2AF01E91">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1999</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p>
        </w:tc>
        <w:tc>
          <w:tcPr>
            <w:tcW w:w="1725" w:type="dxa"/>
            <w:tcBorders>
              <w:top w:val="nil"/>
              <w:left w:val="nil"/>
              <w:bottom w:val="single" w:color="auto" w:sz="4" w:space="0"/>
              <w:right w:val="single" w:color="auto" w:sz="4" w:space="0"/>
            </w:tcBorders>
            <w:noWrap/>
            <w:vAlign w:val="center"/>
          </w:tcPr>
          <w:p w14:paraId="72370E6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00DDEA42">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3735719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出厂厂家</w:t>
            </w:r>
          </w:p>
        </w:tc>
        <w:tc>
          <w:tcPr>
            <w:tcW w:w="5865" w:type="dxa"/>
            <w:tcBorders>
              <w:top w:val="single" w:color="auto" w:sz="4" w:space="0"/>
              <w:left w:val="single" w:color="auto" w:sz="4" w:space="0"/>
              <w:bottom w:val="single" w:color="auto" w:sz="4" w:space="0"/>
              <w:right w:val="single" w:color="auto" w:sz="4" w:space="0"/>
            </w:tcBorders>
            <w:noWrap/>
            <w:vAlign w:val="center"/>
          </w:tcPr>
          <w:p w14:paraId="2CE4B05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国营上海市奉贤设备容器厂制造</w:t>
            </w:r>
          </w:p>
        </w:tc>
        <w:tc>
          <w:tcPr>
            <w:tcW w:w="1725" w:type="dxa"/>
            <w:tcBorders>
              <w:top w:val="single" w:color="auto" w:sz="4" w:space="0"/>
              <w:left w:val="single" w:color="auto" w:sz="4" w:space="0"/>
              <w:bottom w:val="single" w:color="auto" w:sz="4" w:space="0"/>
              <w:right w:val="single" w:color="auto" w:sz="4" w:space="0"/>
            </w:tcBorders>
            <w:noWrap/>
            <w:vAlign w:val="center"/>
          </w:tcPr>
          <w:p w14:paraId="1BF9DDB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42D5CD1">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65278BA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noWrap/>
            <w:vAlign w:val="center"/>
          </w:tcPr>
          <w:p w14:paraId="7F7952D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ign w:val="center"/>
          </w:tcPr>
          <w:p w14:paraId="52C3FA5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2AAF75A">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7CCD311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励磁控制柜（3台）</w:t>
            </w:r>
          </w:p>
        </w:tc>
        <w:tc>
          <w:tcPr>
            <w:tcW w:w="1725" w:type="dxa"/>
            <w:tcBorders>
              <w:top w:val="single" w:color="auto" w:sz="4" w:space="0"/>
              <w:left w:val="single" w:color="auto" w:sz="4" w:space="0"/>
              <w:bottom w:val="single" w:color="auto" w:sz="4" w:space="0"/>
              <w:right w:val="single" w:color="auto" w:sz="4" w:space="0"/>
            </w:tcBorders>
            <w:noWrap/>
            <w:vAlign w:val="center"/>
          </w:tcPr>
          <w:p w14:paraId="2F97DA1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r>
              <w:rPr>
                <w:rFonts w:hint="eastAsia" w:ascii="仿宋" w:hAnsi="仿宋" w:eastAsia="仿宋" w:cs="仿宋"/>
                <w:color w:val="auto"/>
                <w:kern w:val="0"/>
                <w:sz w:val="24"/>
                <w:szCs w:val="24"/>
                <w:highlight w:val="none"/>
              </w:rPr>
              <w:t>备注</w:t>
            </w:r>
          </w:p>
        </w:tc>
      </w:tr>
      <w:tr w14:paraId="5C97961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493964E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型    号</w:t>
            </w:r>
          </w:p>
        </w:tc>
        <w:tc>
          <w:tcPr>
            <w:tcW w:w="5865" w:type="dxa"/>
            <w:tcBorders>
              <w:top w:val="single" w:color="auto" w:sz="4" w:space="0"/>
              <w:left w:val="nil"/>
              <w:bottom w:val="single" w:color="auto" w:sz="4" w:space="0"/>
              <w:right w:val="single" w:color="auto" w:sz="4" w:space="0"/>
            </w:tcBorders>
            <w:noWrap/>
            <w:vAlign w:val="center"/>
          </w:tcPr>
          <w:p w14:paraId="74551B9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KL-46</w:t>
            </w:r>
          </w:p>
        </w:tc>
        <w:tc>
          <w:tcPr>
            <w:tcW w:w="1725" w:type="dxa"/>
            <w:tcBorders>
              <w:top w:val="single" w:color="auto" w:sz="4" w:space="0"/>
              <w:left w:val="nil"/>
              <w:bottom w:val="single" w:color="auto" w:sz="4" w:space="0"/>
              <w:right w:val="single" w:color="auto" w:sz="4" w:space="0"/>
            </w:tcBorders>
            <w:noWrap/>
            <w:vAlign w:val="center"/>
          </w:tcPr>
          <w:p w14:paraId="2E1059F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859D71A">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7AD568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额定电压</w:t>
            </w:r>
          </w:p>
        </w:tc>
        <w:tc>
          <w:tcPr>
            <w:tcW w:w="5865" w:type="dxa"/>
            <w:tcBorders>
              <w:top w:val="nil"/>
              <w:left w:val="nil"/>
              <w:bottom w:val="single" w:color="auto" w:sz="4" w:space="0"/>
              <w:right w:val="single" w:color="auto" w:sz="4" w:space="0"/>
            </w:tcBorders>
            <w:noWrap/>
            <w:vAlign w:val="center"/>
          </w:tcPr>
          <w:p w14:paraId="7A7E312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129</w:t>
            </w:r>
            <w:r>
              <w:rPr>
                <w:rFonts w:hint="eastAsia" w:ascii="仿宋" w:hAnsi="仿宋" w:eastAsia="仿宋" w:cs="仿宋"/>
                <w:color w:val="auto"/>
                <w:kern w:val="0"/>
                <w:sz w:val="24"/>
                <w:szCs w:val="24"/>
                <w:highlight w:val="none"/>
              </w:rPr>
              <w:t>V</w:t>
            </w:r>
          </w:p>
        </w:tc>
        <w:tc>
          <w:tcPr>
            <w:tcW w:w="1725" w:type="dxa"/>
            <w:tcBorders>
              <w:top w:val="nil"/>
              <w:left w:val="nil"/>
              <w:bottom w:val="single" w:color="auto" w:sz="4" w:space="0"/>
              <w:right w:val="single" w:color="auto" w:sz="4" w:space="0"/>
            </w:tcBorders>
            <w:noWrap/>
            <w:vAlign w:val="center"/>
          </w:tcPr>
          <w:p w14:paraId="1EF2813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F78A1C0">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861420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电流</w:t>
            </w:r>
          </w:p>
        </w:tc>
        <w:tc>
          <w:tcPr>
            <w:tcW w:w="5865" w:type="dxa"/>
            <w:tcBorders>
              <w:top w:val="nil"/>
              <w:left w:val="nil"/>
              <w:bottom w:val="single" w:color="auto" w:sz="4" w:space="0"/>
              <w:right w:val="single" w:color="auto" w:sz="4" w:space="0"/>
            </w:tcBorders>
            <w:noWrap/>
            <w:vAlign w:val="center"/>
          </w:tcPr>
          <w:p w14:paraId="1919827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265</w:t>
            </w:r>
            <w:r>
              <w:rPr>
                <w:rFonts w:hint="eastAsia" w:ascii="仿宋" w:hAnsi="仿宋" w:eastAsia="仿宋" w:cs="仿宋"/>
                <w:color w:val="auto"/>
                <w:kern w:val="0"/>
                <w:sz w:val="24"/>
                <w:szCs w:val="24"/>
                <w:highlight w:val="none"/>
              </w:rPr>
              <w:t>A</w:t>
            </w:r>
          </w:p>
        </w:tc>
        <w:tc>
          <w:tcPr>
            <w:tcW w:w="1725" w:type="dxa"/>
            <w:tcBorders>
              <w:top w:val="nil"/>
              <w:left w:val="nil"/>
              <w:bottom w:val="single" w:color="auto" w:sz="4" w:space="0"/>
              <w:right w:val="single" w:color="auto" w:sz="4" w:space="0"/>
            </w:tcBorders>
            <w:noWrap/>
            <w:vAlign w:val="center"/>
          </w:tcPr>
          <w:p w14:paraId="0C35A21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7B61FA2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384837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操作电压</w:t>
            </w:r>
          </w:p>
        </w:tc>
        <w:tc>
          <w:tcPr>
            <w:tcW w:w="5865" w:type="dxa"/>
            <w:tcBorders>
              <w:top w:val="nil"/>
              <w:left w:val="nil"/>
              <w:bottom w:val="single" w:color="auto" w:sz="4" w:space="0"/>
              <w:right w:val="single" w:color="auto" w:sz="4" w:space="0"/>
            </w:tcBorders>
            <w:noWrap/>
            <w:vAlign w:val="center"/>
          </w:tcPr>
          <w:p w14:paraId="72F59A7D">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DC220V</w:t>
            </w:r>
          </w:p>
        </w:tc>
        <w:tc>
          <w:tcPr>
            <w:tcW w:w="1725" w:type="dxa"/>
            <w:tcBorders>
              <w:top w:val="nil"/>
              <w:left w:val="nil"/>
              <w:bottom w:val="single" w:color="auto" w:sz="4" w:space="0"/>
              <w:right w:val="single" w:color="auto" w:sz="4" w:space="0"/>
            </w:tcBorders>
            <w:noWrap/>
            <w:vAlign w:val="center"/>
          </w:tcPr>
          <w:p w14:paraId="2B17632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4DFFB16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C89BA3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重量</w:t>
            </w:r>
          </w:p>
        </w:tc>
        <w:tc>
          <w:tcPr>
            <w:tcW w:w="5865" w:type="dxa"/>
            <w:tcBorders>
              <w:top w:val="nil"/>
              <w:left w:val="nil"/>
              <w:bottom w:val="single" w:color="auto" w:sz="4" w:space="0"/>
              <w:right w:val="single" w:color="auto" w:sz="4" w:space="0"/>
            </w:tcBorders>
            <w:noWrap/>
            <w:vAlign w:val="center"/>
          </w:tcPr>
          <w:p w14:paraId="188B9DB2">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350Kg</w:t>
            </w:r>
          </w:p>
        </w:tc>
        <w:tc>
          <w:tcPr>
            <w:tcW w:w="1725" w:type="dxa"/>
            <w:tcBorders>
              <w:top w:val="nil"/>
              <w:left w:val="nil"/>
              <w:bottom w:val="single" w:color="auto" w:sz="4" w:space="0"/>
              <w:right w:val="single" w:color="auto" w:sz="4" w:space="0"/>
            </w:tcBorders>
            <w:noWrap/>
            <w:vAlign w:val="center"/>
          </w:tcPr>
          <w:p w14:paraId="7933DCE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1C7AC8B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799A54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频率</w:t>
            </w:r>
          </w:p>
        </w:tc>
        <w:tc>
          <w:tcPr>
            <w:tcW w:w="5865" w:type="dxa"/>
            <w:tcBorders>
              <w:top w:val="nil"/>
              <w:left w:val="nil"/>
              <w:bottom w:val="single" w:color="auto" w:sz="4" w:space="0"/>
              <w:right w:val="single" w:color="auto" w:sz="4" w:space="0"/>
            </w:tcBorders>
            <w:noWrap/>
            <w:vAlign w:val="center"/>
          </w:tcPr>
          <w:p w14:paraId="61ADA97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50HZ</w:t>
            </w:r>
          </w:p>
        </w:tc>
        <w:tc>
          <w:tcPr>
            <w:tcW w:w="1725" w:type="dxa"/>
            <w:tcBorders>
              <w:top w:val="nil"/>
              <w:left w:val="nil"/>
              <w:bottom w:val="single" w:color="auto" w:sz="4" w:space="0"/>
              <w:right w:val="single" w:color="auto" w:sz="4" w:space="0"/>
            </w:tcBorders>
            <w:noWrap/>
            <w:vAlign w:val="center"/>
          </w:tcPr>
          <w:p w14:paraId="35F7EAA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52A18D1">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EB7A17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交流供电电源</w:t>
            </w:r>
          </w:p>
        </w:tc>
        <w:tc>
          <w:tcPr>
            <w:tcW w:w="5865" w:type="dxa"/>
            <w:tcBorders>
              <w:top w:val="nil"/>
              <w:left w:val="nil"/>
              <w:bottom w:val="single" w:color="auto" w:sz="4" w:space="0"/>
              <w:right w:val="single" w:color="auto" w:sz="4" w:space="0"/>
            </w:tcBorders>
            <w:noWrap/>
            <w:vAlign w:val="center"/>
          </w:tcPr>
          <w:p w14:paraId="31C3C864">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380/220V</w:t>
            </w:r>
          </w:p>
        </w:tc>
        <w:tc>
          <w:tcPr>
            <w:tcW w:w="1725" w:type="dxa"/>
            <w:tcBorders>
              <w:top w:val="nil"/>
              <w:left w:val="nil"/>
              <w:bottom w:val="single" w:color="auto" w:sz="4" w:space="0"/>
              <w:right w:val="single" w:color="auto" w:sz="4" w:space="0"/>
            </w:tcBorders>
            <w:noWrap/>
            <w:vAlign w:val="center"/>
          </w:tcPr>
          <w:p w14:paraId="7B04E21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69F9465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450FA5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出</w:t>
            </w:r>
            <w:r>
              <w:rPr>
                <w:rFonts w:hint="eastAsia" w:ascii="仿宋" w:hAnsi="仿宋" w:eastAsia="仿宋" w:cs="仿宋"/>
                <w:color w:val="auto"/>
                <w:kern w:val="0"/>
                <w:sz w:val="24"/>
                <w:szCs w:val="24"/>
                <w:highlight w:val="none"/>
              </w:rPr>
              <w:t>品编号</w:t>
            </w:r>
          </w:p>
        </w:tc>
        <w:tc>
          <w:tcPr>
            <w:tcW w:w="5865" w:type="dxa"/>
            <w:tcBorders>
              <w:top w:val="nil"/>
              <w:left w:val="nil"/>
              <w:bottom w:val="single" w:color="auto" w:sz="4" w:space="0"/>
              <w:right w:val="single" w:color="auto" w:sz="4" w:space="0"/>
            </w:tcBorders>
            <w:noWrap/>
            <w:vAlign w:val="center"/>
          </w:tcPr>
          <w:p w14:paraId="6A34640D">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1303-22-2</w:t>
            </w:r>
          </w:p>
        </w:tc>
        <w:tc>
          <w:tcPr>
            <w:tcW w:w="1725" w:type="dxa"/>
            <w:tcBorders>
              <w:top w:val="nil"/>
              <w:left w:val="nil"/>
              <w:bottom w:val="single" w:color="auto" w:sz="4" w:space="0"/>
              <w:right w:val="single" w:color="auto" w:sz="4" w:space="0"/>
            </w:tcBorders>
            <w:noWrap/>
            <w:vAlign w:val="center"/>
          </w:tcPr>
          <w:p w14:paraId="57739FA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CB51807">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921D2E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标准编号</w:t>
            </w:r>
          </w:p>
        </w:tc>
        <w:tc>
          <w:tcPr>
            <w:tcW w:w="5865" w:type="dxa"/>
            <w:tcBorders>
              <w:top w:val="nil"/>
              <w:left w:val="nil"/>
              <w:bottom w:val="single" w:color="auto" w:sz="4" w:space="0"/>
              <w:right w:val="single" w:color="auto" w:sz="4" w:space="0"/>
            </w:tcBorders>
            <w:noWrap/>
            <w:vAlign w:val="center"/>
          </w:tcPr>
          <w:p w14:paraId="1F68568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GB/T7409-2007</w:t>
            </w:r>
          </w:p>
        </w:tc>
        <w:tc>
          <w:tcPr>
            <w:tcW w:w="1725" w:type="dxa"/>
            <w:tcBorders>
              <w:top w:val="nil"/>
              <w:left w:val="nil"/>
              <w:bottom w:val="single" w:color="auto" w:sz="4" w:space="0"/>
              <w:right w:val="single" w:color="auto" w:sz="4" w:space="0"/>
            </w:tcBorders>
            <w:noWrap/>
            <w:vAlign w:val="center"/>
          </w:tcPr>
          <w:p w14:paraId="06E7544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0F92CF3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63FCB7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出厂日期</w:t>
            </w:r>
          </w:p>
        </w:tc>
        <w:tc>
          <w:tcPr>
            <w:tcW w:w="5865" w:type="dxa"/>
            <w:tcBorders>
              <w:top w:val="nil"/>
              <w:left w:val="nil"/>
              <w:bottom w:val="single" w:color="auto" w:sz="4" w:space="0"/>
              <w:right w:val="single" w:color="auto" w:sz="4" w:space="0"/>
            </w:tcBorders>
            <w:noWrap/>
            <w:vAlign w:val="center"/>
          </w:tcPr>
          <w:p w14:paraId="2D9D74E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月</w:t>
            </w:r>
          </w:p>
        </w:tc>
        <w:tc>
          <w:tcPr>
            <w:tcW w:w="1725" w:type="dxa"/>
            <w:tcBorders>
              <w:top w:val="nil"/>
              <w:left w:val="nil"/>
              <w:bottom w:val="single" w:color="auto" w:sz="4" w:space="0"/>
              <w:right w:val="single" w:color="auto" w:sz="4" w:space="0"/>
            </w:tcBorders>
            <w:noWrap/>
            <w:vAlign w:val="center"/>
          </w:tcPr>
          <w:p w14:paraId="1FAB8F4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93D3962">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5E12058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生产厂家</w:t>
            </w:r>
          </w:p>
        </w:tc>
        <w:tc>
          <w:tcPr>
            <w:tcW w:w="5865" w:type="dxa"/>
            <w:tcBorders>
              <w:top w:val="single" w:color="auto" w:sz="4" w:space="0"/>
              <w:left w:val="single" w:color="auto" w:sz="4" w:space="0"/>
              <w:bottom w:val="single" w:color="auto" w:sz="4" w:space="0"/>
              <w:right w:val="single" w:color="auto" w:sz="4" w:space="0"/>
            </w:tcBorders>
            <w:noWrap/>
            <w:vAlign w:val="center"/>
          </w:tcPr>
          <w:p w14:paraId="5F7A258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杭州三和电控设备有限公司</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3F6728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8A1A878">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4755078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noWrap/>
            <w:vAlign w:val="center"/>
          </w:tcPr>
          <w:p w14:paraId="7BE68EF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38CF2BC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87B6052">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4862903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励磁变压器（3台）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F5638A0">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5B78F813">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12075A6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single" w:color="auto" w:sz="4" w:space="0"/>
              <w:bottom w:val="single" w:color="auto" w:sz="4" w:space="0"/>
              <w:right w:val="single" w:color="auto" w:sz="4" w:space="0"/>
            </w:tcBorders>
            <w:noWrap/>
            <w:vAlign w:val="center"/>
          </w:tcPr>
          <w:p w14:paraId="510623F4">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ZSG-90/10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F9332F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2894199C">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52C678E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额定电压</w:t>
            </w:r>
          </w:p>
        </w:tc>
        <w:tc>
          <w:tcPr>
            <w:tcW w:w="5865" w:type="dxa"/>
            <w:tcBorders>
              <w:top w:val="single" w:color="auto" w:sz="4" w:space="0"/>
              <w:left w:val="single" w:color="auto" w:sz="4" w:space="0"/>
              <w:bottom w:val="single" w:color="auto" w:sz="4" w:space="0"/>
              <w:right w:val="single" w:color="auto" w:sz="4" w:space="0"/>
            </w:tcBorders>
            <w:noWrap/>
            <w:vAlign w:val="center"/>
          </w:tcPr>
          <w:p w14:paraId="28B91DAF">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400V</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117081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0C665FF3">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7100CF5">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额定电容</w:t>
            </w:r>
          </w:p>
        </w:tc>
        <w:tc>
          <w:tcPr>
            <w:tcW w:w="5865" w:type="dxa"/>
            <w:tcBorders>
              <w:top w:val="single" w:color="auto" w:sz="4" w:space="0"/>
              <w:left w:val="single" w:color="auto" w:sz="4" w:space="0"/>
              <w:bottom w:val="single" w:color="auto" w:sz="4" w:space="0"/>
              <w:right w:val="single" w:color="auto" w:sz="4" w:space="0"/>
            </w:tcBorders>
            <w:noWrap/>
            <w:vAlign w:val="center"/>
          </w:tcPr>
          <w:p w14:paraId="579E8815">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90KVA</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8B83A1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44151807">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21E85BA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额定频率</w:t>
            </w:r>
          </w:p>
        </w:tc>
        <w:tc>
          <w:tcPr>
            <w:tcW w:w="5865" w:type="dxa"/>
            <w:tcBorders>
              <w:top w:val="single" w:color="auto" w:sz="4" w:space="0"/>
              <w:left w:val="single" w:color="auto" w:sz="4" w:space="0"/>
              <w:bottom w:val="single" w:color="auto" w:sz="4" w:space="0"/>
              <w:right w:val="single" w:color="auto" w:sz="4" w:space="0"/>
            </w:tcBorders>
            <w:noWrap/>
            <w:vAlign w:val="center"/>
          </w:tcPr>
          <w:p w14:paraId="71C8844F">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50HZ</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DCC371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1CDC2BC4">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96C613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相数</w:t>
            </w:r>
          </w:p>
        </w:tc>
        <w:tc>
          <w:tcPr>
            <w:tcW w:w="5865" w:type="dxa"/>
            <w:tcBorders>
              <w:top w:val="single" w:color="auto" w:sz="4" w:space="0"/>
              <w:left w:val="single" w:color="auto" w:sz="4" w:space="0"/>
              <w:bottom w:val="single" w:color="auto" w:sz="4" w:space="0"/>
              <w:right w:val="single" w:color="auto" w:sz="4" w:space="0"/>
            </w:tcBorders>
            <w:noWrap/>
            <w:vAlign w:val="center"/>
          </w:tcPr>
          <w:p w14:paraId="06F267A3">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11636E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5C819375">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631172D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联结组标号</w:t>
            </w:r>
          </w:p>
        </w:tc>
        <w:tc>
          <w:tcPr>
            <w:tcW w:w="5865" w:type="dxa"/>
            <w:tcBorders>
              <w:top w:val="single" w:color="auto" w:sz="4" w:space="0"/>
              <w:left w:val="single" w:color="auto" w:sz="4" w:space="0"/>
              <w:bottom w:val="single" w:color="auto" w:sz="4" w:space="0"/>
              <w:right w:val="single" w:color="auto" w:sz="4" w:space="0"/>
            </w:tcBorders>
            <w:noWrap/>
            <w:vAlign w:val="center"/>
          </w:tcPr>
          <w:p w14:paraId="6F64A041">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Yd11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7CB78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39724354">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5C0B56E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冷却方式</w:t>
            </w:r>
          </w:p>
        </w:tc>
        <w:tc>
          <w:tcPr>
            <w:tcW w:w="5865" w:type="dxa"/>
            <w:tcBorders>
              <w:top w:val="single" w:color="auto" w:sz="4" w:space="0"/>
              <w:left w:val="single" w:color="auto" w:sz="4" w:space="0"/>
              <w:bottom w:val="single" w:color="auto" w:sz="4" w:space="0"/>
              <w:right w:val="single" w:color="auto" w:sz="4" w:space="0"/>
            </w:tcBorders>
            <w:noWrap/>
            <w:vAlign w:val="center"/>
          </w:tcPr>
          <w:p w14:paraId="2973E17B">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ONAN</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A44929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3C1568D0">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33F8CA24">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总重</w:t>
            </w:r>
          </w:p>
        </w:tc>
        <w:tc>
          <w:tcPr>
            <w:tcW w:w="5865" w:type="dxa"/>
            <w:tcBorders>
              <w:top w:val="single" w:color="auto" w:sz="4" w:space="0"/>
              <w:left w:val="single" w:color="auto" w:sz="4" w:space="0"/>
              <w:bottom w:val="single" w:color="auto" w:sz="4" w:space="0"/>
              <w:right w:val="single" w:color="auto" w:sz="4" w:space="0"/>
            </w:tcBorders>
            <w:noWrap/>
            <w:vAlign w:val="center"/>
          </w:tcPr>
          <w:p w14:paraId="04A18125">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450Kg</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6D4F6F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7236D518">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03885F6">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器身吊重</w:t>
            </w:r>
          </w:p>
        </w:tc>
        <w:tc>
          <w:tcPr>
            <w:tcW w:w="5865" w:type="dxa"/>
            <w:tcBorders>
              <w:top w:val="single" w:color="auto" w:sz="4" w:space="0"/>
              <w:left w:val="single" w:color="auto" w:sz="4" w:space="0"/>
              <w:bottom w:val="single" w:color="auto" w:sz="4" w:space="0"/>
              <w:right w:val="single" w:color="auto" w:sz="4" w:space="0"/>
            </w:tcBorders>
            <w:noWrap/>
            <w:vAlign w:val="center"/>
          </w:tcPr>
          <w:p w14:paraId="0674B59B">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385kg</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4E12F0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49FE4FD8">
        <w:tblPrEx>
          <w:tblCellMar>
            <w:top w:w="0" w:type="dxa"/>
            <w:left w:w="108" w:type="dxa"/>
            <w:bottom w:w="0" w:type="dxa"/>
            <w:right w:w="108" w:type="dxa"/>
          </w:tblCellMar>
        </w:tblPrEx>
        <w:trPr>
          <w:trHeight w:val="271" w:hRule="atLeast"/>
        </w:trPr>
        <w:tc>
          <w:tcPr>
            <w:tcW w:w="2025" w:type="dxa"/>
            <w:tcBorders>
              <w:top w:val="single" w:color="auto" w:sz="4" w:space="0"/>
              <w:left w:val="nil"/>
              <w:bottom w:val="single" w:color="auto" w:sz="4" w:space="0"/>
              <w:right w:val="nil"/>
            </w:tcBorders>
            <w:noWrap/>
            <w:vAlign w:val="center"/>
          </w:tcPr>
          <w:p w14:paraId="4F74508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noWrap/>
            <w:vAlign w:val="center"/>
          </w:tcPr>
          <w:p w14:paraId="3C131D6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2E7461D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706F9003">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1243C378">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技术供水泵控制器（1台）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94A259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7873DC5A">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30EE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9882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DZWX-2000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5E7236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5BC1CFD">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8709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w:t>
            </w:r>
            <w:r>
              <w:rPr>
                <w:rFonts w:hint="eastAsia" w:ascii="仿宋" w:hAnsi="仿宋" w:eastAsia="仿宋" w:cs="仿宋"/>
                <w:color w:val="auto"/>
                <w:kern w:val="0"/>
                <w:sz w:val="24"/>
                <w:szCs w:val="24"/>
                <w:highlight w:val="none"/>
              </w:rPr>
              <w:t>额定电压</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B161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380V</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30DC86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9B9E617">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D528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短路切断能力</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BA9E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6KA</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249EDF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3D10B86">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E145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相数</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F3EA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51EAF0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C2DF55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104E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交流额定频率</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1323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50HZ</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0F4D08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5C13C6DD">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B2E6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交流满载电流</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C98A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40A</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36D327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519E2AA5">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2FD3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出厂编号</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D51E6">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20240303019</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FDA34F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5704BD3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86A3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出厂厂家</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3E5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杭州思绿能源科技有限公司</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4940B1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980D0C0">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2C848FB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noWrap/>
            <w:vAlign w:val="center"/>
          </w:tcPr>
          <w:p w14:paraId="2C43198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33DAED0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10F61949">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124CB38E">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技术供水泵（3台）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D6731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lang w:val="en-US" w:eastAsia="zh-CN"/>
              </w:rPr>
            </w:pPr>
            <w:r>
              <w:rPr>
                <w:rFonts w:hint="eastAsia" w:ascii="仿宋" w:hAnsi="仿宋" w:eastAsia="仿宋" w:cs="仿宋"/>
                <w:color w:val="auto"/>
                <w:kern w:val="0"/>
                <w:sz w:val="24"/>
                <w:szCs w:val="24"/>
                <w:highlight w:val="none"/>
                <w:lang w:val="en-US" w:eastAsia="zh-CN"/>
              </w:rPr>
              <w:t>备注</w:t>
            </w:r>
          </w:p>
        </w:tc>
      </w:tr>
      <w:tr w14:paraId="17F4F01C">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7EDB01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nil"/>
              <w:bottom w:val="single" w:color="auto" w:sz="4" w:space="0"/>
              <w:right w:val="single" w:color="auto" w:sz="4" w:space="0"/>
            </w:tcBorders>
            <w:noWrap/>
            <w:vAlign w:val="center"/>
          </w:tcPr>
          <w:p w14:paraId="20E463AF">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SLW50-160</w:t>
            </w:r>
          </w:p>
        </w:tc>
        <w:tc>
          <w:tcPr>
            <w:tcW w:w="1725" w:type="dxa"/>
            <w:tcBorders>
              <w:top w:val="single" w:color="auto" w:sz="4" w:space="0"/>
              <w:left w:val="nil"/>
              <w:bottom w:val="single" w:color="auto" w:sz="4" w:space="0"/>
              <w:right w:val="single" w:color="auto" w:sz="4" w:space="0"/>
            </w:tcBorders>
            <w:noWrap w:val="0"/>
            <w:vAlign w:val="center"/>
          </w:tcPr>
          <w:p w14:paraId="00CA7B1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7260E65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A6D93E4">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流量</w:t>
            </w:r>
          </w:p>
        </w:tc>
        <w:tc>
          <w:tcPr>
            <w:tcW w:w="5865" w:type="dxa"/>
            <w:tcBorders>
              <w:top w:val="nil"/>
              <w:left w:val="nil"/>
              <w:bottom w:val="single" w:color="auto" w:sz="4" w:space="0"/>
              <w:right w:val="single" w:color="auto" w:sz="4" w:space="0"/>
            </w:tcBorders>
            <w:noWrap/>
            <w:vAlign w:val="center"/>
          </w:tcPr>
          <w:p w14:paraId="6CE2A171">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6.94L/S</w:t>
            </w:r>
          </w:p>
        </w:tc>
        <w:tc>
          <w:tcPr>
            <w:tcW w:w="1725" w:type="dxa"/>
            <w:tcBorders>
              <w:top w:val="nil"/>
              <w:left w:val="nil"/>
              <w:bottom w:val="single" w:color="auto" w:sz="4" w:space="0"/>
              <w:right w:val="single" w:color="auto" w:sz="4" w:space="0"/>
            </w:tcBorders>
            <w:noWrap w:val="0"/>
            <w:vAlign w:val="center"/>
          </w:tcPr>
          <w:p w14:paraId="0DA0A87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77BBCC7D">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B2FB82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功率</w:t>
            </w:r>
          </w:p>
        </w:tc>
        <w:tc>
          <w:tcPr>
            <w:tcW w:w="5865" w:type="dxa"/>
            <w:tcBorders>
              <w:top w:val="nil"/>
              <w:left w:val="nil"/>
              <w:bottom w:val="single" w:color="auto" w:sz="4" w:space="0"/>
              <w:right w:val="single" w:color="auto" w:sz="4" w:space="0"/>
            </w:tcBorders>
            <w:noWrap/>
            <w:vAlign w:val="center"/>
          </w:tcPr>
          <w:p w14:paraId="7CD50AB1">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4.0KW</w:t>
            </w:r>
          </w:p>
        </w:tc>
        <w:tc>
          <w:tcPr>
            <w:tcW w:w="1725" w:type="dxa"/>
            <w:tcBorders>
              <w:top w:val="nil"/>
              <w:left w:val="nil"/>
              <w:bottom w:val="single" w:color="auto" w:sz="4" w:space="0"/>
              <w:right w:val="single" w:color="auto" w:sz="4" w:space="0"/>
            </w:tcBorders>
            <w:noWrap w:val="0"/>
            <w:vAlign w:val="center"/>
          </w:tcPr>
          <w:p w14:paraId="08D0F32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59AF047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E36078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扬程</w:t>
            </w:r>
          </w:p>
        </w:tc>
        <w:tc>
          <w:tcPr>
            <w:tcW w:w="5865" w:type="dxa"/>
            <w:tcBorders>
              <w:top w:val="nil"/>
              <w:left w:val="nil"/>
              <w:bottom w:val="single" w:color="auto" w:sz="4" w:space="0"/>
              <w:right w:val="single" w:color="auto" w:sz="4" w:space="0"/>
            </w:tcBorders>
            <w:noWrap/>
            <w:vAlign w:val="center"/>
          </w:tcPr>
          <w:p w14:paraId="16A8328F">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32m</w:t>
            </w:r>
          </w:p>
        </w:tc>
        <w:tc>
          <w:tcPr>
            <w:tcW w:w="1725" w:type="dxa"/>
            <w:tcBorders>
              <w:top w:val="nil"/>
              <w:left w:val="nil"/>
              <w:bottom w:val="single" w:color="auto" w:sz="4" w:space="0"/>
              <w:right w:val="single" w:color="auto" w:sz="4" w:space="0"/>
            </w:tcBorders>
            <w:noWrap w:val="0"/>
            <w:vAlign w:val="center"/>
          </w:tcPr>
          <w:p w14:paraId="6F6A211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994E390">
        <w:tblPrEx>
          <w:tblCellMar>
            <w:top w:w="0" w:type="dxa"/>
            <w:left w:w="108" w:type="dxa"/>
            <w:bottom w:w="0" w:type="dxa"/>
            <w:right w:w="108" w:type="dxa"/>
          </w:tblCellMar>
        </w:tblPrEx>
        <w:trPr>
          <w:trHeight w:val="90"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40C582A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转速</w:t>
            </w:r>
          </w:p>
        </w:tc>
        <w:tc>
          <w:tcPr>
            <w:tcW w:w="5865" w:type="dxa"/>
            <w:tcBorders>
              <w:top w:val="single" w:color="auto" w:sz="4" w:space="0"/>
              <w:left w:val="single" w:color="auto" w:sz="4" w:space="0"/>
              <w:bottom w:val="single" w:color="auto" w:sz="4" w:space="0"/>
              <w:right w:val="single" w:color="auto" w:sz="4" w:space="0"/>
            </w:tcBorders>
            <w:noWrap/>
            <w:vAlign w:val="center"/>
          </w:tcPr>
          <w:p w14:paraId="10EDC43E">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2950</w:t>
            </w:r>
            <w:r>
              <w:rPr>
                <w:rFonts w:hint="eastAsia" w:ascii="仿宋" w:hAnsi="仿宋" w:eastAsia="仿宋" w:cs="仿宋"/>
                <w:color w:val="auto"/>
                <w:kern w:val="0"/>
                <w:sz w:val="24"/>
                <w:szCs w:val="24"/>
                <w:highlight w:val="none"/>
              </w:rPr>
              <w:t>r/min</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FE827C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D3020E8">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594C9C6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c>
          <w:tcPr>
            <w:tcW w:w="5865" w:type="dxa"/>
            <w:tcBorders>
              <w:top w:val="single" w:color="auto" w:sz="4" w:space="0"/>
              <w:left w:val="nil"/>
              <w:bottom w:val="single" w:color="auto" w:sz="4" w:space="0"/>
              <w:right w:val="nil"/>
            </w:tcBorders>
            <w:noWrap/>
            <w:vAlign w:val="center"/>
          </w:tcPr>
          <w:p w14:paraId="0B73E55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11.</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56F8593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7FFC59A2">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4B168D43">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机液压柜自动调速器（3台）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D7BDB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lang w:val="en-US" w:eastAsia="zh-CN"/>
              </w:rPr>
            </w:pPr>
            <w:r>
              <w:rPr>
                <w:rFonts w:hint="eastAsia" w:ascii="仿宋" w:hAnsi="仿宋" w:eastAsia="仿宋" w:cs="仿宋"/>
                <w:color w:val="auto"/>
                <w:kern w:val="0"/>
                <w:sz w:val="24"/>
                <w:szCs w:val="24"/>
                <w:highlight w:val="none"/>
                <w:lang w:val="en-US" w:eastAsia="zh-CN"/>
              </w:rPr>
              <w:t>备注</w:t>
            </w:r>
          </w:p>
        </w:tc>
      </w:tr>
      <w:tr w14:paraId="406478C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75EEBD3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nil"/>
              <w:bottom w:val="single" w:color="auto" w:sz="4" w:space="0"/>
              <w:right w:val="single" w:color="auto" w:sz="4" w:space="0"/>
            </w:tcBorders>
            <w:noWrap/>
            <w:vAlign w:val="center"/>
          </w:tcPr>
          <w:p w14:paraId="045B3C8D">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GYWT-1800</w:t>
            </w:r>
          </w:p>
        </w:tc>
        <w:tc>
          <w:tcPr>
            <w:tcW w:w="1725" w:type="dxa"/>
            <w:tcBorders>
              <w:top w:val="single" w:color="auto" w:sz="4" w:space="0"/>
              <w:left w:val="nil"/>
              <w:bottom w:val="single" w:color="auto" w:sz="4" w:space="0"/>
              <w:right w:val="single" w:color="auto" w:sz="4" w:space="0"/>
            </w:tcBorders>
            <w:noWrap w:val="0"/>
            <w:vAlign w:val="center"/>
          </w:tcPr>
          <w:p w14:paraId="0C3ED7C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8B674D0">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E435C0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工作油压</w:t>
            </w:r>
          </w:p>
        </w:tc>
        <w:tc>
          <w:tcPr>
            <w:tcW w:w="5865" w:type="dxa"/>
            <w:tcBorders>
              <w:top w:val="nil"/>
              <w:left w:val="nil"/>
              <w:bottom w:val="single" w:color="auto" w:sz="4" w:space="0"/>
              <w:right w:val="single" w:color="auto" w:sz="4" w:space="0"/>
            </w:tcBorders>
            <w:noWrap/>
            <w:vAlign w:val="center"/>
          </w:tcPr>
          <w:p w14:paraId="49FE5F38">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16.0</w:t>
            </w:r>
            <w:r>
              <w:rPr>
                <w:rFonts w:hint="eastAsia" w:ascii="仿宋" w:hAnsi="仿宋" w:eastAsia="仿宋" w:cs="仿宋"/>
                <w:color w:val="auto"/>
                <w:kern w:val="0"/>
                <w:sz w:val="24"/>
                <w:szCs w:val="24"/>
                <w:highlight w:val="none"/>
                <w:lang w:val="en-US" w:eastAsia="zh-CN" w:bidi="ar-SA"/>
              </w:rPr>
              <w:t>Mpa</w:t>
            </w:r>
          </w:p>
        </w:tc>
        <w:tc>
          <w:tcPr>
            <w:tcW w:w="1725" w:type="dxa"/>
            <w:tcBorders>
              <w:top w:val="nil"/>
              <w:left w:val="nil"/>
              <w:bottom w:val="single" w:color="auto" w:sz="4" w:space="0"/>
              <w:right w:val="single" w:color="auto" w:sz="4" w:space="0"/>
            </w:tcBorders>
            <w:noWrap w:val="0"/>
            <w:vAlign w:val="center"/>
          </w:tcPr>
          <w:p w14:paraId="1BFDE44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1F846F9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D1FF55D">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额定工作容量</w:t>
            </w:r>
          </w:p>
        </w:tc>
        <w:tc>
          <w:tcPr>
            <w:tcW w:w="5865" w:type="dxa"/>
            <w:tcBorders>
              <w:top w:val="nil"/>
              <w:left w:val="nil"/>
              <w:bottom w:val="single" w:color="auto" w:sz="4" w:space="0"/>
              <w:right w:val="single" w:color="auto" w:sz="4" w:space="0"/>
            </w:tcBorders>
            <w:noWrap/>
            <w:vAlign w:val="center"/>
          </w:tcPr>
          <w:p w14:paraId="524ECA8B">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18000J</w:t>
            </w:r>
          </w:p>
        </w:tc>
        <w:tc>
          <w:tcPr>
            <w:tcW w:w="1725" w:type="dxa"/>
            <w:tcBorders>
              <w:top w:val="nil"/>
              <w:left w:val="nil"/>
              <w:bottom w:val="single" w:color="auto" w:sz="4" w:space="0"/>
              <w:right w:val="single" w:color="auto" w:sz="4" w:space="0"/>
            </w:tcBorders>
            <w:noWrap w:val="0"/>
            <w:vAlign w:val="center"/>
          </w:tcPr>
          <w:p w14:paraId="1972F00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72CFA2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192A987">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压力油罐容积</w:t>
            </w:r>
          </w:p>
        </w:tc>
        <w:tc>
          <w:tcPr>
            <w:tcW w:w="5865" w:type="dxa"/>
            <w:tcBorders>
              <w:top w:val="nil"/>
              <w:left w:val="nil"/>
              <w:bottom w:val="single" w:color="auto" w:sz="4" w:space="0"/>
              <w:right w:val="single" w:color="auto" w:sz="4" w:space="0"/>
            </w:tcBorders>
            <w:noWrap/>
            <w:vAlign w:val="center"/>
          </w:tcPr>
          <w:p w14:paraId="7F4502E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0.04</w:t>
            </w:r>
            <w:r>
              <w:rPr>
                <w:rFonts w:hint="eastAsia" w:ascii="微软雅黑" w:hAnsi="微软雅黑" w:eastAsia="微软雅黑" w:cs="微软雅黑"/>
                <w:color w:val="auto"/>
                <w:kern w:val="0"/>
                <w:sz w:val="24"/>
                <w:szCs w:val="24"/>
                <w:highlight w:val="none"/>
                <w:lang w:val="en-US" w:eastAsia="zh-CN" w:bidi="ar-SA"/>
              </w:rPr>
              <w:t>㎥</w:t>
            </w:r>
          </w:p>
        </w:tc>
        <w:tc>
          <w:tcPr>
            <w:tcW w:w="1725" w:type="dxa"/>
            <w:tcBorders>
              <w:top w:val="nil"/>
              <w:left w:val="nil"/>
              <w:bottom w:val="single" w:color="auto" w:sz="4" w:space="0"/>
              <w:right w:val="single" w:color="auto" w:sz="4" w:space="0"/>
            </w:tcBorders>
            <w:noWrap w:val="0"/>
            <w:vAlign w:val="center"/>
          </w:tcPr>
          <w:p w14:paraId="65FCFB7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AC42FB6">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3960949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标准</w:t>
            </w:r>
            <w:r>
              <w:rPr>
                <w:rFonts w:hint="eastAsia" w:ascii="仿宋" w:hAnsi="仿宋" w:eastAsia="仿宋" w:cs="仿宋"/>
                <w:color w:val="auto"/>
                <w:kern w:val="0"/>
                <w:sz w:val="24"/>
                <w:szCs w:val="24"/>
                <w:highlight w:val="none"/>
              </w:rPr>
              <w:t>编号</w:t>
            </w:r>
          </w:p>
        </w:tc>
        <w:tc>
          <w:tcPr>
            <w:tcW w:w="5865" w:type="dxa"/>
            <w:tcBorders>
              <w:top w:val="nil"/>
              <w:left w:val="nil"/>
              <w:bottom w:val="single" w:color="auto" w:sz="4" w:space="0"/>
              <w:right w:val="single" w:color="auto" w:sz="4" w:space="0"/>
            </w:tcBorders>
            <w:shd w:val="clear" w:color="auto" w:fill="auto"/>
            <w:noWrap/>
            <w:vAlign w:val="center"/>
          </w:tcPr>
          <w:p w14:paraId="5710C069">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GB/T9652.1-2019</w:t>
            </w:r>
          </w:p>
        </w:tc>
        <w:tc>
          <w:tcPr>
            <w:tcW w:w="1725" w:type="dxa"/>
            <w:tcBorders>
              <w:top w:val="nil"/>
              <w:left w:val="nil"/>
              <w:bottom w:val="single" w:color="auto" w:sz="4" w:space="0"/>
              <w:right w:val="single" w:color="auto" w:sz="4" w:space="0"/>
            </w:tcBorders>
            <w:noWrap w:val="0"/>
            <w:vAlign w:val="center"/>
          </w:tcPr>
          <w:p w14:paraId="186B649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2A29C9F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08E0799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出厂年月</w:t>
            </w:r>
          </w:p>
        </w:tc>
        <w:tc>
          <w:tcPr>
            <w:tcW w:w="5865" w:type="dxa"/>
            <w:tcBorders>
              <w:top w:val="nil"/>
              <w:left w:val="nil"/>
              <w:bottom w:val="single" w:color="auto" w:sz="4" w:space="0"/>
              <w:right w:val="single" w:color="auto" w:sz="4" w:space="0"/>
            </w:tcBorders>
            <w:shd w:val="clear" w:color="auto" w:fill="auto"/>
            <w:noWrap/>
            <w:vAlign w:val="center"/>
          </w:tcPr>
          <w:p w14:paraId="613644D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2024</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月</w:t>
            </w:r>
          </w:p>
        </w:tc>
        <w:tc>
          <w:tcPr>
            <w:tcW w:w="1725" w:type="dxa"/>
            <w:tcBorders>
              <w:top w:val="nil"/>
              <w:left w:val="nil"/>
              <w:bottom w:val="single" w:color="auto" w:sz="4" w:space="0"/>
              <w:right w:val="single" w:color="auto" w:sz="4" w:space="0"/>
            </w:tcBorders>
            <w:noWrap w:val="0"/>
            <w:vAlign w:val="center"/>
          </w:tcPr>
          <w:p w14:paraId="5B5E501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0CBBE35">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E399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出厂厂家</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4927A">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杭州三和电控设备有限公司</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71689E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2211230">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shd w:val="clear" w:color="auto" w:fill="auto"/>
            <w:noWrap/>
            <w:vAlign w:val="center"/>
          </w:tcPr>
          <w:p w14:paraId="52B8A18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p>
        </w:tc>
        <w:tc>
          <w:tcPr>
            <w:tcW w:w="5865" w:type="dxa"/>
            <w:tcBorders>
              <w:top w:val="single" w:color="auto" w:sz="4" w:space="0"/>
              <w:left w:val="nil"/>
              <w:bottom w:val="single" w:color="auto" w:sz="4" w:space="0"/>
              <w:right w:val="nil"/>
            </w:tcBorders>
            <w:shd w:val="clear" w:color="auto" w:fill="auto"/>
            <w:noWrap/>
            <w:vAlign w:val="center"/>
          </w:tcPr>
          <w:p w14:paraId="718B598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6F8B1FF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14103157">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16A7D3">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油气水系统控制屏（3台）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31143D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737C016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DCBF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26963A4F">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DZWX-2000</w:t>
            </w:r>
          </w:p>
        </w:tc>
        <w:tc>
          <w:tcPr>
            <w:tcW w:w="1725" w:type="dxa"/>
            <w:tcBorders>
              <w:top w:val="single" w:color="auto" w:sz="4" w:space="0"/>
              <w:left w:val="nil"/>
              <w:bottom w:val="single" w:color="auto" w:sz="4" w:space="0"/>
              <w:right w:val="single" w:color="auto" w:sz="4" w:space="0"/>
            </w:tcBorders>
            <w:noWrap w:val="0"/>
            <w:vAlign w:val="center"/>
          </w:tcPr>
          <w:p w14:paraId="2308234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p>
        </w:tc>
      </w:tr>
      <w:tr w14:paraId="0D3F0AB7">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2E863CDE">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额定电压</w:t>
            </w:r>
          </w:p>
        </w:tc>
        <w:tc>
          <w:tcPr>
            <w:tcW w:w="5865" w:type="dxa"/>
            <w:tcBorders>
              <w:top w:val="nil"/>
              <w:left w:val="nil"/>
              <w:bottom w:val="single" w:color="auto" w:sz="4" w:space="0"/>
              <w:right w:val="single" w:color="auto" w:sz="4" w:space="0"/>
            </w:tcBorders>
            <w:shd w:val="clear" w:color="auto" w:fill="auto"/>
            <w:noWrap/>
            <w:vAlign w:val="center"/>
          </w:tcPr>
          <w:p w14:paraId="725B2F49">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220V</w:t>
            </w:r>
          </w:p>
        </w:tc>
        <w:tc>
          <w:tcPr>
            <w:tcW w:w="1725" w:type="dxa"/>
            <w:tcBorders>
              <w:top w:val="nil"/>
              <w:left w:val="nil"/>
              <w:bottom w:val="single" w:color="auto" w:sz="4" w:space="0"/>
              <w:right w:val="single" w:color="auto" w:sz="4" w:space="0"/>
            </w:tcBorders>
            <w:noWrap w:val="0"/>
            <w:vAlign w:val="center"/>
          </w:tcPr>
          <w:p w14:paraId="08821C9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3B5BB11">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4ADDA61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直流满载电流</w:t>
            </w:r>
          </w:p>
        </w:tc>
        <w:tc>
          <w:tcPr>
            <w:tcW w:w="5865" w:type="dxa"/>
            <w:tcBorders>
              <w:top w:val="nil"/>
              <w:left w:val="nil"/>
              <w:bottom w:val="single" w:color="auto" w:sz="4" w:space="0"/>
              <w:right w:val="single" w:color="auto" w:sz="4" w:space="0"/>
            </w:tcBorders>
            <w:shd w:val="clear" w:color="auto" w:fill="auto"/>
            <w:noWrap/>
            <w:vAlign w:val="center"/>
          </w:tcPr>
          <w:p w14:paraId="009460DF">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2A</w:t>
            </w:r>
          </w:p>
        </w:tc>
        <w:tc>
          <w:tcPr>
            <w:tcW w:w="1725" w:type="dxa"/>
            <w:tcBorders>
              <w:top w:val="nil"/>
              <w:left w:val="nil"/>
              <w:bottom w:val="single" w:color="auto" w:sz="4" w:space="0"/>
              <w:right w:val="single" w:color="auto" w:sz="4" w:space="0"/>
            </w:tcBorders>
            <w:noWrap w:val="0"/>
            <w:vAlign w:val="center"/>
          </w:tcPr>
          <w:p w14:paraId="1EFEC1B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E7D8C0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521E600F">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出厂编号</w:t>
            </w:r>
          </w:p>
        </w:tc>
        <w:tc>
          <w:tcPr>
            <w:tcW w:w="5865" w:type="dxa"/>
            <w:tcBorders>
              <w:top w:val="nil"/>
              <w:left w:val="nil"/>
              <w:bottom w:val="single" w:color="auto" w:sz="4" w:space="0"/>
              <w:right w:val="single" w:color="auto" w:sz="4" w:space="0"/>
            </w:tcBorders>
            <w:shd w:val="clear" w:color="auto" w:fill="auto"/>
            <w:noWrap/>
            <w:vAlign w:val="center"/>
          </w:tcPr>
          <w:p w14:paraId="5A635D5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2024030312</w:t>
            </w:r>
          </w:p>
        </w:tc>
        <w:tc>
          <w:tcPr>
            <w:tcW w:w="1725" w:type="dxa"/>
            <w:tcBorders>
              <w:top w:val="nil"/>
              <w:left w:val="nil"/>
              <w:bottom w:val="single" w:color="auto" w:sz="4" w:space="0"/>
              <w:right w:val="single" w:color="auto" w:sz="4" w:space="0"/>
            </w:tcBorders>
            <w:noWrap w:val="0"/>
            <w:vAlign w:val="center"/>
          </w:tcPr>
          <w:p w14:paraId="15E91C1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8EADDE8">
        <w:tblPrEx>
          <w:tblCellMar>
            <w:top w:w="0" w:type="dxa"/>
            <w:left w:w="108" w:type="dxa"/>
            <w:bottom w:w="0" w:type="dxa"/>
            <w:right w:w="108" w:type="dxa"/>
          </w:tblCellMar>
        </w:tblPrEx>
        <w:trPr>
          <w:trHeight w:val="316"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7A7E9">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出厂厂家</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C62E">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杭州思绿能源科技有限公司</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4399F3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5D120E8C">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shd w:val="clear" w:color="auto" w:fill="auto"/>
            <w:noWrap/>
            <w:vAlign w:val="center"/>
          </w:tcPr>
          <w:p w14:paraId="2F4EBB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p>
        </w:tc>
        <w:tc>
          <w:tcPr>
            <w:tcW w:w="5865" w:type="dxa"/>
            <w:tcBorders>
              <w:top w:val="single" w:color="auto" w:sz="4" w:space="0"/>
              <w:left w:val="nil"/>
              <w:bottom w:val="single" w:color="auto" w:sz="4" w:space="0"/>
              <w:right w:val="nil"/>
            </w:tcBorders>
            <w:shd w:val="clear" w:color="auto" w:fill="auto"/>
            <w:noWrap/>
            <w:vAlign w:val="center"/>
          </w:tcPr>
          <w:p w14:paraId="23B344F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13.</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291C91A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5E9E7539">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2DA28E">
            <w:pPr>
              <w:keepNext w:val="0"/>
              <w:keepLines w:val="0"/>
              <w:suppressLineNumbers w:val="0"/>
              <w:tabs>
                <w:tab w:val="left" w:pos="5461"/>
              </w:tabs>
              <w:spacing w:before="0" w:beforeAutospacing="0" w:after="0" w:afterAutospacing="0"/>
              <w:ind w:left="0" w:right="0" w:rightChars="0" w:firstLine="2400" w:firstLineChars="100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bidi="ar-SA"/>
              </w:rPr>
              <w:t>主变低压侧开关屏（1台）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CAC391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lang w:val="en-US" w:eastAsia="zh-CN"/>
              </w:rPr>
            </w:pPr>
            <w:r>
              <w:rPr>
                <w:rFonts w:hint="eastAsia" w:ascii="仿宋" w:hAnsi="仿宋" w:eastAsia="仿宋" w:cs="仿宋"/>
                <w:color w:val="auto"/>
                <w:kern w:val="0"/>
                <w:sz w:val="24"/>
                <w:szCs w:val="24"/>
                <w:highlight w:val="none"/>
                <w:lang w:val="en-US" w:eastAsia="zh-CN"/>
              </w:rPr>
              <w:t>备注</w:t>
            </w:r>
          </w:p>
        </w:tc>
      </w:tr>
      <w:tr w14:paraId="4FB70935">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5E16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48E30619">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SiW4000/3</w:t>
            </w:r>
          </w:p>
        </w:tc>
        <w:tc>
          <w:tcPr>
            <w:tcW w:w="1725" w:type="dxa"/>
            <w:tcBorders>
              <w:top w:val="single" w:color="auto" w:sz="4" w:space="0"/>
              <w:left w:val="nil"/>
              <w:bottom w:val="single" w:color="auto" w:sz="4" w:space="0"/>
              <w:right w:val="single" w:color="auto" w:sz="4" w:space="0"/>
            </w:tcBorders>
            <w:noWrap w:val="0"/>
            <w:vAlign w:val="center"/>
          </w:tcPr>
          <w:p w14:paraId="58D4530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B0B322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2AEF18C4">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分励脱扣器电压</w:t>
            </w:r>
          </w:p>
        </w:tc>
        <w:tc>
          <w:tcPr>
            <w:tcW w:w="5865" w:type="dxa"/>
            <w:tcBorders>
              <w:top w:val="nil"/>
              <w:left w:val="nil"/>
              <w:bottom w:val="single" w:color="auto" w:sz="4" w:space="0"/>
              <w:right w:val="single" w:color="auto" w:sz="4" w:space="0"/>
            </w:tcBorders>
            <w:shd w:val="clear" w:color="auto" w:fill="auto"/>
            <w:noWrap/>
            <w:vAlign w:val="center"/>
          </w:tcPr>
          <w:p w14:paraId="4C111CA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57DD441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261643B2">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478CDC28">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电操机构电压</w:t>
            </w:r>
          </w:p>
        </w:tc>
        <w:tc>
          <w:tcPr>
            <w:tcW w:w="5865" w:type="dxa"/>
            <w:tcBorders>
              <w:top w:val="nil"/>
              <w:left w:val="nil"/>
              <w:bottom w:val="single" w:color="auto" w:sz="4" w:space="0"/>
              <w:right w:val="single" w:color="auto" w:sz="4" w:space="0"/>
            </w:tcBorders>
            <w:shd w:val="clear" w:color="auto" w:fill="auto"/>
            <w:noWrap/>
            <w:vAlign w:val="center"/>
          </w:tcPr>
          <w:p w14:paraId="1D5FCCA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6F7A135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2D425A07">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247D30C1">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合闸电磁铁电压</w:t>
            </w:r>
          </w:p>
        </w:tc>
        <w:tc>
          <w:tcPr>
            <w:tcW w:w="5865" w:type="dxa"/>
            <w:tcBorders>
              <w:top w:val="nil"/>
              <w:left w:val="nil"/>
              <w:bottom w:val="single" w:color="auto" w:sz="4" w:space="0"/>
              <w:right w:val="single" w:color="auto" w:sz="4" w:space="0"/>
            </w:tcBorders>
            <w:shd w:val="clear" w:color="auto" w:fill="auto"/>
            <w:noWrap/>
            <w:vAlign w:val="center"/>
          </w:tcPr>
          <w:p w14:paraId="6ABB705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7B44E03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36DF58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554AC213">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智能控制器电压</w:t>
            </w:r>
          </w:p>
        </w:tc>
        <w:tc>
          <w:tcPr>
            <w:tcW w:w="5865" w:type="dxa"/>
            <w:tcBorders>
              <w:top w:val="nil"/>
              <w:left w:val="nil"/>
              <w:bottom w:val="single" w:color="auto" w:sz="4" w:space="0"/>
              <w:right w:val="single" w:color="auto" w:sz="4" w:space="0"/>
            </w:tcBorders>
            <w:shd w:val="clear" w:color="auto" w:fill="auto"/>
            <w:noWrap/>
            <w:vAlign w:val="center"/>
          </w:tcPr>
          <w:p w14:paraId="7E208E1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23B8ACB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D9C8F36">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3A82A9D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欠压脱扣器电压</w:t>
            </w:r>
          </w:p>
        </w:tc>
        <w:tc>
          <w:tcPr>
            <w:tcW w:w="5865" w:type="dxa"/>
            <w:tcBorders>
              <w:top w:val="nil"/>
              <w:left w:val="nil"/>
              <w:bottom w:val="single" w:color="auto" w:sz="4" w:space="0"/>
              <w:right w:val="single" w:color="auto" w:sz="4" w:space="0"/>
            </w:tcBorders>
            <w:shd w:val="clear" w:color="auto" w:fill="auto"/>
            <w:noWrap/>
            <w:vAlign w:val="center"/>
          </w:tcPr>
          <w:p w14:paraId="481C1A57">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AC380V</w:t>
            </w:r>
          </w:p>
        </w:tc>
        <w:tc>
          <w:tcPr>
            <w:tcW w:w="1725" w:type="dxa"/>
            <w:tcBorders>
              <w:top w:val="nil"/>
              <w:left w:val="nil"/>
              <w:bottom w:val="single" w:color="auto" w:sz="4" w:space="0"/>
              <w:right w:val="single" w:color="auto" w:sz="4" w:space="0"/>
            </w:tcBorders>
            <w:noWrap w:val="0"/>
            <w:vAlign w:val="center"/>
          </w:tcPr>
          <w:p w14:paraId="4FBE6AA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8C0C61E">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4403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出厂厂家</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8B6E3">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杭州施江银电气集团有限公司</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C16A51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1CE44F60">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shd w:val="clear" w:color="auto" w:fill="auto"/>
            <w:noWrap/>
            <w:vAlign w:val="center"/>
          </w:tcPr>
          <w:p w14:paraId="43377AF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p>
        </w:tc>
        <w:tc>
          <w:tcPr>
            <w:tcW w:w="5865" w:type="dxa"/>
            <w:tcBorders>
              <w:top w:val="single" w:color="auto" w:sz="4" w:space="0"/>
              <w:left w:val="nil"/>
              <w:bottom w:val="single" w:color="auto" w:sz="4" w:space="0"/>
              <w:right w:val="nil"/>
            </w:tcBorders>
            <w:shd w:val="clear" w:color="auto" w:fill="auto"/>
            <w:noWrap/>
            <w:vAlign w:val="center"/>
          </w:tcPr>
          <w:p w14:paraId="4B67302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14.</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2E86FA3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1CEA7D2">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0E7E9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rPr>
              <w:t>公用及保护</w:t>
            </w:r>
            <w:r>
              <w:rPr>
                <w:rFonts w:hint="eastAsia" w:ascii="仿宋" w:hAnsi="仿宋" w:eastAsia="仿宋" w:cs="仿宋"/>
                <w:color w:val="auto"/>
                <w:kern w:val="0"/>
                <w:sz w:val="24"/>
                <w:szCs w:val="24"/>
                <w:highlight w:val="none"/>
                <w:lang w:val="en-US" w:eastAsia="zh-CN" w:bidi="ar-SA"/>
              </w:rPr>
              <w:t>屏（1台）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0558B3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1033AB92">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4872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DC8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DZWX-2000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278DCC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9682800">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AC91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w:t>
            </w:r>
            <w:r>
              <w:rPr>
                <w:rFonts w:hint="eastAsia" w:ascii="仿宋" w:hAnsi="仿宋" w:eastAsia="仿宋" w:cs="仿宋"/>
                <w:color w:val="auto"/>
                <w:kern w:val="0"/>
                <w:sz w:val="24"/>
                <w:szCs w:val="24"/>
                <w:highlight w:val="none"/>
              </w:rPr>
              <w:t>额定电压</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486D7">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220V</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F33070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B24F296">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8139B">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短路切断能力</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C7B1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3KA</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A11FE4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395475F">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A756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直流</w:t>
            </w:r>
            <w:r>
              <w:rPr>
                <w:rFonts w:hint="eastAsia" w:ascii="仿宋" w:hAnsi="仿宋" w:eastAsia="仿宋" w:cs="仿宋"/>
                <w:color w:val="auto"/>
                <w:kern w:val="0"/>
                <w:sz w:val="24"/>
                <w:szCs w:val="24"/>
                <w:highlight w:val="none"/>
              </w:rPr>
              <w:t>额定电压</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9C1D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220V</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A028C3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1A3BA86A">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62BB">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相数</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55FA0">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E5303A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85C4AE6">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713E6">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交流额定频率</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967F">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50HZ</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B03D6D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F3BF945">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69F7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交流满载电流</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FBCEE">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10A</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CAD904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0C46506">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3E14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直流满载电流</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BCCF">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4A</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255FDC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5BC4A0AC">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04F78">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出厂编号</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62307">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20240303007</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1E6263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18D95461">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89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出厂厂家</w:t>
            </w:r>
          </w:p>
        </w:tc>
        <w:tc>
          <w:tcPr>
            <w:tcW w:w="5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E1D8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杭州思绿能源科技有限公司</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FD4066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34886D9">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shd w:val="clear" w:color="auto" w:fill="auto"/>
            <w:noWrap/>
            <w:vAlign w:val="center"/>
          </w:tcPr>
          <w:p w14:paraId="4B7108F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p>
        </w:tc>
        <w:tc>
          <w:tcPr>
            <w:tcW w:w="5865" w:type="dxa"/>
            <w:tcBorders>
              <w:top w:val="single" w:color="auto" w:sz="4" w:space="0"/>
              <w:left w:val="nil"/>
              <w:bottom w:val="single" w:color="auto" w:sz="4" w:space="0"/>
              <w:right w:val="nil"/>
            </w:tcBorders>
            <w:shd w:val="clear" w:color="auto" w:fill="auto"/>
            <w:noWrap/>
            <w:vAlign w:val="center"/>
          </w:tcPr>
          <w:p w14:paraId="7838CD0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rPr>
              <w:t>主要设备参数表</w:t>
            </w:r>
          </w:p>
        </w:tc>
        <w:tc>
          <w:tcPr>
            <w:tcW w:w="1725" w:type="dxa"/>
            <w:tcBorders>
              <w:top w:val="single" w:color="auto" w:sz="4" w:space="0"/>
              <w:left w:val="nil"/>
              <w:bottom w:val="single" w:color="auto" w:sz="4" w:space="0"/>
              <w:right w:val="nil"/>
            </w:tcBorders>
            <w:noWrap w:val="0"/>
            <w:vAlign w:val="center"/>
          </w:tcPr>
          <w:p w14:paraId="445C84A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3DAEB7B">
        <w:tblPrEx>
          <w:tblCellMar>
            <w:top w:w="0" w:type="dxa"/>
            <w:left w:w="108" w:type="dxa"/>
            <w:bottom w:w="0" w:type="dxa"/>
            <w:right w:w="108" w:type="dxa"/>
          </w:tblCellMar>
        </w:tblPrEx>
        <w:trPr>
          <w:trHeight w:val="90" w:hRule="atLeast"/>
        </w:trPr>
        <w:tc>
          <w:tcPr>
            <w:tcW w:w="78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39759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w:t>
            </w:r>
            <w:r>
              <w:rPr>
                <w:rFonts w:hint="eastAsia" w:ascii="仿宋" w:hAnsi="仿宋" w:eastAsia="仿宋" w:cs="仿宋"/>
                <w:color w:val="auto"/>
                <w:kern w:val="0"/>
                <w:sz w:val="24"/>
                <w:szCs w:val="24"/>
                <w:highlight w:val="none"/>
                <w:lang w:val="en-US" w:eastAsia="zh-CN" w:bidi="ar-SA"/>
              </w:rPr>
              <w:t>机组测量控制屏（3台）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F2B271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lang w:val="en-US" w:eastAsia="zh-CN"/>
              </w:rPr>
            </w:pPr>
            <w:r>
              <w:rPr>
                <w:rFonts w:hint="eastAsia" w:ascii="仿宋" w:hAnsi="仿宋" w:eastAsia="仿宋" w:cs="仿宋"/>
                <w:color w:val="auto"/>
                <w:kern w:val="0"/>
                <w:sz w:val="24"/>
                <w:szCs w:val="24"/>
                <w:highlight w:val="none"/>
                <w:lang w:val="en-US" w:eastAsia="zh-CN"/>
              </w:rPr>
              <w:t>备注</w:t>
            </w:r>
          </w:p>
        </w:tc>
      </w:tr>
      <w:tr w14:paraId="11464B2E">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532D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型     号</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4E20E9A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DZWX-2000</w:t>
            </w:r>
          </w:p>
        </w:tc>
        <w:tc>
          <w:tcPr>
            <w:tcW w:w="1725" w:type="dxa"/>
            <w:tcBorders>
              <w:top w:val="single" w:color="auto" w:sz="4" w:space="0"/>
              <w:left w:val="nil"/>
              <w:bottom w:val="single" w:color="auto" w:sz="4" w:space="0"/>
              <w:right w:val="single" w:color="auto" w:sz="4" w:space="0"/>
            </w:tcBorders>
            <w:noWrap w:val="0"/>
            <w:vAlign w:val="center"/>
          </w:tcPr>
          <w:p w14:paraId="4632462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210BC0C">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36E3DB1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分励脱扣器电压</w:t>
            </w:r>
          </w:p>
        </w:tc>
        <w:tc>
          <w:tcPr>
            <w:tcW w:w="5865" w:type="dxa"/>
            <w:tcBorders>
              <w:top w:val="nil"/>
              <w:left w:val="nil"/>
              <w:bottom w:val="single" w:color="auto" w:sz="4" w:space="0"/>
              <w:right w:val="single" w:color="auto" w:sz="4" w:space="0"/>
            </w:tcBorders>
            <w:shd w:val="clear" w:color="auto" w:fill="auto"/>
            <w:noWrap/>
            <w:vAlign w:val="center"/>
          </w:tcPr>
          <w:p w14:paraId="1882D1D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227EEA3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2C00195E">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69030AD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电操机构电压</w:t>
            </w:r>
          </w:p>
        </w:tc>
        <w:tc>
          <w:tcPr>
            <w:tcW w:w="5865" w:type="dxa"/>
            <w:tcBorders>
              <w:top w:val="nil"/>
              <w:left w:val="nil"/>
              <w:bottom w:val="single" w:color="auto" w:sz="4" w:space="0"/>
              <w:right w:val="single" w:color="auto" w:sz="4" w:space="0"/>
            </w:tcBorders>
            <w:shd w:val="clear" w:color="auto" w:fill="auto"/>
            <w:noWrap/>
            <w:vAlign w:val="center"/>
          </w:tcPr>
          <w:p w14:paraId="6DC70D4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397D1F1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40E811B">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39FD03B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合闸电磁铁电压</w:t>
            </w:r>
          </w:p>
        </w:tc>
        <w:tc>
          <w:tcPr>
            <w:tcW w:w="5865" w:type="dxa"/>
            <w:tcBorders>
              <w:top w:val="nil"/>
              <w:left w:val="nil"/>
              <w:bottom w:val="single" w:color="auto" w:sz="4" w:space="0"/>
              <w:right w:val="single" w:color="auto" w:sz="4" w:space="0"/>
            </w:tcBorders>
            <w:shd w:val="clear" w:color="auto" w:fill="auto"/>
            <w:noWrap/>
            <w:vAlign w:val="center"/>
          </w:tcPr>
          <w:p w14:paraId="0A5817A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72D2266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0EF6BF7A">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7DEDBEF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智能控制器电压</w:t>
            </w:r>
          </w:p>
        </w:tc>
        <w:tc>
          <w:tcPr>
            <w:tcW w:w="5865" w:type="dxa"/>
            <w:tcBorders>
              <w:top w:val="nil"/>
              <w:left w:val="nil"/>
              <w:bottom w:val="single" w:color="auto" w:sz="4" w:space="0"/>
              <w:right w:val="single" w:color="auto" w:sz="4" w:space="0"/>
            </w:tcBorders>
            <w:shd w:val="clear" w:color="auto" w:fill="auto"/>
            <w:noWrap/>
            <w:vAlign w:val="center"/>
          </w:tcPr>
          <w:p w14:paraId="6981619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DC220V</w:t>
            </w:r>
          </w:p>
        </w:tc>
        <w:tc>
          <w:tcPr>
            <w:tcW w:w="1725" w:type="dxa"/>
            <w:tcBorders>
              <w:top w:val="nil"/>
              <w:left w:val="nil"/>
              <w:bottom w:val="single" w:color="auto" w:sz="4" w:space="0"/>
              <w:right w:val="single" w:color="auto" w:sz="4" w:space="0"/>
            </w:tcBorders>
            <w:noWrap w:val="0"/>
            <w:vAlign w:val="center"/>
          </w:tcPr>
          <w:p w14:paraId="3BEEFD6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6A3BF7AD">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376B938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欠压脱扣器电压</w:t>
            </w:r>
          </w:p>
        </w:tc>
        <w:tc>
          <w:tcPr>
            <w:tcW w:w="5865" w:type="dxa"/>
            <w:tcBorders>
              <w:top w:val="nil"/>
              <w:left w:val="nil"/>
              <w:bottom w:val="single" w:color="auto" w:sz="4" w:space="0"/>
              <w:right w:val="single" w:color="auto" w:sz="4" w:space="0"/>
            </w:tcBorders>
            <w:shd w:val="clear" w:color="auto" w:fill="auto"/>
            <w:noWrap/>
            <w:vAlign w:val="center"/>
          </w:tcPr>
          <w:p w14:paraId="744C7C3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AC380V</w:t>
            </w:r>
          </w:p>
        </w:tc>
        <w:tc>
          <w:tcPr>
            <w:tcW w:w="1725" w:type="dxa"/>
            <w:tcBorders>
              <w:top w:val="nil"/>
              <w:left w:val="nil"/>
              <w:bottom w:val="single" w:color="auto" w:sz="4" w:space="0"/>
              <w:right w:val="single" w:color="auto" w:sz="4" w:space="0"/>
            </w:tcBorders>
            <w:noWrap w:val="0"/>
            <w:vAlign w:val="center"/>
          </w:tcPr>
          <w:p w14:paraId="36D28DC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3BD0BBA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shd w:val="clear" w:color="auto" w:fill="auto"/>
            <w:noWrap/>
            <w:vAlign w:val="center"/>
          </w:tcPr>
          <w:p w14:paraId="13F08EB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出厂厂家</w:t>
            </w:r>
          </w:p>
        </w:tc>
        <w:tc>
          <w:tcPr>
            <w:tcW w:w="5865" w:type="dxa"/>
            <w:tcBorders>
              <w:top w:val="nil"/>
              <w:left w:val="nil"/>
              <w:bottom w:val="single" w:color="auto" w:sz="4" w:space="0"/>
              <w:right w:val="single" w:color="auto" w:sz="4" w:space="0"/>
            </w:tcBorders>
            <w:shd w:val="clear" w:color="auto" w:fill="auto"/>
            <w:noWrap/>
            <w:vAlign w:val="center"/>
          </w:tcPr>
          <w:p w14:paraId="60B939C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杭州施江银电气集团有限公司</w:t>
            </w:r>
          </w:p>
        </w:tc>
        <w:tc>
          <w:tcPr>
            <w:tcW w:w="1725" w:type="dxa"/>
            <w:tcBorders>
              <w:top w:val="nil"/>
              <w:left w:val="nil"/>
              <w:bottom w:val="single" w:color="auto" w:sz="4" w:space="0"/>
              <w:right w:val="single" w:color="auto" w:sz="4" w:space="0"/>
            </w:tcBorders>
            <w:noWrap w:val="0"/>
            <w:vAlign w:val="center"/>
          </w:tcPr>
          <w:p w14:paraId="21D3E6C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green"/>
              </w:rPr>
            </w:pPr>
          </w:p>
        </w:tc>
      </w:tr>
      <w:tr w14:paraId="427A49FE">
        <w:tblPrEx>
          <w:tblCellMar>
            <w:top w:w="0" w:type="dxa"/>
            <w:left w:w="108" w:type="dxa"/>
            <w:bottom w:w="0" w:type="dxa"/>
            <w:right w:w="108" w:type="dxa"/>
          </w:tblCellMar>
        </w:tblPrEx>
        <w:trPr>
          <w:trHeight w:val="316" w:hRule="atLeast"/>
        </w:trPr>
        <w:tc>
          <w:tcPr>
            <w:tcW w:w="9615" w:type="dxa"/>
            <w:gridSpan w:val="3"/>
            <w:tcBorders>
              <w:top w:val="single" w:color="auto" w:sz="4" w:space="0"/>
              <w:left w:val="single" w:color="auto" w:sz="4" w:space="0"/>
              <w:bottom w:val="single" w:color="auto" w:sz="4" w:space="0"/>
              <w:right w:val="single" w:color="auto" w:sz="4" w:space="0"/>
            </w:tcBorders>
            <w:noWrap/>
            <w:vAlign w:val="center"/>
          </w:tcPr>
          <w:p w14:paraId="30F658C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 xml:space="preserve">       16.</w:t>
            </w:r>
            <w:r>
              <w:rPr>
                <w:rFonts w:hint="eastAsia" w:ascii="仿宋" w:hAnsi="仿宋" w:eastAsia="仿宋" w:cs="仿宋"/>
                <w:b/>
                <w:bCs/>
                <w:color w:val="auto"/>
                <w:kern w:val="0"/>
                <w:sz w:val="24"/>
                <w:szCs w:val="24"/>
              </w:rPr>
              <w:t>主要设备参数表</w:t>
            </w:r>
          </w:p>
        </w:tc>
      </w:tr>
      <w:tr w14:paraId="59FD4D14">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41FBDFC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设备名称： </w:t>
            </w:r>
            <w:r>
              <w:rPr>
                <w:rFonts w:hint="eastAsia" w:ascii="仿宋" w:hAnsi="仿宋" w:eastAsia="仿宋" w:cs="仿宋"/>
                <w:color w:val="auto"/>
                <w:kern w:val="0"/>
                <w:sz w:val="24"/>
                <w:szCs w:val="24"/>
                <w:highlight w:val="none"/>
                <w:lang w:val="en-US" w:eastAsia="zh-CN"/>
              </w:rPr>
              <w:t>抽出式低压开关柜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3台</w:t>
            </w:r>
            <w:r>
              <w:rPr>
                <w:rFonts w:hint="eastAsia" w:ascii="仿宋" w:hAnsi="仿宋" w:eastAsia="仿宋" w:cs="仿宋"/>
                <w:color w:val="auto"/>
                <w:kern w:val="0"/>
                <w:sz w:val="24"/>
                <w:szCs w:val="24"/>
                <w:highlight w:val="none"/>
                <w:lang w:eastAsia="zh-CN"/>
              </w:rPr>
              <w:t>）</w:t>
            </w:r>
          </w:p>
        </w:tc>
        <w:tc>
          <w:tcPr>
            <w:tcW w:w="1725" w:type="dxa"/>
            <w:tcBorders>
              <w:top w:val="nil"/>
              <w:left w:val="nil"/>
              <w:bottom w:val="single" w:color="auto" w:sz="4" w:space="0"/>
              <w:right w:val="single" w:color="auto" w:sz="4" w:space="0"/>
            </w:tcBorders>
            <w:noWrap/>
            <w:vAlign w:val="center"/>
          </w:tcPr>
          <w:p w14:paraId="1E86F6B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备注</w:t>
            </w:r>
          </w:p>
        </w:tc>
      </w:tr>
      <w:tr w14:paraId="5FA3E32B">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1EFECC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    号</w:t>
            </w:r>
          </w:p>
        </w:tc>
        <w:tc>
          <w:tcPr>
            <w:tcW w:w="5865" w:type="dxa"/>
            <w:tcBorders>
              <w:top w:val="nil"/>
              <w:left w:val="nil"/>
              <w:bottom w:val="single" w:color="auto" w:sz="4" w:space="0"/>
              <w:right w:val="single" w:color="auto" w:sz="4" w:space="0"/>
            </w:tcBorders>
            <w:noWrap/>
            <w:vAlign w:val="center"/>
          </w:tcPr>
          <w:p w14:paraId="10D5186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GCK</w:t>
            </w:r>
          </w:p>
        </w:tc>
        <w:tc>
          <w:tcPr>
            <w:tcW w:w="1725" w:type="dxa"/>
            <w:tcBorders>
              <w:top w:val="nil"/>
              <w:left w:val="nil"/>
              <w:bottom w:val="single" w:color="auto" w:sz="4" w:space="0"/>
              <w:right w:val="single" w:color="auto" w:sz="4" w:space="0"/>
            </w:tcBorders>
            <w:noWrap/>
            <w:vAlign w:val="center"/>
          </w:tcPr>
          <w:p w14:paraId="4A67DB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95C77B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4ED046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w:t>
            </w:r>
            <w:r>
              <w:rPr>
                <w:rFonts w:hint="eastAsia" w:ascii="仿宋" w:hAnsi="仿宋" w:eastAsia="仿宋" w:cs="仿宋"/>
                <w:color w:val="auto"/>
                <w:kern w:val="0"/>
                <w:sz w:val="24"/>
                <w:szCs w:val="24"/>
                <w:lang w:val="en-US" w:eastAsia="zh-CN"/>
              </w:rPr>
              <w:t>绝缘</w:t>
            </w:r>
            <w:r>
              <w:rPr>
                <w:rFonts w:hint="eastAsia" w:ascii="仿宋" w:hAnsi="仿宋" w:eastAsia="仿宋" w:cs="仿宋"/>
                <w:color w:val="auto"/>
                <w:kern w:val="0"/>
                <w:sz w:val="24"/>
                <w:szCs w:val="24"/>
              </w:rPr>
              <w:t>电压</w:t>
            </w:r>
          </w:p>
        </w:tc>
        <w:tc>
          <w:tcPr>
            <w:tcW w:w="5865" w:type="dxa"/>
            <w:tcBorders>
              <w:top w:val="nil"/>
              <w:left w:val="nil"/>
              <w:bottom w:val="single" w:color="auto" w:sz="4" w:space="0"/>
              <w:right w:val="single" w:color="auto" w:sz="4" w:space="0"/>
            </w:tcBorders>
            <w:noWrap/>
            <w:vAlign w:val="center"/>
          </w:tcPr>
          <w:p w14:paraId="24AB8436">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660V</w:t>
            </w:r>
          </w:p>
        </w:tc>
        <w:tc>
          <w:tcPr>
            <w:tcW w:w="1725" w:type="dxa"/>
            <w:tcBorders>
              <w:top w:val="nil"/>
              <w:left w:val="nil"/>
              <w:bottom w:val="single" w:color="auto" w:sz="4" w:space="0"/>
              <w:right w:val="single" w:color="auto" w:sz="4" w:space="0"/>
            </w:tcBorders>
            <w:noWrap/>
            <w:vAlign w:val="center"/>
          </w:tcPr>
          <w:p w14:paraId="70FF448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50D9BFA">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AEBC1E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w:t>
            </w:r>
            <w:r>
              <w:rPr>
                <w:rFonts w:hint="eastAsia" w:ascii="仿宋" w:hAnsi="仿宋" w:eastAsia="仿宋" w:cs="仿宋"/>
                <w:color w:val="auto"/>
                <w:kern w:val="0"/>
                <w:sz w:val="24"/>
                <w:szCs w:val="24"/>
                <w:lang w:val="en-US" w:eastAsia="zh-CN"/>
              </w:rPr>
              <w:t>工作</w:t>
            </w:r>
            <w:r>
              <w:rPr>
                <w:rFonts w:hint="eastAsia" w:ascii="仿宋" w:hAnsi="仿宋" w:eastAsia="仿宋" w:cs="仿宋"/>
                <w:color w:val="auto"/>
                <w:kern w:val="0"/>
                <w:sz w:val="24"/>
                <w:szCs w:val="24"/>
              </w:rPr>
              <w:t>电压</w:t>
            </w:r>
          </w:p>
        </w:tc>
        <w:tc>
          <w:tcPr>
            <w:tcW w:w="5865" w:type="dxa"/>
            <w:tcBorders>
              <w:top w:val="nil"/>
              <w:left w:val="nil"/>
              <w:bottom w:val="single" w:color="auto" w:sz="4" w:space="0"/>
              <w:right w:val="single" w:color="auto" w:sz="4" w:space="0"/>
            </w:tcBorders>
            <w:noWrap/>
            <w:vAlign w:val="center"/>
          </w:tcPr>
          <w:p w14:paraId="36945A89">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380V</w:t>
            </w:r>
          </w:p>
        </w:tc>
        <w:tc>
          <w:tcPr>
            <w:tcW w:w="1725" w:type="dxa"/>
            <w:tcBorders>
              <w:top w:val="nil"/>
              <w:left w:val="nil"/>
              <w:bottom w:val="single" w:color="auto" w:sz="4" w:space="0"/>
              <w:right w:val="single" w:color="auto" w:sz="4" w:space="0"/>
            </w:tcBorders>
            <w:noWrap/>
            <w:vAlign w:val="center"/>
          </w:tcPr>
          <w:p w14:paraId="1ADF765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0C7E143A">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3C4C03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频率</w:t>
            </w:r>
          </w:p>
        </w:tc>
        <w:tc>
          <w:tcPr>
            <w:tcW w:w="5865" w:type="dxa"/>
            <w:tcBorders>
              <w:top w:val="nil"/>
              <w:left w:val="nil"/>
              <w:bottom w:val="single" w:color="auto" w:sz="4" w:space="0"/>
              <w:right w:val="single" w:color="auto" w:sz="4" w:space="0"/>
            </w:tcBorders>
            <w:noWrap/>
            <w:vAlign w:val="center"/>
          </w:tcPr>
          <w:p w14:paraId="5F8FC2D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50HZ</w:t>
            </w:r>
          </w:p>
        </w:tc>
        <w:tc>
          <w:tcPr>
            <w:tcW w:w="1725" w:type="dxa"/>
            <w:tcBorders>
              <w:top w:val="nil"/>
              <w:left w:val="nil"/>
              <w:bottom w:val="single" w:color="auto" w:sz="4" w:space="0"/>
              <w:right w:val="single" w:color="auto" w:sz="4" w:space="0"/>
            </w:tcBorders>
            <w:noWrap/>
            <w:vAlign w:val="center"/>
          </w:tcPr>
          <w:p w14:paraId="36BC692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516E03B">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43020A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电流</w:t>
            </w:r>
          </w:p>
        </w:tc>
        <w:tc>
          <w:tcPr>
            <w:tcW w:w="5865" w:type="dxa"/>
            <w:tcBorders>
              <w:top w:val="nil"/>
              <w:left w:val="nil"/>
              <w:bottom w:val="single" w:color="auto" w:sz="4" w:space="0"/>
              <w:right w:val="single" w:color="auto" w:sz="4" w:space="0"/>
            </w:tcBorders>
            <w:noWrap/>
            <w:vAlign w:val="center"/>
          </w:tcPr>
          <w:p w14:paraId="7BD55F4D">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400A</w:t>
            </w:r>
          </w:p>
        </w:tc>
        <w:tc>
          <w:tcPr>
            <w:tcW w:w="1725" w:type="dxa"/>
            <w:tcBorders>
              <w:top w:val="nil"/>
              <w:left w:val="nil"/>
              <w:bottom w:val="single" w:color="auto" w:sz="4" w:space="0"/>
              <w:right w:val="single" w:color="auto" w:sz="4" w:space="0"/>
            </w:tcBorders>
            <w:noWrap/>
            <w:vAlign w:val="center"/>
          </w:tcPr>
          <w:p w14:paraId="57C9671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4041FF9E">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B6C548E">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防护等级</w:t>
            </w:r>
          </w:p>
        </w:tc>
        <w:tc>
          <w:tcPr>
            <w:tcW w:w="5865" w:type="dxa"/>
            <w:tcBorders>
              <w:top w:val="nil"/>
              <w:left w:val="nil"/>
              <w:bottom w:val="single" w:color="auto" w:sz="4" w:space="0"/>
              <w:right w:val="single" w:color="auto" w:sz="4" w:space="0"/>
            </w:tcBorders>
            <w:noWrap/>
            <w:vAlign w:val="center"/>
          </w:tcPr>
          <w:p w14:paraId="529E28C0">
            <w:pPr>
              <w:keepNext w:val="0"/>
              <w:keepLines w:val="0"/>
              <w:suppressLineNumbers w:val="0"/>
              <w:spacing w:before="0" w:beforeAutospacing="0" w:after="0" w:afterAutospacing="0"/>
              <w:ind w:left="0" w:right="0" w:firstLine="2880" w:firstLineChars="1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IP30</w:t>
            </w:r>
          </w:p>
        </w:tc>
        <w:tc>
          <w:tcPr>
            <w:tcW w:w="1725" w:type="dxa"/>
            <w:tcBorders>
              <w:top w:val="nil"/>
              <w:left w:val="nil"/>
              <w:bottom w:val="single" w:color="auto" w:sz="4" w:space="0"/>
              <w:right w:val="single" w:color="auto" w:sz="4" w:space="0"/>
            </w:tcBorders>
            <w:noWrap/>
            <w:vAlign w:val="center"/>
          </w:tcPr>
          <w:p w14:paraId="083DD22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CD628B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6504D7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5865" w:type="dxa"/>
            <w:tcBorders>
              <w:top w:val="nil"/>
              <w:left w:val="nil"/>
              <w:bottom w:val="single" w:color="auto" w:sz="4" w:space="0"/>
              <w:right w:val="single" w:color="auto" w:sz="4" w:space="0"/>
            </w:tcBorders>
            <w:noWrap/>
            <w:vAlign w:val="center"/>
          </w:tcPr>
          <w:p w14:paraId="05FBAC8E">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240114</w:t>
            </w:r>
          </w:p>
        </w:tc>
        <w:tc>
          <w:tcPr>
            <w:tcW w:w="1725" w:type="dxa"/>
            <w:tcBorders>
              <w:top w:val="nil"/>
              <w:left w:val="nil"/>
              <w:bottom w:val="single" w:color="auto" w:sz="4" w:space="0"/>
              <w:right w:val="single" w:color="auto" w:sz="4" w:space="0"/>
            </w:tcBorders>
            <w:noWrap/>
            <w:vAlign w:val="center"/>
          </w:tcPr>
          <w:p w14:paraId="62BC6F4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13F4B6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662449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5865" w:type="dxa"/>
            <w:tcBorders>
              <w:top w:val="nil"/>
              <w:left w:val="nil"/>
              <w:bottom w:val="single" w:color="auto" w:sz="4" w:space="0"/>
              <w:right w:val="single" w:color="auto" w:sz="4" w:space="0"/>
            </w:tcBorders>
            <w:noWrap/>
            <w:vAlign w:val="center"/>
          </w:tcPr>
          <w:p w14:paraId="7A7E714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w:t>
            </w:r>
            <w:r>
              <w:rPr>
                <w:rFonts w:hint="eastAsia" w:ascii="仿宋" w:hAnsi="仿宋" w:eastAsia="仿宋" w:cs="仿宋"/>
                <w:color w:val="auto"/>
                <w:kern w:val="0"/>
                <w:sz w:val="24"/>
                <w:szCs w:val="24"/>
                <w:lang w:val="en-US" w:eastAsia="zh-CN"/>
              </w:rPr>
              <w:t>24</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月</w:t>
            </w:r>
          </w:p>
        </w:tc>
        <w:tc>
          <w:tcPr>
            <w:tcW w:w="1725" w:type="dxa"/>
            <w:tcBorders>
              <w:top w:val="nil"/>
              <w:left w:val="nil"/>
              <w:bottom w:val="single" w:color="auto" w:sz="4" w:space="0"/>
              <w:right w:val="single" w:color="auto" w:sz="4" w:space="0"/>
            </w:tcBorders>
            <w:noWrap/>
            <w:vAlign w:val="center"/>
          </w:tcPr>
          <w:p w14:paraId="17FFD0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E699FC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4E2AA61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生产厂家</w:t>
            </w:r>
          </w:p>
        </w:tc>
        <w:tc>
          <w:tcPr>
            <w:tcW w:w="5865" w:type="dxa"/>
            <w:tcBorders>
              <w:top w:val="single" w:color="auto" w:sz="4" w:space="0"/>
              <w:left w:val="single" w:color="auto" w:sz="4" w:space="0"/>
              <w:bottom w:val="single" w:color="auto" w:sz="4" w:space="0"/>
              <w:right w:val="single" w:color="auto" w:sz="4" w:space="0"/>
            </w:tcBorders>
            <w:noWrap/>
            <w:vAlign w:val="center"/>
          </w:tcPr>
          <w:p w14:paraId="379FE1BA">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上海庆泰电器成套有限公司</w:t>
            </w:r>
          </w:p>
        </w:tc>
        <w:tc>
          <w:tcPr>
            <w:tcW w:w="1725" w:type="dxa"/>
            <w:tcBorders>
              <w:top w:val="single" w:color="auto" w:sz="4" w:space="0"/>
              <w:left w:val="single" w:color="auto" w:sz="4" w:space="0"/>
              <w:bottom w:val="single" w:color="auto" w:sz="4" w:space="0"/>
              <w:right w:val="single" w:color="auto" w:sz="4" w:space="0"/>
            </w:tcBorders>
            <w:noWrap/>
            <w:vAlign w:val="center"/>
          </w:tcPr>
          <w:p w14:paraId="2C56076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3416C4A5">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659E39D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5865" w:type="dxa"/>
            <w:tcBorders>
              <w:top w:val="single" w:color="auto" w:sz="4" w:space="0"/>
              <w:left w:val="nil"/>
              <w:bottom w:val="single" w:color="auto" w:sz="4" w:space="0"/>
              <w:right w:val="nil"/>
            </w:tcBorders>
            <w:noWrap/>
            <w:vAlign w:val="center"/>
          </w:tcPr>
          <w:p w14:paraId="3663564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17.</w:t>
            </w:r>
            <w:r>
              <w:rPr>
                <w:rFonts w:hint="eastAsia" w:ascii="仿宋" w:hAnsi="仿宋" w:eastAsia="仿宋" w:cs="仿宋"/>
                <w:b/>
                <w:bCs/>
                <w:color w:val="auto"/>
                <w:kern w:val="0"/>
                <w:sz w:val="24"/>
                <w:szCs w:val="24"/>
              </w:rPr>
              <w:t>主要设备参数表</w:t>
            </w:r>
          </w:p>
        </w:tc>
        <w:tc>
          <w:tcPr>
            <w:tcW w:w="1725" w:type="dxa"/>
            <w:tcBorders>
              <w:top w:val="single" w:color="auto" w:sz="4" w:space="0"/>
              <w:left w:val="nil"/>
              <w:bottom w:val="single" w:color="auto" w:sz="4" w:space="0"/>
              <w:right w:val="nil"/>
            </w:tcBorders>
            <w:noWrap/>
            <w:vAlign w:val="center"/>
          </w:tcPr>
          <w:p w14:paraId="3CD880D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BCAEBB8">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51E95FB9">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设备名称： </w:t>
            </w:r>
            <w:r>
              <w:rPr>
                <w:rFonts w:hint="eastAsia" w:ascii="仿宋" w:hAnsi="仿宋" w:eastAsia="仿宋" w:cs="仿宋"/>
                <w:color w:val="auto"/>
                <w:kern w:val="0"/>
                <w:sz w:val="24"/>
                <w:szCs w:val="24"/>
                <w:highlight w:val="none"/>
                <w:lang w:val="en-US" w:eastAsia="zh-CN"/>
              </w:rPr>
              <w:t>高压开关柜（3台）</w:t>
            </w:r>
          </w:p>
        </w:tc>
        <w:tc>
          <w:tcPr>
            <w:tcW w:w="1725" w:type="dxa"/>
            <w:tcBorders>
              <w:top w:val="single" w:color="auto" w:sz="4" w:space="0"/>
              <w:left w:val="single" w:color="auto" w:sz="4" w:space="0"/>
              <w:bottom w:val="single" w:color="auto" w:sz="4" w:space="0"/>
              <w:right w:val="single" w:color="auto" w:sz="4" w:space="0"/>
            </w:tcBorders>
            <w:noWrap/>
            <w:vAlign w:val="center"/>
          </w:tcPr>
          <w:p w14:paraId="5737CB6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14:paraId="462A3EB6">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6CC81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型    号</w:t>
            </w:r>
          </w:p>
        </w:tc>
        <w:tc>
          <w:tcPr>
            <w:tcW w:w="5865" w:type="dxa"/>
            <w:tcBorders>
              <w:top w:val="single" w:color="auto" w:sz="4" w:space="0"/>
              <w:left w:val="single" w:color="auto" w:sz="4" w:space="0"/>
              <w:bottom w:val="single" w:color="auto" w:sz="4" w:space="0"/>
              <w:right w:val="single" w:color="auto" w:sz="4" w:space="0"/>
            </w:tcBorders>
            <w:noWrap/>
            <w:vAlign w:val="center"/>
          </w:tcPr>
          <w:p w14:paraId="5BDF0A2F">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GG-1A(F)-54J</w:t>
            </w:r>
          </w:p>
        </w:tc>
        <w:tc>
          <w:tcPr>
            <w:tcW w:w="1725" w:type="dxa"/>
            <w:tcBorders>
              <w:top w:val="single" w:color="auto" w:sz="4" w:space="0"/>
              <w:left w:val="single" w:color="auto" w:sz="4" w:space="0"/>
              <w:bottom w:val="single" w:color="auto" w:sz="4" w:space="0"/>
              <w:right w:val="single" w:color="auto" w:sz="4" w:space="0"/>
            </w:tcBorders>
            <w:noWrap/>
            <w:vAlign w:val="center"/>
          </w:tcPr>
          <w:p w14:paraId="1E3683F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6702E1B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1279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额定电压</w:t>
            </w:r>
          </w:p>
        </w:tc>
        <w:tc>
          <w:tcPr>
            <w:tcW w:w="5865" w:type="dxa"/>
            <w:tcBorders>
              <w:top w:val="single" w:color="auto" w:sz="4" w:space="0"/>
              <w:left w:val="single" w:color="auto" w:sz="4" w:space="0"/>
              <w:bottom w:val="single" w:color="auto" w:sz="4" w:space="0"/>
              <w:right w:val="single" w:color="auto" w:sz="4" w:space="0"/>
            </w:tcBorders>
            <w:noWrap/>
            <w:vAlign w:val="center"/>
          </w:tcPr>
          <w:p w14:paraId="4A171582">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10KV</w:t>
            </w:r>
          </w:p>
        </w:tc>
        <w:tc>
          <w:tcPr>
            <w:tcW w:w="1725" w:type="dxa"/>
            <w:tcBorders>
              <w:top w:val="single" w:color="auto" w:sz="4" w:space="0"/>
              <w:left w:val="single" w:color="auto" w:sz="4" w:space="0"/>
              <w:bottom w:val="single" w:color="auto" w:sz="4" w:space="0"/>
              <w:right w:val="single" w:color="auto" w:sz="4" w:space="0"/>
            </w:tcBorders>
            <w:noWrap/>
            <w:vAlign w:val="center"/>
          </w:tcPr>
          <w:p w14:paraId="705F651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6D939010">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8CF2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电流</w:t>
            </w:r>
          </w:p>
        </w:tc>
        <w:tc>
          <w:tcPr>
            <w:tcW w:w="5865" w:type="dxa"/>
            <w:tcBorders>
              <w:top w:val="single" w:color="auto" w:sz="4" w:space="0"/>
              <w:left w:val="single" w:color="auto" w:sz="4" w:space="0"/>
              <w:bottom w:val="single" w:color="auto" w:sz="4" w:space="0"/>
              <w:right w:val="single" w:color="auto" w:sz="4" w:space="0"/>
            </w:tcBorders>
            <w:noWrap/>
            <w:vAlign w:val="center"/>
          </w:tcPr>
          <w:p w14:paraId="098E2748">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150A</w:t>
            </w:r>
          </w:p>
        </w:tc>
        <w:tc>
          <w:tcPr>
            <w:tcW w:w="1725" w:type="dxa"/>
            <w:tcBorders>
              <w:top w:val="single" w:color="auto" w:sz="4" w:space="0"/>
              <w:left w:val="single" w:color="auto" w:sz="4" w:space="0"/>
              <w:bottom w:val="single" w:color="auto" w:sz="4" w:space="0"/>
              <w:right w:val="single" w:color="auto" w:sz="4" w:space="0"/>
            </w:tcBorders>
            <w:noWrap/>
            <w:vAlign w:val="center"/>
          </w:tcPr>
          <w:p w14:paraId="20D4A97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C105641">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FDF4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频率</w:t>
            </w:r>
          </w:p>
        </w:tc>
        <w:tc>
          <w:tcPr>
            <w:tcW w:w="5865" w:type="dxa"/>
            <w:tcBorders>
              <w:top w:val="single" w:color="auto" w:sz="4" w:space="0"/>
              <w:left w:val="single" w:color="auto" w:sz="4" w:space="0"/>
              <w:bottom w:val="single" w:color="auto" w:sz="4" w:space="0"/>
              <w:right w:val="single" w:color="auto" w:sz="4" w:space="0"/>
            </w:tcBorders>
            <w:noWrap/>
            <w:vAlign w:val="center"/>
          </w:tcPr>
          <w:p w14:paraId="7EC9E066">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50HZ</w:t>
            </w:r>
          </w:p>
        </w:tc>
        <w:tc>
          <w:tcPr>
            <w:tcW w:w="1725" w:type="dxa"/>
            <w:tcBorders>
              <w:top w:val="single" w:color="auto" w:sz="4" w:space="0"/>
              <w:left w:val="single" w:color="auto" w:sz="4" w:space="0"/>
              <w:bottom w:val="single" w:color="auto" w:sz="4" w:space="0"/>
              <w:right w:val="single" w:color="auto" w:sz="4" w:space="0"/>
            </w:tcBorders>
            <w:noWrap/>
            <w:vAlign w:val="center"/>
          </w:tcPr>
          <w:p w14:paraId="07B1DF9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2304F2B2">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3950E1A9">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质量</w:t>
            </w:r>
          </w:p>
        </w:tc>
        <w:tc>
          <w:tcPr>
            <w:tcW w:w="5865" w:type="dxa"/>
            <w:tcBorders>
              <w:top w:val="single" w:color="auto" w:sz="4" w:space="0"/>
              <w:left w:val="single" w:color="auto" w:sz="4" w:space="0"/>
              <w:bottom w:val="single" w:color="auto" w:sz="4" w:space="0"/>
              <w:right w:val="single" w:color="auto" w:sz="4" w:space="0"/>
            </w:tcBorders>
            <w:noWrap/>
            <w:vAlign w:val="center"/>
          </w:tcPr>
          <w:p w14:paraId="774B18CD">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500Kg</w:t>
            </w:r>
          </w:p>
        </w:tc>
        <w:tc>
          <w:tcPr>
            <w:tcW w:w="1725" w:type="dxa"/>
            <w:tcBorders>
              <w:top w:val="single" w:color="auto" w:sz="4" w:space="0"/>
              <w:left w:val="single" w:color="auto" w:sz="4" w:space="0"/>
              <w:bottom w:val="single" w:color="auto" w:sz="4" w:space="0"/>
              <w:right w:val="single" w:color="auto" w:sz="4" w:space="0"/>
            </w:tcBorders>
            <w:noWrap/>
            <w:vAlign w:val="center"/>
          </w:tcPr>
          <w:p w14:paraId="3D25227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4786EDDE">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3179213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出厂编号</w:t>
            </w:r>
          </w:p>
        </w:tc>
        <w:tc>
          <w:tcPr>
            <w:tcW w:w="5865" w:type="dxa"/>
            <w:tcBorders>
              <w:top w:val="single" w:color="auto" w:sz="4" w:space="0"/>
              <w:left w:val="single" w:color="auto" w:sz="4" w:space="0"/>
              <w:bottom w:val="single" w:color="auto" w:sz="4" w:space="0"/>
              <w:right w:val="single" w:color="auto" w:sz="4" w:space="0"/>
            </w:tcBorders>
            <w:noWrap/>
            <w:vAlign w:val="center"/>
          </w:tcPr>
          <w:p w14:paraId="052369F9">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2001</w:t>
            </w:r>
          </w:p>
        </w:tc>
        <w:tc>
          <w:tcPr>
            <w:tcW w:w="1725" w:type="dxa"/>
            <w:tcBorders>
              <w:top w:val="single" w:color="auto" w:sz="4" w:space="0"/>
              <w:left w:val="single" w:color="auto" w:sz="4" w:space="0"/>
              <w:bottom w:val="single" w:color="auto" w:sz="4" w:space="0"/>
              <w:right w:val="single" w:color="auto" w:sz="4" w:space="0"/>
            </w:tcBorders>
            <w:noWrap/>
            <w:vAlign w:val="center"/>
          </w:tcPr>
          <w:p w14:paraId="712BE2F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18DC98E4">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EEC48D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出厂日期</w:t>
            </w:r>
          </w:p>
        </w:tc>
        <w:tc>
          <w:tcPr>
            <w:tcW w:w="5865" w:type="dxa"/>
            <w:tcBorders>
              <w:top w:val="single" w:color="auto" w:sz="4" w:space="0"/>
              <w:left w:val="single" w:color="auto" w:sz="4" w:space="0"/>
              <w:bottom w:val="single" w:color="auto" w:sz="4" w:space="0"/>
              <w:right w:val="single" w:color="auto" w:sz="4" w:space="0"/>
            </w:tcBorders>
            <w:noWrap/>
            <w:vAlign w:val="center"/>
          </w:tcPr>
          <w:p w14:paraId="5DED748B">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2000年3月</w:t>
            </w:r>
          </w:p>
        </w:tc>
        <w:tc>
          <w:tcPr>
            <w:tcW w:w="1725" w:type="dxa"/>
            <w:tcBorders>
              <w:top w:val="single" w:color="auto" w:sz="4" w:space="0"/>
              <w:left w:val="single" w:color="auto" w:sz="4" w:space="0"/>
              <w:bottom w:val="single" w:color="auto" w:sz="4" w:space="0"/>
              <w:right w:val="single" w:color="auto" w:sz="4" w:space="0"/>
            </w:tcBorders>
            <w:noWrap/>
            <w:vAlign w:val="center"/>
          </w:tcPr>
          <w:p w14:paraId="7744CEF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D5DC996">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36BF54B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生产厂家</w:t>
            </w:r>
          </w:p>
        </w:tc>
        <w:tc>
          <w:tcPr>
            <w:tcW w:w="5865" w:type="dxa"/>
            <w:tcBorders>
              <w:top w:val="single" w:color="auto" w:sz="4" w:space="0"/>
              <w:left w:val="single" w:color="auto" w:sz="4" w:space="0"/>
              <w:bottom w:val="single" w:color="auto" w:sz="4" w:space="0"/>
              <w:right w:val="single" w:color="auto" w:sz="4" w:space="0"/>
            </w:tcBorders>
            <w:noWrap/>
            <w:vAlign w:val="center"/>
          </w:tcPr>
          <w:p w14:paraId="2EF32C1A">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绍兴电力设备成套公司</w:t>
            </w:r>
          </w:p>
        </w:tc>
        <w:tc>
          <w:tcPr>
            <w:tcW w:w="1725" w:type="dxa"/>
            <w:tcBorders>
              <w:top w:val="single" w:color="auto" w:sz="4" w:space="0"/>
              <w:left w:val="single" w:color="auto" w:sz="4" w:space="0"/>
              <w:bottom w:val="single" w:color="auto" w:sz="4" w:space="0"/>
              <w:right w:val="single" w:color="auto" w:sz="4" w:space="0"/>
            </w:tcBorders>
            <w:noWrap/>
            <w:vAlign w:val="center"/>
          </w:tcPr>
          <w:p w14:paraId="4AED6D8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F7A798D">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6C2C0C6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5865" w:type="dxa"/>
            <w:tcBorders>
              <w:top w:val="single" w:color="auto" w:sz="4" w:space="0"/>
              <w:left w:val="nil"/>
              <w:bottom w:val="single" w:color="auto" w:sz="4" w:space="0"/>
              <w:right w:val="nil"/>
            </w:tcBorders>
            <w:noWrap/>
            <w:vAlign w:val="center"/>
          </w:tcPr>
          <w:p w14:paraId="18F72E8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18.</w:t>
            </w:r>
            <w:r>
              <w:rPr>
                <w:rFonts w:hint="eastAsia" w:ascii="仿宋" w:hAnsi="仿宋" w:eastAsia="仿宋" w:cs="仿宋"/>
                <w:b/>
                <w:bCs/>
                <w:color w:val="auto"/>
                <w:kern w:val="0"/>
                <w:sz w:val="24"/>
                <w:szCs w:val="24"/>
              </w:rPr>
              <w:t>主要设备参数表</w:t>
            </w:r>
          </w:p>
        </w:tc>
        <w:tc>
          <w:tcPr>
            <w:tcW w:w="1725" w:type="dxa"/>
            <w:tcBorders>
              <w:top w:val="single" w:color="auto" w:sz="4" w:space="0"/>
              <w:left w:val="nil"/>
              <w:bottom w:val="single" w:color="auto" w:sz="4" w:space="0"/>
              <w:right w:val="nil"/>
            </w:tcBorders>
            <w:noWrap/>
            <w:vAlign w:val="center"/>
          </w:tcPr>
          <w:p w14:paraId="7ECAF91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p>
        </w:tc>
      </w:tr>
      <w:tr w14:paraId="7F8D0EC3">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30F7CFD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设备名称： </w:t>
            </w:r>
            <w:r>
              <w:rPr>
                <w:rFonts w:hint="eastAsia" w:ascii="仿宋" w:hAnsi="仿宋" w:eastAsia="仿宋" w:cs="仿宋"/>
                <w:color w:val="auto"/>
                <w:kern w:val="0"/>
                <w:sz w:val="24"/>
                <w:szCs w:val="24"/>
                <w:highlight w:val="none"/>
                <w:lang w:val="en-US" w:eastAsia="zh-CN"/>
              </w:rPr>
              <w:t>主</w:t>
            </w:r>
            <w:r>
              <w:rPr>
                <w:rFonts w:hint="eastAsia" w:ascii="仿宋" w:hAnsi="仿宋" w:eastAsia="仿宋" w:cs="仿宋"/>
                <w:color w:val="auto"/>
                <w:kern w:val="0"/>
                <w:sz w:val="24"/>
                <w:szCs w:val="24"/>
                <w:highlight w:val="none"/>
              </w:rPr>
              <w:t>变压器</w:t>
            </w:r>
          </w:p>
        </w:tc>
        <w:tc>
          <w:tcPr>
            <w:tcW w:w="1725" w:type="dxa"/>
            <w:tcBorders>
              <w:top w:val="single" w:color="auto" w:sz="4" w:space="0"/>
              <w:left w:val="single" w:color="auto" w:sz="4" w:space="0"/>
              <w:bottom w:val="single" w:color="auto" w:sz="4" w:space="0"/>
              <w:right w:val="single" w:color="auto" w:sz="4" w:space="0"/>
            </w:tcBorders>
            <w:noWrap/>
            <w:vAlign w:val="center"/>
          </w:tcPr>
          <w:p w14:paraId="4C0CEDF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备注</w:t>
            </w:r>
          </w:p>
        </w:tc>
      </w:tr>
      <w:tr w14:paraId="08302A9C">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5D0A87B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型号</w:t>
            </w:r>
          </w:p>
        </w:tc>
        <w:tc>
          <w:tcPr>
            <w:tcW w:w="5865" w:type="dxa"/>
            <w:tcBorders>
              <w:top w:val="single" w:color="auto" w:sz="4" w:space="0"/>
              <w:left w:val="nil"/>
              <w:bottom w:val="single" w:color="auto" w:sz="4" w:space="0"/>
              <w:right w:val="single" w:color="auto" w:sz="4" w:space="0"/>
            </w:tcBorders>
            <w:noWrap/>
            <w:vAlign w:val="center"/>
          </w:tcPr>
          <w:p w14:paraId="37ACB057">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S9-2000/10</w:t>
            </w:r>
          </w:p>
        </w:tc>
        <w:tc>
          <w:tcPr>
            <w:tcW w:w="1725" w:type="dxa"/>
            <w:tcBorders>
              <w:top w:val="single" w:color="auto" w:sz="4" w:space="0"/>
              <w:left w:val="nil"/>
              <w:bottom w:val="single" w:color="auto" w:sz="4" w:space="0"/>
              <w:right w:val="single" w:color="auto" w:sz="4" w:space="0"/>
            </w:tcBorders>
            <w:noWrap/>
            <w:vAlign w:val="center"/>
          </w:tcPr>
          <w:p w14:paraId="17BC92C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F4A5B2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4A8D78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相数</w:t>
            </w:r>
          </w:p>
        </w:tc>
        <w:tc>
          <w:tcPr>
            <w:tcW w:w="5865" w:type="dxa"/>
            <w:tcBorders>
              <w:top w:val="nil"/>
              <w:left w:val="nil"/>
              <w:bottom w:val="single" w:color="auto" w:sz="4" w:space="0"/>
              <w:right w:val="single" w:color="auto" w:sz="4" w:space="0"/>
            </w:tcBorders>
            <w:noWrap/>
            <w:vAlign w:val="center"/>
          </w:tcPr>
          <w:p w14:paraId="53FBACF5">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3相</w:t>
            </w:r>
          </w:p>
        </w:tc>
        <w:tc>
          <w:tcPr>
            <w:tcW w:w="1725" w:type="dxa"/>
            <w:tcBorders>
              <w:top w:val="nil"/>
              <w:left w:val="nil"/>
              <w:bottom w:val="single" w:color="auto" w:sz="4" w:space="0"/>
              <w:right w:val="single" w:color="auto" w:sz="4" w:space="0"/>
            </w:tcBorders>
            <w:noWrap/>
            <w:vAlign w:val="center"/>
          </w:tcPr>
          <w:p w14:paraId="593DE61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F7A551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5F9992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冷却方式</w:t>
            </w:r>
          </w:p>
        </w:tc>
        <w:tc>
          <w:tcPr>
            <w:tcW w:w="5865" w:type="dxa"/>
            <w:tcBorders>
              <w:top w:val="nil"/>
              <w:left w:val="nil"/>
              <w:bottom w:val="single" w:color="auto" w:sz="4" w:space="0"/>
              <w:right w:val="single" w:color="auto" w:sz="4" w:space="0"/>
            </w:tcBorders>
            <w:noWrap/>
            <w:vAlign w:val="center"/>
          </w:tcPr>
          <w:p w14:paraId="1622110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ONAN</w:t>
            </w:r>
          </w:p>
        </w:tc>
        <w:tc>
          <w:tcPr>
            <w:tcW w:w="1725" w:type="dxa"/>
            <w:tcBorders>
              <w:top w:val="nil"/>
              <w:left w:val="nil"/>
              <w:bottom w:val="single" w:color="auto" w:sz="4" w:space="0"/>
              <w:right w:val="single" w:color="auto" w:sz="4" w:space="0"/>
            </w:tcBorders>
            <w:noWrap/>
            <w:vAlign w:val="center"/>
          </w:tcPr>
          <w:p w14:paraId="10349FC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B43E50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961C44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    数</w:t>
            </w:r>
          </w:p>
        </w:tc>
        <w:tc>
          <w:tcPr>
            <w:tcW w:w="5865" w:type="dxa"/>
            <w:tcBorders>
              <w:top w:val="nil"/>
              <w:left w:val="nil"/>
              <w:bottom w:val="single" w:color="auto" w:sz="4" w:space="0"/>
              <w:right w:val="single" w:color="auto" w:sz="4" w:space="0"/>
            </w:tcBorders>
            <w:noWrap/>
            <w:vAlign w:val="center"/>
          </w:tcPr>
          <w:p w14:paraId="575561E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3相</w:t>
            </w:r>
          </w:p>
        </w:tc>
        <w:tc>
          <w:tcPr>
            <w:tcW w:w="1725" w:type="dxa"/>
            <w:tcBorders>
              <w:top w:val="nil"/>
              <w:left w:val="nil"/>
              <w:bottom w:val="single" w:color="auto" w:sz="4" w:space="0"/>
              <w:right w:val="single" w:color="auto" w:sz="4" w:space="0"/>
            </w:tcBorders>
            <w:noWrap/>
            <w:vAlign w:val="center"/>
          </w:tcPr>
          <w:p w14:paraId="441EFE0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48FCA54">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A5FD06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w:t>
            </w:r>
            <w:r>
              <w:rPr>
                <w:rFonts w:hint="eastAsia" w:ascii="仿宋" w:hAnsi="仿宋" w:eastAsia="仿宋" w:cs="仿宋"/>
                <w:color w:val="auto"/>
                <w:kern w:val="0"/>
                <w:sz w:val="24"/>
                <w:szCs w:val="24"/>
                <w:lang w:val="en-US" w:eastAsia="zh-CN"/>
              </w:rPr>
              <w:t>容量</w:t>
            </w:r>
          </w:p>
        </w:tc>
        <w:tc>
          <w:tcPr>
            <w:tcW w:w="5865" w:type="dxa"/>
            <w:tcBorders>
              <w:top w:val="nil"/>
              <w:left w:val="nil"/>
              <w:bottom w:val="single" w:color="auto" w:sz="4" w:space="0"/>
              <w:right w:val="single" w:color="auto" w:sz="4" w:space="0"/>
            </w:tcBorders>
            <w:noWrap/>
            <w:vAlign w:val="center"/>
          </w:tcPr>
          <w:p w14:paraId="6A388A4D">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2000KVA</w:t>
            </w:r>
          </w:p>
        </w:tc>
        <w:tc>
          <w:tcPr>
            <w:tcW w:w="1725" w:type="dxa"/>
            <w:tcBorders>
              <w:top w:val="nil"/>
              <w:left w:val="nil"/>
              <w:bottom w:val="single" w:color="auto" w:sz="4" w:space="0"/>
              <w:right w:val="single" w:color="auto" w:sz="4" w:space="0"/>
            </w:tcBorders>
            <w:noWrap/>
            <w:vAlign w:val="center"/>
          </w:tcPr>
          <w:p w14:paraId="015C3A8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154D46A">
        <w:tblPrEx>
          <w:tblCellMar>
            <w:top w:w="0" w:type="dxa"/>
            <w:left w:w="108" w:type="dxa"/>
            <w:bottom w:w="0" w:type="dxa"/>
            <w:right w:w="108" w:type="dxa"/>
          </w:tblCellMar>
        </w:tblPrEx>
        <w:trPr>
          <w:trHeight w:val="281" w:hRule="atLeast"/>
        </w:trPr>
        <w:tc>
          <w:tcPr>
            <w:tcW w:w="2025" w:type="dxa"/>
            <w:tcBorders>
              <w:top w:val="nil"/>
              <w:left w:val="single" w:color="auto" w:sz="4" w:space="0"/>
              <w:bottom w:val="single" w:color="auto" w:sz="4" w:space="0"/>
              <w:right w:val="single" w:color="auto" w:sz="4" w:space="0"/>
            </w:tcBorders>
            <w:noWrap/>
            <w:vAlign w:val="center"/>
          </w:tcPr>
          <w:p w14:paraId="5E766A7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频率</w:t>
            </w:r>
          </w:p>
        </w:tc>
        <w:tc>
          <w:tcPr>
            <w:tcW w:w="5865" w:type="dxa"/>
            <w:tcBorders>
              <w:top w:val="nil"/>
              <w:left w:val="nil"/>
              <w:bottom w:val="single" w:color="auto" w:sz="4" w:space="0"/>
              <w:right w:val="single" w:color="auto" w:sz="4" w:space="0"/>
            </w:tcBorders>
            <w:noWrap/>
            <w:vAlign w:val="center"/>
          </w:tcPr>
          <w:p w14:paraId="417BCE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50HZ</w:t>
            </w:r>
          </w:p>
        </w:tc>
        <w:tc>
          <w:tcPr>
            <w:tcW w:w="1725" w:type="dxa"/>
            <w:tcBorders>
              <w:top w:val="nil"/>
              <w:left w:val="nil"/>
              <w:bottom w:val="single" w:color="auto" w:sz="4" w:space="0"/>
              <w:right w:val="single" w:color="auto" w:sz="4" w:space="0"/>
            </w:tcBorders>
            <w:noWrap/>
            <w:vAlign w:val="center"/>
          </w:tcPr>
          <w:p w14:paraId="7111C5E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B7D0DD7">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C550509">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冷却方式</w:t>
            </w:r>
          </w:p>
        </w:tc>
        <w:tc>
          <w:tcPr>
            <w:tcW w:w="5865" w:type="dxa"/>
            <w:tcBorders>
              <w:top w:val="nil"/>
              <w:left w:val="nil"/>
              <w:bottom w:val="single" w:color="auto" w:sz="4" w:space="0"/>
              <w:right w:val="single" w:color="auto" w:sz="4" w:space="0"/>
            </w:tcBorders>
            <w:noWrap/>
            <w:vAlign w:val="center"/>
          </w:tcPr>
          <w:p w14:paraId="1622EBC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ONAN</w:t>
            </w:r>
          </w:p>
        </w:tc>
        <w:tc>
          <w:tcPr>
            <w:tcW w:w="1725" w:type="dxa"/>
            <w:tcBorders>
              <w:top w:val="nil"/>
              <w:left w:val="nil"/>
              <w:bottom w:val="single" w:color="auto" w:sz="4" w:space="0"/>
              <w:right w:val="single" w:color="auto" w:sz="4" w:space="0"/>
            </w:tcBorders>
            <w:noWrap/>
            <w:vAlign w:val="center"/>
          </w:tcPr>
          <w:p w14:paraId="38923E1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F01486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737742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使用条件</w:t>
            </w:r>
          </w:p>
        </w:tc>
        <w:tc>
          <w:tcPr>
            <w:tcW w:w="5865" w:type="dxa"/>
            <w:tcBorders>
              <w:top w:val="nil"/>
              <w:left w:val="nil"/>
              <w:bottom w:val="single" w:color="auto" w:sz="4" w:space="0"/>
              <w:right w:val="single" w:color="auto" w:sz="4" w:space="0"/>
            </w:tcBorders>
            <w:noWrap/>
            <w:vAlign w:val="center"/>
          </w:tcPr>
          <w:p w14:paraId="3A8513B2">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户外式</w:t>
            </w:r>
          </w:p>
        </w:tc>
        <w:tc>
          <w:tcPr>
            <w:tcW w:w="1725" w:type="dxa"/>
            <w:tcBorders>
              <w:top w:val="nil"/>
              <w:left w:val="nil"/>
              <w:bottom w:val="single" w:color="auto" w:sz="4" w:space="0"/>
              <w:right w:val="single" w:color="auto" w:sz="4" w:space="0"/>
            </w:tcBorders>
            <w:noWrap/>
            <w:vAlign w:val="center"/>
          </w:tcPr>
          <w:p w14:paraId="7DF1335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83BE372">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47659D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油重量</w:t>
            </w:r>
          </w:p>
        </w:tc>
        <w:tc>
          <w:tcPr>
            <w:tcW w:w="5865" w:type="dxa"/>
            <w:tcBorders>
              <w:top w:val="nil"/>
              <w:left w:val="nil"/>
              <w:bottom w:val="single" w:color="auto" w:sz="4" w:space="0"/>
              <w:right w:val="single" w:color="auto" w:sz="4" w:space="0"/>
            </w:tcBorders>
            <w:noWrap/>
            <w:vAlign w:val="center"/>
          </w:tcPr>
          <w:p w14:paraId="41AAD1C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860</w:t>
            </w:r>
            <w:r>
              <w:rPr>
                <w:rFonts w:hint="eastAsia" w:ascii="仿宋" w:hAnsi="仿宋" w:eastAsia="仿宋" w:cs="仿宋"/>
                <w:color w:val="auto"/>
                <w:kern w:val="0"/>
                <w:sz w:val="24"/>
                <w:szCs w:val="24"/>
              </w:rPr>
              <w:t>kg</w:t>
            </w:r>
          </w:p>
        </w:tc>
        <w:tc>
          <w:tcPr>
            <w:tcW w:w="1725" w:type="dxa"/>
            <w:tcBorders>
              <w:top w:val="nil"/>
              <w:left w:val="nil"/>
              <w:bottom w:val="single" w:color="auto" w:sz="4" w:space="0"/>
              <w:right w:val="single" w:color="auto" w:sz="4" w:space="0"/>
            </w:tcBorders>
            <w:noWrap/>
            <w:vAlign w:val="center"/>
          </w:tcPr>
          <w:p w14:paraId="6104400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0A25B1E">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2C7B776">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器身重量</w:t>
            </w:r>
          </w:p>
        </w:tc>
        <w:tc>
          <w:tcPr>
            <w:tcW w:w="5865" w:type="dxa"/>
            <w:tcBorders>
              <w:top w:val="nil"/>
              <w:left w:val="nil"/>
              <w:bottom w:val="single" w:color="auto" w:sz="4" w:space="0"/>
              <w:right w:val="single" w:color="auto" w:sz="4" w:space="0"/>
            </w:tcBorders>
            <w:noWrap/>
            <w:vAlign w:val="center"/>
          </w:tcPr>
          <w:p w14:paraId="67FBE37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3110</w:t>
            </w:r>
            <w:r>
              <w:rPr>
                <w:rFonts w:hint="eastAsia" w:ascii="仿宋" w:hAnsi="仿宋" w:eastAsia="仿宋" w:cs="仿宋"/>
                <w:color w:val="auto"/>
                <w:kern w:val="0"/>
                <w:sz w:val="24"/>
                <w:szCs w:val="24"/>
              </w:rPr>
              <w:t>kg</w:t>
            </w:r>
          </w:p>
        </w:tc>
        <w:tc>
          <w:tcPr>
            <w:tcW w:w="1725" w:type="dxa"/>
            <w:tcBorders>
              <w:top w:val="nil"/>
              <w:left w:val="nil"/>
              <w:bottom w:val="single" w:color="auto" w:sz="4" w:space="0"/>
              <w:right w:val="single" w:color="auto" w:sz="4" w:space="0"/>
            </w:tcBorders>
            <w:noWrap/>
            <w:vAlign w:val="center"/>
          </w:tcPr>
          <w:p w14:paraId="224AD2B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7ADF92D">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328067E">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总重量</w:t>
            </w:r>
          </w:p>
        </w:tc>
        <w:tc>
          <w:tcPr>
            <w:tcW w:w="5865" w:type="dxa"/>
            <w:tcBorders>
              <w:top w:val="nil"/>
              <w:left w:val="nil"/>
              <w:bottom w:val="single" w:color="auto" w:sz="4" w:space="0"/>
              <w:right w:val="single" w:color="auto" w:sz="4" w:space="0"/>
            </w:tcBorders>
            <w:noWrap/>
            <w:vAlign w:val="center"/>
          </w:tcPr>
          <w:p w14:paraId="0F4D340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4870</w:t>
            </w:r>
            <w:r>
              <w:rPr>
                <w:rFonts w:hint="eastAsia" w:ascii="仿宋" w:hAnsi="仿宋" w:eastAsia="仿宋" w:cs="仿宋"/>
                <w:color w:val="auto"/>
                <w:kern w:val="0"/>
                <w:sz w:val="24"/>
                <w:szCs w:val="24"/>
              </w:rPr>
              <w:t>kg</w:t>
            </w:r>
          </w:p>
        </w:tc>
        <w:tc>
          <w:tcPr>
            <w:tcW w:w="1725" w:type="dxa"/>
            <w:tcBorders>
              <w:top w:val="nil"/>
              <w:left w:val="nil"/>
              <w:bottom w:val="single" w:color="auto" w:sz="4" w:space="0"/>
              <w:right w:val="single" w:color="auto" w:sz="4" w:space="0"/>
            </w:tcBorders>
            <w:noWrap/>
            <w:vAlign w:val="center"/>
          </w:tcPr>
          <w:p w14:paraId="1BC82E3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C8D17A7">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A93EAF7">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联络组标号</w:t>
            </w:r>
          </w:p>
        </w:tc>
        <w:tc>
          <w:tcPr>
            <w:tcW w:w="5865" w:type="dxa"/>
            <w:tcBorders>
              <w:top w:val="nil"/>
              <w:left w:val="nil"/>
              <w:bottom w:val="single" w:color="auto" w:sz="4" w:space="0"/>
              <w:right w:val="single" w:color="auto" w:sz="4" w:space="0"/>
            </w:tcBorders>
            <w:noWrap/>
            <w:vAlign w:val="center"/>
          </w:tcPr>
          <w:p w14:paraId="32983FB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Dyn11</w:t>
            </w:r>
          </w:p>
        </w:tc>
        <w:tc>
          <w:tcPr>
            <w:tcW w:w="1725" w:type="dxa"/>
            <w:tcBorders>
              <w:top w:val="nil"/>
              <w:left w:val="nil"/>
              <w:bottom w:val="single" w:color="auto" w:sz="4" w:space="0"/>
              <w:right w:val="single" w:color="auto" w:sz="4" w:space="0"/>
            </w:tcBorders>
            <w:noWrap/>
            <w:vAlign w:val="center"/>
          </w:tcPr>
          <w:p w14:paraId="56CCD01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4D7FB2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BA8B286">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绝缘水平</w:t>
            </w:r>
          </w:p>
        </w:tc>
        <w:tc>
          <w:tcPr>
            <w:tcW w:w="5865" w:type="dxa"/>
            <w:tcBorders>
              <w:top w:val="nil"/>
              <w:left w:val="nil"/>
              <w:bottom w:val="single" w:color="auto" w:sz="4" w:space="0"/>
              <w:right w:val="single" w:color="auto" w:sz="4" w:space="0"/>
            </w:tcBorders>
            <w:noWrap/>
            <w:vAlign w:val="center"/>
          </w:tcPr>
          <w:p w14:paraId="2D97355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L175AC35</w:t>
            </w:r>
          </w:p>
        </w:tc>
        <w:tc>
          <w:tcPr>
            <w:tcW w:w="1725" w:type="dxa"/>
            <w:tcBorders>
              <w:top w:val="nil"/>
              <w:left w:val="nil"/>
              <w:bottom w:val="single" w:color="auto" w:sz="4" w:space="0"/>
              <w:right w:val="single" w:color="auto" w:sz="4" w:space="0"/>
            </w:tcBorders>
            <w:noWrap/>
            <w:vAlign w:val="center"/>
          </w:tcPr>
          <w:p w14:paraId="0CB3829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B3E148E">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C225562">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油号</w:t>
            </w:r>
          </w:p>
        </w:tc>
        <w:tc>
          <w:tcPr>
            <w:tcW w:w="5865" w:type="dxa"/>
            <w:tcBorders>
              <w:top w:val="nil"/>
              <w:left w:val="nil"/>
              <w:bottom w:val="single" w:color="auto" w:sz="4" w:space="0"/>
              <w:right w:val="single" w:color="auto" w:sz="4" w:space="0"/>
            </w:tcBorders>
            <w:noWrap/>
            <w:vAlign w:val="center"/>
          </w:tcPr>
          <w:p w14:paraId="7F1FF78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国25</w:t>
            </w:r>
            <w:r>
              <w:rPr>
                <w:rFonts w:hint="eastAsia" w:ascii="宋体" w:hAnsi="宋体" w:eastAsia="宋体" w:cs="宋体"/>
                <w:color w:val="auto"/>
                <w:kern w:val="0"/>
                <w:sz w:val="24"/>
                <w:szCs w:val="24"/>
                <w:lang w:val="en-US" w:eastAsia="zh-CN"/>
              </w:rPr>
              <w:t>＃</w:t>
            </w:r>
          </w:p>
        </w:tc>
        <w:tc>
          <w:tcPr>
            <w:tcW w:w="1725" w:type="dxa"/>
            <w:tcBorders>
              <w:top w:val="nil"/>
              <w:left w:val="nil"/>
              <w:bottom w:val="single" w:color="auto" w:sz="4" w:space="0"/>
              <w:right w:val="single" w:color="auto" w:sz="4" w:space="0"/>
            </w:tcBorders>
            <w:noWrap/>
            <w:vAlign w:val="center"/>
          </w:tcPr>
          <w:p w14:paraId="5833C21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77255CC">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F6BBAA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标准代号</w:t>
            </w:r>
          </w:p>
        </w:tc>
        <w:tc>
          <w:tcPr>
            <w:tcW w:w="5865" w:type="dxa"/>
            <w:tcBorders>
              <w:top w:val="nil"/>
              <w:left w:val="nil"/>
              <w:bottom w:val="single" w:color="auto" w:sz="4" w:space="0"/>
              <w:right w:val="single" w:color="auto" w:sz="4" w:space="0"/>
            </w:tcBorders>
            <w:noWrap/>
            <w:vAlign w:val="center"/>
          </w:tcPr>
          <w:p w14:paraId="01EB444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GB1094.1002-1996</w:t>
            </w:r>
          </w:p>
        </w:tc>
        <w:tc>
          <w:tcPr>
            <w:tcW w:w="1725" w:type="dxa"/>
            <w:tcBorders>
              <w:top w:val="nil"/>
              <w:left w:val="nil"/>
              <w:bottom w:val="single" w:color="auto" w:sz="4" w:space="0"/>
              <w:right w:val="single" w:color="auto" w:sz="4" w:space="0"/>
            </w:tcBorders>
            <w:noWrap/>
            <w:vAlign w:val="center"/>
          </w:tcPr>
          <w:p w14:paraId="72598A6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7922CC2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4D22BC9">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产品代号</w:t>
            </w:r>
          </w:p>
        </w:tc>
        <w:tc>
          <w:tcPr>
            <w:tcW w:w="5865" w:type="dxa"/>
            <w:tcBorders>
              <w:top w:val="nil"/>
              <w:left w:val="nil"/>
              <w:bottom w:val="single" w:color="auto" w:sz="4" w:space="0"/>
              <w:right w:val="single" w:color="auto" w:sz="4" w:space="0"/>
            </w:tcBorders>
            <w:noWrap/>
            <w:vAlign w:val="center"/>
          </w:tcPr>
          <w:p w14:paraId="244E23A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GB1094.3.5-85</w:t>
            </w:r>
          </w:p>
        </w:tc>
        <w:tc>
          <w:tcPr>
            <w:tcW w:w="1725" w:type="dxa"/>
            <w:tcBorders>
              <w:top w:val="nil"/>
              <w:left w:val="nil"/>
              <w:bottom w:val="single" w:color="auto" w:sz="4" w:space="0"/>
              <w:right w:val="single" w:color="auto" w:sz="4" w:space="0"/>
            </w:tcBorders>
            <w:noWrap/>
            <w:vAlign w:val="center"/>
          </w:tcPr>
          <w:p w14:paraId="3A156A5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3E82EF5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F67288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出厂序号</w:t>
            </w:r>
          </w:p>
        </w:tc>
        <w:tc>
          <w:tcPr>
            <w:tcW w:w="5865" w:type="dxa"/>
            <w:tcBorders>
              <w:top w:val="nil"/>
              <w:left w:val="nil"/>
              <w:bottom w:val="single" w:color="auto" w:sz="4" w:space="0"/>
              <w:right w:val="single" w:color="auto" w:sz="4" w:space="0"/>
            </w:tcBorders>
            <w:noWrap/>
            <w:vAlign w:val="center"/>
          </w:tcPr>
          <w:p w14:paraId="187E1F1E">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200006</w:t>
            </w:r>
          </w:p>
        </w:tc>
        <w:tc>
          <w:tcPr>
            <w:tcW w:w="1725" w:type="dxa"/>
            <w:tcBorders>
              <w:top w:val="nil"/>
              <w:left w:val="nil"/>
              <w:bottom w:val="single" w:color="auto" w:sz="4" w:space="0"/>
              <w:right w:val="single" w:color="auto" w:sz="4" w:space="0"/>
            </w:tcBorders>
            <w:noWrap/>
            <w:vAlign w:val="center"/>
          </w:tcPr>
          <w:p w14:paraId="546B8E6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9E6964B">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6CF4EC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高压1</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000电流</w:t>
            </w:r>
          </w:p>
        </w:tc>
        <w:tc>
          <w:tcPr>
            <w:tcW w:w="5865" w:type="dxa"/>
            <w:tcBorders>
              <w:top w:val="nil"/>
              <w:left w:val="nil"/>
              <w:bottom w:val="single" w:color="auto" w:sz="4" w:space="0"/>
              <w:right w:val="single" w:color="auto" w:sz="4" w:space="0"/>
            </w:tcBorders>
            <w:noWrap/>
            <w:vAlign w:val="center"/>
          </w:tcPr>
          <w:p w14:paraId="4268711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110</w:t>
            </w:r>
            <w:r>
              <w:rPr>
                <w:rFonts w:hint="eastAsia" w:ascii="仿宋" w:hAnsi="仿宋" w:eastAsia="仿宋" w:cs="仿宋"/>
                <w:color w:val="auto"/>
                <w:kern w:val="0"/>
                <w:sz w:val="24"/>
                <w:szCs w:val="24"/>
              </w:rPr>
              <w:t>A</w:t>
            </w:r>
          </w:p>
        </w:tc>
        <w:tc>
          <w:tcPr>
            <w:tcW w:w="1725" w:type="dxa"/>
            <w:tcBorders>
              <w:top w:val="nil"/>
              <w:left w:val="nil"/>
              <w:bottom w:val="single" w:color="auto" w:sz="4" w:space="0"/>
              <w:right w:val="single" w:color="auto" w:sz="4" w:space="0"/>
            </w:tcBorders>
            <w:noWrap/>
            <w:vAlign w:val="center"/>
          </w:tcPr>
          <w:p w14:paraId="7716840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95D34A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7A2C34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低压400电流</w:t>
            </w:r>
          </w:p>
        </w:tc>
        <w:tc>
          <w:tcPr>
            <w:tcW w:w="5865" w:type="dxa"/>
            <w:tcBorders>
              <w:top w:val="nil"/>
              <w:left w:val="nil"/>
              <w:bottom w:val="single" w:color="auto" w:sz="4" w:space="0"/>
              <w:right w:val="single" w:color="auto" w:sz="4" w:space="0"/>
            </w:tcBorders>
            <w:noWrap/>
            <w:vAlign w:val="center"/>
          </w:tcPr>
          <w:p w14:paraId="1A0967B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2887</w:t>
            </w:r>
            <w:r>
              <w:rPr>
                <w:rFonts w:hint="eastAsia" w:ascii="仿宋" w:hAnsi="仿宋" w:eastAsia="仿宋" w:cs="仿宋"/>
                <w:color w:val="auto"/>
                <w:kern w:val="0"/>
                <w:sz w:val="24"/>
                <w:szCs w:val="24"/>
              </w:rPr>
              <w:t>A</w:t>
            </w:r>
          </w:p>
        </w:tc>
        <w:tc>
          <w:tcPr>
            <w:tcW w:w="1725" w:type="dxa"/>
            <w:tcBorders>
              <w:top w:val="nil"/>
              <w:left w:val="nil"/>
              <w:bottom w:val="single" w:color="auto" w:sz="4" w:space="0"/>
              <w:right w:val="single" w:color="auto" w:sz="4" w:space="0"/>
            </w:tcBorders>
            <w:noWrap/>
            <w:vAlign w:val="center"/>
          </w:tcPr>
          <w:p w14:paraId="5E9EF2F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78BF782">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FE4C2B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阻抗电压</w:t>
            </w:r>
          </w:p>
        </w:tc>
        <w:tc>
          <w:tcPr>
            <w:tcW w:w="5865" w:type="dxa"/>
            <w:tcBorders>
              <w:top w:val="nil"/>
              <w:left w:val="nil"/>
              <w:bottom w:val="single" w:color="auto" w:sz="4" w:space="0"/>
              <w:right w:val="single" w:color="auto" w:sz="4" w:space="0"/>
            </w:tcBorders>
            <w:noWrap/>
            <w:vAlign w:val="center"/>
          </w:tcPr>
          <w:p w14:paraId="6E200B3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48</w:t>
            </w:r>
            <w:r>
              <w:rPr>
                <w:rFonts w:hint="eastAsia" w:ascii="仿宋" w:hAnsi="仿宋" w:eastAsia="仿宋" w:cs="仿宋"/>
                <w:color w:val="auto"/>
                <w:kern w:val="0"/>
                <w:sz w:val="24"/>
                <w:szCs w:val="24"/>
              </w:rPr>
              <w:t>%</w:t>
            </w:r>
          </w:p>
        </w:tc>
        <w:tc>
          <w:tcPr>
            <w:tcW w:w="1725" w:type="dxa"/>
            <w:tcBorders>
              <w:top w:val="nil"/>
              <w:left w:val="nil"/>
              <w:bottom w:val="single" w:color="auto" w:sz="4" w:space="0"/>
              <w:right w:val="single" w:color="auto" w:sz="4" w:space="0"/>
            </w:tcBorders>
            <w:noWrap/>
            <w:vAlign w:val="center"/>
          </w:tcPr>
          <w:p w14:paraId="3D3DA2A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517CDFCE">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52C5DCA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制造年月</w:t>
            </w:r>
          </w:p>
        </w:tc>
        <w:tc>
          <w:tcPr>
            <w:tcW w:w="5865" w:type="dxa"/>
            <w:tcBorders>
              <w:top w:val="nil"/>
              <w:left w:val="nil"/>
              <w:bottom w:val="single" w:color="auto" w:sz="4" w:space="0"/>
              <w:right w:val="single" w:color="auto" w:sz="4" w:space="0"/>
            </w:tcBorders>
            <w:noWrap/>
            <w:vAlign w:val="center"/>
          </w:tcPr>
          <w:p w14:paraId="4AA76A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w:t>
            </w:r>
            <w:r>
              <w:rPr>
                <w:rFonts w:hint="eastAsia" w:ascii="仿宋" w:hAnsi="仿宋" w:eastAsia="仿宋" w:cs="仿宋"/>
                <w:color w:val="auto"/>
                <w:kern w:val="0"/>
                <w:sz w:val="24"/>
                <w:szCs w:val="24"/>
                <w:lang w:val="en-US" w:eastAsia="zh-CN"/>
              </w:rPr>
              <w:t>0</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月</w:t>
            </w:r>
          </w:p>
        </w:tc>
        <w:tc>
          <w:tcPr>
            <w:tcW w:w="1725" w:type="dxa"/>
            <w:tcBorders>
              <w:top w:val="nil"/>
              <w:left w:val="nil"/>
              <w:bottom w:val="single" w:color="auto" w:sz="4" w:space="0"/>
              <w:right w:val="single" w:color="auto" w:sz="4" w:space="0"/>
            </w:tcBorders>
            <w:noWrap/>
            <w:vAlign w:val="center"/>
          </w:tcPr>
          <w:p w14:paraId="041BE62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728DA0E">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FCC8FA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制造厂家</w:t>
            </w:r>
          </w:p>
        </w:tc>
        <w:tc>
          <w:tcPr>
            <w:tcW w:w="5865" w:type="dxa"/>
            <w:tcBorders>
              <w:top w:val="single" w:color="auto" w:sz="4" w:space="0"/>
              <w:left w:val="single" w:color="auto" w:sz="4" w:space="0"/>
              <w:bottom w:val="single" w:color="auto" w:sz="4" w:space="0"/>
              <w:right w:val="single" w:color="auto" w:sz="4" w:space="0"/>
            </w:tcBorders>
            <w:noWrap/>
            <w:vAlign w:val="center"/>
          </w:tcPr>
          <w:p w14:paraId="399E791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宁波</w:t>
            </w:r>
            <w:r>
              <w:rPr>
                <w:rFonts w:hint="eastAsia" w:ascii="仿宋" w:hAnsi="仿宋" w:eastAsia="仿宋" w:cs="仿宋"/>
                <w:color w:val="auto"/>
                <w:kern w:val="0"/>
                <w:sz w:val="24"/>
                <w:szCs w:val="24"/>
                <w:lang w:val="en-US" w:eastAsia="zh-CN"/>
              </w:rPr>
              <w:t>变压器厂制造</w:t>
            </w:r>
          </w:p>
        </w:tc>
        <w:tc>
          <w:tcPr>
            <w:tcW w:w="1725" w:type="dxa"/>
            <w:tcBorders>
              <w:top w:val="single" w:color="auto" w:sz="4" w:space="0"/>
              <w:left w:val="single" w:color="auto" w:sz="4" w:space="0"/>
              <w:bottom w:val="single" w:color="auto" w:sz="4" w:space="0"/>
              <w:right w:val="single" w:color="auto" w:sz="4" w:space="0"/>
            </w:tcBorders>
            <w:noWrap/>
            <w:vAlign w:val="center"/>
          </w:tcPr>
          <w:p w14:paraId="5BAAAE6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432BA4A">
        <w:tblPrEx>
          <w:tblCellMar>
            <w:top w:w="0" w:type="dxa"/>
            <w:left w:w="108" w:type="dxa"/>
            <w:bottom w:w="0" w:type="dxa"/>
            <w:right w:w="108" w:type="dxa"/>
          </w:tblCellMar>
        </w:tblPrEx>
        <w:trPr>
          <w:trHeight w:val="283" w:hRule="atLeast"/>
        </w:trPr>
        <w:tc>
          <w:tcPr>
            <w:tcW w:w="2025" w:type="dxa"/>
            <w:tcBorders>
              <w:top w:val="single" w:color="auto" w:sz="4" w:space="0"/>
              <w:left w:val="nil"/>
              <w:bottom w:val="single" w:color="auto" w:sz="4" w:space="0"/>
              <w:right w:val="nil"/>
            </w:tcBorders>
            <w:noWrap/>
            <w:vAlign w:val="center"/>
          </w:tcPr>
          <w:p w14:paraId="415BC0A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5865" w:type="dxa"/>
            <w:tcBorders>
              <w:top w:val="single" w:color="auto" w:sz="4" w:space="0"/>
              <w:left w:val="nil"/>
              <w:bottom w:val="single" w:color="auto" w:sz="4" w:space="0"/>
              <w:right w:val="nil"/>
            </w:tcBorders>
            <w:noWrap/>
            <w:vAlign w:val="center"/>
          </w:tcPr>
          <w:p w14:paraId="1484EBC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val="en-US" w:eastAsia="zh-CN"/>
              </w:rPr>
              <w:t>19.</w:t>
            </w:r>
            <w:r>
              <w:rPr>
                <w:rFonts w:hint="eastAsia" w:ascii="仿宋" w:hAnsi="仿宋" w:eastAsia="仿宋" w:cs="仿宋"/>
                <w:b/>
                <w:bCs/>
                <w:color w:val="auto"/>
                <w:kern w:val="0"/>
                <w:sz w:val="24"/>
                <w:szCs w:val="24"/>
              </w:rPr>
              <w:t>主要设备参数表</w:t>
            </w:r>
          </w:p>
        </w:tc>
        <w:tc>
          <w:tcPr>
            <w:tcW w:w="1725" w:type="dxa"/>
            <w:tcBorders>
              <w:top w:val="single" w:color="auto" w:sz="4" w:space="0"/>
              <w:left w:val="nil"/>
              <w:bottom w:val="single" w:color="auto" w:sz="4" w:space="0"/>
              <w:right w:val="nil"/>
            </w:tcBorders>
            <w:noWrap/>
            <w:vAlign w:val="center"/>
          </w:tcPr>
          <w:p w14:paraId="2BAA1B8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191CC39C">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6C9107C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设备名称： 厂用变压器</w:t>
            </w:r>
          </w:p>
        </w:tc>
        <w:tc>
          <w:tcPr>
            <w:tcW w:w="1725" w:type="dxa"/>
            <w:tcBorders>
              <w:top w:val="single" w:color="auto" w:sz="4" w:space="0"/>
              <w:left w:val="single" w:color="auto" w:sz="4" w:space="0"/>
              <w:bottom w:val="single" w:color="auto" w:sz="4" w:space="0"/>
              <w:right w:val="single" w:color="auto" w:sz="4" w:space="0"/>
            </w:tcBorders>
            <w:noWrap/>
            <w:vAlign w:val="center"/>
          </w:tcPr>
          <w:p w14:paraId="75A7BD8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752F0EE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05D4535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型号</w:t>
            </w:r>
          </w:p>
        </w:tc>
        <w:tc>
          <w:tcPr>
            <w:tcW w:w="5865" w:type="dxa"/>
            <w:tcBorders>
              <w:top w:val="single" w:color="auto" w:sz="4" w:space="0"/>
              <w:left w:val="nil"/>
              <w:bottom w:val="single" w:color="auto" w:sz="4" w:space="0"/>
              <w:right w:val="single" w:color="auto" w:sz="4" w:space="0"/>
            </w:tcBorders>
            <w:noWrap/>
            <w:vAlign w:val="center"/>
          </w:tcPr>
          <w:p w14:paraId="4AC5080F">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S9-160/10</w:t>
            </w:r>
          </w:p>
        </w:tc>
        <w:tc>
          <w:tcPr>
            <w:tcW w:w="1725" w:type="dxa"/>
            <w:tcBorders>
              <w:top w:val="single" w:color="auto" w:sz="4" w:space="0"/>
              <w:left w:val="nil"/>
              <w:bottom w:val="single" w:color="auto" w:sz="4" w:space="0"/>
              <w:right w:val="single" w:color="auto" w:sz="4" w:space="0"/>
            </w:tcBorders>
            <w:noWrap/>
            <w:vAlign w:val="center"/>
          </w:tcPr>
          <w:p w14:paraId="0089866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15CB5E5">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4A6874E">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相数</w:t>
            </w:r>
          </w:p>
        </w:tc>
        <w:tc>
          <w:tcPr>
            <w:tcW w:w="5865" w:type="dxa"/>
            <w:tcBorders>
              <w:top w:val="nil"/>
              <w:left w:val="nil"/>
              <w:bottom w:val="single" w:color="auto" w:sz="4" w:space="0"/>
              <w:right w:val="single" w:color="auto" w:sz="4" w:space="0"/>
            </w:tcBorders>
            <w:noWrap/>
            <w:vAlign w:val="center"/>
          </w:tcPr>
          <w:p w14:paraId="576F694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3相</w:t>
            </w:r>
          </w:p>
        </w:tc>
        <w:tc>
          <w:tcPr>
            <w:tcW w:w="1725" w:type="dxa"/>
            <w:tcBorders>
              <w:top w:val="nil"/>
              <w:left w:val="nil"/>
              <w:bottom w:val="single" w:color="auto" w:sz="4" w:space="0"/>
              <w:right w:val="single" w:color="auto" w:sz="4" w:space="0"/>
            </w:tcBorders>
            <w:noWrap/>
            <w:vAlign w:val="center"/>
          </w:tcPr>
          <w:p w14:paraId="5F3514C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CD2FB4F">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9D6204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冷却方式</w:t>
            </w:r>
          </w:p>
        </w:tc>
        <w:tc>
          <w:tcPr>
            <w:tcW w:w="5865" w:type="dxa"/>
            <w:tcBorders>
              <w:top w:val="nil"/>
              <w:left w:val="nil"/>
              <w:bottom w:val="single" w:color="auto" w:sz="4" w:space="0"/>
              <w:right w:val="single" w:color="auto" w:sz="4" w:space="0"/>
            </w:tcBorders>
            <w:noWrap/>
            <w:vAlign w:val="center"/>
          </w:tcPr>
          <w:p w14:paraId="5B5356F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ONAN</w:t>
            </w:r>
          </w:p>
        </w:tc>
        <w:tc>
          <w:tcPr>
            <w:tcW w:w="1725" w:type="dxa"/>
            <w:tcBorders>
              <w:top w:val="nil"/>
              <w:left w:val="nil"/>
              <w:bottom w:val="single" w:color="auto" w:sz="4" w:space="0"/>
              <w:right w:val="single" w:color="auto" w:sz="4" w:space="0"/>
            </w:tcBorders>
            <w:noWrap/>
            <w:vAlign w:val="center"/>
          </w:tcPr>
          <w:p w14:paraId="337BAE2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4A99B7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0AFA27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    数</w:t>
            </w:r>
          </w:p>
        </w:tc>
        <w:tc>
          <w:tcPr>
            <w:tcW w:w="5865" w:type="dxa"/>
            <w:tcBorders>
              <w:top w:val="nil"/>
              <w:left w:val="nil"/>
              <w:bottom w:val="single" w:color="auto" w:sz="4" w:space="0"/>
              <w:right w:val="single" w:color="auto" w:sz="4" w:space="0"/>
            </w:tcBorders>
            <w:noWrap/>
            <w:vAlign w:val="center"/>
          </w:tcPr>
          <w:p w14:paraId="70B7A0E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3相</w:t>
            </w:r>
          </w:p>
        </w:tc>
        <w:tc>
          <w:tcPr>
            <w:tcW w:w="1725" w:type="dxa"/>
            <w:tcBorders>
              <w:top w:val="nil"/>
              <w:left w:val="nil"/>
              <w:bottom w:val="single" w:color="auto" w:sz="4" w:space="0"/>
              <w:right w:val="single" w:color="auto" w:sz="4" w:space="0"/>
            </w:tcBorders>
            <w:noWrap/>
            <w:vAlign w:val="center"/>
          </w:tcPr>
          <w:p w14:paraId="6F49C62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097AB96">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9B9C8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额定</w:t>
            </w:r>
            <w:r>
              <w:rPr>
                <w:rFonts w:hint="eastAsia" w:ascii="仿宋" w:hAnsi="仿宋" w:eastAsia="仿宋" w:cs="仿宋"/>
                <w:color w:val="auto"/>
                <w:kern w:val="0"/>
                <w:sz w:val="24"/>
                <w:szCs w:val="24"/>
                <w:lang w:val="en-US" w:eastAsia="zh-CN"/>
              </w:rPr>
              <w:t>容量</w:t>
            </w:r>
          </w:p>
        </w:tc>
        <w:tc>
          <w:tcPr>
            <w:tcW w:w="5865" w:type="dxa"/>
            <w:tcBorders>
              <w:top w:val="nil"/>
              <w:left w:val="nil"/>
              <w:bottom w:val="single" w:color="auto" w:sz="4" w:space="0"/>
              <w:right w:val="single" w:color="auto" w:sz="4" w:space="0"/>
            </w:tcBorders>
            <w:noWrap/>
            <w:vAlign w:val="center"/>
          </w:tcPr>
          <w:p w14:paraId="2507D8A9">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160KVA</w:t>
            </w:r>
          </w:p>
        </w:tc>
        <w:tc>
          <w:tcPr>
            <w:tcW w:w="1725" w:type="dxa"/>
            <w:tcBorders>
              <w:top w:val="nil"/>
              <w:left w:val="nil"/>
              <w:bottom w:val="single" w:color="auto" w:sz="4" w:space="0"/>
              <w:right w:val="single" w:color="auto" w:sz="4" w:space="0"/>
            </w:tcBorders>
            <w:noWrap/>
            <w:vAlign w:val="center"/>
          </w:tcPr>
          <w:p w14:paraId="1C4BC15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F062812">
        <w:tblPrEx>
          <w:tblCellMar>
            <w:top w:w="0" w:type="dxa"/>
            <w:left w:w="108" w:type="dxa"/>
            <w:bottom w:w="0" w:type="dxa"/>
            <w:right w:w="108" w:type="dxa"/>
          </w:tblCellMar>
        </w:tblPrEx>
        <w:trPr>
          <w:trHeight w:val="281" w:hRule="atLeast"/>
        </w:trPr>
        <w:tc>
          <w:tcPr>
            <w:tcW w:w="2025" w:type="dxa"/>
            <w:tcBorders>
              <w:top w:val="nil"/>
              <w:left w:val="single" w:color="auto" w:sz="4" w:space="0"/>
              <w:bottom w:val="single" w:color="auto" w:sz="4" w:space="0"/>
              <w:right w:val="single" w:color="auto" w:sz="4" w:space="0"/>
            </w:tcBorders>
            <w:noWrap/>
            <w:vAlign w:val="center"/>
          </w:tcPr>
          <w:p w14:paraId="10DCAEA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w:t>
            </w:r>
            <w:r>
              <w:rPr>
                <w:rFonts w:hint="eastAsia" w:ascii="仿宋" w:hAnsi="仿宋" w:eastAsia="仿宋" w:cs="仿宋"/>
                <w:color w:val="auto"/>
                <w:kern w:val="0"/>
                <w:sz w:val="24"/>
                <w:szCs w:val="24"/>
                <w:highlight w:val="none"/>
                <w:lang w:val="en-US" w:eastAsia="zh-CN"/>
              </w:rPr>
              <w:t>频率</w:t>
            </w:r>
          </w:p>
        </w:tc>
        <w:tc>
          <w:tcPr>
            <w:tcW w:w="5865" w:type="dxa"/>
            <w:tcBorders>
              <w:top w:val="nil"/>
              <w:left w:val="nil"/>
              <w:bottom w:val="single" w:color="auto" w:sz="4" w:space="0"/>
              <w:right w:val="single" w:color="auto" w:sz="4" w:space="0"/>
            </w:tcBorders>
            <w:noWrap/>
            <w:vAlign w:val="center"/>
          </w:tcPr>
          <w:p w14:paraId="3113DB4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50HZ</w:t>
            </w:r>
          </w:p>
        </w:tc>
        <w:tc>
          <w:tcPr>
            <w:tcW w:w="1725" w:type="dxa"/>
            <w:tcBorders>
              <w:top w:val="nil"/>
              <w:left w:val="nil"/>
              <w:bottom w:val="single" w:color="auto" w:sz="4" w:space="0"/>
              <w:right w:val="single" w:color="auto" w:sz="4" w:space="0"/>
            </w:tcBorders>
            <w:noWrap/>
            <w:vAlign w:val="center"/>
          </w:tcPr>
          <w:p w14:paraId="1126C27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69DF47B">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7CF8750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冷却方式</w:t>
            </w:r>
          </w:p>
        </w:tc>
        <w:tc>
          <w:tcPr>
            <w:tcW w:w="5865" w:type="dxa"/>
            <w:tcBorders>
              <w:top w:val="nil"/>
              <w:left w:val="nil"/>
              <w:bottom w:val="single" w:color="auto" w:sz="4" w:space="0"/>
              <w:right w:val="single" w:color="auto" w:sz="4" w:space="0"/>
            </w:tcBorders>
            <w:noWrap/>
            <w:vAlign w:val="center"/>
          </w:tcPr>
          <w:p w14:paraId="27D66C2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ONAN</w:t>
            </w:r>
          </w:p>
        </w:tc>
        <w:tc>
          <w:tcPr>
            <w:tcW w:w="1725" w:type="dxa"/>
            <w:tcBorders>
              <w:top w:val="nil"/>
              <w:left w:val="nil"/>
              <w:bottom w:val="single" w:color="auto" w:sz="4" w:space="0"/>
              <w:right w:val="single" w:color="auto" w:sz="4" w:space="0"/>
            </w:tcBorders>
            <w:noWrap/>
            <w:vAlign w:val="center"/>
          </w:tcPr>
          <w:p w14:paraId="3116215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778061D">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B8DC30F">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使用条件</w:t>
            </w:r>
          </w:p>
        </w:tc>
        <w:tc>
          <w:tcPr>
            <w:tcW w:w="5865" w:type="dxa"/>
            <w:tcBorders>
              <w:top w:val="nil"/>
              <w:left w:val="nil"/>
              <w:bottom w:val="single" w:color="auto" w:sz="4" w:space="0"/>
              <w:right w:val="single" w:color="auto" w:sz="4" w:space="0"/>
            </w:tcBorders>
            <w:noWrap/>
            <w:vAlign w:val="center"/>
          </w:tcPr>
          <w:p w14:paraId="29DD9DC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户外式</w:t>
            </w:r>
          </w:p>
        </w:tc>
        <w:tc>
          <w:tcPr>
            <w:tcW w:w="1725" w:type="dxa"/>
            <w:tcBorders>
              <w:top w:val="nil"/>
              <w:left w:val="nil"/>
              <w:bottom w:val="single" w:color="auto" w:sz="4" w:space="0"/>
              <w:right w:val="single" w:color="auto" w:sz="4" w:space="0"/>
            </w:tcBorders>
            <w:noWrap/>
            <w:vAlign w:val="center"/>
          </w:tcPr>
          <w:p w14:paraId="23D3B64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7CCE14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4CBB507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油重量</w:t>
            </w:r>
          </w:p>
        </w:tc>
        <w:tc>
          <w:tcPr>
            <w:tcW w:w="5865" w:type="dxa"/>
            <w:tcBorders>
              <w:top w:val="nil"/>
              <w:left w:val="nil"/>
              <w:bottom w:val="single" w:color="auto" w:sz="4" w:space="0"/>
              <w:right w:val="single" w:color="auto" w:sz="4" w:space="0"/>
            </w:tcBorders>
            <w:noWrap/>
            <w:vAlign w:val="center"/>
          </w:tcPr>
          <w:p w14:paraId="19C1D21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150</w:t>
            </w:r>
            <w:r>
              <w:rPr>
                <w:rFonts w:hint="eastAsia" w:ascii="仿宋" w:hAnsi="仿宋" w:eastAsia="仿宋" w:cs="仿宋"/>
                <w:color w:val="auto"/>
                <w:kern w:val="0"/>
                <w:sz w:val="24"/>
                <w:szCs w:val="24"/>
              </w:rPr>
              <w:t>kg</w:t>
            </w:r>
          </w:p>
        </w:tc>
        <w:tc>
          <w:tcPr>
            <w:tcW w:w="1725" w:type="dxa"/>
            <w:tcBorders>
              <w:top w:val="nil"/>
              <w:left w:val="nil"/>
              <w:bottom w:val="single" w:color="auto" w:sz="4" w:space="0"/>
              <w:right w:val="single" w:color="auto" w:sz="4" w:space="0"/>
            </w:tcBorders>
            <w:noWrap/>
            <w:vAlign w:val="center"/>
          </w:tcPr>
          <w:p w14:paraId="3434C7C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9701AC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F2BA26D">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器身重量</w:t>
            </w:r>
          </w:p>
        </w:tc>
        <w:tc>
          <w:tcPr>
            <w:tcW w:w="5865" w:type="dxa"/>
            <w:tcBorders>
              <w:top w:val="nil"/>
              <w:left w:val="nil"/>
              <w:bottom w:val="single" w:color="auto" w:sz="4" w:space="0"/>
              <w:right w:val="single" w:color="auto" w:sz="4" w:space="0"/>
            </w:tcBorders>
            <w:noWrap/>
            <w:vAlign w:val="center"/>
          </w:tcPr>
          <w:p w14:paraId="1BD3851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530</w:t>
            </w:r>
            <w:r>
              <w:rPr>
                <w:rFonts w:hint="eastAsia" w:ascii="仿宋" w:hAnsi="仿宋" w:eastAsia="仿宋" w:cs="仿宋"/>
                <w:color w:val="auto"/>
                <w:kern w:val="0"/>
                <w:sz w:val="24"/>
                <w:szCs w:val="24"/>
              </w:rPr>
              <w:t>kg</w:t>
            </w:r>
          </w:p>
        </w:tc>
        <w:tc>
          <w:tcPr>
            <w:tcW w:w="1725" w:type="dxa"/>
            <w:tcBorders>
              <w:top w:val="nil"/>
              <w:left w:val="nil"/>
              <w:bottom w:val="single" w:color="auto" w:sz="4" w:space="0"/>
              <w:right w:val="single" w:color="auto" w:sz="4" w:space="0"/>
            </w:tcBorders>
            <w:noWrap/>
            <w:vAlign w:val="center"/>
          </w:tcPr>
          <w:p w14:paraId="5D41246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163795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F21321C">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总重量</w:t>
            </w:r>
          </w:p>
        </w:tc>
        <w:tc>
          <w:tcPr>
            <w:tcW w:w="5865" w:type="dxa"/>
            <w:tcBorders>
              <w:top w:val="nil"/>
              <w:left w:val="nil"/>
              <w:bottom w:val="single" w:color="auto" w:sz="4" w:space="0"/>
              <w:right w:val="single" w:color="auto" w:sz="4" w:space="0"/>
            </w:tcBorders>
            <w:noWrap/>
            <w:vAlign w:val="center"/>
          </w:tcPr>
          <w:p w14:paraId="6F9E69F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800</w:t>
            </w:r>
            <w:r>
              <w:rPr>
                <w:rFonts w:hint="eastAsia" w:ascii="仿宋" w:hAnsi="仿宋" w:eastAsia="仿宋" w:cs="仿宋"/>
                <w:color w:val="auto"/>
                <w:kern w:val="0"/>
                <w:sz w:val="24"/>
                <w:szCs w:val="24"/>
              </w:rPr>
              <w:t>kg</w:t>
            </w:r>
          </w:p>
        </w:tc>
        <w:tc>
          <w:tcPr>
            <w:tcW w:w="1725" w:type="dxa"/>
            <w:tcBorders>
              <w:top w:val="nil"/>
              <w:left w:val="nil"/>
              <w:bottom w:val="single" w:color="auto" w:sz="4" w:space="0"/>
              <w:right w:val="single" w:color="auto" w:sz="4" w:space="0"/>
            </w:tcBorders>
            <w:noWrap/>
            <w:vAlign w:val="center"/>
          </w:tcPr>
          <w:p w14:paraId="629EFBB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7C6233A">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33F22BB">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联络组标号</w:t>
            </w:r>
          </w:p>
        </w:tc>
        <w:tc>
          <w:tcPr>
            <w:tcW w:w="5865" w:type="dxa"/>
            <w:tcBorders>
              <w:top w:val="nil"/>
              <w:left w:val="nil"/>
              <w:bottom w:val="single" w:color="auto" w:sz="4" w:space="0"/>
              <w:right w:val="single" w:color="auto" w:sz="4" w:space="0"/>
            </w:tcBorders>
            <w:noWrap/>
            <w:vAlign w:val="center"/>
          </w:tcPr>
          <w:p w14:paraId="354B630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Dyn11</w:t>
            </w:r>
          </w:p>
        </w:tc>
        <w:tc>
          <w:tcPr>
            <w:tcW w:w="1725" w:type="dxa"/>
            <w:tcBorders>
              <w:top w:val="nil"/>
              <w:left w:val="nil"/>
              <w:bottom w:val="single" w:color="auto" w:sz="4" w:space="0"/>
              <w:right w:val="single" w:color="auto" w:sz="4" w:space="0"/>
            </w:tcBorders>
            <w:noWrap/>
            <w:vAlign w:val="center"/>
          </w:tcPr>
          <w:p w14:paraId="48806E7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7C29629">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8083475">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绝缘水平</w:t>
            </w:r>
          </w:p>
        </w:tc>
        <w:tc>
          <w:tcPr>
            <w:tcW w:w="5865" w:type="dxa"/>
            <w:tcBorders>
              <w:top w:val="nil"/>
              <w:left w:val="nil"/>
              <w:bottom w:val="single" w:color="auto" w:sz="4" w:space="0"/>
              <w:right w:val="single" w:color="auto" w:sz="4" w:space="0"/>
            </w:tcBorders>
            <w:noWrap/>
            <w:vAlign w:val="center"/>
          </w:tcPr>
          <w:p w14:paraId="1A35230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L175AC35</w:t>
            </w:r>
          </w:p>
        </w:tc>
        <w:tc>
          <w:tcPr>
            <w:tcW w:w="1725" w:type="dxa"/>
            <w:tcBorders>
              <w:top w:val="nil"/>
              <w:left w:val="nil"/>
              <w:bottom w:val="single" w:color="auto" w:sz="4" w:space="0"/>
              <w:right w:val="single" w:color="auto" w:sz="4" w:space="0"/>
            </w:tcBorders>
            <w:noWrap/>
            <w:vAlign w:val="center"/>
          </w:tcPr>
          <w:p w14:paraId="08A6371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C6F33FC">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5178A8E">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标准代号</w:t>
            </w:r>
          </w:p>
        </w:tc>
        <w:tc>
          <w:tcPr>
            <w:tcW w:w="5865" w:type="dxa"/>
            <w:tcBorders>
              <w:top w:val="nil"/>
              <w:left w:val="nil"/>
              <w:bottom w:val="single" w:color="auto" w:sz="4" w:space="0"/>
              <w:right w:val="single" w:color="auto" w:sz="4" w:space="0"/>
            </w:tcBorders>
            <w:noWrap/>
            <w:vAlign w:val="center"/>
          </w:tcPr>
          <w:p w14:paraId="6BE7094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GB1094.1002-1996</w:t>
            </w:r>
          </w:p>
        </w:tc>
        <w:tc>
          <w:tcPr>
            <w:tcW w:w="1725" w:type="dxa"/>
            <w:tcBorders>
              <w:top w:val="nil"/>
              <w:left w:val="nil"/>
              <w:bottom w:val="single" w:color="auto" w:sz="4" w:space="0"/>
              <w:right w:val="single" w:color="auto" w:sz="4" w:space="0"/>
            </w:tcBorders>
            <w:noWrap/>
            <w:vAlign w:val="center"/>
          </w:tcPr>
          <w:p w14:paraId="22B7724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7656308C">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EFE0271">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产品代号</w:t>
            </w:r>
          </w:p>
        </w:tc>
        <w:tc>
          <w:tcPr>
            <w:tcW w:w="5865" w:type="dxa"/>
            <w:tcBorders>
              <w:top w:val="nil"/>
              <w:left w:val="nil"/>
              <w:bottom w:val="single" w:color="auto" w:sz="4" w:space="0"/>
              <w:right w:val="single" w:color="auto" w:sz="4" w:space="0"/>
            </w:tcBorders>
            <w:noWrap/>
            <w:vAlign w:val="center"/>
          </w:tcPr>
          <w:p w14:paraId="76BBE462">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GB1094.3.5-85</w:t>
            </w:r>
          </w:p>
        </w:tc>
        <w:tc>
          <w:tcPr>
            <w:tcW w:w="1725" w:type="dxa"/>
            <w:tcBorders>
              <w:top w:val="nil"/>
              <w:left w:val="nil"/>
              <w:bottom w:val="single" w:color="auto" w:sz="4" w:space="0"/>
              <w:right w:val="single" w:color="auto" w:sz="4" w:space="0"/>
            </w:tcBorders>
            <w:noWrap/>
            <w:vAlign w:val="center"/>
          </w:tcPr>
          <w:p w14:paraId="26DFDB6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7A9DD5A1">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1693C34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出厂序号</w:t>
            </w:r>
          </w:p>
        </w:tc>
        <w:tc>
          <w:tcPr>
            <w:tcW w:w="5865" w:type="dxa"/>
            <w:tcBorders>
              <w:top w:val="nil"/>
              <w:left w:val="nil"/>
              <w:bottom w:val="single" w:color="auto" w:sz="4" w:space="0"/>
              <w:right w:val="single" w:color="auto" w:sz="4" w:space="0"/>
            </w:tcBorders>
            <w:noWrap/>
            <w:vAlign w:val="center"/>
          </w:tcPr>
          <w:p w14:paraId="7B57169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200007</w:t>
            </w:r>
          </w:p>
        </w:tc>
        <w:tc>
          <w:tcPr>
            <w:tcW w:w="1725" w:type="dxa"/>
            <w:tcBorders>
              <w:top w:val="nil"/>
              <w:left w:val="nil"/>
              <w:bottom w:val="single" w:color="auto" w:sz="4" w:space="0"/>
              <w:right w:val="single" w:color="auto" w:sz="4" w:space="0"/>
            </w:tcBorders>
            <w:noWrap/>
            <w:vAlign w:val="center"/>
          </w:tcPr>
          <w:p w14:paraId="3C1285B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419F6A3">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3B61AB3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高压1</w:t>
            </w:r>
            <w:r>
              <w:rPr>
                <w:rFonts w:hint="eastAsia" w:ascii="仿宋" w:hAnsi="仿宋" w:eastAsia="仿宋" w:cs="仿宋"/>
                <w:color w:val="auto"/>
                <w:kern w:val="0"/>
                <w:sz w:val="24"/>
                <w:szCs w:val="24"/>
                <w:lang w:val="en-US" w:eastAsia="zh-CN"/>
              </w:rPr>
              <w:t>0500</w:t>
            </w:r>
            <w:r>
              <w:rPr>
                <w:rFonts w:hint="eastAsia" w:ascii="仿宋" w:hAnsi="仿宋" w:eastAsia="仿宋" w:cs="仿宋"/>
                <w:color w:val="auto"/>
                <w:kern w:val="0"/>
                <w:sz w:val="24"/>
                <w:szCs w:val="24"/>
              </w:rPr>
              <w:t>电流</w:t>
            </w:r>
          </w:p>
        </w:tc>
        <w:tc>
          <w:tcPr>
            <w:tcW w:w="5865" w:type="dxa"/>
            <w:tcBorders>
              <w:top w:val="nil"/>
              <w:left w:val="nil"/>
              <w:bottom w:val="single" w:color="auto" w:sz="4" w:space="0"/>
              <w:right w:val="single" w:color="auto" w:sz="4" w:space="0"/>
            </w:tcBorders>
            <w:noWrap/>
            <w:vAlign w:val="center"/>
          </w:tcPr>
          <w:p w14:paraId="150E268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9.24</w:t>
            </w:r>
            <w:r>
              <w:rPr>
                <w:rFonts w:hint="eastAsia" w:ascii="仿宋" w:hAnsi="仿宋" w:eastAsia="仿宋" w:cs="仿宋"/>
                <w:color w:val="auto"/>
                <w:kern w:val="0"/>
                <w:sz w:val="24"/>
                <w:szCs w:val="24"/>
              </w:rPr>
              <w:t>A</w:t>
            </w:r>
          </w:p>
        </w:tc>
        <w:tc>
          <w:tcPr>
            <w:tcW w:w="1725" w:type="dxa"/>
            <w:tcBorders>
              <w:top w:val="nil"/>
              <w:left w:val="nil"/>
              <w:bottom w:val="single" w:color="auto" w:sz="4" w:space="0"/>
              <w:right w:val="single" w:color="auto" w:sz="4" w:space="0"/>
            </w:tcBorders>
            <w:noWrap/>
            <w:vAlign w:val="center"/>
          </w:tcPr>
          <w:p w14:paraId="4D4A098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B2B7B3E">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2043F54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低压400电流</w:t>
            </w:r>
          </w:p>
        </w:tc>
        <w:tc>
          <w:tcPr>
            <w:tcW w:w="5865" w:type="dxa"/>
            <w:tcBorders>
              <w:top w:val="nil"/>
              <w:left w:val="nil"/>
              <w:bottom w:val="single" w:color="auto" w:sz="4" w:space="0"/>
              <w:right w:val="single" w:color="auto" w:sz="4" w:space="0"/>
            </w:tcBorders>
            <w:noWrap/>
            <w:vAlign w:val="center"/>
          </w:tcPr>
          <w:p w14:paraId="409D0AD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230.9</w:t>
            </w:r>
            <w:r>
              <w:rPr>
                <w:rFonts w:hint="eastAsia" w:ascii="仿宋" w:hAnsi="仿宋" w:eastAsia="仿宋" w:cs="仿宋"/>
                <w:color w:val="auto"/>
                <w:kern w:val="0"/>
                <w:sz w:val="24"/>
                <w:szCs w:val="24"/>
              </w:rPr>
              <w:t>A</w:t>
            </w:r>
          </w:p>
        </w:tc>
        <w:tc>
          <w:tcPr>
            <w:tcW w:w="1725" w:type="dxa"/>
            <w:tcBorders>
              <w:top w:val="nil"/>
              <w:left w:val="nil"/>
              <w:bottom w:val="single" w:color="auto" w:sz="4" w:space="0"/>
              <w:right w:val="single" w:color="auto" w:sz="4" w:space="0"/>
            </w:tcBorders>
            <w:noWrap/>
            <w:vAlign w:val="center"/>
          </w:tcPr>
          <w:p w14:paraId="4C1B9B5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5E9A98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0AB99AF4">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阻抗电压</w:t>
            </w:r>
          </w:p>
        </w:tc>
        <w:tc>
          <w:tcPr>
            <w:tcW w:w="5865" w:type="dxa"/>
            <w:tcBorders>
              <w:top w:val="nil"/>
              <w:left w:val="nil"/>
              <w:bottom w:val="single" w:color="auto" w:sz="4" w:space="0"/>
              <w:right w:val="single" w:color="auto" w:sz="4" w:space="0"/>
            </w:tcBorders>
            <w:noWrap/>
            <w:vAlign w:val="center"/>
          </w:tcPr>
          <w:p w14:paraId="54D2749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33</w:t>
            </w:r>
            <w:r>
              <w:rPr>
                <w:rFonts w:hint="eastAsia" w:ascii="仿宋" w:hAnsi="仿宋" w:eastAsia="仿宋" w:cs="仿宋"/>
                <w:color w:val="auto"/>
                <w:kern w:val="0"/>
                <w:sz w:val="24"/>
                <w:szCs w:val="24"/>
              </w:rPr>
              <w:t>%</w:t>
            </w:r>
          </w:p>
        </w:tc>
        <w:tc>
          <w:tcPr>
            <w:tcW w:w="1725" w:type="dxa"/>
            <w:tcBorders>
              <w:top w:val="nil"/>
              <w:left w:val="nil"/>
              <w:bottom w:val="single" w:color="auto" w:sz="4" w:space="0"/>
              <w:right w:val="single" w:color="auto" w:sz="4" w:space="0"/>
            </w:tcBorders>
            <w:noWrap/>
            <w:vAlign w:val="center"/>
          </w:tcPr>
          <w:p w14:paraId="72F6B2E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6471CE68">
        <w:tblPrEx>
          <w:tblCellMar>
            <w:top w:w="0" w:type="dxa"/>
            <w:left w:w="108" w:type="dxa"/>
            <w:bottom w:w="0" w:type="dxa"/>
            <w:right w:w="108" w:type="dxa"/>
          </w:tblCellMar>
        </w:tblPrEx>
        <w:trPr>
          <w:trHeight w:val="283" w:hRule="atLeast"/>
        </w:trPr>
        <w:tc>
          <w:tcPr>
            <w:tcW w:w="2025" w:type="dxa"/>
            <w:tcBorders>
              <w:top w:val="nil"/>
              <w:left w:val="single" w:color="auto" w:sz="4" w:space="0"/>
              <w:bottom w:val="single" w:color="auto" w:sz="4" w:space="0"/>
              <w:right w:val="single" w:color="auto" w:sz="4" w:space="0"/>
            </w:tcBorders>
            <w:noWrap/>
            <w:vAlign w:val="center"/>
          </w:tcPr>
          <w:p w14:paraId="6BFA313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制造年月</w:t>
            </w:r>
          </w:p>
        </w:tc>
        <w:tc>
          <w:tcPr>
            <w:tcW w:w="5865" w:type="dxa"/>
            <w:tcBorders>
              <w:top w:val="nil"/>
              <w:left w:val="nil"/>
              <w:bottom w:val="single" w:color="auto" w:sz="4" w:space="0"/>
              <w:right w:val="single" w:color="auto" w:sz="4" w:space="0"/>
            </w:tcBorders>
            <w:noWrap/>
            <w:vAlign w:val="center"/>
          </w:tcPr>
          <w:p w14:paraId="4942530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200</w:t>
            </w:r>
            <w:r>
              <w:rPr>
                <w:rFonts w:hint="eastAsia" w:ascii="仿宋" w:hAnsi="仿宋" w:eastAsia="仿宋" w:cs="仿宋"/>
                <w:color w:val="auto"/>
                <w:kern w:val="0"/>
                <w:sz w:val="24"/>
                <w:szCs w:val="24"/>
                <w:lang w:val="en-US" w:eastAsia="zh-CN"/>
              </w:rPr>
              <w:t>0</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月</w:t>
            </w:r>
          </w:p>
        </w:tc>
        <w:tc>
          <w:tcPr>
            <w:tcW w:w="1725" w:type="dxa"/>
            <w:tcBorders>
              <w:top w:val="nil"/>
              <w:left w:val="nil"/>
              <w:bottom w:val="single" w:color="auto" w:sz="4" w:space="0"/>
              <w:right w:val="single" w:color="auto" w:sz="4" w:space="0"/>
            </w:tcBorders>
            <w:noWrap/>
            <w:vAlign w:val="center"/>
          </w:tcPr>
          <w:p w14:paraId="4B47F56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796CBD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6EC3564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制造厂家</w:t>
            </w:r>
          </w:p>
        </w:tc>
        <w:tc>
          <w:tcPr>
            <w:tcW w:w="5865" w:type="dxa"/>
            <w:tcBorders>
              <w:top w:val="single" w:color="auto" w:sz="4" w:space="0"/>
              <w:left w:val="single" w:color="auto" w:sz="4" w:space="0"/>
              <w:bottom w:val="single" w:color="auto" w:sz="4" w:space="0"/>
              <w:right w:val="single" w:color="auto" w:sz="4" w:space="0"/>
            </w:tcBorders>
            <w:noWrap/>
            <w:vAlign w:val="center"/>
          </w:tcPr>
          <w:p w14:paraId="4AF8F1B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宁波</w:t>
            </w:r>
            <w:r>
              <w:rPr>
                <w:rFonts w:hint="eastAsia" w:ascii="仿宋" w:hAnsi="仿宋" w:eastAsia="仿宋" w:cs="仿宋"/>
                <w:color w:val="auto"/>
                <w:kern w:val="0"/>
                <w:sz w:val="24"/>
                <w:szCs w:val="24"/>
                <w:lang w:val="en-US" w:eastAsia="zh-CN"/>
              </w:rPr>
              <w:t>变压器厂制造</w:t>
            </w:r>
          </w:p>
        </w:tc>
        <w:tc>
          <w:tcPr>
            <w:tcW w:w="1725" w:type="dxa"/>
            <w:tcBorders>
              <w:top w:val="single" w:color="auto" w:sz="4" w:space="0"/>
              <w:left w:val="single" w:color="auto" w:sz="4" w:space="0"/>
              <w:bottom w:val="single" w:color="auto" w:sz="4" w:space="0"/>
              <w:right w:val="single" w:color="auto" w:sz="4" w:space="0"/>
            </w:tcBorders>
            <w:noWrap/>
            <w:vAlign w:val="center"/>
          </w:tcPr>
          <w:p w14:paraId="5088450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5337618">
        <w:tblPrEx>
          <w:tblCellMar>
            <w:top w:w="0" w:type="dxa"/>
            <w:left w:w="108" w:type="dxa"/>
            <w:bottom w:w="0" w:type="dxa"/>
            <w:right w:w="108" w:type="dxa"/>
          </w:tblCellMar>
        </w:tblPrEx>
        <w:trPr>
          <w:trHeight w:val="356" w:hRule="atLeast"/>
        </w:trPr>
        <w:tc>
          <w:tcPr>
            <w:tcW w:w="2025" w:type="dxa"/>
            <w:tcBorders>
              <w:top w:val="single" w:color="auto" w:sz="4" w:space="0"/>
              <w:left w:val="nil"/>
              <w:bottom w:val="single" w:color="auto" w:sz="4" w:space="0"/>
              <w:right w:val="nil"/>
            </w:tcBorders>
            <w:noWrap/>
            <w:vAlign w:val="center"/>
          </w:tcPr>
          <w:p w14:paraId="6324684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5865" w:type="dxa"/>
            <w:tcBorders>
              <w:top w:val="single" w:color="auto" w:sz="4" w:space="0"/>
              <w:left w:val="nil"/>
              <w:bottom w:val="single" w:color="auto" w:sz="4" w:space="0"/>
              <w:right w:val="nil"/>
            </w:tcBorders>
            <w:noWrap/>
            <w:vAlign w:val="center"/>
          </w:tcPr>
          <w:p w14:paraId="77A1E71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val="en-US" w:eastAsia="zh-CN"/>
              </w:rPr>
              <w:t>20.</w:t>
            </w:r>
            <w:r>
              <w:rPr>
                <w:rFonts w:hint="eastAsia" w:ascii="仿宋" w:hAnsi="仿宋" w:eastAsia="仿宋" w:cs="仿宋"/>
                <w:b/>
                <w:bCs/>
                <w:color w:val="auto"/>
                <w:kern w:val="0"/>
                <w:sz w:val="24"/>
                <w:szCs w:val="24"/>
              </w:rPr>
              <w:t>主要设备参数表</w:t>
            </w:r>
          </w:p>
        </w:tc>
        <w:tc>
          <w:tcPr>
            <w:tcW w:w="1725" w:type="dxa"/>
            <w:tcBorders>
              <w:top w:val="single" w:color="auto" w:sz="4" w:space="0"/>
              <w:left w:val="nil"/>
              <w:bottom w:val="single" w:color="auto" w:sz="4" w:space="0"/>
              <w:right w:val="nil"/>
            </w:tcBorders>
            <w:noWrap/>
            <w:vAlign w:val="center"/>
          </w:tcPr>
          <w:p w14:paraId="6DE0BB4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2D543F74">
        <w:tblPrEx>
          <w:tblCellMar>
            <w:top w:w="0" w:type="dxa"/>
            <w:left w:w="108" w:type="dxa"/>
            <w:bottom w:w="0" w:type="dxa"/>
            <w:right w:w="108" w:type="dxa"/>
          </w:tblCellMar>
        </w:tblPrEx>
        <w:trPr>
          <w:trHeight w:val="90"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0AF32B4B">
            <w:pPr>
              <w:keepNext w:val="0"/>
              <w:keepLines w:val="0"/>
              <w:widowControl/>
              <w:suppressLineNumbers w:val="0"/>
              <w:spacing w:before="0" w:beforeAutospacing="0" w:after="0" w:afterAutospacing="0"/>
              <w:ind w:left="0" w:right="0"/>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设备名称： </w:t>
            </w:r>
            <w:r>
              <w:rPr>
                <w:rFonts w:hint="eastAsia" w:ascii="仿宋" w:hAnsi="仿宋" w:eastAsia="仿宋" w:cs="仿宋"/>
                <w:color w:val="auto"/>
                <w:kern w:val="0"/>
                <w:sz w:val="24"/>
                <w:szCs w:val="24"/>
                <w:highlight w:val="none"/>
                <w:lang w:val="en-US" w:eastAsia="zh-CN"/>
              </w:rPr>
              <w:t>进水闸门控制箱（3台）</w:t>
            </w:r>
          </w:p>
        </w:tc>
        <w:tc>
          <w:tcPr>
            <w:tcW w:w="1725" w:type="dxa"/>
            <w:tcBorders>
              <w:top w:val="single" w:color="auto" w:sz="4" w:space="0"/>
              <w:left w:val="single" w:color="auto" w:sz="4" w:space="0"/>
              <w:bottom w:val="single" w:color="auto" w:sz="4" w:space="0"/>
              <w:right w:val="single" w:color="auto" w:sz="4" w:space="0"/>
            </w:tcBorders>
            <w:noWrap/>
            <w:vAlign w:val="center"/>
          </w:tcPr>
          <w:p w14:paraId="32A6C89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14:paraId="3E80BF97">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055E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型号</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754169A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DZWX-2000</w:t>
            </w:r>
          </w:p>
        </w:tc>
        <w:tc>
          <w:tcPr>
            <w:tcW w:w="1725" w:type="dxa"/>
            <w:tcBorders>
              <w:top w:val="single" w:color="auto" w:sz="4" w:space="0"/>
              <w:left w:val="nil"/>
              <w:bottom w:val="single" w:color="auto" w:sz="4" w:space="0"/>
              <w:right w:val="single" w:color="auto" w:sz="4" w:space="0"/>
            </w:tcBorders>
            <w:noWrap/>
            <w:vAlign w:val="center"/>
          </w:tcPr>
          <w:p w14:paraId="332571D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570DBC14">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B7A0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w:t>
            </w:r>
            <w:r>
              <w:rPr>
                <w:rFonts w:hint="eastAsia" w:ascii="仿宋" w:hAnsi="仿宋" w:eastAsia="仿宋" w:cs="仿宋"/>
                <w:color w:val="auto"/>
                <w:kern w:val="0"/>
                <w:sz w:val="24"/>
                <w:szCs w:val="24"/>
                <w:highlight w:val="none"/>
              </w:rPr>
              <w:t>额定电压</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39AEBC8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380V</w:t>
            </w:r>
          </w:p>
        </w:tc>
        <w:tc>
          <w:tcPr>
            <w:tcW w:w="1725" w:type="dxa"/>
            <w:tcBorders>
              <w:top w:val="single" w:color="auto" w:sz="4" w:space="0"/>
              <w:left w:val="nil"/>
              <w:bottom w:val="single" w:color="auto" w:sz="4" w:space="0"/>
              <w:right w:val="single" w:color="auto" w:sz="4" w:space="0"/>
            </w:tcBorders>
            <w:noWrap/>
            <w:vAlign w:val="center"/>
          </w:tcPr>
          <w:p w14:paraId="49B91FF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2F7AF579">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00F4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短路切断能力</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2111C31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6KA</w:t>
            </w:r>
          </w:p>
        </w:tc>
        <w:tc>
          <w:tcPr>
            <w:tcW w:w="1725" w:type="dxa"/>
            <w:tcBorders>
              <w:top w:val="single" w:color="auto" w:sz="4" w:space="0"/>
              <w:left w:val="nil"/>
              <w:bottom w:val="single" w:color="auto" w:sz="4" w:space="0"/>
              <w:right w:val="single" w:color="auto" w:sz="4" w:space="0"/>
            </w:tcBorders>
            <w:noWrap/>
            <w:vAlign w:val="center"/>
          </w:tcPr>
          <w:p w14:paraId="24029D9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31CA3FDD">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ACB3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相数</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635A623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725" w:type="dxa"/>
            <w:tcBorders>
              <w:top w:val="single" w:color="auto" w:sz="4" w:space="0"/>
              <w:left w:val="nil"/>
              <w:bottom w:val="single" w:color="auto" w:sz="4" w:space="0"/>
              <w:right w:val="single" w:color="auto" w:sz="4" w:space="0"/>
            </w:tcBorders>
            <w:noWrap/>
            <w:vAlign w:val="center"/>
          </w:tcPr>
          <w:p w14:paraId="22C4DAB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08DBAE70">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8FC5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交流额定频率</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17FE3DB0">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50HZ</w:t>
            </w:r>
          </w:p>
        </w:tc>
        <w:tc>
          <w:tcPr>
            <w:tcW w:w="1725" w:type="dxa"/>
            <w:tcBorders>
              <w:top w:val="single" w:color="auto" w:sz="4" w:space="0"/>
              <w:left w:val="nil"/>
              <w:bottom w:val="single" w:color="auto" w:sz="4" w:space="0"/>
              <w:right w:val="single" w:color="auto" w:sz="4" w:space="0"/>
            </w:tcBorders>
            <w:noWrap/>
            <w:vAlign w:val="center"/>
          </w:tcPr>
          <w:p w14:paraId="0BE6E4F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4ED33407">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CE5D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交流满载电流</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64AD6C3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40A</w:t>
            </w:r>
          </w:p>
        </w:tc>
        <w:tc>
          <w:tcPr>
            <w:tcW w:w="1725" w:type="dxa"/>
            <w:tcBorders>
              <w:top w:val="single" w:color="auto" w:sz="4" w:space="0"/>
              <w:left w:val="nil"/>
              <w:bottom w:val="single" w:color="auto" w:sz="4" w:space="0"/>
              <w:right w:val="single" w:color="auto" w:sz="4" w:space="0"/>
            </w:tcBorders>
            <w:noWrap/>
            <w:vAlign w:val="center"/>
          </w:tcPr>
          <w:p w14:paraId="1D80AE5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5438A821">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907D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出厂编号</w:t>
            </w:r>
          </w:p>
        </w:tc>
        <w:tc>
          <w:tcPr>
            <w:tcW w:w="5865" w:type="dxa"/>
            <w:tcBorders>
              <w:top w:val="single" w:color="auto" w:sz="4" w:space="0"/>
              <w:left w:val="nil"/>
              <w:bottom w:val="single" w:color="auto" w:sz="4" w:space="0"/>
              <w:right w:val="single" w:color="auto" w:sz="4" w:space="0"/>
            </w:tcBorders>
            <w:shd w:val="clear" w:color="auto" w:fill="auto"/>
            <w:noWrap/>
            <w:vAlign w:val="center"/>
          </w:tcPr>
          <w:p w14:paraId="7D8CD68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20240303016</w:t>
            </w:r>
          </w:p>
        </w:tc>
        <w:tc>
          <w:tcPr>
            <w:tcW w:w="1725" w:type="dxa"/>
            <w:tcBorders>
              <w:top w:val="single" w:color="auto" w:sz="4" w:space="0"/>
              <w:left w:val="nil"/>
              <w:bottom w:val="single" w:color="auto" w:sz="4" w:space="0"/>
              <w:right w:val="single" w:color="auto" w:sz="4" w:space="0"/>
            </w:tcBorders>
            <w:noWrap/>
            <w:vAlign w:val="center"/>
          </w:tcPr>
          <w:p w14:paraId="3BFDE98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785F9F99">
        <w:tblPrEx>
          <w:tblCellMar>
            <w:top w:w="0" w:type="dxa"/>
            <w:left w:w="108" w:type="dxa"/>
            <w:bottom w:w="0" w:type="dxa"/>
            <w:right w:w="108" w:type="dxa"/>
          </w:tblCellMar>
        </w:tblPrEx>
        <w:trPr>
          <w:trHeight w:val="283" w:hRule="atLeast"/>
        </w:trPr>
        <w:tc>
          <w:tcPr>
            <w:tcW w:w="7890" w:type="dxa"/>
            <w:gridSpan w:val="2"/>
            <w:tcBorders>
              <w:top w:val="single" w:color="auto" w:sz="4" w:space="0"/>
              <w:left w:val="single" w:color="auto" w:sz="4" w:space="0"/>
              <w:bottom w:val="single" w:color="auto" w:sz="4" w:space="0"/>
              <w:right w:val="single" w:color="auto" w:sz="4" w:space="0"/>
            </w:tcBorders>
            <w:noWrap/>
            <w:vAlign w:val="center"/>
          </w:tcPr>
          <w:p w14:paraId="1F35531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设备名称： </w:t>
            </w:r>
            <w:r>
              <w:rPr>
                <w:rFonts w:hint="eastAsia" w:ascii="仿宋" w:hAnsi="仿宋" w:eastAsia="仿宋" w:cs="仿宋"/>
                <w:color w:val="auto"/>
                <w:kern w:val="0"/>
                <w:sz w:val="24"/>
                <w:szCs w:val="24"/>
                <w:highlight w:val="none"/>
                <w:lang w:val="en-US" w:eastAsia="zh-CN"/>
              </w:rPr>
              <w:t>冲砂闸启闭机（1台）</w:t>
            </w:r>
          </w:p>
        </w:tc>
        <w:tc>
          <w:tcPr>
            <w:tcW w:w="1725" w:type="dxa"/>
            <w:tcBorders>
              <w:top w:val="single" w:color="auto" w:sz="4" w:space="0"/>
              <w:left w:val="nil"/>
              <w:bottom w:val="single" w:color="auto" w:sz="4" w:space="0"/>
              <w:right w:val="single" w:color="auto" w:sz="4" w:space="0"/>
            </w:tcBorders>
            <w:noWrap/>
            <w:vAlign w:val="center"/>
          </w:tcPr>
          <w:p w14:paraId="713B3165">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14:paraId="3843BE8D">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2A65BFB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型号</w:t>
            </w:r>
          </w:p>
        </w:tc>
        <w:tc>
          <w:tcPr>
            <w:tcW w:w="5865" w:type="dxa"/>
            <w:tcBorders>
              <w:top w:val="single" w:color="auto" w:sz="4" w:space="0"/>
              <w:left w:val="nil"/>
              <w:bottom w:val="single" w:color="auto" w:sz="4" w:space="0"/>
              <w:right w:val="single" w:color="auto" w:sz="4" w:space="0"/>
            </w:tcBorders>
            <w:noWrap/>
            <w:vAlign w:val="center"/>
          </w:tcPr>
          <w:p w14:paraId="60A7D238">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YZ160M2-6/7.5KW</w:t>
            </w:r>
          </w:p>
        </w:tc>
        <w:tc>
          <w:tcPr>
            <w:tcW w:w="1725" w:type="dxa"/>
            <w:tcBorders>
              <w:top w:val="single" w:color="auto" w:sz="4" w:space="0"/>
              <w:left w:val="nil"/>
              <w:bottom w:val="single" w:color="auto" w:sz="4" w:space="0"/>
              <w:right w:val="single" w:color="auto" w:sz="4" w:space="0"/>
            </w:tcBorders>
            <w:noWrap/>
            <w:vAlign w:val="center"/>
          </w:tcPr>
          <w:p w14:paraId="7672E2F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000925EB">
        <w:tblPrEx>
          <w:tblCellMar>
            <w:top w:w="0" w:type="dxa"/>
            <w:left w:w="108" w:type="dxa"/>
            <w:bottom w:w="0" w:type="dxa"/>
            <w:right w:w="108" w:type="dxa"/>
          </w:tblCellMar>
        </w:tblPrEx>
        <w:trPr>
          <w:trHeight w:val="283" w:hRule="atLeast"/>
        </w:trPr>
        <w:tc>
          <w:tcPr>
            <w:tcW w:w="2025" w:type="dxa"/>
            <w:tcBorders>
              <w:top w:val="single" w:color="auto" w:sz="4" w:space="0"/>
              <w:left w:val="single" w:color="auto" w:sz="4" w:space="0"/>
              <w:bottom w:val="single" w:color="auto" w:sz="4" w:space="0"/>
              <w:right w:val="single" w:color="auto" w:sz="4" w:space="0"/>
            </w:tcBorders>
            <w:noWrap/>
            <w:vAlign w:val="center"/>
          </w:tcPr>
          <w:p w14:paraId="15DADC73">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规格</w:t>
            </w:r>
          </w:p>
        </w:tc>
        <w:tc>
          <w:tcPr>
            <w:tcW w:w="5865" w:type="dxa"/>
            <w:tcBorders>
              <w:top w:val="single" w:color="auto" w:sz="4" w:space="0"/>
              <w:left w:val="nil"/>
              <w:bottom w:val="single" w:color="auto" w:sz="4" w:space="0"/>
              <w:right w:val="single" w:color="auto" w:sz="4" w:space="0"/>
            </w:tcBorders>
            <w:noWrap/>
            <w:vAlign w:val="center"/>
          </w:tcPr>
          <w:p w14:paraId="27282740">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ZL25-16-1</w:t>
            </w:r>
          </w:p>
        </w:tc>
        <w:tc>
          <w:tcPr>
            <w:tcW w:w="1725" w:type="dxa"/>
            <w:tcBorders>
              <w:top w:val="single" w:color="auto" w:sz="4" w:space="0"/>
              <w:left w:val="nil"/>
              <w:bottom w:val="single" w:color="auto" w:sz="4" w:space="0"/>
              <w:right w:val="single" w:color="auto" w:sz="4" w:space="0"/>
            </w:tcBorders>
            <w:noWrap/>
            <w:vAlign w:val="center"/>
          </w:tcPr>
          <w:p w14:paraId="62DDA37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bl>
    <w:p w14:paraId="3C6AC2D5">
      <w:pPr>
        <w:snapToGrid w:val="0"/>
        <w:spacing w:line="360" w:lineRule="auto"/>
        <w:jc w:val="left"/>
        <w:outlineLvl w:val="1"/>
        <w:rPr>
          <w:rFonts w:hint="eastAsia" w:ascii="宋体" w:hAnsi="宋体" w:eastAsia="宋体" w:cs="宋体"/>
          <w:b/>
          <w:bCs/>
          <w:snapToGrid w:val="0"/>
          <w:color w:val="auto"/>
          <w:kern w:val="0"/>
          <w:sz w:val="21"/>
          <w:szCs w:val="21"/>
          <w:highlight w:val="none"/>
        </w:rPr>
      </w:pPr>
      <w:r>
        <w:rPr>
          <w:rFonts w:hint="eastAsia" w:ascii="宋体" w:hAnsi="宋体" w:cs="宋体"/>
          <w:b/>
          <w:bCs/>
          <w:snapToGrid w:val="0"/>
          <w:color w:val="auto"/>
          <w:kern w:val="0"/>
          <w:sz w:val="21"/>
          <w:szCs w:val="21"/>
          <w:highlight w:val="none"/>
          <w:lang w:val="en-US" w:eastAsia="zh-CN"/>
        </w:rPr>
        <w:t>四、</w:t>
      </w:r>
      <w:r>
        <w:rPr>
          <w:rFonts w:hint="eastAsia" w:ascii="宋体" w:hAnsi="宋体" w:eastAsia="宋体" w:cs="宋体"/>
          <w:b/>
          <w:bCs/>
          <w:snapToGrid w:val="0"/>
          <w:color w:val="auto"/>
          <w:kern w:val="0"/>
          <w:sz w:val="21"/>
          <w:szCs w:val="21"/>
          <w:highlight w:val="none"/>
        </w:rPr>
        <w:t>服务期限</w:t>
      </w:r>
    </w:p>
    <w:p w14:paraId="75E008CB">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合同期限:自合同签订之日起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p w14:paraId="62DF58BF">
      <w:pPr>
        <w:snapToGrid w:val="0"/>
        <w:spacing w:line="360" w:lineRule="auto"/>
        <w:jc w:val="left"/>
        <w:outlineLvl w:val="1"/>
        <w:rPr>
          <w:rFonts w:hint="eastAsia" w:ascii="宋体" w:hAnsi="宋体" w:eastAsia="宋体" w:cs="宋体"/>
          <w:b/>
          <w:bCs/>
          <w:snapToGrid w:val="0"/>
          <w:color w:val="auto"/>
          <w:kern w:val="0"/>
          <w:sz w:val="21"/>
          <w:szCs w:val="21"/>
          <w:highlight w:val="none"/>
        </w:rPr>
      </w:pPr>
      <w:r>
        <w:rPr>
          <w:rFonts w:hint="eastAsia" w:ascii="宋体" w:hAnsi="宋体" w:cs="宋体"/>
          <w:b/>
          <w:bCs/>
          <w:snapToGrid w:val="0"/>
          <w:color w:val="auto"/>
          <w:kern w:val="0"/>
          <w:sz w:val="21"/>
          <w:szCs w:val="21"/>
          <w:highlight w:val="none"/>
          <w:lang w:val="en-US" w:eastAsia="zh-CN"/>
        </w:rPr>
        <w:t>五</w:t>
      </w:r>
      <w:r>
        <w:rPr>
          <w:rFonts w:hint="eastAsia" w:ascii="宋体" w:hAnsi="宋体" w:eastAsia="宋体" w:cs="宋体"/>
          <w:b/>
          <w:bCs/>
          <w:snapToGrid w:val="0"/>
          <w:color w:val="auto"/>
          <w:kern w:val="0"/>
          <w:sz w:val="21"/>
          <w:szCs w:val="21"/>
          <w:highlight w:val="none"/>
        </w:rPr>
        <w:t>、服务要求</w:t>
      </w:r>
    </w:p>
    <w:p w14:paraId="379722B9">
      <w:pPr>
        <w:pStyle w:val="78"/>
        <w:spacing w:line="360" w:lineRule="auto"/>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1.服务</w:t>
      </w:r>
      <w:bookmarkEnd w:id="106"/>
      <w:bookmarkEnd w:id="107"/>
      <w:bookmarkStart w:id="108" w:name="_Toc113272944"/>
      <w:bookmarkStart w:id="109" w:name="_Toc112010585"/>
      <w:r>
        <w:rPr>
          <w:rFonts w:hint="eastAsia" w:ascii="宋体" w:hAnsi="宋体" w:eastAsia="宋体" w:cs="宋体"/>
          <w:b/>
          <w:color w:val="auto"/>
          <w:sz w:val="21"/>
          <w:szCs w:val="21"/>
          <w:highlight w:val="none"/>
        </w:rPr>
        <w:t>遵循主要规范、标准（不限于，如有更新，以更新版本为准）</w:t>
      </w:r>
      <w:bookmarkEnd w:id="108"/>
      <w:bookmarkEnd w:id="109"/>
    </w:p>
    <w:p w14:paraId="1983A6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（1）中华人民共和国水法</w:t>
      </w:r>
    </w:p>
    <w:p w14:paraId="5CAD06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（2）中华人民共和国防洪法</w:t>
      </w:r>
    </w:p>
    <w:p w14:paraId="75009E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（3）中华人民共和国安全生产法</w:t>
      </w:r>
    </w:p>
    <w:p w14:paraId="2FB125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水库</w:t>
      </w:r>
      <w:r>
        <w:rPr>
          <w:rFonts w:hint="eastAsia" w:ascii="宋体" w:hAnsi="宋体" w:eastAsia="宋体" w:cs="宋体"/>
          <w:color w:val="auto"/>
          <w:sz w:val="21"/>
          <w:szCs w:val="21"/>
          <w:highlight w:val="none"/>
        </w:rPr>
        <w:t>大坝安全管理条例</w:t>
      </w:r>
    </w:p>
    <w:p w14:paraId="616E13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（5）浙江省防汛防台抗旱条例</w:t>
      </w:r>
    </w:p>
    <w:p w14:paraId="11A0FE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（6）浙江省水利工程安全管理条例</w:t>
      </w:r>
    </w:p>
    <w:p w14:paraId="569A7D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（7）浙江省水库大坝安全管理办法</w:t>
      </w:r>
    </w:p>
    <w:p w14:paraId="662E6F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（8）大中型水库管理规程（DB33/T2013-2018）</w:t>
      </w:r>
    </w:p>
    <w:p w14:paraId="4CE6F5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（9）《电力安全工作规程》（发电厂和变电站电气部分）GB26860-2011</w:t>
      </w:r>
    </w:p>
    <w:p w14:paraId="60D40D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（10）《农村水电站技术管理规程》SL529-2011</w:t>
      </w:r>
    </w:p>
    <w:p w14:paraId="1220A4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（11）《农村水电站运行技术规程》DB33/T809-2010</w:t>
      </w:r>
    </w:p>
    <w:p w14:paraId="7975E7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（12）《小型水电站运行维护技术规范》GB/T50964-2014</w:t>
      </w:r>
    </w:p>
    <w:p w14:paraId="64C693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（13）《水轮机运行规程》DL/T710-2018</w:t>
      </w:r>
    </w:p>
    <w:p w14:paraId="4A939E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（14）《小型水电站机组综合运行性能质量评定标准》SL524-2011</w:t>
      </w:r>
    </w:p>
    <w:p w14:paraId="2E4567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（15）《发电企业设备检修导则》（DL/T838-2003）</w:t>
      </w:r>
    </w:p>
    <w:p w14:paraId="643BD3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（16）《水轮发电机安装技术规范》GB/T8564-2003</w:t>
      </w:r>
    </w:p>
    <w:p w14:paraId="588F9E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（17）《立式水轮发电机检修技术规程》（DL／T817-2014）</w:t>
      </w:r>
    </w:p>
    <w:p w14:paraId="340E1B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（18）《电力设备预防性试验规程》（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"http://www.so.com/link?m=aNkqOn7Cc6HkZoXb0SwzF0JuNttVWUasa5YWZW2D3phhFwbNYEbrGg%2FAkR1%2Bw7e8bKGkYphgVkkvjUmKhFQTkIw7NdOz%2BaYfxbaEcED4LDz7hmX090Hc2Qt8cEWOifw81tyQDgZFQnrrCr0%2B4JTWzcTdlnqlko8fNpTc2xHWfF%2FDeV2ZE0KdnJ52mh9JY4jJgaOj1m19tcKLkpcoFLKuBLZikUXESWWJ%2B"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DL/T 596-2021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00B02B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（19）《小型水电站安全检测与评价规范》（GB/T50876-2013）</w:t>
      </w:r>
    </w:p>
    <w:p w14:paraId="5C8ECA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（20）《水利部办公厅关于印发农村水电站安全生产标准化评审标准的通知》（办水电【2019】16号）</w:t>
      </w:r>
    </w:p>
    <w:p w14:paraId="7CB275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（21）《关于全面推行水利工程标准化管理的意见》（浙政办发〔2016〕4号）</w:t>
      </w:r>
    </w:p>
    <w:p w14:paraId="5F6502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（22）《浙江省水利工程维修养护定额标准（试行）》（浙江省水利厅、财政厅）</w:t>
      </w:r>
    </w:p>
    <w:p w14:paraId="5EFD2C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rPr>
        <w:t>投标人应遵从</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cs="宋体"/>
          <w:color w:val="auto"/>
          <w:sz w:val="21"/>
          <w:szCs w:val="21"/>
          <w:highlight w:val="none"/>
        </w:rPr>
        <w:t>各项规章制度，不得违反制度规程</w:t>
      </w:r>
      <w:r>
        <w:rPr>
          <w:rFonts w:hint="eastAsia" w:ascii="宋体" w:hAnsi="宋体" w:cs="宋体"/>
          <w:szCs w:val="21"/>
        </w:rPr>
        <w:t>。</w:t>
      </w:r>
      <w:r>
        <w:rPr>
          <w:rFonts w:hint="eastAsia" w:ascii="宋体" w:hAnsi="宋体" w:eastAsia="宋体" w:cs="宋体"/>
          <w:color w:val="auto"/>
          <w:sz w:val="21"/>
          <w:szCs w:val="21"/>
          <w:highlight w:val="none"/>
        </w:rPr>
        <w:t xml:space="preserve"> </w:t>
      </w:r>
    </w:p>
    <w:p w14:paraId="4EDC79BC">
      <w:pPr>
        <w:pStyle w:val="78"/>
        <w:spacing w:line="360" w:lineRule="auto"/>
        <w:ind w:left="0" w:leftChars="0" w:firstLine="0" w:firstLineChars="0"/>
        <w:outlineLvl w:val="2"/>
        <w:rPr>
          <w:rFonts w:hint="eastAsia" w:ascii="宋体" w:hAnsi="宋体" w:eastAsia="宋体" w:cs="宋体"/>
          <w:b/>
          <w:color w:val="auto"/>
          <w:sz w:val="21"/>
          <w:szCs w:val="21"/>
          <w:highlight w:val="none"/>
        </w:rPr>
      </w:pPr>
      <w:bookmarkStart w:id="110" w:name="_Toc113272947"/>
      <w:r>
        <w:rPr>
          <w:rFonts w:hint="eastAsia" w:ascii="宋体" w:hAnsi="宋体" w:eastAsia="宋体" w:cs="宋体"/>
          <w:b/>
          <w:color w:val="auto"/>
          <w:sz w:val="21"/>
          <w:szCs w:val="21"/>
          <w:highlight w:val="none"/>
        </w:rPr>
        <w:t>2. 安全管理要求</w:t>
      </w:r>
    </w:p>
    <w:p w14:paraId="65E10C4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年初编制电站年度安全生产工作计划，报</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批准后实施；服从</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的管理，及时整改</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检查考核提出的问题；</w:t>
      </w:r>
    </w:p>
    <w:p w14:paraId="0B1AD389">
      <w:pPr>
        <w:pStyle w:val="566"/>
        <w:ind w:firstLine="480"/>
        <w:outlineLvl w:val="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 严格遵守法律、法规、制度、规程，确保人身安全和机组、设备安全。不发生群伤和人身伤亡、火灾、水淹厂房等重大事故，不发生人为责任事故，交通责任事故；</w:t>
      </w:r>
    </w:p>
    <w:p w14:paraId="6B2074F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适用的法律、法规及规程（包括但不限于《小型水电站运行维护技术规范》规定的目录），传达至相应岗位人员，予以严格遵守和执行。</w:t>
      </w:r>
    </w:p>
    <w:p w14:paraId="3D854C59">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2.4坚持“安全第一、预防为主”方针，服务方应结合实际制定反事故组织措施、技术措施，制定典型事故抢修预案、突发事件应急预案，并经</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审核批准。预案一经批准，应贯彻落实到每位员工，使其能熟悉抢修过程及所担负的岗位职责</w:t>
      </w:r>
      <w:r>
        <w:rPr>
          <w:rFonts w:hint="eastAsia" w:ascii="宋体" w:hAnsi="宋体" w:eastAsia="宋体" w:cs="宋体"/>
          <w:color w:val="auto"/>
          <w:sz w:val="21"/>
          <w:szCs w:val="21"/>
          <w:highlight w:val="none"/>
          <w:lang w:eastAsia="zh-CN"/>
        </w:rPr>
        <w:t>。</w:t>
      </w:r>
    </w:p>
    <w:p w14:paraId="749C663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服务方定期组织开展反事故应急演练，作好记录、总结。参与</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组织的应急演练、消防演练等活动。</w:t>
      </w:r>
    </w:p>
    <w:p w14:paraId="55474B1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定期对危险源、风险点进行巡查监控，定期开展隐患排查。</w:t>
      </w:r>
    </w:p>
    <w:p w14:paraId="456DC87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2.7发生影响生产的故障、事故需上报</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。对隐瞒不报或延误、阻碍事故调查的要追究服务方责任。</w:t>
      </w:r>
    </w:p>
    <w:p w14:paraId="559EC4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2.8服务方定期组织员工开展安全活动、事故预想、安全风险分析会议。</w:t>
      </w:r>
    </w:p>
    <w:p w14:paraId="18C4BA3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2.9配合</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做好消防设备、设施的管理。定期检查维护应急设备、消防设备、设施，发现不足、不合格的及时上报</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添置。服务方工作人员应掌握消防知识和消防器材的正确使用方法，熟知报警电话和报警方法。</w:t>
      </w:r>
    </w:p>
    <w:p w14:paraId="3AB7161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2.10生产区不得存放易燃、易爆物品，确因工作需要使用易燃、易爆物品，应加强管理，并按规定要求使用，工作结束后立即撤出。</w:t>
      </w:r>
    </w:p>
    <w:p w14:paraId="7D3F3C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2.11禁止在电站厂房、机修间、大坝管理房、闸门启闭机房等重要场所从事与生产无关的工作。</w:t>
      </w:r>
    </w:p>
    <w:p w14:paraId="38B532A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2.12管理区域内不准饲养家禽、家畜、宠物。</w:t>
      </w:r>
    </w:p>
    <w:p w14:paraId="7350588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r>
        <w:rPr>
          <w:rFonts w:hint="eastAsia" w:ascii="宋体" w:hAnsi="宋体" w:eastAsia="宋体" w:cs="宋体"/>
          <w:color w:val="000000" w:themeColor="text1"/>
          <w:sz w:val="21"/>
          <w:szCs w:val="21"/>
          <w:highlight w:val="none"/>
          <w14:textFill>
            <w14:solidFill>
              <w14:schemeClr w14:val="tx1"/>
            </w14:solidFill>
          </w14:textFill>
        </w:rPr>
        <w:t>做好</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w:t>
      </w:r>
      <w:r>
        <w:rPr>
          <w:rFonts w:hint="eastAsia" w:ascii="宋体" w:hAnsi="宋体" w:eastAsia="宋体" w:cs="宋体"/>
          <w:color w:val="auto"/>
          <w:sz w:val="21"/>
          <w:szCs w:val="21"/>
          <w:highlight w:val="none"/>
        </w:rPr>
        <w:t>电站安全保卫工作，禁止无关人员进入。</w:t>
      </w:r>
    </w:p>
    <w:p w14:paraId="5EBDF97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2.14员工友好相处，不发生打架、斗殴等治安事件。</w:t>
      </w:r>
    </w:p>
    <w:p w14:paraId="406290FA">
      <w:pPr>
        <w:pStyle w:val="78"/>
        <w:numPr>
          <w:ilvl w:val="0"/>
          <w:numId w:val="12"/>
        </w:numPr>
        <w:spacing w:line="360" w:lineRule="auto"/>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管理人员要求</w:t>
      </w:r>
      <w:bookmarkEnd w:id="110"/>
    </w:p>
    <w:p w14:paraId="3A920353">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3.1.管理单位应以“因事设岗、以岗定责”为原则，明确岗位名称及其岗位职责。</w:t>
      </w:r>
    </w:p>
    <w:p w14:paraId="6E53B60D">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3.2.管理技术类应设置项目管理岗位。</w:t>
      </w:r>
    </w:p>
    <w:p w14:paraId="4594C8B7">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3.3.管理运行类应设置运行负责岗位、</w:t>
      </w:r>
      <w:r>
        <w:rPr>
          <w:rFonts w:hint="eastAsia" w:ascii="宋体" w:hAnsi="宋体" w:cs="宋体"/>
          <w:color w:val="auto"/>
          <w:sz w:val="21"/>
          <w:szCs w:val="21"/>
          <w:highlight w:val="none"/>
          <w:lang w:val="en-US" w:eastAsia="zh-CN"/>
        </w:rPr>
        <w:t>橡胶坝</w:t>
      </w:r>
      <w:r>
        <w:rPr>
          <w:rFonts w:hint="eastAsia" w:ascii="宋体" w:hAnsi="宋体" w:eastAsia="宋体" w:cs="宋体"/>
          <w:color w:val="auto"/>
          <w:sz w:val="21"/>
          <w:szCs w:val="21"/>
          <w:highlight w:val="none"/>
        </w:rPr>
        <w:t>管理运行岗位、电站管理运行岗位等。</w:t>
      </w:r>
    </w:p>
    <w:p w14:paraId="24A33FE2">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每个岗位的上岗人员应具有与岗位工作相适应的专业知识和业务技能，参加水行政主管部门组织的业务培训，考核合格，持证上岗。相关专业岗位人员应取得国家职业资格或专业技术职务；专业岗位实行持证上岗。持证上岗率应达到100%。服务方定期组织员工学习各项制度、规程，相关专业技术，并做好记录。</w:t>
      </w:r>
    </w:p>
    <w:p w14:paraId="3C864CD4">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3.5.岗位配备的人员数量应能满足保障安全运行管理（包括应急管理）和岗位工作的需要。在不影响运行管理工作的前提下，可根据实际情况实行一人多岗，但管理运行类岗位应定人定岗。</w:t>
      </w:r>
    </w:p>
    <w:p w14:paraId="537061E1">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cs="宋体"/>
          <w:color w:val="auto"/>
          <w:sz w:val="21"/>
          <w:szCs w:val="21"/>
          <w:highlight w:val="none"/>
          <w:lang w:val="en-US" w:eastAsia="zh-CN"/>
        </w:rPr>
        <w:t>中控室</w:t>
      </w:r>
      <w:r>
        <w:rPr>
          <w:rFonts w:hint="eastAsia" w:ascii="宋体" w:hAnsi="宋体" w:eastAsia="宋体" w:cs="宋体"/>
          <w:color w:val="auto"/>
          <w:sz w:val="21"/>
          <w:szCs w:val="21"/>
          <w:highlight w:val="none"/>
        </w:rPr>
        <w:t>值班应保持</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人在岗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橡胶</w:t>
      </w:r>
      <w:r>
        <w:rPr>
          <w:rFonts w:hint="eastAsia" w:ascii="宋体" w:hAnsi="宋体" w:eastAsia="宋体" w:cs="宋体"/>
          <w:color w:val="auto"/>
          <w:sz w:val="21"/>
          <w:szCs w:val="21"/>
          <w:highlight w:val="none"/>
        </w:rPr>
        <w:t>坝</w:t>
      </w:r>
      <w:r>
        <w:rPr>
          <w:rFonts w:hint="eastAsia" w:ascii="宋体" w:hAnsi="宋体" w:cs="宋体"/>
          <w:color w:val="auto"/>
          <w:sz w:val="21"/>
          <w:szCs w:val="21"/>
          <w:highlight w:val="none"/>
          <w:lang w:val="en-US" w:eastAsia="zh-CN"/>
        </w:rPr>
        <w:t>值班管理</w:t>
      </w:r>
      <w:r>
        <w:rPr>
          <w:rFonts w:hint="eastAsia" w:ascii="宋体" w:hAnsi="宋体" w:eastAsia="宋体" w:cs="宋体"/>
          <w:color w:val="auto"/>
          <w:sz w:val="21"/>
          <w:szCs w:val="21"/>
          <w:highlight w:val="none"/>
          <w:lang w:val="en-US" w:eastAsia="zh-CN"/>
        </w:rPr>
        <w:t>人员</w:t>
      </w:r>
      <w:r>
        <w:rPr>
          <w:rFonts w:hint="eastAsia" w:ascii="宋体" w:hAnsi="宋体" w:cs="宋体"/>
          <w:color w:val="auto"/>
          <w:sz w:val="21"/>
          <w:szCs w:val="21"/>
          <w:highlight w:val="none"/>
          <w:lang w:val="en-US" w:eastAsia="zh-CN"/>
        </w:rPr>
        <w:t>不得少于</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rPr>
        <w:t>。</w:t>
      </w:r>
    </w:p>
    <w:p w14:paraId="6ED3531D">
      <w:pPr>
        <w:tabs>
          <w:tab w:val="left" w:pos="10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3.7.主要设备操作必须有2个及以上的运行岗位人员在场，机组、设备运行过程中，至少有2人在现场不间断值守。</w:t>
      </w:r>
    </w:p>
    <w:p w14:paraId="4E79B7C6">
      <w:pPr>
        <w:tabs>
          <w:tab w:val="left" w:pos="1080"/>
        </w:tabs>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.本项目配备各类人员总数不</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rPr>
        <w:t>少于13人。</w:t>
      </w:r>
      <w:r>
        <w:rPr>
          <w:rFonts w:hint="eastAsia" w:ascii="宋体" w:hAnsi="宋体" w:cs="宋体"/>
          <w:color w:val="auto"/>
          <w:sz w:val="21"/>
          <w:szCs w:val="21"/>
          <w:highlight w:val="none"/>
          <w:lang w:val="en-US" w:eastAsia="zh-CN"/>
        </w:rPr>
        <w:t>项目负责人1人，技术负责人1人，橡胶</w:t>
      </w:r>
      <w:r>
        <w:rPr>
          <w:rFonts w:hint="eastAsia" w:ascii="宋体" w:hAnsi="宋体" w:eastAsia="宋体" w:cs="宋体"/>
          <w:color w:val="auto"/>
          <w:sz w:val="21"/>
          <w:szCs w:val="21"/>
          <w:highlight w:val="none"/>
        </w:rPr>
        <w:t>坝</w:t>
      </w:r>
      <w:r>
        <w:rPr>
          <w:rFonts w:hint="eastAsia" w:ascii="宋体" w:hAnsi="宋体" w:cs="宋体"/>
          <w:color w:val="auto"/>
          <w:sz w:val="21"/>
          <w:szCs w:val="21"/>
          <w:highlight w:val="none"/>
          <w:lang w:val="en-US" w:eastAsia="zh-CN"/>
        </w:rPr>
        <w:t>1人，</w:t>
      </w:r>
      <w:r>
        <w:rPr>
          <w:rFonts w:hint="eastAsia" w:ascii="宋体" w:hAnsi="宋体" w:cs="宋体"/>
          <w:color w:val="auto"/>
          <w:sz w:val="21"/>
          <w:szCs w:val="21"/>
          <w:highlight w:val="none"/>
          <w:lang w:val="en-US" w:eastAsia="zh-CN" w:bidi="ar"/>
        </w:rPr>
        <w:t>门卫2人，</w:t>
      </w:r>
      <w:r>
        <w:rPr>
          <w:rFonts w:hint="eastAsia" w:ascii="宋体" w:hAnsi="宋体" w:eastAsia="宋体" w:cs="宋体"/>
          <w:color w:val="auto"/>
          <w:sz w:val="21"/>
          <w:szCs w:val="21"/>
          <w:highlight w:val="none"/>
        </w:rPr>
        <w:t>电站运行</w:t>
      </w:r>
      <w:r>
        <w:rPr>
          <w:rFonts w:hint="eastAsia" w:ascii="宋体" w:hAnsi="宋体" w:cs="宋体"/>
          <w:color w:val="auto"/>
          <w:sz w:val="21"/>
          <w:szCs w:val="21"/>
          <w:highlight w:val="none"/>
          <w:lang w:val="en-US" w:eastAsia="zh-CN"/>
        </w:rPr>
        <w:t>8人。</w:t>
      </w:r>
    </w:p>
    <w:p w14:paraId="74CB615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.服从</w:t>
      </w:r>
      <w:r>
        <w:rPr>
          <w:rFonts w:hint="eastAsia" w:ascii="宋体" w:hAnsi="宋体" w:eastAsia="宋体" w:cs="宋体"/>
          <w:color w:val="000000" w:themeColor="text1"/>
          <w:sz w:val="21"/>
          <w:szCs w:val="21"/>
          <w:highlight w:val="none"/>
          <w:lang w:val="en-US" w:eastAsia="zh-CN"/>
          <w14:textFill>
            <w14:solidFill>
              <w14:schemeClr w14:val="tx1"/>
            </w14:solidFill>
          </w14:textFill>
        </w:rPr>
        <w:t>艇湖枢纽开发</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安排，满足重大活动、应急事件等的人员要求。</w:t>
      </w:r>
    </w:p>
    <w:p w14:paraId="062CE40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橡胶坝</w:t>
      </w:r>
      <w:r>
        <w:rPr>
          <w:rFonts w:hint="eastAsia" w:ascii="宋体" w:hAnsi="宋体" w:cs="宋体"/>
          <w:b/>
          <w:bCs/>
          <w:color w:val="auto"/>
          <w:sz w:val="21"/>
          <w:szCs w:val="21"/>
          <w:highlight w:val="none"/>
          <w:lang w:val="en-US" w:eastAsia="zh-CN"/>
        </w:rPr>
        <w:t>及充坍坝运行、维护管理要求</w:t>
      </w:r>
    </w:p>
    <w:p w14:paraId="6DE3748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橡胶坝</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充坍坝</w:t>
      </w:r>
      <w:r>
        <w:rPr>
          <w:rFonts w:hint="eastAsia" w:ascii="宋体" w:hAnsi="宋体" w:eastAsia="宋体" w:cs="宋体"/>
          <w:b w:val="0"/>
          <w:bCs w:val="0"/>
          <w:color w:val="auto"/>
          <w:sz w:val="21"/>
          <w:szCs w:val="21"/>
          <w:highlight w:val="none"/>
        </w:rPr>
        <w:t>管理应严格按照</w:t>
      </w:r>
      <w:r>
        <w:rPr>
          <w:rFonts w:hint="eastAsia" w:ascii="宋体" w:hAnsi="宋体" w:cs="宋体"/>
          <w:b w:val="0"/>
          <w:bCs w:val="0"/>
          <w:color w:val="auto"/>
          <w:sz w:val="21"/>
          <w:szCs w:val="21"/>
          <w:highlight w:val="none"/>
          <w:lang w:val="en-US" w:eastAsia="zh-CN"/>
        </w:rPr>
        <w:t>上级指令</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要求，确保</w:t>
      </w:r>
      <w:r>
        <w:rPr>
          <w:rFonts w:hint="eastAsia" w:ascii="宋体" w:hAnsi="宋体" w:eastAsia="宋体" w:cs="宋体"/>
          <w:b w:val="0"/>
          <w:bCs w:val="0"/>
          <w:color w:val="auto"/>
          <w:sz w:val="21"/>
          <w:szCs w:val="21"/>
          <w:highlight w:val="none"/>
          <w:lang w:val="en-US" w:eastAsia="zh-CN"/>
        </w:rPr>
        <w:t>橡胶坝</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充坍坝</w:t>
      </w:r>
      <w:r>
        <w:rPr>
          <w:rFonts w:hint="eastAsia" w:ascii="宋体" w:hAnsi="宋体" w:eastAsia="宋体" w:cs="宋体"/>
          <w:b w:val="0"/>
          <w:bCs w:val="0"/>
          <w:color w:val="auto"/>
          <w:sz w:val="21"/>
          <w:szCs w:val="21"/>
          <w:highlight w:val="none"/>
        </w:rPr>
        <w:t>安全运行。</w:t>
      </w:r>
    </w:p>
    <w:p w14:paraId="079E9939">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lang w:val="en-US" w:eastAsia="zh-CN"/>
        </w:rPr>
        <w:t>橡胶坝</w:t>
      </w:r>
      <w:r>
        <w:rPr>
          <w:rFonts w:hint="eastAsia" w:ascii="宋体" w:hAnsi="宋体" w:eastAsia="宋体" w:cs="宋体"/>
          <w:b/>
          <w:bCs/>
          <w:color w:val="auto"/>
          <w:sz w:val="21"/>
          <w:szCs w:val="21"/>
          <w:highlight w:val="none"/>
        </w:rPr>
        <w:t>运行管理基本要求</w:t>
      </w:r>
    </w:p>
    <w:p w14:paraId="397A0F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4.1.1</w:t>
      </w:r>
      <w:r>
        <w:rPr>
          <w:rFonts w:hint="eastAsia" w:ascii="宋体" w:hAnsi="宋体" w:eastAsia="宋体" w:cs="宋体"/>
          <w:b w:val="0"/>
          <w:bCs w:val="0"/>
          <w:color w:val="auto"/>
          <w:sz w:val="21"/>
          <w:szCs w:val="21"/>
          <w:highlight w:val="none"/>
          <w:lang w:val="en-US" w:eastAsia="zh-CN"/>
        </w:rPr>
        <w:t>橡胶坝</w:t>
      </w:r>
      <w:r>
        <w:rPr>
          <w:rFonts w:hint="eastAsia" w:ascii="宋体" w:hAnsi="宋体" w:eastAsia="宋体" w:cs="宋体"/>
          <w:b w:val="0"/>
          <w:bCs w:val="0"/>
          <w:color w:val="auto"/>
          <w:sz w:val="21"/>
          <w:szCs w:val="21"/>
          <w:highlight w:val="none"/>
        </w:rPr>
        <w:t>运行维护人员</w:t>
      </w:r>
      <w:r>
        <w:rPr>
          <w:rFonts w:hint="eastAsia" w:ascii="宋体" w:hAnsi="宋体" w:eastAsia="宋体" w:cs="宋体"/>
          <w:color w:val="auto"/>
          <w:sz w:val="21"/>
          <w:szCs w:val="21"/>
          <w:highlight w:val="none"/>
        </w:rPr>
        <w:t>必须熟悉和严格执行有关规程、制度，掌握必要的水工程、机电设备基础知识，熟练掌握闸门运行操作规程、水工观测操作规程、应急备用电源操作规程等，具有闸门运行操作证。</w:t>
      </w:r>
    </w:p>
    <w:p w14:paraId="00EFE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4.1.2按规定要求开展水雨情测报和洪水预测预报，观测频次、精度满足要求，记录完整规范，定期开展整编与分析，按规定向上级水文站拍报，并每日向</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发送水雨情信息。</w:t>
      </w:r>
    </w:p>
    <w:p w14:paraId="4D64333E">
      <w:pPr>
        <w:spacing w:line="360" w:lineRule="auto"/>
        <w:ind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4.1.3按规定要求</w:t>
      </w:r>
      <w:r>
        <w:rPr>
          <w:rFonts w:hint="eastAsia" w:ascii="宋体" w:hAnsi="宋体" w:eastAsia="宋体" w:cs="宋体"/>
          <w:color w:val="auto"/>
          <w:sz w:val="21"/>
          <w:szCs w:val="21"/>
          <w:highlight w:val="none"/>
          <w:lang w:eastAsia="zh-Hans"/>
        </w:rPr>
        <w:t>开展大坝工程监测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监测频次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精度满足要求，</w:t>
      </w:r>
      <w:r>
        <w:rPr>
          <w:rFonts w:hint="eastAsia" w:ascii="宋体" w:hAnsi="宋体" w:eastAsia="宋体" w:cs="宋体"/>
          <w:color w:val="auto"/>
          <w:sz w:val="21"/>
          <w:szCs w:val="21"/>
          <w:highlight w:val="none"/>
        </w:rPr>
        <w:t>记录完整规范，定期开展整编、分析、</w:t>
      </w:r>
      <w:r>
        <w:rPr>
          <w:rFonts w:hint="eastAsia" w:ascii="宋体" w:hAnsi="宋体" w:eastAsia="宋体" w:cs="宋体"/>
          <w:color w:val="auto"/>
          <w:sz w:val="21"/>
          <w:szCs w:val="21"/>
          <w:highlight w:val="none"/>
          <w:lang w:eastAsia="zh-Hans"/>
        </w:rPr>
        <w:t>归档</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eastAsia="zh-Hans"/>
        </w:rPr>
        <w:t>。</w:t>
      </w:r>
    </w:p>
    <w:p w14:paraId="6580B34F">
      <w:pPr>
        <w:spacing w:line="360" w:lineRule="auto"/>
        <w:ind w:firstLine="420" w:firstLineChars="200"/>
        <w:rPr>
          <w:rStyle w:val="567"/>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auto"/>
          <w:sz w:val="21"/>
          <w:szCs w:val="21"/>
          <w:highlight w:val="none"/>
        </w:rPr>
        <w:t>4.1.4按规定要求开展</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坝、闸门机电设备等工程日常巡查（含设备巡检），工程各部位检查到位、记录完整规范，并有负责人签字，发现异常及时报告</w:t>
      </w:r>
      <w:r>
        <w:rPr>
          <w:rFonts w:hint="eastAsia" w:ascii="宋体" w:hAnsi="宋体" w:cs="宋体"/>
          <w:color w:val="000000" w:themeColor="text1"/>
          <w:sz w:val="21"/>
          <w:szCs w:val="21"/>
          <w:highlight w:val="none"/>
          <w:lang w:val="en-US" w:eastAsia="zh-CN"/>
          <w14:textFill>
            <w14:solidFill>
              <w14:schemeClr w14:val="tx1"/>
            </w14:solidFill>
          </w14:textFill>
        </w:rPr>
        <w:t>业主</w:t>
      </w:r>
      <w:r>
        <w:rPr>
          <w:rFonts w:hint="eastAsia" w:ascii="宋体" w:hAnsi="宋体" w:eastAsia="宋体" w:cs="宋体"/>
          <w:color w:val="000000" w:themeColor="text1"/>
          <w:sz w:val="21"/>
          <w:szCs w:val="21"/>
          <w:highlight w:val="none"/>
          <w14:textFill>
            <w14:solidFill>
              <w14:schemeClr w14:val="tx1"/>
            </w14:solidFill>
          </w14:textFill>
        </w:rPr>
        <w:t>。</w:t>
      </w:r>
    </w:p>
    <w:p w14:paraId="6DCF15DD">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4.1.5严格按照调度指令执行，填写操作单，规范操作闸门以及应急备用电源，记录完整。</w:t>
      </w:r>
    </w:p>
    <w:p w14:paraId="2729F9A4">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4.2</w:t>
      </w:r>
      <w:r>
        <w:rPr>
          <w:rFonts w:hint="eastAsia" w:ascii="宋体" w:hAnsi="宋体" w:cs="宋体"/>
          <w:b/>
          <w:bCs/>
          <w:color w:val="000000" w:themeColor="text1"/>
          <w:sz w:val="21"/>
          <w:szCs w:val="21"/>
          <w:highlight w:val="none"/>
          <w:lang w:eastAsia="zh-CN"/>
          <w14:textFill>
            <w14:solidFill>
              <w14:schemeClr w14:val="tx1"/>
            </w14:solidFill>
          </w14:textFill>
        </w:rPr>
        <w:t>橡胶</w:t>
      </w:r>
      <w:r>
        <w:rPr>
          <w:rFonts w:hint="eastAsia" w:ascii="宋体" w:hAnsi="宋体" w:eastAsia="宋体" w:cs="宋体"/>
          <w:b/>
          <w:bCs/>
          <w:color w:val="000000" w:themeColor="text1"/>
          <w:sz w:val="21"/>
          <w:szCs w:val="21"/>
          <w:highlight w:val="none"/>
          <w14:textFill>
            <w14:solidFill>
              <w14:schemeClr w14:val="tx1"/>
            </w14:solidFill>
          </w14:textFill>
        </w:rPr>
        <w:t>坝日常维修养护基本要求</w:t>
      </w:r>
    </w:p>
    <w:p w14:paraId="129BF61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及时消除水工设施及设备表面缺陷和局部工程问题，设备消缺率达到100%。保持</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w:t>
      </w:r>
      <w:r>
        <w:rPr>
          <w:rFonts w:hint="eastAsia" w:ascii="宋体" w:hAnsi="宋体" w:eastAsia="宋体" w:cs="宋体"/>
          <w:color w:val="auto"/>
          <w:sz w:val="21"/>
          <w:szCs w:val="21"/>
          <w:highlight w:val="none"/>
        </w:rPr>
        <w:t>全部设备、设施、坝面的整洁、安全、完好和正常运用，及时汇报和消除安全隐患。</w:t>
      </w:r>
    </w:p>
    <w:p w14:paraId="4C79A0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4.2.1水工建筑物</w:t>
      </w:r>
    </w:p>
    <w:p w14:paraId="5FCCC33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定期开展维修养护</w:t>
      </w:r>
      <w:r>
        <w:rPr>
          <w:rFonts w:hint="eastAsia" w:ascii="宋体" w:hAnsi="宋体" w:eastAsia="宋体" w:cs="宋体"/>
          <w:color w:val="auto"/>
          <w:sz w:val="21"/>
          <w:szCs w:val="21"/>
          <w:highlight w:val="none"/>
          <w:lang w:eastAsia="zh-Hans"/>
        </w:rPr>
        <w:t>工作</w:t>
      </w:r>
      <w:r>
        <w:rPr>
          <w:rFonts w:hint="eastAsia" w:ascii="宋体" w:hAnsi="宋体" w:eastAsia="宋体" w:cs="宋体"/>
          <w:color w:val="auto"/>
          <w:sz w:val="21"/>
          <w:szCs w:val="21"/>
          <w:highlight w:val="none"/>
        </w:rPr>
        <w:t>，保持水工建筑物及配套设施结构完整、运行正常、干净整洁，无影响安全的缺陷或隐患。</w:t>
      </w:r>
    </w:p>
    <w:p w14:paraId="411002A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4.2.2金属结构及机电设备</w:t>
      </w:r>
    </w:p>
    <w:p w14:paraId="33FC9DF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规范有序、定期开展检修保养工作；保持闸门、启闭机等金属结构、电气设备完整完好，使用正常，安全可靠。</w:t>
      </w:r>
    </w:p>
    <w:p w14:paraId="5F3C0753">
      <w:pPr>
        <w:pStyle w:val="78"/>
        <w:spacing w:line="360" w:lineRule="auto"/>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cs="宋体"/>
          <w:b/>
          <w:bCs/>
          <w:color w:val="000000" w:themeColor="text1"/>
          <w:sz w:val="21"/>
          <w:szCs w:val="21"/>
          <w:highlight w:val="none"/>
          <w:lang w:eastAsia="zh-CN"/>
          <w14:textFill>
            <w14:solidFill>
              <w14:schemeClr w14:val="tx1"/>
            </w14:solidFill>
          </w14:textFill>
        </w:rPr>
        <w:t>橡胶</w:t>
      </w:r>
      <w:r>
        <w:rPr>
          <w:rFonts w:hint="eastAsia" w:ascii="宋体" w:hAnsi="宋体" w:eastAsia="宋体" w:cs="宋体"/>
          <w:b/>
          <w:bCs/>
          <w:color w:val="000000" w:themeColor="text1"/>
          <w:sz w:val="21"/>
          <w:szCs w:val="21"/>
          <w:highlight w:val="none"/>
          <w14:textFill>
            <w14:solidFill>
              <w14:schemeClr w14:val="tx1"/>
            </w14:solidFill>
          </w14:textFill>
        </w:rPr>
        <w:t>坝</w:t>
      </w:r>
      <w:r>
        <w:rPr>
          <w:rFonts w:hint="eastAsia" w:ascii="宋体" w:hAnsi="宋体" w:eastAsia="宋体" w:cs="宋体"/>
          <w:b/>
          <w:color w:val="auto"/>
          <w:sz w:val="21"/>
          <w:szCs w:val="21"/>
          <w:highlight w:val="none"/>
        </w:rPr>
        <w:t>运行、维护、管理要求</w:t>
      </w:r>
    </w:p>
    <w:p w14:paraId="3ADA2FF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橡胶</w:t>
      </w:r>
      <w:r>
        <w:rPr>
          <w:rFonts w:hint="eastAsia" w:ascii="宋体" w:hAnsi="宋体" w:eastAsia="宋体" w:cs="宋体"/>
          <w:color w:val="auto"/>
          <w:sz w:val="21"/>
          <w:szCs w:val="21"/>
          <w:highlight w:val="none"/>
        </w:rPr>
        <w:t>坝运行、维护、管理应满足安全生产要求，实现全年安全生产无事故，确保电站安全生产标准化一级达标。</w:t>
      </w:r>
    </w:p>
    <w:p w14:paraId="259B2FAE">
      <w:pPr>
        <w:pStyle w:val="566"/>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5.1基本要求</w:t>
      </w:r>
    </w:p>
    <w:p w14:paraId="7B3D8C63">
      <w:pPr>
        <w:pStyle w:val="566"/>
        <w:ind w:firstLine="420"/>
        <w:rPr>
          <w:rFonts w:hint="eastAsia" w:cs="宋体"/>
          <w:color w:val="auto"/>
          <w:sz w:val="21"/>
          <w:szCs w:val="21"/>
        </w:rPr>
      </w:pPr>
      <w:r>
        <w:rPr>
          <w:rFonts w:hint="eastAsia" w:cs="宋体"/>
          <w:color w:val="auto"/>
          <w:sz w:val="21"/>
          <w:szCs w:val="21"/>
        </w:rPr>
        <w:t>严格执行“两票三制”，“两票”合格率和执行率达到100%。需动用工作票的工作，须经</w:t>
      </w:r>
      <w:r>
        <w:rPr>
          <w:rFonts w:hint="eastAsia" w:cs="宋体"/>
          <w:color w:val="auto"/>
          <w:sz w:val="21"/>
          <w:szCs w:val="21"/>
          <w:lang w:val="en-US" w:eastAsia="zh-CN"/>
        </w:rPr>
        <w:t>业主</w:t>
      </w:r>
      <w:r>
        <w:rPr>
          <w:rFonts w:hint="eastAsia" w:cs="宋体"/>
          <w:color w:val="auto"/>
          <w:sz w:val="21"/>
          <w:szCs w:val="21"/>
        </w:rPr>
        <w:t>同意并验收。</w:t>
      </w:r>
    </w:p>
    <w:p w14:paraId="0A793D5D">
      <w:pPr>
        <w:pStyle w:val="566"/>
        <w:ind w:firstLine="420"/>
        <w:rPr>
          <w:rFonts w:hint="eastAsia" w:cs="宋体"/>
          <w:color w:val="auto"/>
          <w:sz w:val="21"/>
          <w:szCs w:val="21"/>
        </w:rPr>
      </w:pPr>
      <w:r>
        <w:rPr>
          <w:rFonts w:hint="eastAsia" w:cs="宋体"/>
          <w:color w:val="auto"/>
          <w:sz w:val="21"/>
          <w:szCs w:val="21"/>
        </w:rPr>
        <w:t>严格执行</w:t>
      </w:r>
      <w:r>
        <w:rPr>
          <w:rFonts w:hint="eastAsia" w:cs="宋体"/>
          <w:color w:val="auto"/>
          <w:sz w:val="21"/>
          <w:szCs w:val="21"/>
          <w:lang w:val="en-US" w:eastAsia="zh-CN"/>
        </w:rPr>
        <w:t>业主</w:t>
      </w:r>
      <w:r>
        <w:rPr>
          <w:rFonts w:hint="eastAsia" w:cs="宋体"/>
          <w:color w:val="auto"/>
          <w:sz w:val="21"/>
          <w:szCs w:val="21"/>
        </w:rPr>
        <w:t>调控命令，调度令执行率应达100%。接电力公司调度电话时，应即时汇报</w:t>
      </w:r>
      <w:r>
        <w:rPr>
          <w:rFonts w:hint="eastAsia" w:cs="宋体"/>
          <w:color w:val="auto"/>
          <w:sz w:val="21"/>
          <w:szCs w:val="21"/>
          <w:lang w:val="en-US" w:eastAsia="zh-CN"/>
        </w:rPr>
        <w:t>业主</w:t>
      </w:r>
      <w:r>
        <w:rPr>
          <w:rFonts w:hint="eastAsia" w:cs="宋体"/>
          <w:color w:val="auto"/>
          <w:sz w:val="21"/>
          <w:szCs w:val="21"/>
        </w:rPr>
        <w:t>。</w:t>
      </w:r>
    </w:p>
    <w:p w14:paraId="2404EFF0">
      <w:pPr>
        <w:pStyle w:val="566"/>
        <w:ind w:firstLine="420"/>
        <w:rPr>
          <w:rFonts w:hint="eastAsia" w:cs="宋体"/>
          <w:color w:val="auto"/>
          <w:sz w:val="21"/>
          <w:szCs w:val="21"/>
        </w:rPr>
      </w:pPr>
      <w:r>
        <w:rPr>
          <w:rFonts w:hint="eastAsia" w:cs="宋体"/>
          <w:color w:val="auto"/>
          <w:sz w:val="21"/>
          <w:szCs w:val="21"/>
        </w:rPr>
        <w:t>做好电站发电量、设备运行状况以及维护维修的统计、分析。逐月、逐年上报</w:t>
      </w:r>
      <w:r>
        <w:rPr>
          <w:rFonts w:hint="eastAsia" w:cs="宋体"/>
          <w:color w:val="auto"/>
          <w:sz w:val="21"/>
          <w:szCs w:val="21"/>
          <w:lang w:val="en-US" w:eastAsia="zh-CN"/>
        </w:rPr>
        <w:t>业主</w:t>
      </w:r>
      <w:r>
        <w:rPr>
          <w:rFonts w:hint="eastAsia" w:cs="宋体"/>
          <w:color w:val="auto"/>
          <w:sz w:val="21"/>
          <w:szCs w:val="21"/>
        </w:rPr>
        <w:t>。</w:t>
      </w:r>
    </w:p>
    <w:p w14:paraId="6471960C">
      <w:pPr>
        <w:pStyle w:val="566"/>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5.2运行管理</w:t>
      </w:r>
    </w:p>
    <w:p w14:paraId="6692516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（1）值班管理</w:t>
      </w:r>
    </w:p>
    <w:p w14:paraId="5EC8B74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按规定配备足额、合格的值班人员，严格履行值班人员岗位职责。值班人员应掌握全厂设备运行情况，依规范熟练完成当值运行、维护、操作和日常管理工作。</w:t>
      </w:r>
    </w:p>
    <w:p w14:paraId="109220A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每班值人员不得少于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人，配备值班长1名，安全员1名（可兼）。发电期间当值人员全部到场，值班员不得替代值班长工作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橡胶</w:t>
      </w:r>
      <w:r>
        <w:rPr>
          <w:rFonts w:hint="eastAsia" w:ascii="宋体" w:hAnsi="宋体" w:eastAsia="宋体" w:cs="宋体"/>
          <w:color w:val="auto"/>
          <w:sz w:val="21"/>
          <w:szCs w:val="21"/>
          <w:highlight w:val="none"/>
        </w:rPr>
        <w:t>坝</w:t>
      </w:r>
      <w:r>
        <w:rPr>
          <w:rFonts w:hint="eastAsia" w:ascii="宋体" w:hAnsi="宋体" w:cs="宋体"/>
          <w:color w:val="auto"/>
          <w:sz w:val="21"/>
          <w:szCs w:val="21"/>
          <w:highlight w:val="none"/>
          <w:lang w:val="en-US" w:eastAsia="zh-CN"/>
        </w:rPr>
        <w:t>值班管理</w:t>
      </w:r>
      <w:r>
        <w:rPr>
          <w:rFonts w:hint="eastAsia" w:ascii="宋体" w:hAnsi="宋体" w:eastAsia="宋体" w:cs="宋体"/>
          <w:color w:val="auto"/>
          <w:sz w:val="21"/>
          <w:szCs w:val="21"/>
          <w:highlight w:val="none"/>
          <w:lang w:val="en-US" w:eastAsia="zh-CN"/>
        </w:rPr>
        <w:t>人员</w:t>
      </w:r>
      <w:r>
        <w:rPr>
          <w:rFonts w:hint="eastAsia" w:ascii="宋体" w:hAnsi="宋体" w:cs="宋体"/>
          <w:color w:val="auto"/>
          <w:sz w:val="21"/>
          <w:szCs w:val="21"/>
          <w:highlight w:val="none"/>
          <w:lang w:val="en-US" w:eastAsia="zh-CN"/>
        </w:rPr>
        <w:t>不得少于</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rPr>
        <w:t>。</w:t>
      </w:r>
    </w:p>
    <w:p w14:paraId="7995BFB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值班人员在执行工作票、操作票时要操作规范、认真核对，确保安全。工作结束后工作票、操作票及时归档。</w:t>
      </w:r>
    </w:p>
    <w:p w14:paraId="47D950C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严格执行交接班制度，交接班双方全体到场完成交接。</w:t>
      </w:r>
    </w:p>
    <w:p w14:paraId="3DCF64D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值班人员应按设备巡回检查制度要求，对运行设备定时、定点按巡视路线进行巡视检查。</w:t>
      </w:r>
    </w:p>
    <w:p w14:paraId="7094349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值班人员发现设备缺陷，及时上报，并按照设备缺陷管理制度规定进行处理。</w:t>
      </w:r>
    </w:p>
    <w:p w14:paraId="5926B99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值班人员按照要求认真填写各种记录。</w:t>
      </w:r>
    </w:p>
    <w:p w14:paraId="59F21E0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值班人员应服装整洁、规范。严禁穿拖鞋、高跟鞋、裙子、短裤、背心值班，女同志长发者应盘发牢固，不得披散。严禁上班饮酒和酒后值班。</w:t>
      </w:r>
    </w:p>
    <w:p w14:paraId="155A1FA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各种资料、图纸、书籍及记录簿分类存放，摆放整齐。保持环境整洁</w:t>
      </w:r>
    </w:p>
    <w:p w14:paraId="6D90BF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（2）应具备的管理制度、规程（不限于）</w:t>
      </w:r>
    </w:p>
    <w:p w14:paraId="5255F5B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票制度；操作票制度;交接班制度；设备巡回检查制度；设备定期试验和轮换制度；设备缺陷管理制度；设备检修管理制度；设备验收管理制度；备品备件管理制度；安全管理制度；防汛及突发事件管理制度；应急设备管理制度；消防管理制度；设备、设施评级管理制度；其它适应本站的管理制度。全体员工应予遵守和执行。</w:t>
      </w:r>
    </w:p>
    <w:p w14:paraId="2B802CF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（3）应悬挂的图表</w:t>
      </w:r>
    </w:p>
    <w:p w14:paraId="06644D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电气主接线模拟板；安全运行揭示板；调速系统及油、水、气系统图；水轮机运行特性曲线图；设备巡视路线图，消防器材布置（应急疏散通道）示意图等。悬挂整齐，服务方维护其完好，不受损坏。</w:t>
      </w:r>
    </w:p>
    <w:p w14:paraId="0D4ADAE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(4)应具备的提示图表</w:t>
      </w:r>
    </w:p>
    <w:p w14:paraId="35F1F81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设备主要运行参数表；有权签发工作票人员、工作负责人和工作许可人名单；继电保护及自动装置定值表；紧急停机操作顺序表；事故处理紧急使用电话表等应放置在电站中控室显眼位置。</w:t>
      </w:r>
    </w:p>
    <w:p w14:paraId="768C923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(5)应具备并填写的记录（不限于）</w:t>
      </w:r>
    </w:p>
    <w:p w14:paraId="1269C3F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值班记录；运行日志；交接班记录；运行分析记录；安全活动工作记录；设备检修试验记录；反事故演习记录；设备事故处理记录；设备缺陷及处理记录；电气绝缘工具和安全用具检查试验记录；避雷器动作记录；指令、指示记录；开关、继电保护及自动装置动作记录，继电保护及自动装置调试记录；工具及备品备件清单；蓄电池测试记录；水电站设备、设施评级表；水电站设备、设施评级汇总表；外来人员记录；学习培训考核记录等。</w:t>
      </w:r>
    </w:p>
    <w:p w14:paraId="046F078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(6)应具备的标识标牌</w:t>
      </w:r>
    </w:p>
    <w:p w14:paraId="0889E1D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电站设备、设施、阀门、仪表等标牌、标志、编号牌，以及路线标贴、警示标贴、警示牌、上墙牌匾等保持齐全完好。缺失、损坏及时上报</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w:t>
      </w:r>
    </w:p>
    <w:p w14:paraId="7E29C019">
      <w:pPr>
        <w:pStyle w:val="566"/>
        <w:ind w:left="0" w:leftChars="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5.3维护管理</w:t>
      </w:r>
    </w:p>
    <w:p w14:paraId="0BFA084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维护工作应做到及时消除电站设备、设施的缺陷和隐患，主设备消缺率达到100%，杜绝发生应维护不到位而造成损坏。保持电站全部设备设施的整洁、安全、完好和正常运用。</w:t>
      </w:r>
    </w:p>
    <w:p w14:paraId="4D9F1D1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设备、设施由</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按照设备评级标准每年年底进行一次评级，电站设备、设施完好率应达到100%。评级为二类、三类的，限期整改。评级为三类的，服务方应制定三类设备整改计划，经</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批复，按计划完成整改。</w:t>
      </w:r>
    </w:p>
    <w:p w14:paraId="2C86C4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（1）水力机械</w:t>
      </w:r>
    </w:p>
    <w:p w14:paraId="5B6C221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水轮机及辅助设备按规程规定进行检查、维护、加油、试验，发现缺陷及时消除。</w:t>
      </w:r>
    </w:p>
    <w:p w14:paraId="066083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调速器按规程规定进行维护保养、注油、试验。</w:t>
      </w:r>
    </w:p>
    <w:p w14:paraId="5619180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主阀及控制装置按照规程规定周期进行维护保养、试验。</w:t>
      </w:r>
    </w:p>
    <w:p w14:paraId="02E72C8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水系统按规定涂色，管路无渗漏并标明流动方向。各阀门功能完好无渗漏。技术供水泵、排水泵应按照规程规定维护、试验，空压机、滤油机、油泵定期进行维护保养，发现缺陷及时处理。集水井及时清理杂物。</w:t>
      </w:r>
    </w:p>
    <w:p w14:paraId="53CE409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电站的自动化元件、指示仪表完备齐全，满足电站运行要求。</w:t>
      </w:r>
    </w:p>
    <w:p w14:paraId="6E79B2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（2）电气设备</w:t>
      </w:r>
    </w:p>
    <w:p w14:paraId="1AA356D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发电机、主变压器设备及直流系统、励磁系统应按照规程规定周期进行检查维护、试验。</w:t>
      </w:r>
    </w:p>
    <w:p w14:paraId="585992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一次、二次设备应按照规程规定周期进行维护、试验。</w:t>
      </w:r>
    </w:p>
    <w:p w14:paraId="779AF0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（3）特种设备维护</w:t>
      </w:r>
    </w:p>
    <w:p w14:paraId="7C4E86A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起重机按规定周期进行维护保养，吊索做好防锈措施。</w:t>
      </w:r>
    </w:p>
    <w:p w14:paraId="371356D9">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压力容器按规定进行维护，安全阀按规定定期进行校验</w:t>
      </w:r>
      <w:r>
        <w:rPr>
          <w:rFonts w:hint="eastAsia" w:ascii="宋体" w:hAnsi="宋体" w:cs="宋体"/>
          <w:color w:val="000000" w:themeColor="text1"/>
          <w:sz w:val="21"/>
          <w:szCs w:val="21"/>
          <w:highlight w:val="none"/>
          <w:lang w:eastAsia="zh-CN"/>
          <w14:textFill>
            <w14:solidFill>
              <w14:schemeClr w14:val="tx1"/>
            </w14:solidFill>
          </w14:textFill>
        </w:rPr>
        <w:t>（费用由业主承担）</w:t>
      </w:r>
      <w:r>
        <w:rPr>
          <w:rFonts w:hint="eastAsia" w:ascii="宋体" w:hAnsi="宋体" w:eastAsia="宋体" w:cs="宋体"/>
          <w:color w:val="000000" w:themeColor="text1"/>
          <w:sz w:val="21"/>
          <w:szCs w:val="21"/>
          <w:highlight w:val="none"/>
          <w14:textFill>
            <w14:solidFill>
              <w14:schemeClr w14:val="tx1"/>
            </w14:solidFill>
          </w14:textFill>
        </w:rPr>
        <w:t>。</w:t>
      </w:r>
    </w:p>
    <w:p w14:paraId="51EEF64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（4）通讯</w:t>
      </w:r>
    </w:p>
    <w:p w14:paraId="446A015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电站通讯日常至少保证两路畅通，通讯设备应可靠，满足运行需要。</w:t>
      </w:r>
    </w:p>
    <w:p w14:paraId="083AC8E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（5）工器具及备品备件</w:t>
      </w:r>
    </w:p>
    <w:p w14:paraId="7AD8802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服务方应根据工作需要，配置齐全工器具，满足运行、维护、检修要求。 </w:t>
      </w:r>
    </w:p>
    <w:p w14:paraId="0CE5D3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安全工器具按规定配齐，专人管理，妥善保管，专柜存放。</w:t>
      </w:r>
    </w:p>
    <w:p w14:paraId="668D4717">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安全工器具按规定定期试验合格</w:t>
      </w:r>
      <w:r>
        <w:rPr>
          <w:rFonts w:hint="eastAsia" w:ascii="宋体" w:hAnsi="宋体" w:cs="宋体"/>
          <w:color w:val="000000" w:themeColor="text1"/>
          <w:sz w:val="21"/>
          <w:szCs w:val="21"/>
          <w:highlight w:val="none"/>
          <w:lang w:eastAsia="zh-CN"/>
          <w14:textFill>
            <w14:solidFill>
              <w14:schemeClr w14:val="tx1"/>
            </w14:solidFill>
          </w14:textFill>
        </w:rPr>
        <w:t>（费用由业主承担）</w:t>
      </w:r>
      <w:r>
        <w:rPr>
          <w:rFonts w:hint="eastAsia" w:ascii="宋体" w:hAnsi="宋体" w:eastAsia="宋体" w:cs="宋体"/>
          <w:color w:val="000000" w:themeColor="text1"/>
          <w:sz w:val="21"/>
          <w:szCs w:val="21"/>
          <w:highlight w:val="none"/>
          <w14:textFill>
            <w14:solidFill>
              <w14:schemeClr w14:val="tx1"/>
            </w14:solidFill>
          </w14:textFill>
        </w:rPr>
        <w:t>。使用前应认真检查，发现损坏禁止使用。绝缘杆、验电器、兆欧表使用前应核对电压等级。</w:t>
      </w:r>
    </w:p>
    <w:p w14:paraId="4BDFAB7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常用备品备件等需有备品备件清单及进出记录，分类存放，摆放位置合理、整齐。</w:t>
      </w:r>
    </w:p>
    <w:p w14:paraId="31A16274">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库房通风、湿度满足存放要求，易燃易爆物品存放点加强管控，做好消防措施。</w:t>
      </w:r>
    </w:p>
    <w:p w14:paraId="23ED49D2">
      <w:pPr>
        <w:snapToGrid w:val="0"/>
        <w:spacing w:line="360" w:lineRule="auto"/>
        <w:ind w:firstLine="422"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三台机组保养大修或电厂检修无法发电时，按上年度同月份计算发电量。</w:t>
      </w:r>
    </w:p>
    <w:p w14:paraId="3F04DDF8">
      <w:pPr>
        <w:pStyle w:val="566"/>
        <w:ind w:left="0" w:leftChars="0" w:firstLine="0" w:firstLineChars="0"/>
        <w:outlineLvl w:val="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5.4检修管理</w:t>
      </w:r>
      <w:r>
        <w:rPr>
          <w:rFonts w:hint="eastAsia" w:ascii="宋体" w:hAnsi="宋体" w:cs="宋体"/>
          <w:color w:val="000000" w:themeColor="text1"/>
          <w:sz w:val="21"/>
          <w:szCs w:val="21"/>
          <w:highlight w:val="none"/>
          <w:lang w:eastAsia="zh-CN"/>
          <w14:textFill>
            <w14:solidFill>
              <w14:schemeClr w14:val="tx1"/>
            </w14:solidFill>
          </w14:textFill>
        </w:rPr>
        <w:t>（费用由业主承担）</w:t>
      </w:r>
    </w:p>
    <w:p w14:paraId="3509BA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（1）一般检修</w:t>
      </w:r>
    </w:p>
    <w:p w14:paraId="43E3F2E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设备检修，必须贯彻“预防为主”的方针，坚持“应修必修，修必修好”的原则。</w:t>
      </w:r>
    </w:p>
    <w:p w14:paraId="3E1A6E2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设备检修尽可能采用先进工艺和检修工器具，缩短检修工期，按照规程要求，确保检修质量。</w:t>
      </w:r>
    </w:p>
    <w:p w14:paraId="17E106C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（2）事故抢修</w:t>
      </w:r>
    </w:p>
    <w:p w14:paraId="24EC228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应建立健全事故、突发事件的抢修机制、应急机制，以保证发电设备事故、突发事件出现时能快速组织抢修与处理。抢修机制包括：指挥系统及人员组成、通信工具和联系方式、作业机具、抢修材料的准备等。</w:t>
      </w:r>
    </w:p>
    <w:p w14:paraId="7D511FB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用于发电设备及突发事件抢修的工器具、照明设施应设专人保管、维护，并定期进行检查、试验，使之经常处于完好状态。</w:t>
      </w:r>
    </w:p>
    <w:p w14:paraId="36B35E9B">
      <w:pPr>
        <w:pStyle w:val="566"/>
        <w:ind w:left="0" w:leftChars="0" w:firstLine="0" w:firstLineChars="0"/>
        <w:outlineLvl w:val="2"/>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.后勤和档案管理要求 </w:t>
      </w:r>
    </w:p>
    <w:p w14:paraId="5AB16062">
      <w:pPr>
        <w:pStyle w:val="566"/>
        <w:ind w:firstLine="422"/>
        <w:outlineLvl w:val="2"/>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.1做好内部管理，维持正常办公工作秩序。</w:t>
      </w:r>
    </w:p>
    <w:p w14:paraId="198EFEC2">
      <w:pPr>
        <w:pStyle w:val="566"/>
        <w:ind w:firstLine="422"/>
        <w:outlineLvl w:val="2"/>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.2做好后勤管理工作，保障员工正常生活条件。</w:t>
      </w:r>
    </w:p>
    <w:p w14:paraId="0168ABD6">
      <w:pPr>
        <w:pStyle w:val="566"/>
        <w:ind w:firstLine="422"/>
        <w:outlineLvl w:val="2"/>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.3负责</w:t>
      </w:r>
      <w:r>
        <w:rPr>
          <w:rFonts w:hint="eastAsia" w:ascii="宋体" w:hAnsi="宋体" w:eastAsia="宋体" w:cs="宋体"/>
          <w:b w:val="0"/>
          <w:bCs/>
          <w:color w:val="auto"/>
          <w:sz w:val="21"/>
          <w:szCs w:val="21"/>
          <w:highlight w:val="none"/>
          <w:lang w:eastAsia="zh-CN"/>
        </w:rPr>
        <w:t>橡胶</w:t>
      </w:r>
      <w:r>
        <w:rPr>
          <w:rFonts w:hint="eastAsia" w:ascii="宋体" w:hAnsi="宋体" w:eastAsia="宋体" w:cs="宋体"/>
          <w:b w:val="0"/>
          <w:bCs/>
          <w:color w:val="auto"/>
          <w:sz w:val="21"/>
          <w:szCs w:val="21"/>
          <w:highlight w:val="none"/>
        </w:rPr>
        <w:t>坝、电站管理区域的日常用电、用水管理工作。</w:t>
      </w:r>
    </w:p>
    <w:p w14:paraId="2F81EA3E">
      <w:pPr>
        <w:pStyle w:val="566"/>
        <w:ind w:firstLine="422"/>
        <w:outlineLvl w:val="2"/>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.4做好</w:t>
      </w:r>
      <w:r>
        <w:rPr>
          <w:rFonts w:hint="eastAsia" w:ascii="宋体" w:hAnsi="宋体" w:eastAsia="宋体" w:cs="宋体"/>
          <w:b w:val="0"/>
          <w:bCs/>
          <w:color w:val="auto"/>
          <w:sz w:val="21"/>
          <w:szCs w:val="21"/>
          <w:highlight w:val="none"/>
          <w:lang w:eastAsia="zh-CN"/>
        </w:rPr>
        <w:t>橡胶</w:t>
      </w:r>
      <w:r>
        <w:rPr>
          <w:rFonts w:hint="eastAsia" w:ascii="宋体" w:hAnsi="宋体" w:eastAsia="宋体" w:cs="宋体"/>
          <w:b w:val="0"/>
          <w:bCs/>
          <w:color w:val="auto"/>
          <w:sz w:val="21"/>
          <w:szCs w:val="21"/>
          <w:highlight w:val="none"/>
        </w:rPr>
        <w:t>坝、电站管理区域日常保洁，保持管理区域卫生清洁，门窗玻璃完好整洁。设备干净整洁。发现厂房缺陷、绿化损坏等影响形象面貌的事项及时上报</w:t>
      </w:r>
      <w:r>
        <w:rPr>
          <w:rFonts w:hint="eastAsia" w:ascii="宋体" w:hAnsi="宋体" w:eastAsia="宋体" w:cs="宋体"/>
          <w:b w:val="0"/>
          <w:bCs/>
          <w:color w:val="auto"/>
          <w:sz w:val="21"/>
          <w:szCs w:val="21"/>
          <w:highlight w:val="none"/>
          <w:lang w:val="en-US" w:eastAsia="zh-CN"/>
        </w:rPr>
        <w:t>业主</w:t>
      </w:r>
      <w:r>
        <w:rPr>
          <w:rFonts w:hint="eastAsia" w:ascii="宋体" w:hAnsi="宋体" w:eastAsia="宋体" w:cs="宋体"/>
          <w:b w:val="0"/>
          <w:bCs/>
          <w:color w:val="auto"/>
          <w:sz w:val="21"/>
          <w:szCs w:val="21"/>
          <w:highlight w:val="none"/>
        </w:rPr>
        <w:t>。</w:t>
      </w:r>
    </w:p>
    <w:p w14:paraId="790CBF00">
      <w:pPr>
        <w:pStyle w:val="566"/>
        <w:ind w:firstLine="422"/>
        <w:outlineLvl w:val="2"/>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.5负责协助</w:t>
      </w:r>
      <w:r>
        <w:rPr>
          <w:rFonts w:hint="eastAsia" w:ascii="宋体" w:hAnsi="宋体" w:eastAsia="宋体" w:cs="宋体"/>
          <w:b w:val="0"/>
          <w:bCs/>
          <w:color w:val="auto"/>
          <w:sz w:val="21"/>
          <w:szCs w:val="21"/>
          <w:highlight w:val="none"/>
          <w:lang w:val="en-US" w:eastAsia="zh-CN"/>
        </w:rPr>
        <w:t>业主</w:t>
      </w:r>
      <w:r>
        <w:rPr>
          <w:rFonts w:hint="eastAsia" w:ascii="宋体" w:hAnsi="宋体" w:eastAsia="宋体" w:cs="宋体"/>
          <w:b w:val="0"/>
          <w:bCs/>
          <w:color w:val="auto"/>
          <w:sz w:val="21"/>
          <w:szCs w:val="21"/>
          <w:highlight w:val="none"/>
        </w:rPr>
        <w:t>处理好与当地政府和群众的公共关系，确保</w:t>
      </w:r>
      <w:r>
        <w:rPr>
          <w:rFonts w:hint="eastAsia" w:ascii="宋体" w:hAnsi="宋体" w:eastAsia="宋体" w:cs="宋体"/>
          <w:b w:val="0"/>
          <w:bCs/>
          <w:color w:val="auto"/>
          <w:sz w:val="21"/>
          <w:szCs w:val="21"/>
          <w:highlight w:val="none"/>
          <w:lang w:val="en-US" w:eastAsia="zh-CN"/>
        </w:rPr>
        <w:t>橡胶坝</w:t>
      </w:r>
      <w:r>
        <w:rPr>
          <w:rFonts w:hint="eastAsia" w:ascii="宋体" w:hAnsi="宋体" w:eastAsia="宋体" w:cs="宋体"/>
          <w:b w:val="0"/>
          <w:bCs/>
          <w:color w:val="auto"/>
          <w:sz w:val="21"/>
          <w:szCs w:val="21"/>
          <w:highlight w:val="none"/>
        </w:rPr>
        <w:t>、电站的和谐、健康运行。</w:t>
      </w:r>
    </w:p>
    <w:p w14:paraId="432F8657">
      <w:pPr>
        <w:pStyle w:val="566"/>
        <w:ind w:firstLine="422"/>
        <w:outlineLvl w:val="2"/>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.6负责协助</w:t>
      </w:r>
      <w:r>
        <w:rPr>
          <w:rFonts w:hint="eastAsia" w:ascii="宋体" w:hAnsi="宋体" w:eastAsia="宋体" w:cs="宋体"/>
          <w:b w:val="0"/>
          <w:bCs/>
          <w:color w:val="auto"/>
          <w:sz w:val="21"/>
          <w:szCs w:val="21"/>
          <w:highlight w:val="none"/>
          <w:lang w:val="en-US" w:eastAsia="zh-CN"/>
        </w:rPr>
        <w:t>业主</w:t>
      </w:r>
      <w:r>
        <w:rPr>
          <w:rFonts w:hint="eastAsia" w:ascii="宋体" w:hAnsi="宋体" w:eastAsia="宋体" w:cs="宋体"/>
          <w:b w:val="0"/>
          <w:bCs/>
          <w:color w:val="auto"/>
          <w:sz w:val="21"/>
          <w:szCs w:val="21"/>
          <w:highlight w:val="none"/>
        </w:rPr>
        <w:t>开展对外联络、协调、接待的各项工作。</w:t>
      </w:r>
    </w:p>
    <w:p w14:paraId="14CE004B">
      <w:pPr>
        <w:pStyle w:val="566"/>
        <w:ind w:firstLine="422"/>
        <w:outlineLvl w:val="2"/>
        <w:rPr>
          <w:rFonts w:hint="default" w:ascii="宋体" w:hAnsi="宋体" w:eastAsia="宋体" w:cs="宋体"/>
          <w:b w:val="0"/>
          <w:bCs/>
          <w:color w:val="auto"/>
          <w:sz w:val="21"/>
          <w:szCs w:val="21"/>
          <w:highlight w:val="yellow"/>
          <w:lang w:val="en-US" w:eastAsia="zh-CN"/>
        </w:rPr>
      </w:pP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.7负责按照</w:t>
      </w:r>
      <w:r>
        <w:rPr>
          <w:rFonts w:hint="eastAsia" w:ascii="宋体" w:hAnsi="宋体" w:eastAsia="宋体" w:cs="宋体"/>
          <w:b w:val="0"/>
          <w:bCs/>
          <w:color w:val="auto"/>
          <w:sz w:val="21"/>
          <w:szCs w:val="21"/>
          <w:highlight w:val="none"/>
          <w:lang w:val="en-US" w:eastAsia="zh-CN"/>
        </w:rPr>
        <w:t>业主的要求</w:t>
      </w:r>
      <w:r>
        <w:rPr>
          <w:rFonts w:hint="eastAsia" w:ascii="宋体" w:hAnsi="宋体" w:eastAsia="宋体" w:cs="宋体"/>
          <w:b w:val="0"/>
          <w:bCs/>
          <w:color w:val="auto"/>
          <w:sz w:val="21"/>
          <w:szCs w:val="21"/>
          <w:highlight w:val="none"/>
        </w:rPr>
        <w:t>、电站标准化管理要求，按月进行日常巡查、水文观测、水工程监测、设备巡检、运行操作、维护检修、试验鉴定、事件处置等资料、记录的收集整理，按年度整理归档。</w:t>
      </w:r>
      <w:r>
        <w:rPr>
          <w:rFonts w:hint="eastAsia" w:ascii="宋体" w:hAnsi="宋体" w:eastAsia="宋体" w:cs="宋体"/>
          <w:b w:val="0"/>
          <w:bCs/>
          <w:color w:val="auto"/>
          <w:sz w:val="21"/>
          <w:szCs w:val="21"/>
          <w:highlight w:val="none"/>
          <w:lang w:val="en-US" w:eastAsia="zh-CN"/>
        </w:rPr>
        <w:t xml:space="preserve">               </w:t>
      </w:r>
      <w:r>
        <w:rPr>
          <w:rFonts w:hint="eastAsia" w:cs="宋体"/>
          <w:b w:val="0"/>
          <w:bCs/>
          <w:color w:val="auto"/>
          <w:sz w:val="21"/>
          <w:szCs w:val="21"/>
          <w:highlight w:val="none"/>
          <w:lang w:val="en-US" w:eastAsia="zh-CN"/>
        </w:rPr>
        <w:t xml:space="preserve">                       </w:t>
      </w:r>
    </w:p>
    <w:p w14:paraId="5F8EB51F">
      <w:pPr>
        <w:pStyle w:val="566"/>
        <w:numPr>
          <w:ilvl w:val="0"/>
          <w:numId w:val="0"/>
        </w:numPr>
        <w:ind w:firstLine="422" w:firstLineChars="200"/>
        <w:outlineLvl w:val="1"/>
        <w:rPr>
          <w:rFonts w:hint="eastAsia" w:ascii="宋体" w:hAnsi="宋体" w:eastAsia="宋体" w:cs="宋体"/>
          <w:b/>
          <w:bCs w:val="0"/>
          <w:color w:val="auto"/>
          <w:sz w:val="21"/>
          <w:szCs w:val="21"/>
          <w:highlight w:val="none"/>
          <w:lang w:val="en-US" w:eastAsia="zh-CN"/>
        </w:rPr>
      </w:pPr>
      <w:r>
        <w:rPr>
          <w:rFonts w:hint="eastAsia"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lang w:val="en-US" w:eastAsia="zh-CN"/>
        </w:rPr>
        <w:t>.8办公区域设施一切由中标单位负责承担及更换。</w:t>
      </w:r>
    </w:p>
    <w:p w14:paraId="5BA61F19">
      <w:pPr>
        <w:pStyle w:val="566"/>
        <w:numPr>
          <w:ilvl w:val="0"/>
          <w:numId w:val="0"/>
        </w:numPr>
        <w:outlineLvl w:val="1"/>
        <w:rPr>
          <w:rFonts w:hint="eastAsia"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六、</w:t>
      </w:r>
      <w:r>
        <w:rPr>
          <w:rFonts w:hint="eastAsia" w:cs="宋体"/>
          <w:b/>
          <w:color w:val="auto"/>
          <w:sz w:val="21"/>
          <w:szCs w:val="21"/>
          <w:highlight w:val="none"/>
          <w:lang w:val="en-US" w:eastAsia="zh-CN"/>
        </w:rPr>
        <w:t>绿化养护</w:t>
      </w:r>
    </w:p>
    <w:p w14:paraId="7B9AB58C">
      <w:pPr>
        <w:pStyle w:val="566"/>
        <w:numPr>
          <w:ilvl w:val="0"/>
          <w:numId w:val="0"/>
        </w:numPr>
        <w:ind w:firstLine="422" w:firstLineChars="200"/>
        <w:outlineLvl w:val="1"/>
        <w:rPr>
          <w:rFonts w:hint="default" w:cs="宋体"/>
          <w:b/>
          <w:color w:val="auto"/>
          <w:sz w:val="21"/>
          <w:szCs w:val="21"/>
          <w:highlight w:val="none"/>
          <w:lang w:val="en-US" w:eastAsia="zh-CN"/>
        </w:rPr>
      </w:pPr>
      <w:r>
        <w:rPr>
          <w:rFonts w:hint="eastAsia" w:cs="宋体"/>
          <w:b/>
          <w:color w:val="auto"/>
          <w:sz w:val="21"/>
          <w:szCs w:val="21"/>
          <w:highlight w:val="none"/>
          <w:lang w:val="en-US" w:eastAsia="zh-CN"/>
        </w:rPr>
        <w:t>艇湖电厂内的绿化养护及保洁费用一切由中标单位承担。（注：草皮修剪不得少于5次，花木修剪不得少于2次）。</w:t>
      </w:r>
    </w:p>
    <w:p w14:paraId="467769FA">
      <w:pPr>
        <w:pStyle w:val="566"/>
        <w:numPr>
          <w:ilvl w:val="0"/>
          <w:numId w:val="0"/>
        </w:numPr>
        <w:outlineLvl w:val="1"/>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七、</w:t>
      </w:r>
      <w:r>
        <w:rPr>
          <w:rFonts w:hint="eastAsia" w:ascii="宋体" w:hAnsi="宋体" w:eastAsia="宋体" w:cs="宋体"/>
          <w:b/>
          <w:color w:val="auto"/>
          <w:sz w:val="21"/>
          <w:szCs w:val="21"/>
          <w:highlight w:val="none"/>
        </w:rPr>
        <w:t>其它要求</w:t>
      </w:r>
    </w:p>
    <w:p w14:paraId="022EFE9E">
      <w:pPr>
        <w:tabs>
          <w:tab w:val="left" w:pos="1080"/>
        </w:tabs>
        <w:spacing w:line="360" w:lineRule="auto"/>
        <w:ind w:firstLine="420" w:firstLineChars="200"/>
        <w:rPr>
          <w:rFonts w:hint="eastAsia" w:cs="宋体"/>
          <w:b/>
          <w:color w:val="auto"/>
          <w:sz w:val="21"/>
          <w:szCs w:val="21"/>
          <w:highlight w:val="none"/>
          <w:lang w:val="en-US" w:eastAsia="zh-CN"/>
        </w:rPr>
      </w:pPr>
      <w:r>
        <w:rPr>
          <w:rFonts w:hint="eastAsia" w:ascii="宋体" w:hAnsi="宋体" w:eastAsia="宋体" w:cs="宋体"/>
          <w:color w:val="auto"/>
          <w:sz w:val="21"/>
          <w:szCs w:val="21"/>
          <w:highlight w:val="none"/>
        </w:rPr>
        <w:t>本服务范围中的项目，一律不得转（分）包。一经发现，立即取消服务人的服务资格，并由服务人承担由此引起的一切经济损失和法律责任。</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注：关于电站信访案件一切由中标单位负责对接</w:t>
      </w:r>
      <w:r>
        <w:rPr>
          <w:rFonts w:hint="eastAsia" w:ascii="宋体" w:hAnsi="宋体" w:cs="宋体"/>
          <w:b/>
          <w:bCs/>
          <w:color w:val="auto"/>
          <w:sz w:val="21"/>
          <w:szCs w:val="21"/>
          <w:highlight w:val="none"/>
          <w:lang w:eastAsia="zh-CN"/>
        </w:rPr>
        <w:t>）。</w:t>
      </w:r>
    </w:p>
    <w:p w14:paraId="6A12BD7E">
      <w:pPr>
        <w:pStyle w:val="566"/>
        <w:ind w:left="0" w:leftChars="0" w:firstLine="0" w:firstLineChars="0"/>
        <w:outlineLvl w:val="1"/>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八</w:t>
      </w:r>
      <w:r>
        <w:rPr>
          <w:rFonts w:hint="eastAsia" w:ascii="宋体" w:hAnsi="宋体" w:eastAsia="宋体" w:cs="宋体"/>
          <w:b/>
          <w:color w:val="auto"/>
          <w:sz w:val="21"/>
          <w:szCs w:val="21"/>
          <w:highlight w:val="none"/>
        </w:rPr>
        <w:t>、商务资信表</w:t>
      </w:r>
    </w:p>
    <w:tbl>
      <w:tblPr>
        <w:tblStyle w:val="8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7720"/>
      </w:tblGrid>
      <w:tr w14:paraId="36A5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noWrap w:val="0"/>
            <w:vAlign w:val="center"/>
          </w:tcPr>
          <w:p w14:paraId="0F1D4FE2">
            <w:pPr>
              <w:keepNext w:val="0"/>
              <w:keepLines w:val="0"/>
              <w:suppressLineNumbers w:val="0"/>
              <w:autoSpaceDE w:val="0"/>
              <w:autoSpaceDN w:val="0"/>
              <w:adjustRightInd w:val="0"/>
              <w:spacing w:before="120" w:beforeLines="5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720" w:type="dxa"/>
            <w:noWrap w:val="0"/>
            <w:vAlign w:val="top"/>
          </w:tcPr>
          <w:p w14:paraId="17A5AC54">
            <w:pPr>
              <w:keepNext w:val="0"/>
              <w:keepLines w:val="0"/>
              <w:suppressLineNumbers w:val="0"/>
              <w:autoSpaceDE w:val="0"/>
              <w:autoSpaceDN w:val="0"/>
              <w:adjustRightInd w:val="0"/>
              <w:spacing w:before="120" w:beforeLines="5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5CDB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noWrap w:val="0"/>
            <w:vAlign w:val="center"/>
          </w:tcPr>
          <w:p w14:paraId="2B90BCF3">
            <w:pPr>
              <w:keepNext w:val="0"/>
              <w:keepLines w:val="0"/>
              <w:suppressLineNumbers w:val="0"/>
              <w:autoSpaceDE w:val="0"/>
              <w:autoSpaceDN w:val="0"/>
              <w:adjustRightInd w:val="0"/>
              <w:spacing w:before="120" w:beforeLines="5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720" w:type="dxa"/>
            <w:noWrap w:val="0"/>
            <w:vAlign w:val="top"/>
          </w:tcPr>
          <w:p w14:paraId="2EF1AB0F">
            <w:pPr>
              <w:keepNext w:val="0"/>
              <w:keepLines w:val="0"/>
              <w:suppressLineNumbers w:val="0"/>
              <w:autoSpaceDE w:val="0"/>
              <w:autoSpaceDN w:val="0"/>
              <w:adjustRightInd w:val="0"/>
              <w:spacing w:before="120" w:beforeLines="5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由采购人指定地点。</w:t>
            </w:r>
          </w:p>
        </w:tc>
      </w:tr>
      <w:tr w14:paraId="544B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noWrap w:val="0"/>
            <w:vAlign w:val="center"/>
          </w:tcPr>
          <w:p w14:paraId="5D9C0DD4">
            <w:pPr>
              <w:keepNext w:val="0"/>
              <w:keepLines w:val="0"/>
              <w:suppressLineNumbers w:val="0"/>
              <w:autoSpaceDE w:val="0"/>
              <w:autoSpaceDN w:val="0"/>
              <w:adjustRightInd w:val="0"/>
              <w:spacing w:before="120" w:beforeLines="5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7720" w:type="dxa"/>
            <w:noWrap w:val="0"/>
            <w:vAlign w:val="top"/>
          </w:tcPr>
          <w:p w14:paraId="50947B86">
            <w:pPr>
              <w:keepNext w:val="0"/>
              <w:keepLines w:val="0"/>
              <w:suppressLineNumbers w:val="0"/>
              <w:autoSpaceDE w:val="0"/>
              <w:autoSpaceDN w:val="0"/>
              <w:adjustRightInd w:val="0"/>
              <w:spacing w:before="120" w:beforeLines="5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由采购人组织相关人员进行验收。</w:t>
            </w:r>
          </w:p>
        </w:tc>
      </w:tr>
      <w:tr w14:paraId="02DC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noWrap w:val="0"/>
            <w:vAlign w:val="center"/>
          </w:tcPr>
          <w:p w14:paraId="7EBCC607">
            <w:pPr>
              <w:keepNext w:val="0"/>
              <w:keepLines w:val="0"/>
              <w:suppressLineNumbers w:val="0"/>
              <w:autoSpaceDE w:val="0"/>
              <w:autoSpaceDN w:val="0"/>
              <w:adjustRightInd w:val="0"/>
              <w:spacing w:before="120" w:beforeLines="5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720" w:type="dxa"/>
            <w:noWrap w:val="0"/>
            <w:vAlign w:val="top"/>
          </w:tcPr>
          <w:p w14:paraId="44F1EA77">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合同签订进场后一个季度内预付30000元；</w:t>
            </w:r>
          </w:p>
          <w:p w14:paraId="51AEFFF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运行维护费用实行总价承包，并根据考核情况按月结算、按季度结付。结算方式如下：①运行维护费用月度扣款额：项目月度考核得分值在9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0分以下的，按每低1分（9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0分为基数）扣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00元的标准实行，即月度扣款额＝（9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0-月度考核得分值）×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00；②运行维护费用季度扣款额为项目各月度扣款额之和；③运行维护费用季度付款额＝项目委托的季度运行维护合同费用－运行维护费用季度扣款额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考核分在900分及以上为合格，900分以下为不合格；950分以上为优秀。</w:t>
            </w:r>
            <w:r>
              <w:rPr>
                <w:rFonts w:hint="eastAsia" w:ascii="宋体" w:hAnsi="宋体" w:eastAsia="宋体" w:cs="宋体"/>
                <w:color w:val="auto"/>
                <w:sz w:val="21"/>
                <w:szCs w:val="21"/>
                <w:highlight w:val="none"/>
                <w:lang w:val="en-US" w:eastAsia="zh-CN"/>
              </w:rPr>
              <w:t>累计三次月度考核不合格的或连续两次月度考核不合格的，采购人有权单方面中止合同并没收履约保证金</w:t>
            </w:r>
            <w:r>
              <w:rPr>
                <w:rFonts w:hint="eastAsia" w:ascii="宋体" w:hAnsi="宋体" w:eastAsia="宋体" w:cs="宋体"/>
                <w:color w:val="auto"/>
                <w:sz w:val="21"/>
                <w:szCs w:val="21"/>
                <w:highlight w:val="none"/>
                <w:lang w:eastAsia="zh-CN"/>
              </w:rPr>
              <w:t>；</w:t>
            </w:r>
          </w:p>
          <w:p w14:paraId="507463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年终奖励实行与发电量挂钩，奖励基数为</w:t>
            </w:r>
            <w:r>
              <w:rPr>
                <w:rFonts w:hint="eastAsia" w:ascii="宋体" w:hAnsi="宋体" w:cs="宋体"/>
                <w:color w:val="auto"/>
                <w:sz w:val="21"/>
                <w:szCs w:val="21"/>
                <w:highlight w:val="none"/>
                <w:lang w:val="en-US" w:eastAsia="zh-CN"/>
              </w:rPr>
              <w:t>500万度-550万度（10万度为计算单位）。</w:t>
            </w:r>
            <w:r>
              <w:rPr>
                <w:rFonts w:hint="eastAsia" w:ascii="宋体" w:hAnsi="宋体" w:eastAsia="宋体" w:cs="宋体"/>
                <w:color w:val="auto"/>
                <w:sz w:val="21"/>
                <w:szCs w:val="21"/>
                <w:highlight w:val="none"/>
                <w:lang w:val="en-US" w:eastAsia="zh-CN"/>
              </w:rPr>
              <w:t>具体为：1.年发电量小于</w:t>
            </w:r>
            <w:r>
              <w:rPr>
                <w:rFonts w:hint="eastAsia" w:ascii="宋体" w:hAnsi="宋体" w:cs="宋体"/>
                <w:color w:val="auto"/>
                <w:sz w:val="21"/>
                <w:szCs w:val="21"/>
                <w:highlight w:val="none"/>
                <w:lang w:val="en-US" w:eastAsia="zh-CN"/>
              </w:rPr>
              <w:t>490</w:t>
            </w:r>
            <w:r>
              <w:rPr>
                <w:rFonts w:hint="eastAsia" w:ascii="宋体" w:hAnsi="宋体" w:eastAsia="宋体" w:cs="宋体"/>
                <w:color w:val="auto"/>
                <w:sz w:val="21"/>
                <w:szCs w:val="21"/>
                <w:highlight w:val="none"/>
                <w:lang w:val="en-US" w:eastAsia="zh-CN"/>
              </w:rPr>
              <w:t>万度，</w:t>
            </w:r>
            <w:r>
              <w:rPr>
                <w:rFonts w:hint="eastAsia" w:ascii="宋体" w:hAnsi="宋体" w:cs="宋体"/>
                <w:color w:val="auto"/>
                <w:sz w:val="21"/>
                <w:szCs w:val="21"/>
                <w:highlight w:val="none"/>
                <w:lang w:val="en-US" w:eastAsia="zh-CN"/>
              </w:rPr>
              <w:t>扣3000元</w:t>
            </w:r>
            <w:r>
              <w:rPr>
                <w:rFonts w:hint="eastAsia" w:ascii="宋体" w:hAnsi="宋体" w:eastAsia="宋体" w:cs="宋体"/>
                <w:color w:val="auto"/>
                <w:sz w:val="21"/>
                <w:szCs w:val="21"/>
                <w:highlight w:val="none"/>
                <w:lang w:val="en-US" w:eastAsia="zh-CN"/>
              </w:rPr>
              <w:t>；2.</w:t>
            </w:r>
            <w:bookmarkStart w:id="111" w:name="_Hlk43542297"/>
            <w:r>
              <w:rPr>
                <w:rFonts w:hint="eastAsia" w:ascii="宋体" w:hAnsi="宋体" w:eastAsia="宋体" w:cs="宋体"/>
                <w:color w:val="auto"/>
                <w:sz w:val="21"/>
                <w:szCs w:val="21"/>
                <w:highlight w:val="none"/>
                <w:lang w:val="en-US" w:eastAsia="zh-CN"/>
              </w:rPr>
              <w:t>年发电量</w:t>
            </w:r>
            <w:r>
              <w:rPr>
                <w:rFonts w:hint="eastAsia" w:ascii="宋体" w:hAnsi="宋体" w:cs="宋体"/>
                <w:color w:val="auto"/>
                <w:sz w:val="21"/>
                <w:szCs w:val="21"/>
                <w:highlight w:val="none"/>
                <w:lang w:val="en-US" w:eastAsia="zh-CN"/>
              </w:rPr>
              <w:t>大于</w:t>
            </w:r>
            <w:r>
              <w:rPr>
                <w:rFonts w:hint="eastAsia" w:ascii="宋体" w:hAnsi="宋体" w:cs="宋体"/>
                <w:i/>
                <w:iCs/>
                <w:color w:val="auto"/>
                <w:sz w:val="21"/>
                <w:szCs w:val="21"/>
                <w:highlight w:val="none"/>
                <w:lang w:val="en-US" w:eastAsia="zh-CN"/>
              </w:rPr>
              <w:t>560</w:t>
            </w:r>
            <w:r>
              <w:rPr>
                <w:rFonts w:hint="eastAsia" w:ascii="宋体" w:hAnsi="宋体" w:eastAsia="宋体" w:cs="宋体"/>
                <w:color w:val="auto"/>
                <w:sz w:val="21"/>
                <w:szCs w:val="21"/>
                <w:highlight w:val="none"/>
                <w:lang w:val="en-US" w:eastAsia="zh-CN"/>
              </w:rPr>
              <w:t>万度</w:t>
            </w:r>
            <w:bookmarkEnd w:id="111"/>
            <w:r>
              <w:rPr>
                <w:rFonts w:hint="eastAsia" w:ascii="宋体" w:hAnsi="宋体" w:cs="宋体"/>
                <w:color w:val="auto"/>
                <w:sz w:val="21"/>
                <w:szCs w:val="21"/>
                <w:highlight w:val="none"/>
                <w:lang w:val="en-US" w:eastAsia="zh-CN"/>
              </w:rPr>
              <w:t>以上，奖励5000元。（注：奖罚制度依此类推）</w:t>
            </w:r>
          </w:p>
          <w:p w14:paraId="37E48D7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20" w:firstLineChars="200"/>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（4）橡胶坝上游工程施工经上级部门审批需要坍坝放水，施工方赔付的10000元/天，可计入年度电量。因其他情况坍坝，不计算年度电量。</w:t>
            </w:r>
          </w:p>
        </w:tc>
      </w:tr>
      <w:tr w14:paraId="4D89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noWrap w:val="0"/>
            <w:vAlign w:val="center"/>
          </w:tcPr>
          <w:p w14:paraId="57D769A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720" w:type="dxa"/>
            <w:noWrap w:val="0"/>
            <w:vAlign w:val="center"/>
          </w:tcPr>
          <w:p w14:paraId="0D967107">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中标人向采购人缴纳合同价的1%作为履约保证金，服务期满后无息退还。</w:t>
            </w:r>
          </w:p>
        </w:tc>
      </w:tr>
      <w:tr w14:paraId="3626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noWrap w:val="0"/>
            <w:vAlign w:val="center"/>
          </w:tcPr>
          <w:p w14:paraId="43020B8D">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保密要求</w:t>
            </w:r>
          </w:p>
        </w:tc>
        <w:tc>
          <w:tcPr>
            <w:tcW w:w="7720" w:type="dxa"/>
            <w:noWrap w:val="0"/>
            <w:vAlign w:val="center"/>
          </w:tcPr>
          <w:p w14:paraId="2E87BFAF">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项目所有资料、数据均为</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lang w:val="en-US" w:eastAsia="zh-CN"/>
              </w:rPr>
              <w:t>所有，未经</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lang w:val="en-US" w:eastAsia="zh-CN"/>
              </w:rPr>
              <w:t>书面同意，不得以任何方式提供给任何第三方。</w:t>
            </w:r>
          </w:p>
        </w:tc>
      </w:tr>
      <w:tr w14:paraId="7D4B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noWrap w:val="0"/>
            <w:vAlign w:val="center"/>
          </w:tcPr>
          <w:p w14:paraId="70AF68ED">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安全责任</w:t>
            </w:r>
          </w:p>
        </w:tc>
        <w:tc>
          <w:tcPr>
            <w:tcW w:w="7720" w:type="dxa"/>
            <w:noWrap w:val="0"/>
            <w:vAlign w:val="center"/>
          </w:tcPr>
          <w:p w14:paraId="2CE86672">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auto"/>
                <w:sz w:val="21"/>
                <w:szCs w:val="21"/>
                <w:highlight w:val="none"/>
                <w:lang w:val="en-US" w:eastAsia="zh-CN"/>
              </w:rPr>
            </w:pPr>
            <w:r>
              <w:rPr>
                <w:rFonts w:hint="eastAsia" w:ascii="宋体" w:hAnsi="Times New Roman" w:eastAsia="宋体" w:cs="宋体"/>
                <w:color w:val="auto"/>
                <w:sz w:val="21"/>
                <w:szCs w:val="21"/>
                <w:highlight w:val="none"/>
                <w:lang w:val="en-US" w:eastAsia="zh-CN"/>
              </w:rPr>
              <w:t>必须规范、文明施工，做好安全措施，杜绝一切安全事故的发生。如在项目实施过程中出现的各种意外，其责任由中标单位承担，采购人不承担任何责任。</w:t>
            </w:r>
          </w:p>
        </w:tc>
      </w:tr>
    </w:tbl>
    <w:p w14:paraId="1F65C64A">
      <w:pPr>
        <w:autoSpaceDE w:val="0"/>
        <w:autoSpaceDN w:val="0"/>
        <w:adjustRightInd w:val="0"/>
        <w:spacing w:before="120" w:beforeLines="50" w:line="400" w:lineRule="exact"/>
        <w:jc w:val="left"/>
        <w:rPr>
          <w:rFonts w:hint="eastAsia" w:ascii="宋体" w:hAnsi="宋体" w:eastAsia="宋体" w:cs="宋体"/>
          <w:color w:val="auto"/>
          <w:sz w:val="21"/>
          <w:szCs w:val="21"/>
          <w:highlight w:val="none"/>
        </w:rPr>
        <w:sectPr>
          <w:footerReference r:id="rId13" w:type="default"/>
          <w:pgSz w:w="11906" w:h="16838"/>
          <w:pgMar w:top="1440" w:right="1225" w:bottom="1440" w:left="1502"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0C1E8794">
      <w:pPr>
        <w:spacing w:line="400" w:lineRule="exact"/>
        <w:ind w:right="-934" w:rightChars="-38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附件：考核标准</w:t>
      </w:r>
    </w:p>
    <w:p w14:paraId="06FBF5E0">
      <w:pPr>
        <w:widowControl/>
        <w:spacing w:line="400" w:lineRule="exact"/>
        <w:jc w:val="center"/>
        <w:textAlignment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嵊州市艇湖枢纽开发有限公司物业化运行管理服务项目</w:t>
      </w:r>
      <w:r>
        <w:rPr>
          <w:rFonts w:hint="eastAsia" w:ascii="宋体" w:hAnsi="宋体" w:eastAsia="宋体" w:cs="宋体"/>
          <w:b/>
          <w:bCs/>
          <w:color w:val="auto"/>
          <w:kern w:val="0"/>
          <w:sz w:val="21"/>
          <w:szCs w:val="21"/>
          <w:highlight w:val="none"/>
        </w:rPr>
        <w:t>评分细则</w:t>
      </w:r>
    </w:p>
    <w:p w14:paraId="26CB9333">
      <w:pPr>
        <w:pStyle w:val="5"/>
        <w:numPr>
          <w:ilvl w:val="0"/>
          <w:numId w:val="0"/>
        </w:num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安全管理（200分）</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2"/>
        <w:gridCol w:w="1113"/>
        <w:gridCol w:w="1010"/>
        <w:gridCol w:w="2728"/>
        <w:gridCol w:w="7402"/>
        <w:gridCol w:w="1285"/>
      </w:tblGrid>
      <w:tr w14:paraId="606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42" w:type="dxa"/>
            <w:noWrap w:val="0"/>
            <w:vAlign w:val="center"/>
          </w:tcPr>
          <w:p w14:paraId="010A6C33">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13" w:type="dxa"/>
            <w:noWrap w:val="0"/>
            <w:vAlign w:val="center"/>
          </w:tcPr>
          <w:p w14:paraId="32C00E3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010" w:type="dxa"/>
            <w:noWrap w:val="0"/>
            <w:vAlign w:val="center"/>
          </w:tcPr>
          <w:p w14:paraId="43F716D2">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标准分</w:t>
            </w:r>
          </w:p>
        </w:tc>
        <w:tc>
          <w:tcPr>
            <w:tcW w:w="2728" w:type="dxa"/>
            <w:noWrap w:val="0"/>
            <w:vAlign w:val="center"/>
          </w:tcPr>
          <w:p w14:paraId="75D6D133">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管理要求</w:t>
            </w:r>
          </w:p>
        </w:tc>
        <w:tc>
          <w:tcPr>
            <w:tcW w:w="7402" w:type="dxa"/>
            <w:noWrap w:val="0"/>
            <w:vAlign w:val="center"/>
          </w:tcPr>
          <w:p w14:paraId="4F29C175">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扣分项</w:t>
            </w:r>
          </w:p>
        </w:tc>
        <w:tc>
          <w:tcPr>
            <w:tcW w:w="1285" w:type="dxa"/>
            <w:noWrap w:val="0"/>
            <w:vAlign w:val="center"/>
          </w:tcPr>
          <w:p w14:paraId="179A3B2D">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考核得分</w:t>
            </w:r>
          </w:p>
        </w:tc>
      </w:tr>
      <w:tr w14:paraId="02DB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442" w:type="dxa"/>
            <w:noWrap w:val="0"/>
            <w:vAlign w:val="center"/>
          </w:tcPr>
          <w:p w14:paraId="24C6FE7D">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3" w:type="dxa"/>
            <w:noWrap w:val="0"/>
            <w:vAlign w:val="center"/>
          </w:tcPr>
          <w:p w14:paraId="7E48F7C3">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w:t>
            </w:r>
          </w:p>
        </w:tc>
        <w:tc>
          <w:tcPr>
            <w:tcW w:w="1010" w:type="dxa"/>
            <w:noWrap w:val="0"/>
            <w:vAlign w:val="center"/>
          </w:tcPr>
          <w:p w14:paraId="50F55CC1">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728" w:type="dxa"/>
            <w:noWrap w:val="0"/>
            <w:vAlign w:val="center"/>
          </w:tcPr>
          <w:p w14:paraId="2BEC7DC6">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达到农村水电站安全生产标准化</w:t>
            </w:r>
            <w:r>
              <w:rPr>
                <w:rFonts w:hint="eastAsia" w:ascii="宋体" w:hAnsi="宋体" w:cs="宋体"/>
                <w:snapToGrid w:val="0"/>
                <w:color w:val="auto"/>
                <w:sz w:val="21"/>
                <w:szCs w:val="21"/>
                <w:highlight w:val="none"/>
                <w:lang w:val="en-US" w:eastAsia="zh-CN"/>
              </w:rPr>
              <w:t>二</w:t>
            </w:r>
            <w:r>
              <w:rPr>
                <w:rFonts w:hint="eastAsia" w:ascii="宋体" w:hAnsi="宋体" w:eastAsia="宋体" w:cs="宋体"/>
                <w:snapToGrid w:val="0"/>
                <w:color w:val="auto"/>
                <w:sz w:val="21"/>
                <w:szCs w:val="21"/>
                <w:highlight w:val="none"/>
              </w:rPr>
              <w:t>级、</w:t>
            </w:r>
            <w:r>
              <w:rPr>
                <w:rFonts w:hint="eastAsia" w:ascii="宋体" w:hAnsi="宋体" w:eastAsia="宋体" w:cs="宋体"/>
                <w:snapToGrid w:val="0"/>
                <w:color w:val="auto"/>
                <w:sz w:val="21"/>
                <w:szCs w:val="21"/>
                <w:highlight w:val="none"/>
                <w:lang w:eastAsia="zh-CN"/>
              </w:rPr>
              <w:t>艇湖枢纽开发</w:t>
            </w:r>
            <w:r>
              <w:rPr>
                <w:rFonts w:hint="eastAsia" w:ascii="宋体" w:hAnsi="宋体" w:eastAsia="宋体" w:cs="宋体"/>
                <w:snapToGrid w:val="0"/>
                <w:color w:val="auto"/>
                <w:sz w:val="21"/>
                <w:szCs w:val="21"/>
                <w:highlight w:val="none"/>
              </w:rPr>
              <w:t>标准化要求。</w:t>
            </w:r>
          </w:p>
        </w:tc>
        <w:tc>
          <w:tcPr>
            <w:tcW w:w="7402" w:type="dxa"/>
            <w:noWrap w:val="0"/>
            <w:vAlign w:val="center"/>
          </w:tcPr>
          <w:p w14:paraId="52256212">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未达到农村水电站安全生产标准化</w:t>
            </w:r>
            <w:r>
              <w:rPr>
                <w:rFonts w:hint="eastAsia" w:ascii="宋体" w:hAnsi="宋体" w:cs="宋体"/>
                <w:snapToGrid w:val="0"/>
                <w:color w:val="auto"/>
                <w:sz w:val="21"/>
                <w:szCs w:val="21"/>
                <w:highlight w:val="none"/>
                <w:lang w:val="en-US" w:eastAsia="zh-CN"/>
              </w:rPr>
              <w:t>二</w:t>
            </w:r>
            <w:r>
              <w:rPr>
                <w:rFonts w:hint="eastAsia" w:ascii="宋体" w:hAnsi="宋体" w:eastAsia="宋体" w:cs="宋体"/>
                <w:snapToGrid w:val="0"/>
                <w:color w:val="auto"/>
                <w:sz w:val="21"/>
                <w:szCs w:val="21"/>
                <w:highlight w:val="none"/>
              </w:rPr>
              <w:t>级要求，本项不得分；</w:t>
            </w:r>
          </w:p>
          <w:p w14:paraId="002467B6">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未达到</w:t>
            </w:r>
            <w:r>
              <w:rPr>
                <w:rFonts w:hint="eastAsia" w:ascii="宋体" w:hAnsi="宋体" w:eastAsia="宋体" w:cs="宋体"/>
                <w:snapToGrid w:val="0"/>
                <w:color w:val="auto"/>
                <w:sz w:val="21"/>
                <w:szCs w:val="21"/>
                <w:highlight w:val="none"/>
                <w:lang w:eastAsia="zh-CN"/>
              </w:rPr>
              <w:t>艇湖枢纽开发</w:t>
            </w:r>
            <w:r>
              <w:rPr>
                <w:rFonts w:hint="eastAsia" w:ascii="宋体" w:hAnsi="宋体" w:eastAsia="宋体" w:cs="宋体"/>
                <w:snapToGrid w:val="0"/>
                <w:color w:val="auto"/>
                <w:sz w:val="21"/>
                <w:szCs w:val="21"/>
                <w:highlight w:val="none"/>
              </w:rPr>
              <w:t>标准化要求，本项不得分；</w:t>
            </w:r>
          </w:p>
          <w:p w14:paraId="014DCC04">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发生人身伤亡安全事故，本项不得分；</w:t>
            </w:r>
          </w:p>
          <w:p w14:paraId="718578C8">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4.</w:t>
            </w:r>
            <w:r>
              <w:rPr>
                <w:rFonts w:hint="eastAsia" w:ascii="宋体" w:hAnsi="宋体" w:eastAsia="宋体" w:cs="宋体"/>
                <w:snapToGrid w:val="0"/>
                <w:color w:val="auto"/>
                <w:sz w:val="21"/>
                <w:szCs w:val="21"/>
                <w:highlight w:val="none"/>
              </w:rPr>
              <w:t>发生火灾、水淹厂房等事故，扣20分；</w:t>
            </w:r>
          </w:p>
          <w:p w14:paraId="7A3295C6">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5.</w:t>
            </w:r>
            <w:r>
              <w:rPr>
                <w:rFonts w:hint="eastAsia" w:ascii="宋体" w:hAnsi="宋体" w:eastAsia="宋体" w:cs="宋体"/>
                <w:snapToGrid w:val="0"/>
                <w:color w:val="auto"/>
                <w:sz w:val="21"/>
                <w:szCs w:val="21"/>
                <w:highlight w:val="none"/>
              </w:rPr>
              <w:t>人为责任发生机组、设备安全事故，扣20分；</w:t>
            </w:r>
          </w:p>
          <w:p w14:paraId="7332E89D">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6.</w:t>
            </w:r>
            <w:r>
              <w:rPr>
                <w:rFonts w:hint="eastAsia" w:ascii="宋体" w:hAnsi="宋体" w:eastAsia="宋体" w:cs="宋体"/>
                <w:snapToGrid w:val="0"/>
                <w:color w:val="auto"/>
                <w:sz w:val="21"/>
                <w:szCs w:val="21"/>
                <w:highlight w:val="none"/>
              </w:rPr>
              <w:t>无年度安全生产工作计划，或年度安全生产工作计划未经批准，扣5分；</w:t>
            </w:r>
          </w:p>
          <w:p w14:paraId="64A1E40D">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7.</w:t>
            </w:r>
            <w:r>
              <w:rPr>
                <w:rFonts w:hint="eastAsia" w:ascii="宋体" w:hAnsi="宋体" w:eastAsia="宋体" w:cs="宋体"/>
                <w:snapToGrid w:val="0"/>
                <w:color w:val="auto"/>
                <w:sz w:val="21"/>
                <w:szCs w:val="21"/>
                <w:highlight w:val="none"/>
              </w:rPr>
              <w:t>发生事故隐瞒不报或不及时上报，扣5分；</w:t>
            </w:r>
          </w:p>
          <w:p w14:paraId="5EC69B71">
            <w:pPr>
              <w:keepNext w:val="0"/>
              <w:keepLines w:val="0"/>
              <w:numPr>
                <w:ilvl w:val="0"/>
                <w:numId w:val="0"/>
              </w:numPr>
              <w:suppressLineNumbers w:val="0"/>
              <w:snapToGrid w:val="0"/>
              <w:spacing w:before="0" w:beforeAutospacing="0" w:after="0" w:afterAutospacing="0" w:line="276" w:lineRule="auto"/>
              <w:ind w:left="420" w:leftChars="0" w:right="0" w:rightChars="0" w:hanging="326" w:firstLineChars="0"/>
              <w:rPr>
                <w:rFonts w:hint="eastAsia" w:ascii="宋体" w:hAnsi="宋体" w:eastAsia="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8.</w:t>
            </w:r>
            <w:r>
              <w:rPr>
                <w:rFonts w:hint="eastAsia" w:ascii="宋体" w:hAnsi="宋体" w:eastAsia="宋体" w:cs="宋体"/>
                <w:snapToGrid w:val="0"/>
                <w:color w:val="auto"/>
                <w:sz w:val="21"/>
                <w:szCs w:val="21"/>
                <w:highlight w:val="none"/>
              </w:rPr>
              <w:t>未逐级签订年度安全生产责任书，扣5分</w:t>
            </w:r>
          </w:p>
        </w:tc>
        <w:tc>
          <w:tcPr>
            <w:tcW w:w="1285" w:type="dxa"/>
            <w:noWrap w:val="0"/>
            <w:vAlign w:val="center"/>
          </w:tcPr>
          <w:p w14:paraId="62C0BEC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r w14:paraId="7909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42" w:type="dxa"/>
            <w:noWrap w:val="0"/>
            <w:vAlign w:val="center"/>
          </w:tcPr>
          <w:p w14:paraId="03DEE37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3" w:type="dxa"/>
            <w:noWrap w:val="0"/>
            <w:vAlign w:val="center"/>
          </w:tcPr>
          <w:p w14:paraId="41239F0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隐患管控、应急管理</w:t>
            </w:r>
          </w:p>
        </w:tc>
        <w:tc>
          <w:tcPr>
            <w:tcW w:w="1010" w:type="dxa"/>
            <w:noWrap w:val="0"/>
            <w:vAlign w:val="center"/>
          </w:tcPr>
          <w:p w14:paraId="43AC13D6">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728" w:type="dxa"/>
            <w:noWrap w:val="0"/>
            <w:vAlign w:val="center"/>
          </w:tcPr>
          <w:p w14:paraId="50214A34">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定期开展隐患排查，定期对危险源、风险点进行巡查监控。制定反事故组织措施、技术措施，制定典型事故抢修预案、突发事件应急预案，定期演练。</w:t>
            </w:r>
          </w:p>
        </w:tc>
        <w:tc>
          <w:tcPr>
            <w:tcW w:w="7402" w:type="dxa"/>
            <w:noWrap w:val="0"/>
            <w:vAlign w:val="center"/>
          </w:tcPr>
          <w:p w14:paraId="279119AF">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snapToGrid w:val="0"/>
                <w:color w:val="auto"/>
                <w:sz w:val="21"/>
                <w:szCs w:val="21"/>
                <w:highlight w:val="none"/>
              </w:rPr>
              <w:t>未定期开展隐患排查，扣5分</w:t>
            </w:r>
            <w:r>
              <w:rPr>
                <w:rFonts w:hint="eastAsia" w:ascii="宋体" w:hAnsi="宋体" w:eastAsia="宋体" w:cs="宋体"/>
                <w:bCs/>
                <w:snapToGrid w:val="0"/>
                <w:color w:val="auto"/>
                <w:sz w:val="21"/>
                <w:szCs w:val="21"/>
                <w:highlight w:val="none"/>
              </w:rPr>
              <w:t>；</w:t>
            </w:r>
          </w:p>
          <w:p w14:paraId="5000D04C">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snapToGrid w:val="0"/>
                <w:color w:val="auto"/>
                <w:sz w:val="21"/>
                <w:szCs w:val="21"/>
                <w:highlight w:val="none"/>
              </w:rPr>
              <w:t>未定期对电站危险源、风险点进行巡查监控，扣5分；</w:t>
            </w:r>
          </w:p>
          <w:p w14:paraId="7542E60C">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无事故抢修预案、突发事件应急预案或应急预案覆盖不全，扣10分</w:t>
            </w:r>
            <w:r>
              <w:rPr>
                <w:rFonts w:hint="eastAsia" w:ascii="宋体" w:hAnsi="宋体" w:eastAsia="宋体" w:cs="宋体"/>
                <w:bCs/>
                <w:snapToGrid w:val="0"/>
                <w:color w:val="auto"/>
                <w:sz w:val="21"/>
                <w:szCs w:val="21"/>
                <w:highlight w:val="none"/>
              </w:rPr>
              <w:t>；</w:t>
            </w:r>
          </w:p>
          <w:p w14:paraId="61CA6C21">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员工不熟悉应急预案内容、不清楚相关职责，每发现一人扣5分</w:t>
            </w:r>
            <w:r>
              <w:rPr>
                <w:rFonts w:hint="eastAsia" w:ascii="宋体" w:hAnsi="宋体" w:eastAsia="宋体" w:cs="宋体"/>
                <w:bCs/>
                <w:snapToGrid w:val="0"/>
                <w:color w:val="auto"/>
                <w:sz w:val="21"/>
                <w:szCs w:val="21"/>
                <w:highlight w:val="none"/>
              </w:rPr>
              <w:t>；</w:t>
            </w:r>
          </w:p>
          <w:p w14:paraId="5C5087EF">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未定期开展应急演练，扣5分</w:t>
            </w:r>
            <w:r>
              <w:rPr>
                <w:rFonts w:hint="eastAsia" w:ascii="宋体" w:hAnsi="宋体" w:eastAsia="宋体" w:cs="宋体"/>
                <w:bCs/>
                <w:snapToGrid w:val="0"/>
                <w:color w:val="auto"/>
                <w:sz w:val="21"/>
                <w:szCs w:val="21"/>
                <w:highlight w:val="none"/>
              </w:rPr>
              <w:t>；</w:t>
            </w:r>
          </w:p>
          <w:p w14:paraId="3625BD8F">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kern w:val="2"/>
                <w:sz w:val="21"/>
                <w:szCs w:val="21"/>
                <w:lang w:val="en-US" w:eastAsia="zh-CN" w:bidi="ar-SA"/>
              </w:rPr>
              <w:t>6.</w:t>
            </w:r>
            <w:r>
              <w:rPr>
                <w:rFonts w:hint="eastAsia" w:ascii="宋体" w:hAnsi="宋体" w:eastAsia="宋体" w:cs="宋体"/>
                <w:bCs/>
                <w:snapToGrid w:val="0"/>
                <w:color w:val="auto"/>
                <w:sz w:val="21"/>
                <w:szCs w:val="21"/>
                <w:highlight w:val="none"/>
              </w:rPr>
              <w:t>未定期对应急设备（柴油发电机</w:t>
            </w:r>
            <w:r>
              <w:rPr>
                <w:rFonts w:hint="eastAsia" w:ascii="宋体" w:hAnsi="宋体" w:eastAsia="宋体" w:cs="宋体"/>
                <w:bCs/>
                <w:snapToGrid w:val="0"/>
                <w:color w:val="auto"/>
                <w:sz w:val="21"/>
                <w:szCs w:val="21"/>
                <w:highlight w:val="none"/>
                <w:lang w:eastAsia="zh-CN"/>
              </w:rPr>
              <w:t>、</w:t>
            </w:r>
            <w:r>
              <w:rPr>
                <w:rFonts w:hint="eastAsia" w:ascii="宋体" w:hAnsi="宋体" w:eastAsia="宋体" w:cs="宋体"/>
                <w:bCs/>
                <w:snapToGrid w:val="0"/>
                <w:color w:val="auto"/>
                <w:sz w:val="21"/>
                <w:szCs w:val="21"/>
                <w:highlight w:val="none"/>
                <w:lang w:val="en-US" w:eastAsia="zh-CN"/>
              </w:rPr>
              <w:t>潜水泵等</w:t>
            </w:r>
            <w:r>
              <w:rPr>
                <w:rFonts w:hint="eastAsia" w:ascii="宋体" w:hAnsi="宋体" w:eastAsia="宋体" w:cs="宋体"/>
                <w:bCs/>
                <w:snapToGrid w:val="0"/>
                <w:color w:val="auto"/>
                <w:sz w:val="21"/>
                <w:szCs w:val="21"/>
                <w:highlight w:val="none"/>
              </w:rPr>
              <w:t>）进行维护、试验，扣5分；</w:t>
            </w:r>
          </w:p>
          <w:p w14:paraId="38D86971">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kern w:val="2"/>
                <w:sz w:val="21"/>
                <w:szCs w:val="21"/>
                <w:lang w:val="en-US" w:eastAsia="zh-CN" w:bidi="ar-SA"/>
              </w:rPr>
              <w:t>7.</w:t>
            </w:r>
            <w:r>
              <w:rPr>
                <w:rFonts w:hint="eastAsia" w:ascii="宋体" w:hAnsi="宋体" w:eastAsia="宋体" w:cs="宋体"/>
                <w:bCs/>
                <w:snapToGrid w:val="0"/>
                <w:color w:val="auto"/>
                <w:sz w:val="21"/>
                <w:szCs w:val="21"/>
                <w:highlight w:val="none"/>
              </w:rPr>
              <w:t>未定期对应急照明进行维护、试验，扣5分；</w:t>
            </w:r>
          </w:p>
          <w:p w14:paraId="1E43FF50">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kern w:val="2"/>
                <w:sz w:val="21"/>
                <w:szCs w:val="21"/>
                <w:lang w:val="en-US" w:eastAsia="zh-CN" w:bidi="ar-SA"/>
              </w:rPr>
              <w:t>8.</w:t>
            </w:r>
            <w:r>
              <w:rPr>
                <w:rFonts w:hint="eastAsia" w:ascii="宋体" w:hAnsi="宋体" w:eastAsia="宋体" w:cs="宋体"/>
                <w:bCs/>
                <w:snapToGrid w:val="0"/>
                <w:color w:val="auto"/>
                <w:sz w:val="21"/>
                <w:szCs w:val="21"/>
                <w:highlight w:val="none"/>
              </w:rPr>
              <w:t>安全防护设施、物品缺失，扣5分；</w:t>
            </w:r>
          </w:p>
        </w:tc>
        <w:tc>
          <w:tcPr>
            <w:tcW w:w="1285" w:type="dxa"/>
            <w:noWrap w:val="0"/>
            <w:vAlign w:val="top"/>
          </w:tcPr>
          <w:p w14:paraId="1300F8FC">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bl>
    <w:p w14:paraId="341A919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sectPr>
          <w:footerReference r:id="rId14" w:type="default"/>
          <w:pgSz w:w="16838" w:h="11906" w:orient="landscape"/>
          <w:pgMar w:top="1502" w:right="1440" w:bottom="1225"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2"/>
        <w:gridCol w:w="1113"/>
        <w:gridCol w:w="1010"/>
        <w:gridCol w:w="2728"/>
        <w:gridCol w:w="7402"/>
        <w:gridCol w:w="1285"/>
      </w:tblGrid>
      <w:tr w14:paraId="338A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0" w:hRule="atLeast"/>
        </w:trPr>
        <w:tc>
          <w:tcPr>
            <w:tcW w:w="442" w:type="dxa"/>
            <w:noWrap w:val="0"/>
            <w:vAlign w:val="center"/>
          </w:tcPr>
          <w:p w14:paraId="5A9657B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3" w:type="dxa"/>
            <w:noWrap w:val="0"/>
            <w:vAlign w:val="center"/>
          </w:tcPr>
          <w:p w14:paraId="7F982174">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安保、消防管理</w:t>
            </w:r>
          </w:p>
        </w:tc>
        <w:tc>
          <w:tcPr>
            <w:tcW w:w="1010" w:type="dxa"/>
            <w:noWrap w:val="0"/>
            <w:vAlign w:val="center"/>
          </w:tcPr>
          <w:p w14:paraId="4E4E030E">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728" w:type="dxa"/>
            <w:noWrap w:val="0"/>
            <w:vAlign w:val="center"/>
          </w:tcPr>
          <w:p w14:paraId="3DDBB2CE">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做好消防工作，掌握消防知识和消防器材的正确使用方法，熟知报警电话和报警方法；配合</w:t>
            </w:r>
            <w:r>
              <w:rPr>
                <w:rFonts w:hint="eastAsia" w:ascii="宋体" w:hAnsi="宋体" w:cs="宋体"/>
                <w:snapToGrid w:val="0"/>
                <w:color w:val="auto"/>
                <w:sz w:val="21"/>
                <w:szCs w:val="21"/>
                <w:highlight w:val="none"/>
                <w:lang w:val="en-US" w:eastAsia="zh-CN"/>
              </w:rPr>
              <w:t>业主</w:t>
            </w:r>
            <w:r>
              <w:rPr>
                <w:rFonts w:hint="eastAsia" w:ascii="宋体" w:hAnsi="宋体" w:eastAsia="宋体" w:cs="宋体"/>
                <w:snapToGrid w:val="0"/>
                <w:color w:val="auto"/>
                <w:sz w:val="21"/>
                <w:szCs w:val="21"/>
                <w:highlight w:val="none"/>
              </w:rPr>
              <w:t>做好安全保卫工作。</w:t>
            </w:r>
          </w:p>
        </w:tc>
        <w:tc>
          <w:tcPr>
            <w:tcW w:w="7402" w:type="dxa"/>
            <w:noWrap w:val="0"/>
            <w:vAlign w:val="center"/>
          </w:tcPr>
          <w:p w14:paraId="669447A8">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消防设备、设施缺失，或超出有效期，发现一处扣10分；</w:t>
            </w:r>
          </w:p>
          <w:p w14:paraId="2C68C7C6">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未定期检查消防设施、设备，扣10分</w:t>
            </w:r>
            <w:r>
              <w:rPr>
                <w:rFonts w:hint="eastAsia" w:ascii="宋体" w:hAnsi="宋体" w:eastAsia="宋体" w:cs="宋体"/>
                <w:bCs/>
                <w:snapToGrid w:val="0"/>
                <w:color w:val="auto"/>
                <w:sz w:val="21"/>
                <w:szCs w:val="21"/>
                <w:highlight w:val="none"/>
              </w:rPr>
              <w:t>；</w:t>
            </w:r>
          </w:p>
          <w:p w14:paraId="6627B74B">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生产区长时存放易燃、易爆物品，扣10分</w:t>
            </w:r>
            <w:r>
              <w:rPr>
                <w:rFonts w:hint="eastAsia" w:ascii="宋体" w:hAnsi="宋体" w:eastAsia="宋体" w:cs="宋体"/>
                <w:bCs/>
                <w:snapToGrid w:val="0"/>
                <w:color w:val="auto"/>
                <w:sz w:val="21"/>
                <w:szCs w:val="21"/>
                <w:highlight w:val="none"/>
              </w:rPr>
              <w:t>；</w:t>
            </w:r>
          </w:p>
          <w:p w14:paraId="4F7DBABF">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4.</w:t>
            </w:r>
            <w:r>
              <w:rPr>
                <w:rFonts w:hint="eastAsia" w:ascii="宋体" w:hAnsi="宋体" w:eastAsia="宋体" w:cs="宋体"/>
                <w:snapToGrid w:val="0"/>
                <w:color w:val="auto"/>
                <w:sz w:val="21"/>
                <w:szCs w:val="21"/>
                <w:highlight w:val="none"/>
              </w:rPr>
              <w:t>未按规定要求动火，扣10分</w:t>
            </w:r>
            <w:r>
              <w:rPr>
                <w:rFonts w:hint="eastAsia" w:ascii="宋体" w:hAnsi="宋体" w:eastAsia="宋体" w:cs="宋体"/>
                <w:bCs/>
                <w:snapToGrid w:val="0"/>
                <w:color w:val="auto"/>
                <w:sz w:val="21"/>
                <w:szCs w:val="21"/>
                <w:highlight w:val="none"/>
              </w:rPr>
              <w:t>；</w:t>
            </w:r>
          </w:p>
          <w:p w14:paraId="39C91A68">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5.</w:t>
            </w:r>
            <w:r>
              <w:rPr>
                <w:rFonts w:hint="eastAsia" w:ascii="宋体" w:hAnsi="宋体" w:eastAsia="宋体" w:cs="宋体"/>
                <w:snapToGrid w:val="0"/>
                <w:color w:val="auto"/>
                <w:sz w:val="21"/>
                <w:szCs w:val="21"/>
                <w:highlight w:val="none"/>
              </w:rPr>
              <w:t>人为破坏设施、设备，发现一处扣10分；</w:t>
            </w:r>
          </w:p>
          <w:p w14:paraId="0AF7B483">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6.</w:t>
            </w:r>
            <w:r>
              <w:rPr>
                <w:rFonts w:hint="eastAsia" w:ascii="宋体" w:hAnsi="宋体" w:eastAsia="宋体" w:cs="宋体"/>
                <w:snapToGrid w:val="0"/>
                <w:color w:val="auto"/>
                <w:sz w:val="21"/>
                <w:szCs w:val="21"/>
                <w:highlight w:val="none"/>
              </w:rPr>
              <w:t>健康防护物品缺失，未及时补充，扣5分 ；</w:t>
            </w:r>
          </w:p>
          <w:p w14:paraId="41164791">
            <w:pPr>
              <w:keepNext w:val="0"/>
              <w:keepLines w:val="0"/>
              <w:numPr>
                <w:ilvl w:val="0"/>
                <w:numId w:val="0"/>
              </w:numPr>
              <w:suppressLineNumbers w:val="0"/>
              <w:snapToGrid w:val="0"/>
              <w:spacing w:before="0" w:beforeAutospacing="0" w:after="0" w:afterAutospacing="0" w:line="276" w:lineRule="auto"/>
              <w:ind w:left="389" w:leftChars="45" w:right="0" w:rightChars="0" w:hanging="281" w:hangingChars="134"/>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7.</w:t>
            </w:r>
            <w:r>
              <w:rPr>
                <w:rFonts w:hint="eastAsia" w:ascii="宋体" w:hAnsi="宋体" w:eastAsia="宋体" w:cs="宋体"/>
                <w:snapToGrid w:val="0"/>
                <w:color w:val="auto"/>
                <w:sz w:val="21"/>
                <w:szCs w:val="21"/>
                <w:highlight w:val="none"/>
              </w:rPr>
              <w:t>有无关人员逗留工作场所，扣5分</w:t>
            </w:r>
          </w:p>
        </w:tc>
        <w:tc>
          <w:tcPr>
            <w:tcW w:w="1285" w:type="dxa"/>
            <w:noWrap w:val="0"/>
            <w:vAlign w:val="top"/>
          </w:tcPr>
          <w:p w14:paraId="18D9727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r w14:paraId="14B1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0" w:hRule="atLeast"/>
        </w:trPr>
        <w:tc>
          <w:tcPr>
            <w:tcW w:w="442" w:type="dxa"/>
            <w:noWrap w:val="0"/>
            <w:vAlign w:val="center"/>
          </w:tcPr>
          <w:p w14:paraId="388BF638">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13" w:type="dxa"/>
            <w:noWrap w:val="0"/>
            <w:vAlign w:val="center"/>
          </w:tcPr>
          <w:p w14:paraId="70B6A75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w:t>
            </w:r>
          </w:p>
        </w:tc>
        <w:tc>
          <w:tcPr>
            <w:tcW w:w="1010" w:type="dxa"/>
            <w:noWrap w:val="0"/>
            <w:vAlign w:val="center"/>
          </w:tcPr>
          <w:p w14:paraId="2C4EBD67">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w:t>
            </w:r>
          </w:p>
        </w:tc>
        <w:tc>
          <w:tcPr>
            <w:tcW w:w="2728" w:type="dxa"/>
            <w:noWrap w:val="0"/>
            <w:vAlign w:val="center"/>
          </w:tcPr>
          <w:p w14:paraId="0B3F64FD">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积极参加管理中心组织的安全教育及其它各项活动；注重自身安全，工作时做好安全防护措施；</w:t>
            </w:r>
            <w:r>
              <w:rPr>
                <w:rFonts w:hint="eastAsia" w:ascii="宋体" w:hAnsi="宋体" w:eastAsia="宋体" w:cs="宋体"/>
                <w:snapToGrid w:val="0"/>
                <w:color w:val="auto"/>
                <w:sz w:val="21"/>
                <w:szCs w:val="21"/>
                <w:highlight w:val="none"/>
              </w:rPr>
              <w:t>定期组织员工开展安全活动、事故预想、安全风险分析会议。</w:t>
            </w:r>
          </w:p>
        </w:tc>
        <w:tc>
          <w:tcPr>
            <w:tcW w:w="7402" w:type="dxa"/>
            <w:noWrap w:val="0"/>
            <w:vAlign w:val="center"/>
          </w:tcPr>
          <w:p w14:paraId="307B9799">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1.拒绝参加管理中心组织的各类教育培训活动，发生一次扣10分；</w:t>
            </w:r>
          </w:p>
          <w:p w14:paraId="2D00CE1E">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2.未定期开展安全活动的，扣5分</w:t>
            </w:r>
            <w:r>
              <w:rPr>
                <w:rFonts w:hint="eastAsia" w:ascii="宋体" w:hAnsi="宋体" w:eastAsia="宋体" w:cs="宋体"/>
                <w:color w:val="auto"/>
                <w:sz w:val="21"/>
                <w:szCs w:val="21"/>
                <w:highlight w:val="none"/>
              </w:rPr>
              <w:t>；</w:t>
            </w:r>
          </w:p>
          <w:p w14:paraId="1BD4BB47">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3.未严格执行高处作业规程、起重作业和电焊作业等特种作业规程的，发生一次扣10分</w:t>
            </w:r>
            <w:r>
              <w:rPr>
                <w:rFonts w:hint="eastAsia" w:ascii="宋体" w:hAnsi="宋体" w:eastAsia="宋体" w:cs="宋体"/>
                <w:snapToGrid w:val="0"/>
                <w:color w:val="auto"/>
                <w:sz w:val="21"/>
                <w:szCs w:val="21"/>
                <w:highlight w:val="none"/>
              </w:rPr>
              <w:t>。</w:t>
            </w:r>
          </w:p>
        </w:tc>
        <w:tc>
          <w:tcPr>
            <w:tcW w:w="1285" w:type="dxa"/>
            <w:noWrap w:val="0"/>
            <w:vAlign w:val="top"/>
          </w:tcPr>
          <w:p w14:paraId="20806F48">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bl>
    <w:p w14:paraId="4959FFDF">
      <w:pPr>
        <w:pStyle w:val="5"/>
        <w:ind w:left="0" w:leftChars="0" w:firstLine="420" w:firstLine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2.组织管理（200分）</w:t>
      </w:r>
    </w:p>
    <w:tbl>
      <w:tblPr>
        <w:tblStyle w:val="80"/>
        <w:tblW w:w="0" w:type="auto"/>
        <w:tblInd w:w="0" w:type="dxa"/>
        <w:tblLayout w:type="fixed"/>
        <w:tblCellMar>
          <w:top w:w="15" w:type="dxa"/>
          <w:left w:w="15" w:type="dxa"/>
          <w:bottom w:w="15" w:type="dxa"/>
          <w:right w:w="15" w:type="dxa"/>
        </w:tblCellMar>
      </w:tblPr>
      <w:tblGrid>
        <w:gridCol w:w="628"/>
        <w:gridCol w:w="1095"/>
        <w:gridCol w:w="885"/>
        <w:gridCol w:w="3150"/>
        <w:gridCol w:w="6938"/>
        <w:gridCol w:w="1284"/>
      </w:tblGrid>
      <w:tr w14:paraId="0615DD28">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auto" w:sz="4" w:space="0"/>
            </w:tcBorders>
            <w:noWrap w:val="0"/>
            <w:vAlign w:val="center"/>
          </w:tcPr>
          <w:p w14:paraId="12D2D97E">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5" w:type="dxa"/>
            <w:tcBorders>
              <w:top w:val="single" w:color="000000" w:sz="4" w:space="0"/>
              <w:left w:val="single" w:color="auto" w:sz="4" w:space="0"/>
              <w:bottom w:val="single" w:color="000000" w:sz="4" w:space="0"/>
              <w:right w:val="single" w:color="auto" w:sz="4" w:space="0"/>
            </w:tcBorders>
            <w:noWrap w:val="0"/>
            <w:vAlign w:val="center"/>
          </w:tcPr>
          <w:p w14:paraId="79AF39DA">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885" w:type="dxa"/>
            <w:tcBorders>
              <w:top w:val="single" w:color="000000" w:sz="4" w:space="0"/>
              <w:left w:val="single" w:color="auto" w:sz="4" w:space="0"/>
              <w:bottom w:val="single" w:color="000000" w:sz="4" w:space="0"/>
              <w:right w:val="single" w:color="auto" w:sz="4" w:space="0"/>
            </w:tcBorders>
            <w:noWrap w:val="0"/>
            <w:vAlign w:val="center"/>
          </w:tcPr>
          <w:p w14:paraId="43F973E4">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标准分</w:t>
            </w:r>
          </w:p>
        </w:tc>
        <w:tc>
          <w:tcPr>
            <w:tcW w:w="3150" w:type="dxa"/>
            <w:tcBorders>
              <w:top w:val="single" w:color="000000" w:sz="4" w:space="0"/>
              <w:left w:val="single" w:color="auto" w:sz="4" w:space="0"/>
              <w:bottom w:val="single" w:color="000000" w:sz="4" w:space="0"/>
              <w:right w:val="single" w:color="auto" w:sz="4" w:space="0"/>
            </w:tcBorders>
            <w:noWrap w:val="0"/>
            <w:vAlign w:val="center"/>
          </w:tcPr>
          <w:p w14:paraId="2EA60E52">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管理要求</w:t>
            </w:r>
          </w:p>
        </w:tc>
        <w:tc>
          <w:tcPr>
            <w:tcW w:w="6938" w:type="dxa"/>
            <w:tcBorders>
              <w:top w:val="single" w:color="000000" w:sz="4" w:space="0"/>
              <w:left w:val="single" w:color="auto" w:sz="4" w:space="0"/>
              <w:bottom w:val="single" w:color="000000" w:sz="4" w:space="0"/>
              <w:right w:val="single" w:color="000000" w:sz="4" w:space="0"/>
            </w:tcBorders>
            <w:noWrap w:val="0"/>
            <w:vAlign w:val="center"/>
          </w:tcPr>
          <w:p w14:paraId="47F890C6">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3C42E03">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考核得分</w:t>
            </w:r>
          </w:p>
        </w:tc>
      </w:tr>
      <w:tr w14:paraId="34632833">
        <w:tblPrEx>
          <w:tblCellMar>
            <w:top w:w="15" w:type="dxa"/>
            <w:left w:w="15" w:type="dxa"/>
            <w:bottom w:w="15" w:type="dxa"/>
            <w:right w:w="15" w:type="dxa"/>
          </w:tblCellMar>
        </w:tblPrEx>
        <w:trPr>
          <w:trHeight w:val="90" w:hRule="atLeast"/>
        </w:trPr>
        <w:tc>
          <w:tcPr>
            <w:tcW w:w="628" w:type="dxa"/>
            <w:tcBorders>
              <w:top w:val="single" w:color="000000" w:sz="4" w:space="0"/>
              <w:left w:val="single" w:color="000000" w:sz="4" w:space="0"/>
              <w:bottom w:val="single" w:color="000000" w:sz="4" w:space="0"/>
              <w:right w:val="single" w:color="auto" w:sz="4" w:space="0"/>
            </w:tcBorders>
            <w:noWrap w:val="0"/>
            <w:vAlign w:val="center"/>
          </w:tcPr>
          <w:p w14:paraId="4607782A">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5" w:type="dxa"/>
            <w:tcBorders>
              <w:top w:val="single" w:color="000000" w:sz="4" w:space="0"/>
              <w:left w:val="single" w:color="auto" w:sz="4" w:space="0"/>
              <w:bottom w:val="single" w:color="000000" w:sz="4" w:space="0"/>
              <w:right w:val="single" w:color="auto" w:sz="4" w:space="0"/>
            </w:tcBorders>
            <w:noWrap w:val="0"/>
            <w:vAlign w:val="center"/>
          </w:tcPr>
          <w:p w14:paraId="5EF2D927">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管理人员</w:t>
            </w:r>
          </w:p>
        </w:tc>
        <w:tc>
          <w:tcPr>
            <w:tcW w:w="885" w:type="dxa"/>
            <w:tcBorders>
              <w:top w:val="single" w:color="000000" w:sz="4" w:space="0"/>
              <w:left w:val="single" w:color="auto" w:sz="4" w:space="0"/>
              <w:bottom w:val="single" w:color="000000" w:sz="4" w:space="0"/>
              <w:right w:val="single" w:color="auto" w:sz="4" w:space="0"/>
            </w:tcBorders>
            <w:noWrap w:val="0"/>
            <w:vAlign w:val="center"/>
          </w:tcPr>
          <w:p w14:paraId="11C178DD">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150" w:type="dxa"/>
            <w:tcBorders>
              <w:top w:val="single" w:color="000000" w:sz="4" w:space="0"/>
              <w:left w:val="single" w:color="auto" w:sz="4" w:space="0"/>
              <w:bottom w:val="single" w:color="000000" w:sz="4" w:space="0"/>
              <w:right w:val="single" w:color="auto" w:sz="4" w:space="0"/>
            </w:tcBorders>
            <w:noWrap w:val="0"/>
            <w:vAlign w:val="center"/>
          </w:tcPr>
          <w:p w14:paraId="4633B7EB">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项目负责人</w:t>
            </w:r>
            <w:r>
              <w:rPr>
                <w:rFonts w:hint="eastAsia" w:ascii="宋体" w:hAnsi="宋体" w:eastAsia="宋体" w:cs="宋体"/>
                <w:color w:val="auto"/>
                <w:sz w:val="21"/>
                <w:szCs w:val="21"/>
                <w:highlight w:val="none"/>
              </w:rPr>
              <w:t>、技术负责人能力满足电站运行维护要求，运行管理人员持证上岗，</w:t>
            </w:r>
            <w:r>
              <w:rPr>
                <w:rFonts w:hint="eastAsia" w:ascii="宋体" w:hAnsi="宋体" w:eastAsia="宋体" w:cs="宋体"/>
                <w:snapToGrid w:val="0"/>
                <w:color w:val="auto"/>
                <w:sz w:val="21"/>
                <w:szCs w:val="21"/>
                <w:highlight w:val="none"/>
              </w:rPr>
              <w:t>特种作业人员持有相应证书。</w:t>
            </w:r>
          </w:p>
        </w:tc>
        <w:tc>
          <w:tcPr>
            <w:tcW w:w="6938" w:type="dxa"/>
            <w:tcBorders>
              <w:top w:val="single" w:color="000000" w:sz="4" w:space="0"/>
              <w:left w:val="single" w:color="auto" w:sz="4" w:space="0"/>
              <w:bottom w:val="single" w:color="000000" w:sz="4" w:space="0"/>
              <w:right w:val="single" w:color="000000" w:sz="4" w:space="0"/>
            </w:tcBorders>
            <w:noWrap w:val="0"/>
            <w:vAlign w:val="center"/>
          </w:tcPr>
          <w:p w14:paraId="456E9302">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项目负责人、技术负责人无相应运维能力，每次扣5分；</w:t>
            </w:r>
          </w:p>
          <w:p w14:paraId="1188625E">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项目负责人、技术负责人全部不在岗，扣5分；</w:t>
            </w:r>
          </w:p>
          <w:p w14:paraId="5696D252">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相应岗位工作不称职，每人次扣5分；</w:t>
            </w:r>
          </w:p>
          <w:p w14:paraId="030CFA1F">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4.</w:t>
            </w:r>
            <w:r>
              <w:rPr>
                <w:rFonts w:hint="eastAsia" w:ascii="宋体" w:hAnsi="宋体" w:eastAsia="宋体" w:cs="宋体"/>
                <w:snapToGrid w:val="0"/>
                <w:color w:val="auto"/>
                <w:sz w:val="21"/>
                <w:szCs w:val="21"/>
                <w:highlight w:val="none"/>
              </w:rPr>
              <w:t>运行值班人员无相应证书，每发现一人扣5分；</w:t>
            </w:r>
          </w:p>
          <w:p w14:paraId="3AF1F299">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5.</w:t>
            </w:r>
            <w:r>
              <w:rPr>
                <w:rFonts w:hint="eastAsia" w:ascii="宋体" w:hAnsi="宋体" w:eastAsia="宋体" w:cs="宋体"/>
                <w:snapToGrid w:val="0"/>
                <w:color w:val="auto"/>
                <w:sz w:val="21"/>
                <w:szCs w:val="21"/>
                <w:highlight w:val="none"/>
              </w:rPr>
              <w:t>特种作业无证操作，每发现一次扣5分。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3CF07B7">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r w14:paraId="167A0062">
        <w:tblPrEx>
          <w:tblCellMar>
            <w:top w:w="15" w:type="dxa"/>
            <w:left w:w="15" w:type="dxa"/>
            <w:bottom w:w="15" w:type="dxa"/>
            <w:right w:w="15" w:type="dxa"/>
          </w:tblCellMar>
        </w:tblPrEx>
        <w:trPr>
          <w:trHeight w:val="1602" w:hRule="atLeast"/>
        </w:trPr>
        <w:tc>
          <w:tcPr>
            <w:tcW w:w="628" w:type="dxa"/>
            <w:tcBorders>
              <w:top w:val="single" w:color="000000" w:sz="4" w:space="0"/>
              <w:left w:val="single" w:color="000000" w:sz="4" w:space="0"/>
              <w:bottom w:val="single" w:color="000000" w:sz="4" w:space="0"/>
              <w:right w:val="single" w:color="auto" w:sz="4" w:space="0"/>
            </w:tcBorders>
            <w:noWrap w:val="0"/>
            <w:vAlign w:val="center"/>
          </w:tcPr>
          <w:p w14:paraId="412F018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5" w:type="dxa"/>
            <w:tcBorders>
              <w:top w:val="single" w:color="000000" w:sz="4" w:space="0"/>
              <w:left w:val="single" w:color="auto" w:sz="4" w:space="0"/>
              <w:bottom w:val="single" w:color="000000" w:sz="4" w:space="0"/>
              <w:right w:val="single" w:color="auto" w:sz="4" w:space="0"/>
            </w:tcBorders>
            <w:noWrap w:val="0"/>
            <w:vAlign w:val="center"/>
          </w:tcPr>
          <w:p w14:paraId="679E42C4">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制度化管理</w:t>
            </w:r>
          </w:p>
        </w:tc>
        <w:tc>
          <w:tcPr>
            <w:tcW w:w="885" w:type="dxa"/>
            <w:tcBorders>
              <w:top w:val="single" w:color="000000" w:sz="4" w:space="0"/>
              <w:left w:val="single" w:color="auto" w:sz="4" w:space="0"/>
              <w:bottom w:val="single" w:color="000000" w:sz="4" w:space="0"/>
              <w:right w:val="single" w:color="auto" w:sz="4" w:space="0"/>
            </w:tcBorders>
            <w:noWrap w:val="0"/>
            <w:vAlign w:val="center"/>
          </w:tcPr>
          <w:p w14:paraId="26D8C6E1">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150" w:type="dxa"/>
            <w:tcBorders>
              <w:top w:val="single" w:color="000000" w:sz="4" w:space="0"/>
              <w:left w:val="single" w:color="auto" w:sz="4" w:space="0"/>
              <w:bottom w:val="single" w:color="000000" w:sz="4" w:space="0"/>
              <w:right w:val="single" w:color="auto" w:sz="4" w:space="0"/>
            </w:tcBorders>
            <w:noWrap w:val="0"/>
            <w:vAlign w:val="center"/>
          </w:tcPr>
          <w:p w14:paraId="45583DE9">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识别和获取适用的安全生产法律法规、标准规范。执行各项规章制度、规程。及时向员工传达、培训相关法律法规、制度规程内容。</w:t>
            </w:r>
          </w:p>
        </w:tc>
        <w:tc>
          <w:tcPr>
            <w:tcW w:w="6938" w:type="dxa"/>
            <w:tcBorders>
              <w:top w:val="single" w:color="000000" w:sz="4" w:space="0"/>
              <w:left w:val="single" w:color="auto" w:sz="4" w:space="0"/>
              <w:bottom w:val="single" w:color="000000" w:sz="4" w:space="0"/>
              <w:right w:val="single" w:color="000000" w:sz="4" w:space="0"/>
            </w:tcBorders>
            <w:noWrap w:val="0"/>
            <w:vAlign w:val="center"/>
          </w:tcPr>
          <w:p w14:paraId="79D00899">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相关安全生产法律法规、标准规范不全，有缺少扣10分；</w:t>
            </w:r>
          </w:p>
          <w:p w14:paraId="3572A046">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相关法律法规、制度规程内容未对员工进行培训，扣10分；</w:t>
            </w:r>
          </w:p>
          <w:p w14:paraId="688E4828">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有员工违反相应规章制度、规程，每次扣5分。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7AB1228">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r w14:paraId="7B0C0D03">
        <w:tblPrEx>
          <w:tblCellMar>
            <w:top w:w="15" w:type="dxa"/>
            <w:left w:w="15" w:type="dxa"/>
            <w:bottom w:w="15" w:type="dxa"/>
            <w:right w:w="15" w:type="dxa"/>
          </w:tblCellMar>
        </w:tblPrEx>
        <w:trPr>
          <w:trHeight w:val="90" w:hRule="atLeast"/>
        </w:trPr>
        <w:tc>
          <w:tcPr>
            <w:tcW w:w="628" w:type="dxa"/>
            <w:tcBorders>
              <w:top w:val="single" w:color="000000" w:sz="4" w:space="0"/>
              <w:left w:val="single" w:color="000000" w:sz="4" w:space="0"/>
              <w:bottom w:val="single" w:color="000000" w:sz="4" w:space="0"/>
              <w:right w:val="single" w:color="auto" w:sz="4" w:space="0"/>
            </w:tcBorders>
            <w:noWrap w:val="0"/>
            <w:vAlign w:val="center"/>
          </w:tcPr>
          <w:p w14:paraId="5E847C5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5" w:type="dxa"/>
            <w:tcBorders>
              <w:top w:val="single" w:color="000000" w:sz="4" w:space="0"/>
              <w:left w:val="single" w:color="auto" w:sz="4" w:space="0"/>
              <w:bottom w:val="single" w:color="000000" w:sz="4" w:space="0"/>
              <w:right w:val="single" w:color="auto" w:sz="4" w:space="0"/>
            </w:tcBorders>
            <w:noWrap w:val="0"/>
            <w:vAlign w:val="center"/>
          </w:tcPr>
          <w:p w14:paraId="39A65902">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精神文明</w:t>
            </w:r>
          </w:p>
        </w:tc>
        <w:tc>
          <w:tcPr>
            <w:tcW w:w="885" w:type="dxa"/>
            <w:tcBorders>
              <w:top w:val="single" w:color="000000" w:sz="4" w:space="0"/>
              <w:left w:val="single" w:color="auto" w:sz="4" w:space="0"/>
              <w:bottom w:val="single" w:color="000000" w:sz="4" w:space="0"/>
              <w:right w:val="single" w:color="auto" w:sz="4" w:space="0"/>
            </w:tcBorders>
            <w:noWrap w:val="0"/>
            <w:vAlign w:val="center"/>
          </w:tcPr>
          <w:p w14:paraId="786B2824">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150" w:type="dxa"/>
            <w:tcBorders>
              <w:top w:val="single" w:color="000000" w:sz="4" w:space="0"/>
              <w:left w:val="single" w:color="auto" w:sz="4" w:space="0"/>
              <w:bottom w:val="single" w:color="000000" w:sz="4" w:space="0"/>
              <w:right w:val="single" w:color="auto" w:sz="4" w:space="0"/>
            </w:tcBorders>
            <w:noWrap w:val="0"/>
            <w:vAlign w:val="center"/>
          </w:tcPr>
          <w:p w14:paraId="0C995904">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工作到岗到位，行为规范，与同事和谐相处。</w:t>
            </w:r>
          </w:p>
        </w:tc>
        <w:tc>
          <w:tcPr>
            <w:tcW w:w="6938" w:type="dxa"/>
            <w:tcBorders>
              <w:top w:val="single" w:color="000000" w:sz="4" w:space="0"/>
              <w:left w:val="single" w:color="auto" w:sz="4" w:space="0"/>
              <w:bottom w:val="single" w:color="000000" w:sz="4" w:space="0"/>
              <w:right w:val="single" w:color="000000" w:sz="4" w:space="0"/>
            </w:tcBorders>
            <w:noWrap w:val="0"/>
            <w:vAlign w:val="center"/>
          </w:tcPr>
          <w:p w14:paraId="7E8B698C">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违反管理中心各项规章制度，每次扣5分，被上级机关发现的，</w:t>
            </w:r>
            <w:r>
              <w:rPr>
                <w:rFonts w:hint="eastAsia" w:ascii="宋体" w:hAnsi="宋体" w:eastAsia="宋体" w:cs="宋体"/>
                <w:color w:val="auto"/>
                <w:sz w:val="21"/>
                <w:szCs w:val="21"/>
                <w:highlight w:val="none"/>
              </w:rPr>
              <w:t>此项不得分</w:t>
            </w:r>
            <w:r>
              <w:rPr>
                <w:rFonts w:hint="eastAsia" w:ascii="宋体" w:hAnsi="宋体" w:eastAsia="宋体" w:cs="宋体"/>
                <w:color w:val="auto"/>
                <w:kern w:val="0"/>
                <w:sz w:val="21"/>
                <w:szCs w:val="21"/>
                <w:highlight w:val="none"/>
              </w:rPr>
              <w:t>；</w:t>
            </w:r>
          </w:p>
          <w:p w14:paraId="0C29AE7C">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sz w:val="21"/>
                <w:szCs w:val="21"/>
                <w:highlight w:val="none"/>
              </w:rPr>
              <w:t>发生打架斗殴等性质恶劣事件，扣20分；</w:t>
            </w:r>
          </w:p>
          <w:p w14:paraId="04A93802">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highlight w:val="none"/>
              </w:rPr>
              <w:t>上班时间</w:t>
            </w:r>
            <w:r>
              <w:rPr>
                <w:rFonts w:hint="eastAsia" w:ascii="宋体" w:hAnsi="宋体" w:eastAsia="宋体" w:cs="宋体"/>
                <w:color w:val="auto"/>
                <w:sz w:val="21"/>
                <w:szCs w:val="21"/>
                <w:highlight w:val="none"/>
              </w:rPr>
              <w:t>员工脱岗、串岗，</w:t>
            </w:r>
            <w:r>
              <w:rPr>
                <w:rFonts w:hint="eastAsia" w:ascii="宋体" w:hAnsi="宋体" w:eastAsia="宋体" w:cs="宋体"/>
                <w:color w:val="auto"/>
                <w:kern w:val="0"/>
                <w:sz w:val="21"/>
                <w:szCs w:val="21"/>
                <w:highlight w:val="none"/>
              </w:rPr>
              <w:t>做与工作、学习无关的事，发现一次扣10分；</w:t>
            </w:r>
          </w:p>
          <w:p w14:paraId="2BC55EC9">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snapToGrid w:val="0"/>
                <w:color w:val="auto"/>
                <w:sz w:val="21"/>
                <w:szCs w:val="21"/>
                <w:highlight w:val="none"/>
              </w:rPr>
              <w:t>在电站厂房、机修间、大坝管理房等重要场所从事与生产无关的工作，</w:t>
            </w:r>
            <w:r>
              <w:rPr>
                <w:rFonts w:hint="eastAsia" w:ascii="宋体" w:hAnsi="宋体" w:eastAsia="宋体" w:cs="宋体"/>
                <w:color w:val="auto"/>
                <w:kern w:val="0"/>
                <w:sz w:val="21"/>
                <w:szCs w:val="21"/>
                <w:highlight w:val="none"/>
              </w:rPr>
              <w:t>发现一次扣5分</w:t>
            </w:r>
            <w:r>
              <w:rPr>
                <w:rFonts w:hint="eastAsia" w:ascii="宋体" w:hAnsi="宋体" w:eastAsia="宋体" w:cs="宋体"/>
                <w:color w:val="auto"/>
                <w:sz w:val="21"/>
                <w:szCs w:val="21"/>
                <w:highlight w:val="none"/>
              </w:rPr>
              <w:t>；</w:t>
            </w:r>
          </w:p>
          <w:p w14:paraId="310FD4F4">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5.</w:t>
            </w:r>
            <w:r>
              <w:rPr>
                <w:rFonts w:hint="eastAsia" w:ascii="宋体" w:hAnsi="宋体" w:eastAsia="宋体" w:cs="宋体"/>
                <w:color w:val="auto"/>
                <w:sz w:val="21"/>
                <w:szCs w:val="21"/>
                <w:highlight w:val="none"/>
              </w:rPr>
              <w:t>厂房内禁止吸烟，乱丢果壳、烟头等垃圾的，发现一次扣5分；</w:t>
            </w:r>
          </w:p>
          <w:p w14:paraId="5DB08A19">
            <w:pPr>
              <w:keepNext w:val="0"/>
              <w:keepLines w:val="0"/>
              <w:numPr>
                <w:ilvl w:val="0"/>
                <w:numId w:val="0"/>
              </w:numPr>
              <w:suppressLineNumbers w:val="0"/>
              <w:spacing w:before="0" w:beforeAutospacing="0" w:after="0" w:afterAutospacing="0"/>
              <w:ind w:left="420" w:leftChars="0" w:right="0" w:righ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值班人员服装不统一、不规范，扣5分；</w:t>
            </w:r>
          </w:p>
          <w:p w14:paraId="7B7C87DF">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7.</w:t>
            </w:r>
            <w:r>
              <w:rPr>
                <w:rFonts w:hint="eastAsia" w:ascii="宋体" w:hAnsi="宋体" w:eastAsia="宋体" w:cs="宋体"/>
                <w:color w:val="auto"/>
                <w:sz w:val="21"/>
                <w:szCs w:val="21"/>
                <w:highlight w:val="none"/>
              </w:rPr>
              <w:t>上班饮酒和酒后值班，发现一次扣10分；</w:t>
            </w:r>
          </w:p>
          <w:p w14:paraId="669764CD">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8.</w:t>
            </w:r>
            <w:r>
              <w:rPr>
                <w:rFonts w:hint="eastAsia" w:ascii="宋体" w:hAnsi="宋体" w:eastAsia="宋体" w:cs="宋体"/>
                <w:color w:val="auto"/>
                <w:sz w:val="21"/>
                <w:szCs w:val="21"/>
                <w:highlight w:val="none"/>
              </w:rPr>
              <w:t>违规使用空调、加热设备等大功率电器，</w:t>
            </w:r>
            <w:r>
              <w:rPr>
                <w:rFonts w:hint="eastAsia" w:ascii="宋体" w:hAnsi="宋体" w:eastAsia="宋体" w:cs="宋体"/>
                <w:color w:val="auto"/>
                <w:kern w:val="0"/>
                <w:sz w:val="21"/>
                <w:szCs w:val="21"/>
                <w:highlight w:val="none"/>
              </w:rPr>
              <w:t>损坏公共财物，浪费公共资源，发现一次扣5分；</w:t>
            </w:r>
          </w:p>
          <w:p w14:paraId="377AC2AD">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9.</w:t>
            </w:r>
            <w:r>
              <w:rPr>
                <w:rFonts w:hint="eastAsia" w:ascii="宋体" w:hAnsi="宋体" w:eastAsia="宋体" w:cs="宋体"/>
                <w:snapToGrid w:val="0"/>
                <w:color w:val="auto"/>
                <w:sz w:val="21"/>
                <w:szCs w:val="21"/>
                <w:highlight w:val="none"/>
              </w:rPr>
              <w:t>管理区域内饲养家禽、家畜、宠物，</w:t>
            </w:r>
            <w:r>
              <w:rPr>
                <w:rFonts w:hint="eastAsia" w:ascii="宋体" w:hAnsi="宋体" w:eastAsia="宋体" w:cs="宋体"/>
                <w:snapToGrid w:val="0"/>
                <w:color w:val="auto"/>
                <w:sz w:val="21"/>
                <w:szCs w:val="21"/>
                <w:highlight w:val="none"/>
                <w:lang w:val="en-US" w:eastAsia="zh-CN"/>
              </w:rPr>
              <w:t>发现一次</w:t>
            </w:r>
            <w:r>
              <w:rPr>
                <w:rFonts w:hint="eastAsia" w:ascii="宋体" w:hAnsi="宋体" w:eastAsia="宋体" w:cs="宋体"/>
                <w:color w:val="auto"/>
                <w:sz w:val="21"/>
                <w:szCs w:val="21"/>
                <w:highlight w:val="none"/>
              </w:rPr>
              <w:t>扣5分。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4B78885">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r w14:paraId="4CE0B1E9">
        <w:tblPrEx>
          <w:tblCellMar>
            <w:top w:w="15" w:type="dxa"/>
            <w:left w:w="15" w:type="dxa"/>
            <w:bottom w:w="15" w:type="dxa"/>
            <w:right w:w="15" w:type="dxa"/>
          </w:tblCellMar>
        </w:tblPrEx>
        <w:trPr>
          <w:trHeight w:val="90" w:hRule="atLeast"/>
        </w:trPr>
        <w:tc>
          <w:tcPr>
            <w:tcW w:w="628" w:type="dxa"/>
            <w:tcBorders>
              <w:top w:val="single" w:color="000000" w:sz="4" w:space="0"/>
              <w:left w:val="single" w:color="000000" w:sz="4" w:space="0"/>
              <w:bottom w:val="single" w:color="000000" w:sz="4" w:space="0"/>
              <w:right w:val="single" w:color="auto" w:sz="4" w:space="0"/>
            </w:tcBorders>
            <w:noWrap w:val="0"/>
            <w:vAlign w:val="center"/>
          </w:tcPr>
          <w:p w14:paraId="0BE53BD2">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95" w:type="dxa"/>
            <w:tcBorders>
              <w:top w:val="single" w:color="000000" w:sz="4" w:space="0"/>
              <w:left w:val="single" w:color="auto" w:sz="4" w:space="0"/>
              <w:bottom w:val="single" w:color="000000" w:sz="4" w:space="0"/>
              <w:right w:val="single" w:color="auto" w:sz="4" w:space="0"/>
            </w:tcBorders>
            <w:noWrap w:val="0"/>
            <w:vAlign w:val="center"/>
          </w:tcPr>
          <w:p w14:paraId="2D1F7D4E">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后勤、档案管理</w:t>
            </w:r>
          </w:p>
        </w:tc>
        <w:tc>
          <w:tcPr>
            <w:tcW w:w="885" w:type="dxa"/>
            <w:tcBorders>
              <w:top w:val="single" w:color="000000" w:sz="4" w:space="0"/>
              <w:left w:val="single" w:color="auto" w:sz="4" w:space="0"/>
              <w:bottom w:val="single" w:color="000000" w:sz="4" w:space="0"/>
              <w:right w:val="single" w:color="auto" w:sz="4" w:space="0"/>
            </w:tcBorders>
            <w:noWrap w:val="0"/>
            <w:vAlign w:val="center"/>
          </w:tcPr>
          <w:p w14:paraId="21552ED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150" w:type="dxa"/>
            <w:tcBorders>
              <w:top w:val="single" w:color="000000" w:sz="4" w:space="0"/>
              <w:left w:val="single" w:color="auto" w:sz="4" w:space="0"/>
              <w:bottom w:val="single" w:color="000000" w:sz="4" w:space="0"/>
              <w:right w:val="single" w:color="auto" w:sz="4" w:space="0"/>
            </w:tcBorders>
            <w:noWrap w:val="0"/>
            <w:vAlign w:val="center"/>
          </w:tcPr>
          <w:p w14:paraId="2378A90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做好后勤管理，保持管理区域卫生清洁，协助</w:t>
            </w:r>
            <w:r>
              <w:rPr>
                <w:rFonts w:hint="eastAsia" w:ascii="宋体" w:hAnsi="宋体" w:cs="宋体"/>
                <w:color w:val="auto"/>
                <w:kern w:val="0"/>
                <w:sz w:val="21"/>
                <w:szCs w:val="21"/>
                <w:highlight w:val="none"/>
                <w:lang w:val="en-US" w:eastAsia="zh-CN"/>
              </w:rPr>
              <w:t>业主</w:t>
            </w:r>
            <w:r>
              <w:rPr>
                <w:rFonts w:hint="eastAsia" w:ascii="宋体" w:hAnsi="宋体" w:eastAsia="宋体" w:cs="宋体"/>
                <w:color w:val="auto"/>
                <w:kern w:val="0"/>
                <w:sz w:val="21"/>
                <w:szCs w:val="21"/>
                <w:highlight w:val="none"/>
              </w:rPr>
              <w:t>开展对外联络的各项工作，资料档案管理有序，规范。</w:t>
            </w:r>
          </w:p>
        </w:tc>
        <w:tc>
          <w:tcPr>
            <w:tcW w:w="6938" w:type="dxa"/>
            <w:tcBorders>
              <w:top w:val="single" w:color="000000" w:sz="4" w:space="0"/>
              <w:left w:val="single" w:color="auto" w:sz="4" w:space="0"/>
              <w:bottom w:val="single" w:color="000000" w:sz="4" w:space="0"/>
              <w:right w:val="single" w:color="000000" w:sz="4" w:space="0"/>
            </w:tcBorders>
            <w:noWrap w:val="0"/>
            <w:vAlign w:val="center"/>
          </w:tcPr>
          <w:p w14:paraId="2D0A01FB">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后勤工作不到位，发生食品安全事件，扣10分；</w:t>
            </w:r>
          </w:p>
          <w:p w14:paraId="78BCDF10">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highlight w:val="none"/>
              </w:rPr>
              <w:t>室外管理区域不整洁，有烟头、杂物、不可分解垃圾，每处扣5分；</w:t>
            </w:r>
          </w:p>
          <w:p w14:paraId="4BE8AD87">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highlight w:val="none"/>
              </w:rPr>
              <w:t>厂房内不整洁，地面、窗台有显眼昆虫、积尘、烟头、杂物、不可分解垃圾，门窗不洁净，每处扣5分；</w:t>
            </w:r>
          </w:p>
          <w:p w14:paraId="45674A2C">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highlight w:val="none"/>
              </w:rPr>
              <w:t>管理房公用区域、卫生间、洗漱间、宿舍走廊过道等脏、乱、差，扣5分；</w:t>
            </w:r>
          </w:p>
          <w:p w14:paraId="07812025">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5.</w:t>
            </w:r>
            <w:r>
              <w:rPr>
                <w:rFonts w:hint="eastAsia" w:ascii="宋体" w:hAnsi="宋体" w:eastAsia="宋体" w:cs="宋体"/>
                <w:color w:val="auto"/>
                <w:kern w:val="0"/>
                <w:sz w:val="21"/>
                <w:szCs w:val="21"/>
                <w:highlight w:val="none"/>
              </w:rPr>
              <w:t>敷衍、拒绝配合</w:t>
            </w:r>
            <w:r>
              <w:rPr>
                <w:rFonts w:hint="eastAsia" w:ascii="宋体" w:hAnsi="宋体" w:cs="宋体"/>
                <w:color w:val="auto"/>
                <w:kern w:val="0"/>
                <w:sz w:val="21"/>
                <w:szCs w:val="21"/>
                <w:highlight w:val="none"/>
                <w:lang w:val="en-US" w:eastAsia="zh-CN"/>
              </w:rPr>
              <w:t>业主</w:t>
            </w:r>
            <w:r>
              <w:rPr>
                <w:rFonts w:hint="eastAsia" w:ascii="宋体" w:hAnsi="宋体" w:eastAsia="宋体" w:cs="宋体"/>
                <w:color w:val="auto"/>
                <w:kern w:val="0"/>
                <w:sz w:val="21"/>
                <w:szCs w:val="21"/>
                <w:highlight w:val="none"/>
              </w:rPr>
              <w:t>处理外部联络的相关工作，扣5分；</w:t>
            </w:r>
          </w:p>
          <w:p w14:paraId="3B29B263">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6.</w:t>
            </w:r>
            <w:r>
              <w:rPr>
                <w:rFonts w:hint="eastAsia" w:ascii="宋体" w:hAnsi="宋体" w:eastAsia="宋体" w:cs="宋体"/>
                <w:color w:val="auto"/>
                <w:kern w:val="0"/>
                <w:sz w:val="21"/>
                <w:szCs w:val="21"/>
                <w:highlight w:val="none"/>
              </w:rPr>
              <w:t>敷衍、拒绝配合</w:t>
            </w:r>
            <w:r>
              <w:rPr>
                <w:rFonts w:hint="eastAsia" w:ascii="宋体" w:hAnsi="宋体" w:cs="宋体"/>
                <w:color w:val="auto"/>
                <w:kern w:val="0"/>
                <w:sz w:val="21"/>
                <w:szCs w:val="21"/>
                <w:highlight w:val="none"/>
                <w:lang w:val="en-US" w:eastAsia="zh-CN"/>
              </w:rPr>
              <w:t>业主</w:t>
            </w:r>
            <w:r>
              <w:rPr>
                <w:rFonts w:hint="eastAsia" w:ascii="宋体" w:hAnsi="宋体" w:eastAsia="宋体" w:cs="宋体"/>
                <w:color w:val="auto"/>
                <w:kern w:val="0"/>
                <w:sz w:val="21"/>
                <w:szCs w:val="21"/>
                <w:highlight w:val="none"/>
              </w:rPr>
              <w:t>处理社会面公共关系，扣5分；</w:t>
            </w:r>
          </w:p>
          <w:p w14:paraId="7A96413F">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7.</w:t>
            </w:r>
            <w:r>
              <w:rPr>
                <w:rFonts w:hint="eastAsia" w:ascii="宋体" w:hAnsi="宋体" w:eastAsia="宋体" w:cs="宋体"/>
                <w:color w:val="auto"/>
                <w:kern w:val="0"/>
                <w:sz w:val="21"/>
                <w:szCs w:val="21"/>
                <w:highlight w:val="none"/>
              </w:rPr>
              <w:t>资料、记录未分类存放，扣5分；</w:t>
            </w:r>
          </w:p>
          <w:p w14:paraId="55D320D2">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8.</w:t>
            </w:r>
            <w:r>
              <w:rPr>
                <w:rFonts w:hint="eastAsia" w:ascii="宋体" w:hAnsi="宋体" w:eastAsia="宋体" w:cs="宋体"/>
                <w:color w:val="auto"/>
                <w:kern w:val="0"/>
                <w:sz w:val="21"/>
                <w:szCs w:val="21"/>
                <w:highlight w:val="none"/>
              </w:rPr>
              <w:t>资料、记录年末未按规定存档，扣5分；</w:t>
            </w:r>
          </w:p>
          <w:p w14:paraId="6AD732D9">
            <w:pPr>
              <w:keepNext w:val="0"/>
              <w:keepLines w:val="0"/>
              <w:widowControl/>
              <w:numPr>
                <w:ilvl w:val="0"/>
                <w:numId w:val="0"/>
              </w:numPr>
              <w:suppressLineNumbers w:val="0"/>
              <w:spacing w:before="0" w:beforeAutospacing="0" w:after="0" w:afterAutospacing="0" w:line="400" w:lineRule="exact"/>
              <w:ind w:left="479" w:leftChars="0" w:right="0" w:rightChars="0" w:hanging="425" w:firstLineChars="0"/>
              <w:jc w:val="left"/>
              <w:textAlignment w:val="center"/>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lang w:val="en-US" w:eastAsia="zh-CN" w:bidi="ar-SA"/>
              </w:rPr>
              <w:t>9.</w:t>
            </w:r>
            <w:r>
              <w:rPr>
                <w:rFonts w:hint="eastAsia" w:ascii="宋体" w:hAnsi="宋体" w:eastAsia="宋体" w:cs="宋体"/>
                <w:color w:val="auto"/>
                <w:kern w:val="0"/>
                <w:sz w:val="21"/>
                <w:szCs w:val="21"/>
                <w:highlight w:val="none"/>
              </w:rPr>
              <w:t>档案内容不完整、资料缺失，扣5分；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272984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r>
    </w:tbl>
    <w:p w14:paraId="487DE641">
      <w:pPr>
        <w:spacing w:line="400" w:lineRule="exact"/>
        <w:ind w:firstLine="422" w:firstLineChars="200"/>
        <w:rPr>
          <w:rFonts w:hint="eastAsia" w:ascii="宋体" w:hAnsi="宋体" w:eastAsia="宋体" w:cs="宋体"/>
          <w:b/>
          <w:bCs/>
          <w:color w:val="auto"/>
          <w:sz w:val="21"/>
          <w:szCs w:val="21"/>
          <w:highlight w:val="none"/>
        </w:rPr>
      </w:pPr>
    </w:p>
    <w:p w14:paraId="3720E64C">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橡胶坝</w:t>
      </w:r>
      <w:r>
        <w:rPr>
          <w:rFonts w:hint="eastAsia" w:ascii="宋体" w:hAnsi="宋体" w:eastAsia="宋体" w:cs="宋体"/>
          <w:b/>
          <w:bCs/>
          <w:color w:val="auto"/>
          <w:sz w:val="21"/>
          <w:szCs w:val="21"/>
          <w:highlight w:val="none"/>
        </w:rPr>
        <w:t>运行管理（300分）</w:t>
      </w:r>
    </w:p>
    <w:tbl>
      <w:tblPr>
        <w:tblStyle w:val="80"/>
        <w:tblW w:w="0" w:type="auto"/>
        <w:tblInd w:w="0" w:type="dxa"/>
        <w:tblLayout w:type="fixed"/>
        <w:tblCellMar>
          <w:top w:w="15" w:type="dxa"/>
          <w:left w:w="15" w:type="dxa"/>
          <w:bottom w:w="15" w:type="dxa"/>
          <w:right w:w="15" w:type="dxa"/>
        </w:tblCellMar>
      </w:tblPr>
      <w:tblGrid>
        <w:gridCol w:w="442"/>
        <w:gridCol w:w="1113"/>
        <w:gridCol w:w="1010"/>
        <w:gridCol w:w="2722"/>
        <w:gridCol w:w="6"/>
        <w:gridCol w:w="7619"/>
        <w:gridCol w:w="1068"/>
      </w:tblGrid>
      <w:tr w14:paraId="7AA77C49">
        <w:tblPrEx>
          <w:tblCellMar>
            <w:top w:w="15" w:type="dxa"/>
            <w:left w:w="15" w:type="dxa"/>
            <w:bottom w:w="15" w:type="dxa"/>
            <w:right w:w="15" w:type="dxa"/>
          </w:tblCellMar>
        </w:tblPrEx>
        <w:trPr>
          <w:trHeight w:val="685" w:hRule="atLeast"/>
        </w:trPr>
        <w:tc>
          <w:tcPr>
            <w:tcW w:w="442" w:type="dxa"/>
            <w:tcBorders>
              <w:top w:val="single" w:color="000000" w:sz="4" w:space="0"/>
              <w:left w:val="single" w:color="000000" w:sz="4" w:space="0"/>
              <w:bottom w:val="single" w:color="000000" w:sz="4" w:space="0"/>
              <w:right w:val="single" w:color="auto" w:sz="4" w:space="0"/>
            </w:tcBorders>
            <w:noWrap w:val="0"/>
            <w:vAlign w:val="center"/>
          </w:tcPr>
          <w:p w14:paraId="406B16ED">
            <w:pPr>
              <w:keepNext w:val="0"/>
              <w:keepLines w:val="0"/>
              <w:widowControl/>
              <w:suppressLineNumbers w:val="0"/>
              <w:spacing w:before="0" w:beforeAutospacing="0" w:after="0" w:afterAutospacing="0" w:line="400" w:lineRule="exact"/>
              <w:ind w:left="0" w:right="0"/>
              <w:jc w:val="center"/>
              <w:textAlignment w:val="center"/>
              <w:rPr>
                <w:rStyle w:val="463"/>
                <w:rFonts w:hint="eastAsia" w:ascii="宋体" w:hAnsi="宋体" w:eastAsia="宋体" w:cs="宋体"/>
                <w:color w:val="auto"/>
                <w:sz w:val="21"/>
                <w:szCs w:val="21"/>
                <w:highlight w:val="none"/>
              </w:rPr>
            </w:pPr>
            <w:r>
              <w:rPr>
                <w:rStyle w:val="463"/>
                <w:rFonts w:hint="eastAsia" w:ascii="宋体" w:hAnsi="宋体" w:eastAsia="宋体" w:cs="宋体"/>
                <w:color w:val="auto"/>
                <w:sz w:val="21"/>
                <w:szCs w:val="21"/>
                <w:highlight w:val="none"/>
              </w:rPr>
              <w:t>序号</w:t>
            </w:r>
          </w:p>
        </w:tc>
        <w:tc>
          <w:tcPr>
            <w:tcW w:w="1113" w:type="dxa"/>
            <w:tcBorders>
              <w:top w:val="single" w:color="000000" w:sz="4" w:space="0"/>
              <w:left w:val="single" w:color="auto" w:sz="4" w:space="0"/>
              <w:bottom w:val="single" w:color="000000" w:sz="4" w:space="0"/>
              <w:right w:val="single" w:color="auto" w:sz="4" w:space="0"/>
            </w:tcBorders>
            <w:noWrap w:val="0"/>
            <w:vAlign w:val="center"/>
          </w:tcPr>
          <w:p w14:paraId="04D1025A">
            <w:pPr>
              <w:keepNext w:val="0"/>
              <w:keepLines w:val="0"/>
              <w:widowControl/>
              <w:suppressLineNumbers w:val="0"/>
              <w:spacing w:before="0" w:beforeAutospacing="0" w:after="0" w:afterAutospacing="0" w:line="400" w:lineRule="exact"/>
              <w:ind w:left="0" w:right="0"/>
              <w:jc w:val="center"/>
              <w:textAlignment w:val="center"/>
              <w:rPr>
                <w:rStyle w:val="463"/>
                <w:rFonts w:hint="eastAsia" w:ascii="宋体" w:hAnsi="宋体" w:eastAsia="宋体" w:cs="宋体"/>
                <w:color w:val="auto"/>
                <w:sz w:val="21"/>
                <w:szCs w:val="21"/>
                <w:highlight w:val="none"/>
              </w:rPr>
            </w:pPr>
            <w:r>
              <w:rPr>
                <w:rStyle w:val="463"/>
                <w:rFonts w:hint="eastAsia" w:ascii="宋体" w:hAnsi="宋体" w:eastAsia="宋体" w:cs="宋体"/>
                <w:color w:val="auto"/>
                <w:sz w:val="21"/>
                <w:szCs w:val="21"/>
                <w:highlight w:val="none"/>
              </w:rPr>
              <w:t>项目</w:t>
            </w:r>
          </w:p>
        </w:tc>
        <w:tc>
          <w:tcPr>
            <w:tcW w:w="1010" w:type="dxa"/>
            <w:tcBorders>
              <w:top w:val="single" w:color="000000" w:sz="4" w:space="0"/>
              <w:left w:val="single" w:color="auto" w:sz="4" w:space="0"/>
              <w:bottom w:val="single" w:color="000000" w:sz="4" w:space="0"/>
              <w:right w:val="single" w:color="auto" w:sz="4" w:space="0"/>
            </w:tcBorders>
            <w:noWrap w:val="0"/>
            <w:vAlign w:val="center"/>
          </w:tcPr>
          <w:p w14:paraId="3891006D">
            <w:pPr>
              <w:keepNext w:val="0"/>
              <w:keepLines w:val="0"/>
              <w:widowControl/>
              <w:suppressLineNumbers w:val="0"/>
              <w:spacing w:before="0" w:beforeAutospacing="0" w:after="0" w:afterAutospacing="0" w:line="400" w:lineRule="exact"/>
              <w:ind w:left="0" w:right="0"/>
              <w:jc w:val="center"/>
              <w:textAlignment w:val="center"/>
              <w:rPr>
                <w:rStyle w:val="463"/>
                <w:rFonts w:hint="eastAsia" w:ascii="宋体" w:hAnsi="宋体" w:eastAsia="宋体" w:cs="宋体"/>
                <w:color w:val="auto"/>
                <w:sz w:val="21"/>
                <w:szCs w:val="21"/>
                <w:highlight w:val="none"/>
              </w:rPr>
            </w:pPr>
            <w:r>
              <w:rPr>
                <w:rStyle w:val="463"/>
                <w:rFonts w:hint="eastAsia" w:ascii="宋体" w:hAnsi="宋体" w:eastAsia="宋体" w:cs="宋体"/>
                <w:color w:val="auto"/>
                <w:sz w:val="21"/>
                <w:szCs w:val="21"/>
                <w:highlight w:val="none"/>
              </w:rPr>
              <w:t>标准分</w:t>
            </w:r>
          </w:p>
        </w:tc>
        <w:tc>
          <w:tcPr>
            <w:tcW w:w="2728" w:type="dxa"/>
            <w:gridSpan w:val="2"/>
            <w:tcBorders>
              <w:top w:val="single" w:color="000000" w:sz="4" w:space="0"/>
              <w:left w:val="single" w:color="auto" w:sz="4" w:space="0"/>
              <w:bottom w:val="single" w:color="000000" w:sz="4" w:space="0"/>
              <w:right w:val="single" w:color="auto" w:sz="4" w:space="0"/>
            </w:tcBorders>
            <w:noWrap w:val="0"/>
            <w:vAlign w:val="center"/>
          </w:tcPr>
          <w:p w14:paraId="3C21702E">
            <w:pPr>
              <w:keepNext w:val="0"/>
              <w:keepLines w:val="0"/>
              <w:widowControl/>
              <w:suppressLineNumbers w:val="0"/>
              <w:spacing w:before="0" w:beforeAutospacing="0" w:after="0" w:afterAutospacing="0" w:line="400" w:lineRule="exact"/>
              <w:ind w:left="0" w:right="0"/>
              <w:jc w:val="center"/>
              <w:textAlignment w:val="center"/>
              <w:rPr>
                <w:rStyle w:val="463"/>
                <w:rFonts w:hint="eastAsia" w:ascii="宋体" w:hAnsi="宋体" w:eastAsia="宋体" w:cs="宋体"/>
                <w:color w:val="auto"/>
                <w:sz w:val="21"/>
                <w:szCs w:val="21"/>
                <w:highlight w:val="none"/>
              </w:rPr>
            </w:pPr>
            <w:r>
              <w:rPr>
                <w:rStyle w:val="463"/>
                <w:rFonts w:hint="eastAsia" w:ascii="宋体" w:hAnsi="宋体" w:eastAsia="宋体" w:cs="宋体"/>
                <w:color w:val="auto"/>
                <w:sz w:val="21"/>
                <w:szCs w:val="21"/>
                <w:highlight w:val="none"/>
              </w:rPr>
              <w:t>管理要求</w:t>
            </w:r>
          </w:p>
        </w:tc>
        <w:tc>
          <w:tcPr>
            <w:tcW w:w="7619" w:type="dxa"/>
            <w:tcBorders>
              <w:top w:val="single" w:color="000000" w:sz="4" w:space="0"/>
              <w:left w:val="single" w:color="auto" w:sz="4" w:space="0"/>
              <w:bottom w:val="single" w:color="000000" w:sz="4" w:space="0"/>
              <w:right w:val="single" w:color="000000" w:sz="4" w:space="0"/>
            </w:tcBorders>
            <w:noWrap w:val="0"/>
            <w:vAlign w:val="center"/>
          </w:tcPr>
          <w:p w14:paraId="319B5CED">
            <w:pPr>
              <w:keepNext w:val="0"/>
              <w:keepLines w:val="0"/>
              <w:widowControl/>
              <w:suppressLineNumbers w:val="0"/>
              <w:spacing w:before="0" w:beforeAutospacing="0" w:after="0" w:afterAutospacing="0" w:line="400" w:lineRule="exact"/>
              <w:ind w:left="0" w:right="0"/>
              <w:jc w:val="center"/>
              <w:textAlignment w:val="center"/>
              <w:rPr>
                <w:rStyle w:val="463"/>
                <w:rFonts w:hint="eastAsia" w:ascii="宋体" w:hAnsi="宋体" w:eastAsia="宋体" w:cs="宋体"/>
                <w:color w:val="auto"/>
                <w:sz w:val="21"/>
                <w:szCs w:val="21"/>
                <w:highlight w:val="none"/>
              </w:rPr>
            </w:pPr>
            <w:r>
              <w:rPr>
                <w:rStyle w:val="463"/>
                <w:rFonts w:hint="eastAsia" w:ascii="宋体" w:hAnsi="宋体" w:eastAsia="宋体" w:cs="宋体"/>
                <w:color w:val="auto"/>
                <w:sz w:val="21"/>
                <w:szCs w:val="21"/>
                <w:highlight w:val="none"/>
              </w:rPr>
              <w:t>扣分项</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643E5E03">
            <w:pPr>
              <w:keepNext w:val="0"/>
              <w:keepLines w:val="0"/>
              <w:widowControl/>
              <w:suppressLineNumbers w:val="0"/>
              <w:spacing w:before="0" w:beforeAutospacing="0" w:after="0" w:afterAutospacing="0" w:line="400" w:lineRule="exact"/>
              <w:ind w:left="0" w:right="0"/>
              <w:jc w:val="center"/>
              <w:textAlignment w:val="center"/>
              <w:rPr>
                <w:rStyle w:val="463"/>
                <w:rFonts w:hint="eastAsia" w:ascii="宋体" w:hAnsi="宋体" w:eastAsia="宋体" w:cs="宋体"/>
                <w:color w:val="auto"/>
                <w:sz w:val="21"/>
                <w:szCs w:val="21"/>
                <w:highlight w:val="none"/>
              </w:rPr>
            </w:pPr>
            <w:r>
              <w:rPr>
                <w:rStyle w:val="463"/>
                <w:rFonts w:hint="eastAsia" w:ascii="宋体" w:hAnsi="宋体" w:eastAsia="宋体" w:cs="宋体"/>
                <w:color w:val="auto"/>
                <w:sz w:val="21"/>
                <w:szCs w:val="21"/>
                <w:highlight w:val="none"/>
              </w:rPr>
              <w:t>考核得分</w:t>
            </w:r>
          </w:p>
        </w:tc>
      </w:tr>
      <w:tr w14:paraId="1E464E95">
        <w:tblPrEx>
          <w:tblCellMar>
            <w:top w:w="15" w:type="dxa"/>
            <w:left w:w="15" w:type="dxa"/>
            <w:bottom w:w="15" w:type="dxa"/>
            <w:right w:w="15" w:type="dxa"/>
          </w:tblCellMar>
        </w:tblPrEx>
        <w:trPr>
          <w:trHeight w:val="1683" w:hRule="atLeast"/>
        </w:trPr>
        <w:tc>
          <w:tcPr>
            <w:tcW w:w="442" w:type="dxa"/>
            <w:tcBorders>
              <w:top w:val="single" w:color="000000" w:sz="4" w:space="0"/>
              <w:left w:val="single" w:color="000000" w:sz="4" w:space="0"/>
              <w:bottom w:val="single" w:color="000000" w:sz="4" w:space="0"/>
              <w:right w:val="single" w:color="auto" w:sz="4" w:space="0"/>
            </w:tcBorders>
            <w:noWrap w:val="0"/>
            <w:vAlign w:val="center"/>
          </w:tcPr>
          <w:p w14:paraId="45F77D84">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57346CDD">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日常巡查</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FEF55B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722" w:type="dxa"/>
            <w:tcBorders>
              <w:top w:val="single" w:color="000000" w:sz="4" w:space="0"/>
              <w:left w:val="single" w:color="000000" w:sz="4" w:space="0"/>
              <w:bottom w:val="single" w:color="000000" w:sz="4" w:space="0"/>
              <w:right w:val="single" w:color="auto" w:sz="4" w:space="0"/>
            </w:tcBorders>
            <w:noWrap w:val="0"/>
            <w:vAlign w:val="center"/>
          </w:tcPr>
          <w:p w14:paraId="61A3E8C4">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做好每天值班工作；按规定要求开展大坝、溢洪道、闸门机电设备等工程日常巡查（含设备巡检），工程各部位检查内容齐全、记录完整规范，有初步分析及处理意见，并有负责人签字，发现异常及时报告。</w:t>
            </w:r>
          </w:p>
        </w:tc>
        <w:tc>
          <w:tcPr>
            <w:tcW w:w="7625" w:type="dxa"/>
            <w:gridSpan w:val="2"/>
            <w:tcBorders>
              <w:top w:val="single" w:color="000000" w:sz="4" w:space="0"/>
              <w:left w:val="single" w:color="auto" w:sz="4" w:space="0"/>
              <w:bottom w:val="single" w:color="000000" w:sz="4" w:space="0"/>
              <w:right w:val="single" w:color="000000" w:sz="4" w:space="0"/>
            </w:tcBorders>
            <w:noWrap w:val="0"/>
            <w:vAlign w:val="center"/>
          </w:tcPr>
          <w:p w14:paraId="20A22E1F">
            <w:pPr>
              <w:keepNext w:val="0"/>
              <w:keepLines w:val="0"/>
              <w:widowControl/>
              <w:numPr>
                <w:ilvl w:val="0"/>
                <w:numId w:val="13"/>
              </w:numPr>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遵守24小时值班制度，值班人员擅自离岗、脱岗的每人次扣10份，迟到早退的每人次扣5分。</w:t>
            </w:r>
          </w:p>
          <w:p w14:paraId="2C5D8108">
            <w:pPr>
              <w:keepNext w:val="0"/>
              <w:keepLines w:val="0"/>
              <w:widowControl/>
              <w:numPr>
                <w:ilvl w:val="0"/>
                <w:numId w:val="13"/>
              </w:numPr>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工程发生险情未及时发现并报告的；无巡查台账（可电子台账）的，此项不得分。</w:t>
            </w:r>
          </w:p>
          <w:p w14:paraId="497E7A93">
            <w:pPr>
              <w:keepNext w:val="0"/>
              <w:keepLines w:val="0"/>
              <w:widowControl/>
              <w:numPr>
                <w:ilvl w:val="0"/>
                <w:numId w:val="13"/>
              </w:numPr>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未落实巡查人员的，扣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6996AA1A">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w:t>
            </w:r>
            <w:r>
              <w:rPr>
                <w:rStyle w:val="567"/>
                <w:rFonts w:hint="eastAsia" w:ascii="宋体" w:hAnsi="宋体" w:eastAsia="宋体" w:cs="宋体"/>
                <w:color w:val="auto"/>
                <w:sz w:val="21"/>
                <w:szCs w:val="21"/>
                <w:highlight w:val="none"/>
              </w:rPr>
              <w:t>）巡查的频次、路线、内容不符合规定的，每发现一次扣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79A80D1A">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kern w:val="0"/>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）巡查内容或记录不齐全的，每发现一处扣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分；发现问题应当记录但未记录的，每发现一处扣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分；无初步分析及处理意见，每发现一处扣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分；检查负责人未及时核实的，每发现一处扣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分；重要问题未连续巡查、记录的，每发现一处扣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分；巡查记录无责任人签名或代签名的，扣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3DDBDA16">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6</w:t>
            </w:r>
            <w:r>
              <w:rPr>
                <w:rStyle w:val="567"/>
                <w:rFonts w:hint="eastAsia" w:ascii="宋体" w:hAnsi="宋体" w:eastAsia="宋体" w:cs="宋体"/>
                <w:color w:val="auto"/>
                <w:sz w:val="21"/>
                <w:szCs w:val="21"/>
                <w:highlight w:val="none"/>
              </w:rPr>
              <w:t>）发现缺陷、异常应当报告但未及时报告的，每发现一次，扣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58218DD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53B57604">
        <w:tblPrEx>
          <w:tblCellMar>
            <w:top w:w="15" w:type="dxa"/>
            <w:left w:w="15" w:type="dxa"/>
            <w:bottom w:w="15" w:type="dxa"/>
            <w:right w:w="15" w:type="dxa"/>
          </w:tblCellMar>
        </w:tblPrEx>
        <w:trPr>
          <w:trHeight w:val="90" w:hRule="atLeast"/>
        </w:trPr>
        <w:tc>
          <w:tcPr>
            <w:tcW w:w="442" w:type="dxa"/>
            <w:tcBorders>
              <w:top w:val="single" w:color="000000" w:sz="4" w:space="0"/>
              <w:left w:val="single" w:color="000000" w:sz="4" w:space="0"/>
              <w:bottom w:val="single" w:color="000000" w:sz="4" w:space="0"/>
              <w:right w:val="single" w:color="auto" w:sz="4" w:space="0"/>
            </w:tcBorders>
            <w:noWrap w:val="0"/>
            <w:vAlign w:val="center"/>
          </w:tcPr>
          <w:p w14:paraId="506EB1B8">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42ECDA62">
            <w:pPr>
              <w:keepNext w:val="0"/>
              <w:keepLines w:val="0"/>
              <w:widowControl/>
              <w:suppressLineNumbers w:val="0"/>
              <w:spacing w:before="0" w:beforeAutospacing="0" w:after="0" w:afterAutospacing="0" w:line="400" w:lineRule="exact"/>
              <w:ind w:left="0" w:right="0"/>
              <w:jc w:val="center"/>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水雨情测报</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8C1CA24">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2722" w:type="dxa"/>
            <w:tcBorders>
              <w:top w:val="single" w:color="000000" w:sz="4" w:space="0"/>
              <w:left w:val="single" w:color="000000" w:sz="4" w:space="0"/>
              <w:bottom w:val="single" w:color="000000" w:sz="4" w:space="0"/>
              <w:right w:val="single" w:color="auto" w:sz="4" w:space="0"/>
            </w:tcBorders>
            <w:noWrap w:val="0"/>
            <w:vAlign w:val="center"/>
          </w:tcPr>
          <w:p w14:paraId="03806448">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按规定开展雨水情测报和洪水预测预报，测预报合格率符合规范要求。</w:t>
            </w:r>
          </w:p>
        </w:tc>
        <w:tc>
          <w:tcPr>
            <w:tcW w:w="7625" w:type="dxa"/>
            <w:gridSpan w:val="2"/>
            <w:tcBorders>
              <w:top w:val="single" w:color="000000" w:sz="4" w:space="0"/>
              <w:left w:val="single" w:color="auto" w:sz="4" w:space="0"/>
              <w:bottom w:val="single" w:color="000000" w:sz="4" w:space="0"/>
              <w:right w:val="single" w:color="000000" w:sz="4" w:space="0"/>
            </w:tcBorders>
            <w:noWrap w:val="0"/>
            <w:vAlign w:val="center"/>
          </w:tcPr>
          <w:p w14:paraId="40E9D9B6">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Style w:val="567"/>
                <w:rFonts w:hint="eastAsia" w:ascii="宋体" w:hAnsi="宋体" w:eastAsia="宋体" w:cs="宋体"/>
                <w:color w:val="auto"/>
                <w:sz w:val="21"/>
                <w:szCs w:val="21"/>
                <w:highlight w:val="none"/>
              </w:rPr>
              <w:t>）未按规范规定时间及时观测、记录、记录不完整的，扣5分。</w:t>
            </w:r>
          </w:p>
          <w:p w14:paraId="19BE9FB2">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（2）漏报、错报、迟报水雨情，扣10分。</w:t>
            </w:r>
          </w:p>
          <w:p w14:paraId="5ADB942A">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（3）遥测与人工相差5cm以上，没有进行校正的，扣5分。</w:t>
            </w:r>
          </w:p>
          <w:p w14:paraId="43388668">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（4）水位尺卡线，未在规定时间发现</w:t>
            </w:r>
            <w:r>
              <w:rPr>
                <w:rStyle w:val="567"/>
                <w:rFonts w:hint="eastAsia" w:ascii="宋体" w:hAnsi="宋体" w:eastAsia="宋体" w:cs="宋体"/>
                <w:color w:val="auto"/>
                <w:sz w:val="21"/>
                <w:szCs w:val="21"/>
                <w:highlight w:val="none"/>
                <w:lang w:val="en-US" w:eastAsia="zh-CN"/>
              </w:rPr>
              <w:t>处理</w:t>
            </w:r>
            <w:r>
              <w:rPr>
                <w:rStyle w:val="567"/>
                <w:rFonts w:hint="eastAsia" w:ascii="宋体" w:hAnsi="宋体" w:eastAsia="宋体" w:cs="宋体"/>
                <w:color w:val="auto"/>
                <w:sz w:val="21"/>
                <w:szCs w:val="21"/>
                <w:highlight w:val="none"/>
              </w:rPr>
              <w:t>的，扣5分。</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04AB698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5E782C4B">
        <w:tblPrEx>
          <w:tblCellMar>
            <w:top w:w="15" w:type="dxa"/>
            <w:left w:w="15" w:type="dxa"/>
            <w:bottom w:w="15" w:type="dxa"/>
            <w:right w:w="15" w:type="dxa"/>
          </w:tblCellMar>
        </w:tblPrEx>
        <w:trPr>
          <w:trHeight w:val="184"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5F300A5">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421E837">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安全监测</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3A686E1">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30A160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观测频次、精度满足要求；记录完整规范，定期开展整编与分析。</w:t>
            </w:r>
          </w:p>
        </w:tc>
        <w:tc>
          <w:tcPr>
            <w:tcW w:w="7625" w:type="dxa"/>
            <w:gridSpan w:val="2"/>
            <w:tcBorders>
              <w:top w:val="single" w:color="000000" w:sz="4" w:space="0"/>
              <w:left w:val="single" w:color="000000" w:sz="4" w:space="0"/>
              <w:bottom w:val="single" w:color="000000" w:sz="4" w:space="0"/>
              <w:right w:val="single" w:color="000000" w:sz="4" w:space="0"/>
            </w:tcBorders>
            <w:noWrap w:val="0"/>
            <w:vAlign w:val="center"/>
          </w:tcPr>
          <w:p w14:paraId="017CC625">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（1）监测频次、精度不符合规范要求，每次扣</w:t>
            </w:r>
            <w:r>
              <w:rPr>
                <w:rStyle w:val="567"/>
                <w:rFonts w:hint="eastAsia" w:ascii="宋体" w:hAnsi="宋体" w:eastAsia="宋体" w:cs="宋体"/>
                <w:color w:val="auto"/>
                <w:sz w:val="21"/>
                <w:szCs w:val="21"/>
                <w:highlight w:val="none"/>
                <w:lang w:val="en-US" w:eastAsia="zh-CN"/>
              </w:rPr>
              <w:t>10</w:t>
            </w:r>
            <w:r>
              <w:rPr>
                <w:rStyle w:val="567"/>
                <w:rFonts w:hint="eastAsia" w:ascii="宋体" w:hAnsi="宋体" w:eastAsia="宋体" w:cs="宋体"/>
                <w:color w:val="auto"/>
                <w:sz w:val="21"/>
                <w:szCs w:val="21"/>
                <w:highlight w:val="none"/>
              </w:rPr>
              <w:t>分；遇高水位、水位突变、地震或其它异常情况时未加密监测，每次扣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6407AA98">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kern w:val="0"/>
                <w:sz w:val="21"/>
                <w:szCs w:val="21"/>
                <w:highlight w:val="none"/>
              </w:rPr>
            </w:pPr>
            <w:r>
              <w:rPr>
                <w:rStyle w:val="567"/>
                <w:rFonts w:hint="eastAsia" w:ascii="宋体" w:hAnsi="宋体" w:eastAsia="宋体" w:cs="宋体"/>
                <w:color w:val="auto"/>
                <w:sz w:val="21"/>
                <w:szCs w:val="21"/>
                <w:highlight w:val="none"/>
              </w:rPr>
              <w:t>（2）记录不完整的，每处扣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分；未及时进行资料整编的，每次扣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分；无初步分析报告的，每次扣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分；出现异常未及时分析、报告、落实措施的，每处扣5分。</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0E07E7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71AD4149">
        <w:tblPrEx>
          <w:tblCellMar>
            <w:top w:w="15" w:type="dxa"/>
            <w:left w:w="15" w:type="dxa"/>
            <w:bottom w:w="15" w:type="dxa"/>
            <w:right w:w="15" w:type="dxa"/>
          </w:tblCellMar>
        </w:tblPrEx>
        <w:trPr>
          <w:trHeight w:val="1463"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9526BCE">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171B92A">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调度运行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7DB4BDF">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1D7C0377">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大坝值班应保持2人在岗，上级发出应急响应指令后全员到岗。</w:t>
            </w:r>
            <w:r>
              <w:rPr>
                <w:rStyle w:val="567"/>
                <w:rFonts w:hint="eastAsia" w:ascii="宋体" w:hAnsi="宋体" w:eastAsia="宋体" w:cs="宋体"/>
                <w:color w:val="auto"/>
                <w:sz w:val="21"/>
                <w:szCs w:val="21"/>
                <w:highlight w:val="none"/>
              </w:rPr>
              <w:t>及时开展洪水预报与调度自评分析工作，按照批准的控制运用计划和指令进行调度运行，记录齐全；及时预报，做好洪水调度总结。</w:t>
            </w:r>
          </w:p>
        </w:tc>
        <w:tc>
          <w:tcPr>
            <w:tcW w:w="7625" w:type="dxa"/>
            <w:gridSpan w:val="2"/>
            <w:tcBorders>
              <w:top w:val="single" w:color="000000" w:sz="4" w:space="0"/>
              <w:left w:val="single" w:color="000000" w:sz="4" w:space="0"/>
              <w:bottom w:val="single" w:color="000000" w:sz="4" w:space="0"/>
              <w:right w:val="single" w:color="000000" w:sz="4" w:space="0"/>
            </w:tcBorders>
            <w:noWrap w:val="0"/>
            <w:vAlign w:val="center"/>
          </w:tcPr>
          <w:p w14:paraId="11E2370F">
            <w:pPr>
              <w:keepNext w:val="0"/>
              <w:keepLines w:val="0"/>
              <w:widowControl/>
              <w:numPr>
                <w:ilvl w:val="0"/>
                <w:numId w:val="14"/>
              </w:numPr>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调度原则、调度权限不清晰，每次扣5分；指令流程不明确的，每次扣5分。</w:t>
            </w:r>
          </w:p>
          <w:p w14:paraId="707FFD49">
            <w:pPr>
              <w:keepNext w:val="0"/>
              <w:keepLines w:val="0"/>
              <w:widowControl/>
              <w:numPr>
                <w:ilvl w:val="0"/>
                <w:numId w:val="14"/>
              </w:numPr>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调度记录台账不规范的，每处扣5分；闸门操作指令（操作票）无责任人签名的，每处扣5分。</w:t>
            </w:r>
          </w:p>
          <w:p w14:paraId="20FA295E">
            <w:pPr>
              <w:keepNext w:val="0"/>
              <w:keepLines w:val="0"/>
              <w:widowControl/>
              <w:numPr>
                <w:ilvl w:val="0"/>
                <w:numId w:val="14"/>
              </w:numPr>
              <w:suppressLineNumbers w:val="0"/>
              <w:spacing w:before="0" w:beforeAutospacing="0" w:after="0" w:afterAutospacing="0" w:line="400" w:lineRule="exact"/>
              <w:ind w:left="0" w:right="0"/>
              <w:jc w:val="left"/>
              <w:textAlignment w:val="center"/>
              <w:rPr>
                <w:rFonts w:hint="eastAsia" w:ascii="宋体" w:hAnsi="宋体" w:eastAsia="宋体" w:cs="宋体"/>
                <w:color w:val="auto"/>
                <w:kern w:val="0"/>
                <w:sz w:val="21"/>
                <w:szCs w:val="21"/>
                <w:highlight w:val="none"/>
              </w:rPr>
            </w:pPr>
            <w:r>
              <w:rPr>
                <w:rStyle w:val="567"/>
                <w:rFonts w:hint="eastAsia" w:ascii="宋体" w:hAnsi="宋体" w:eastAsia="宋体" w:cs="宋体"/>
                <w:color w:val="auto"/>
                <w:sz w:val="21"/>
                <w:szCs w:val="21"/>
                <w:highlight w:val="none"/>
              </w:rPr>
              <w:t>未按协助做好洪水预报的，每次扣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分；未协助做好洪水调度自评的，每次扣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分；未协助做好年度洪水调度总结的，扣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00A240C2">
            <w:pPr>
              <w:keepNext w:val="0"/>
              <w:keepLines w:val="0"/>
              <w:widowControl/>
              <w:numPr>
                <w:ilvl w:val="0"/>
                <w:numId w:val="14"/>
              </w:numPr>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在岗人员不足额，每人次扣5分。</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47AD6EE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3B66C308">
        <w:tblPrEx>
          <w:tblCellMar>
            <w:top w:w="15" w:type="dxa"/>
            <w:left w:w="15" w:type="dxa"/>
            <w:bottom w:w="15" w:type="dxa"/>
            <w:right w:w="15" w:type="dxa"/>
          </w:tblCellMar>
        </w:tblPrEx>
        <w:trPr>
          <w:trHeight w:val="90"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66BAF4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7C55CB6">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操作运行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3E9AC1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DB21F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操作运行符合《水工钢闸门和启闭机安全运行规程》（</w:t>
            </w:r>
            <w:r>
              <w:rPr>
                <w:rFonts w:hint="eastAsia" w:ascii="宋体" w:hAnsi="宋体" w:eastAsia="宋体" w:cs="宋体"/>
                <w:color w:val="auto"/>
                <w:kern w:val="0"/>
                <w:sz w:val="21"/>
                <w:szCs w:val="21"/>
                <w:highlight w:val="none"/>
              </w:rPr>
              <w:t>SL722</w:t>
            </w:r>
            <w:r>
              <w:rPr>
                <w:rStyle w:val="567"/>
                <w:rFonts w:hint="eastAsia" w:ascii="宋体" w:hAnsi="宋体" w:eastAsia="宋体" w:cs="宋体"/>
                <w:color w:val="auto"/>
                <w:sz w:val="21"/>
                <w:szCs w:val="21"/>
                <w:highlight w:val="none"/>
              </w:rPr>
              <w:t>），有闸门及启闭设备操作规程，并明示；操作人员固定，实行双人上岗制度，定期培训，持证上岗；按操作规程和调度指令运行，无人为事故；严格检查、规范操作、全程记录。</w:t>
            </w:r>
          </w:p>
          <w:p w14:paraId="45D50C6D">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p>
        </w:tc>
        <w:tc>
          <w:tcPr>
            <w:tcW w:w="7625" w:type="dxa"/>
            <w:gridSpan w:val="2"/>
            <w:tcBorders>
              <w:top w:val="single" w:color="000000" w:sz="4" w:space="0"/>
              <w:left w:val="single" w:color="000000" w:sz="4" w:space="0"/>
              <w:bottom w:val="single" w:color="000000" w:sz="4" w:space="0"/>
              <w:right w:val="single" w:color="000000" w:sz="4" w:space="0"/>
            </w:tcBorders>
            <w:noWrap w:val="0"/>
            <w:vAlign w:val="center"/>
          </w:tcPr>
          <w:p w14:paraId="0EB4D07C">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w:t>
            </w:r>
            <w:r>
              <w:rPr>
                <w:rStyle w:val="567"/>
                <w:rFonts w:hint="eastAsia" w:ascii="宋体" w:hAnsi="宋体" w:eastAsia="宋体" w:cs="宋体"/>
                <w:color w:val="auto"/>
                <w:sz w:val="21"/>
                <w:szCs w:val="21"/>
                <w:highlight w:val="none"/>
              </w:rPr>
              <w:t>）因闸门操作不当造成严重后果的，此项不得分。</w:t>
            </w:r>
          </w:p>
          <w:p w14:paraId="70CC6165">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w:t>
            </w:r>
            <w:r>
              <w:rPr>
                <w:rStyle w:val="567"/>
                <w:rFonts w:hint="eastAsia" w:ascii="宋体" w:hAnsi="宋体" w:eastAsia="宋体" w:cs="宋体"/>
                <w:color w:val="auto"/>
                <w:sz w:val="21"/>
                <w:szCs w:val="21"/>
                <w:highlight w:val="none"/>
              </w:rPr>
              <w:t>）闸门、启闭设备操作未按规定实行双人上岗的，扣</w:t>
            </w:r>
            <w:r>
              <w:rPr>
                <w:rFonts w:hint="eastAsia" w:ascii="宋体" w:hAnsi="宋体" w:eastAsia="宋体" w:cs="宋体"/>
                <w:color w:val="auto"/>
                <w:kern w:val="0"/>
                <w:sz w:val="21"/>
                <w:szCs w:val="21"/>
                <w:highlight w:val="none"/>
              </w:rPr>
              <w:t>10</w:t>
            </w:r>
            <w:r>
              <w:rPr>
                <w:rStyle w:val="567"/>
                <w:rFonts w:hint="eastAsia" w:ascii="宋体" w:hAnsi="宋体" w:eastAsia="宋体" w:cs="宋体"/>
                <w:color w:val="auto"/>
                <w:sz w:val="21"/>
                <w:szCs w:val="21"/>
                <w:highlight w:val="none"/>
              </w:rPr>
              <w:t>分。操作人员不固定，未持证上岗的，每发现一人扣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2FAF9939">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kern w:val="0"/>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w:t>
            </w:r>
            <w:r>
              <w:rPr>
                <w:rStyle w:val="567"/>
                <w:rFonts w:hint="eastAsia" w:ascii="宋体" w:hAnsi="宋体" w:eastAsia="宋体" w:cs="宋体"/>
                <w:color w:val="auto"/>
                <w:sz w:val="21"/>
                <w:szCs w:val="21"/>
                <w:highlight w:val="none"/>
              </w:rPr>
              <w:t>）未按操作规程和指令操作的，每发现一起扣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分；汛前未进行调试运行的，扣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59BCF711">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w:t>
            </w:r>
            <w:r>
              <w:rPr>
                <w:rStyle w:val="567"/>
                <w:rFonts w:hint="eastAsia" w:ascii="宋体" w:hAnsi="宋体" w:eastAsia="宋体" w:cs="宋体"/>
                <w:color w:val="auto"/>
                <w:sz w:val="21"/>
                <w:szCs w:val="21"/>
                <w:highlight w:val="none"/>
              </w:rPr>
              <w:t>）操作前未进行检查的，每发现一次扣</w:t>
            </w:r>
            <w:r>
              <w:rPr>
                <w:rFonts w:hint="eastAsia" w:ascii="宋体" w:hAnsi="宋体" w:eastAsia="宋体" w:cs="宋体"/>
                <w:color w:val="auto"/>
                <w:kern w:val="0"/>
                <w:sz w:val="21"/>
                <w:szCs w:val="21"/>
                <w:highlight w:val="none"/>
              </w:rPr>
              <w:t>10</w:t>
            </w:r>
            <w:r>
              <w:rPr>
                <w:rStyle w:val="567"/>
                <w:rFonts w:hint="eastAsia" w:ascii="宋体" w:hAnsi="宋体" w:eastAsia="宋体" w:cs="宋体"/>
                <w:color w:val="auto"/>
                <w:sz w:val="21"/>
                <w:szCs w:val="21"/>
                <w:highlight w:val="none"/>
              </w:rPr>
              <w:t>分，检查记录不全的，每发现一处扣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分。无运行操作记录的，扣</w:t>
            </w:r>
            <w:r>
              <w:rPr>
                <w:rFonts w:hint="eastAsia" w:ascii="宋体" w:hAnsi="宋体" w:eastAsia="宋体" w:cs="宋体"/>
                <w:color w:val="auto"/>
                <w:kern w:val="0"/>
                <w:sz w:val="21"/>
                <w:szCs w:val="21"/>
                <w:highlight w:val="none"/>
              </w:rPr>
              <w:t>20</w:t>
            </w:r>
            <w:r>
              <w:rPr>
                <w:rStyle w:val="567"/>
                <w:rFonts w:hint="eastAsia" w:ascii="宋体" w:hAnsi="宋体" w:eastAsia="宋体" w:cs="宋体"/>
                <w:color w:val="auto"/>
                <w:sz w:val="21"/>
                <w:szCs w:val="21"/>
                <w:highlight w:val="none"/>
              </w:rPr>
              <w:t>分；未按要求操作并记录的，每发现一次扣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分；操作记录不全的，每发现一次扣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分。记录不全面、无责任人签字的，每发现一处扣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分。操作完成后，未按要求及时反馈操作结果的，每发现一次扣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5475E99B">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）闸门运行中未按要求开展巡检的，每发现一次扣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分；巡查记录不全的，每发现一次扣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2E1D523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3AABCD4E">
        <w:tblPrEx>
          <w:tblCellMar>
            <w:top w:w="15" w:type="dxa"/>
            <w:left w:w="15" w:type="dxa"/>
            <w:bottom w:w="15" w:type="dxa"/>
            <w:right w:w="15" w:type="dxa"/>
          </w:tblCellMar>
        </w:tblPrEx>
        <w:trPr>
          <w:trHeight w:val="1838"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7FBDB8FC">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699DB4A">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工程维修养护</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2F0CD2A">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5DF66686">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及时开展维修养护，水工建筑物及配套设施结构完整、运行正常，设施设备齐备、使用正常，无影响安全的缺陷或隐患。管理区域内按要求设置公告类、名称类、警示类、指引类等标识牌，内容准确清晰，统一规范布置。做好工程年度检修、抢修工作，发现问题及时上报、处理；上报资料齐全。</w:t>
            </w:r>
          </w:p>
        </w:tc>
        <w:tc>
          <w:tcPr>
            <w:tcW w:w="7625" w:type="dxa"/>
            <w:gridSpan w:val="2"/>
            <w:tcBorders>
              <w:top w:val="single" w:color="000000" w:sz="4" w:space="0"/>
              <w:left w:val="single" w:color="000000" w:sz="4" w:space="0"/>
              <w:bottom w:val="single" w:color="000000" w:sz="4" w:space="0"/>
              <w:right w:val="single" w:color="000000" w:sz="4" w:space="0"/>
            </w:tcBorders>
            <w:noWrap w:val="0"/>
            <w:vAlign w:val="center"/>
          </w:tcPr>
          <w:p w14:paraId="4B732435">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w:t>
            </w:r>
            <w:r>
              <w:rPr>
                <w:rStyle w:val="567"/>
                <w:rFonts w:hint="eastAsia" w:ascii="宋体" w:hAnsi="宋体" w:eastAsia="宋体" w:cs="宋体"/>
                <w:color w:val="auto"/>
                <w:sz w:val="21"/>
                <w:szCs w:val="21"/>
                <w:highlight w:val="none"/>
              </w:rPr>
              <w:t>）水工建筑物（如坝顶、坝坡、防浪墙、反滤体结构、溢洪道、消能设施等）破损，未及时上报每项扣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分；坝顶、坝坡等建筑物不平整、不整齐、不美观，导渗沟、排水沟等有堵塞，坝坡有动物洞穴、蚁害、杂草、树木等，每项扣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23873F6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kern w:val="0"/>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w:t>
            </w:r>
            <w:r>
              <w:rPr>
                <w:rStyle w:val="567"/>
                <w:rFonts w:hint="eastAsia" w:ascii="宋体" w:hAnsi="宋体" w:eastAsia="宋体" w:cs="宋体"/>
                <w:color w:val="auto"/>
                <w:sz w:val="21"/>
                <w:szCs w:val="21"/>
                <w:highlight w:val="none"/>
              </w:rPr>
              <w:t>）输、泄水建筑物进、出口岸坡不完整，过水断面有淤积和障碍物，每项扣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41648FB6">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kern w:val="0"/>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w:t>
            </w:r>
            <w:r>
              <w:rPr>
                <w:rStyle w:val="567"/>
                <w:rFonts w:hint="eastAsia" w:ascii="宋体" w:hAnsi="宋体" w:eastAsia="宋体" w:cs="宋体"/>
                <w:color w:val="auto"/>
                <w:sz w:val="21"/>
                <w:szCs w:val="21"/>
                <w:highlight w:val="none"/>
              </w:rPr>
              <w:t>）混凝土及圬工衬砌、消力池、工作桥、启闭房有碳化、裂缝、破损等，未及时上报每项扣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36913CDE">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w:t>
            </w:r>
            <w:r>
              <w:rPr>
                <w:rStyle w:val="567"/>
                <w:rFonts w:hint="eastAsia" w:ascii="宋体" w:hAnsi="宋体" w:eastAsia="宋体" w:cs="宋体"/>
                <w:color w:val="auto"/>
                <w:sz w:val="21"/>
                <w:szCs w:val="21"/>
                <w:highlight w:val="none"/>
              </w:rPr>
              <w:t>）生产设施设备有损坏、不能正常运用，每处扣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396BF660">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（5）公告类、名称类、警示类、指引类、特征水位（建筑物上标识）等标识标牌破损未及时报告更换，每发现一处扣5分。</w:t>
            </w:r>
          </w:p>
          <w:p w14:paraId="0841E86E">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6</w:t>
            </w:r>
            <w:r>
              <w:rPr>
                <w:rStyle w:val="567"/>
                <w:rFonts w:hint="eastAsia" w:ascii="宋体" w:hAnsi="宋体" w:eastAsia="宋体" w:cs="宋体"/>
                <w:color w:val="auto"/>
                <w:sz w:val="21"/>
                <w:szCs w:val="21"/>
                <w:highlight w:val="none"/>
              </w:rPr>
              <w:t>）未制定年度检修计划，扣10分。</w:t>
            </w:r>
          </w:p>
          <w:p w14:paraId="0E1CF087">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7</w:t>
            </w:r>
            <w:r>
              <w:rPr>
                <w:rStyle w:val="567"/>
                <w:rFonts w:hint="eastAsia" w:ascii="宋体" w:hAnsi="宋体" w:eastAsia="宋体" w:cs="宋体"/>
                <w:color w:val="auto"/>
                <w:sz w:val="21"/>
                <w:szCs w:val="21"/>
                <w:highlight w:val="none"/>
              </w:rPr>
              <w:t>）实施过程不规范，未按计划完成，扣5分。</w:t>
            </w:r>
          </w:p>
          <w:p w14:paraId="69513988">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8</w:t>
            </w:r>
            <w:r>
              <w:rPr>
                <w:rStyle w:val="567"/>
                <w:rFonts w:hint="eastAsia" w:ascii="宋体" w:hAnsi="宋体" w:eastAsia="宋体" w:cs="宋体"/>
                <w:color w:val="auto"/>
                <w:sz w:val="21"/>
                <w:szCs w:val="21"/>
                <w:highlight w:val="none"/>
              </w:rPr>
              <w:t>）维修记录缺失或混乱，每发现一处扣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06C108A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r w14:paraId="1F3A98D4">
        <w:tblPrEx>
          <w:tblCellMar>
            <w:top w:w="15" w:type="dxa"/>
            <w:left w:w="15" w:type="dxa"/>
            <w:bottom w:w="15" w:type="dxa"/>
            <w:right w:w="15" w:type="dxa"/>
          </w:tblCellMar>
        </w:tblPrEx>
        <w:trPr>
          <w:trHeight w:val="590"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0ECDED8">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10426D3F">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金属结构及机电设备维护</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A4AB92D">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40</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65D361BC">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检修保养工作规范有序、定期开展；闸门与启闭机等金属结构、电气设备完整完好，使用正常，安全可靠。</w:t>
            </w:r>
          </w:p>
        </w:tc>
        <w:tc>
          <w:tcPr>
            <w:tcW w:w="7625" w:type="dxa"/>
            <w:gridSpan w:val="2"/>
            <w:tcBorders>
              <w:top w:val="single" w:color="000000" w:sz="4" w:space="0"/>
              <w:left w:val="single" w:color="000000" w:sz="4" w:space="0"/>
              <w:bottom w:val="single" w:color="000000" w:sz="4" w:space="0"/>
              <w:right w:val="single" w:color="000000" w:sz="4" w:space="0"/>
            </w:tcBorders>
            <w:noWrap w:val="0"/>
            <w:vAlign w:val="center"/>
          </w:tcPr>
          <w:p w14:paraId="55090B49">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w:t>
            </w:r>
            <w:r>
              <w:rPr>
                <w:rStyle w:val="567"/>
                <w:rFonts w:hint="eastAsia" w:ascii="宋体" w:hAnsi="宋体" w:eastAsia="宋体" w:cs="宋体"/>
                <w:color w:val="auto"/>
                <w:sz w:val="21"/>
                <w:szCs w:val="21"/>
                <w:highlight w:val="none"/>
              </w:rPr>
              <w:t>）应当开展设备检修检测而未开展的，每发现一次扣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分；无相关检修检测记录或报告的，每发现一次扣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分；未对设备进行定期检修、检测的，每发现一处扣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5E9EC6FB">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w:t>
            </w:r>
            <w:r>
              <w:rPr>
                <w:rStyle w:val="567"/>
                <w:rFonts w:hint="eastAsia" w:ascii="宋体" w:hAnsi="宋体" w:eastAsia="宋体" w:cs="宋体"/>
                <w:color w:val="auto"/>
                <w:sz w:val="21"/>
                <w:szCs w:val="21"/>
                <w:highlight w:val="none"/>
              </w:rPr>
              <w:t>）应当开展设备保养而未开展的，每发现一次扣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分；无保养记录或报告的，每发现一次扣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79021B4C">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w:t>
            </w:r>
            <w:r>
              <w:rPr>
                <w:rStyle w:val="567"/>
                <w:rFonts w:hint="eastAsia" w:ascii="宋体" w:hAnsi="宋体" w:eastAsia="宋体" w:cs="宋体"/>
                <w:color w:val="auto"/>
                <w:sz w:val="21"/>
                <w:szCs w:val="21"/>
                <w:highlight w:val="none"/>
              </w:rPr>
              <w:t>）闸门无法启闭不安全的，扣</w:t>
            </w:r>
            <w:r>
              <w:rPr>
                <w:rFonts w:hint="eastAsia" w:ascii="宋体" w:hAnsi="宋体" w:eastAsia="宋体" w:cs="宋体"/>
                <w:color w:val="auto"/>
                <w:kern w:val="0"/>
                <w:sz w:val="21"/>
                <w:szCs w:val="21"/>
                <w:highlight w:val="none"/>
              </w:rPr>
              <w:t>10</w:t>
            </w:r>
            <w:r>
              <w:rPr>
                <w:rStyle w:val="567"/>
                <w:rFonts w:hint="eastAsia" w:ascii="宋体" w:hAnsi="宋体" w:eastAsia="宋体" w:cs="宋体"/>
                <w:color w:val="auto"/>
                <w:sz w:val="21"/>
                <w:szCs w:val="21"/>
                <w:highlight w:val="none"/>
              </w:rPr>
              <w:t>分。</w:t>
            </w:r>
          </w:p>
          <w:p w14:paraId="5B7FE91A">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4</w:t>
            </w:r>
            <w:r>
              <w:rPr>
                <w:rStyle w:val="567"/>
                <w:rFonts w:hint="eastAsia" w:ascii="宋体" w:hAnsi="宋体" w:eastAsia="宋体" w:cs="宋体"/>
                <w:color w:val="auto"/>
                <w:sz w:val="21"/>
                <w:szCs w:val="21"/>
                <w:highlight w:val="none"/>
              </w:rPr>
              <w:t>）存在门叶变形、扭曲、锈蚀，主要构件损伤、变形、错位，止水破损或老化、漏水严重，吊耳损伤、变形、连接不牢，主轮或支铰损伤、变形、缺件、锈结的，未及时上报每发现一处扣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0A6C5B90">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lang w:eastAsia="zh-CN"/>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）卷扬启闭机存在锈蚀，机架损伤、变形，轮齿损伤、咬合不紧密，卷筒损伤、开裂，滑轮组磨损、变形，钢丝绳磨损、断丝等情况的，每发现一处扣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r>
              <w:rPr>
                <w:rStyle w:val="567"/>
                <w:rFonts w:hint="eastAsia" w:ascii="宋体" w:hAnsi="宋体" w:eastAsia="宋体" w:cs="宋体"/>
                <w:color w:val="auto"/>
                <w:sz w:val="21"/>
                <w:szCs w:val="21"/>
                <w:highlight w:val="none"/>
                <w:lang w:eastAsia="zh-CN"/>
              </w:rPr>
              <w:t>。</w:t>
            </w:r>
          </w:p>
          <w:p w14:paraId="73C7358D">
            <w:pPr>
              <w:keepNext w:val="0"/>
              <w:keepLines w:val="0"/>
              <w:widowControl/>
              <w:suppressLineNumbers w:val="0"/>
              <w:spacing w:before="0" w:beforeAutospacing="0" w:after="0" w:afterAutospacing="0" w:line="400" w:lineRule="exact"/>
              <w:ind w:left="0" w:right="0"/>
              <w:jc w:val="left"/>
              <w:textAlignment w:val="center"/>
              <w:rPr>
                <w:rStyle w:val="567"/>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6</w:t>
            </w:r>
            <w:r>
              <w:rPr>
                <w:rStyle w:val="567"/>
                <w:rFonts w:hint="eastAsia" w:ascii="宋体" w:hAnsi="宋体" w:eastAsia="宋体" w:cs="宋体"/>
                <w:color w:val="auto"/>
                <w:sz w:val="21"/>
                <w:szCs w:val="21"/>
                <w:highlight w:val="none"/>
              </w:rPr>
              <w:t>）绝缘保护与接地系统不可靠、电气设备器件配件不全的，未及时上报每发现一处扣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分；荷载控制、行程控制、开度指示等设备不完整、不能正常使用的，未及时上报扣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p>
          <w:p w14:paraId="642E5CB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Style w:val="567"/>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7</w:t>
            </w:r>
            <w:r>
              <w:rPr>
                <w:rStyle w:val="567"/>
                <w:rFonts w:hint="eastAsia" w:ascii="宋体" w:hAnsi="宋体" w:eastAsia="宋体" w:cs="宋体"/>
                <w:color w:val="auto"/>
                <w:sz w:val="21"/>
                <w:szCs w:val="21"/>
                <w:highlight w:val="none"/>
              </w:rPr>
              <w:t>）机房内不整洁、不美观，扣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分；维修养护记录不规范，扣</w:t>
            </w:r>
            <w:r>
              <w:rPr>
                <w:rFonts w:hint="eastAsia" w:ascii="宋体" w:hAnsi="宋体" w:eastAsia="宋体" w:cs="宋体"/>
                <w:color w:val="auto"/>
                <w:kern w:val="0"/>
                <w:sz w:val="21"/>
                <w:szCs w:val="21"/>
                <w:highlight w:val="none"/>
              </w:rPr>
              <w:t>5</w:t>
            </w:r>
            <w:r>
              <w:rPr>
                <w:rStyle w:val="567"/>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 xml:space="preserve">     </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14:paraId="60FD995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p>
        </w:tc>
      </w:tr>
    </w:tbl>
    <w:p w14:paraId="4C877605">
      <w:pPr>
        <w:pStyle w:val="5"/>
        <w:ind w:left="0" w:leftChars="0" w:firstLine="0" w:firstLineChars="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4.电站运行维护管理（300分）</w:t>
      </w:r>
    </w:p>
    <w:tbl>
      <w:tblPr>
        <w:tblStyle w:val="80"/>
        <w:tblW w:w="0" w:type="auto"/>
        <w:tblInd w:w="0" w:type="dxa"/>
        <w:tblLayout w:type="fixed"/>
        <w:tblCellMar>
          <w:top w:w="15" w:type="dxa"/>
          <w:left w:w="15" w:type="dxa"/>
          <w:bottom w:w="15" w:type="dxa"/>
          <w:right w:w="15" w:type="dxa"/>
        </w:tblCellMar>
      </w:tblPr>
      <w:tblGrid>
        <w:gridCol w:w="628"/>
        <w:gridCol w:w="1140"/>
        <w:gridCol w:w="990"/>
        <w:gridCol w:w="2655"/>
        <w:gridCol w:w="7284"/>
        <w:gridCol w:w="1283"/>
      </w:tblGrid>
      <w:tr w14:paraId="25D75B86">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auto" w:sz="4" w:space="0"/>
            </w:tcBorders>
            <w:noWrap w:val="0"/>
            <w:vAlign w:val="center"/>
          </w:tcPr>
          <w:p w14:paraId="07FB8F1E">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0" w:type="dxa"/>
            <w:tcBorders>
              <w:top w:val="single" w:color="000000" w:sz="4" w:space="0"/>
              <w:left w:val="single" w:color="auto" w:sz="4" w:space="0"/>
              <w:bottom w:val="single" w:color="000000" w:sz="4" w:space="0"/>
              <w:right w:val="single" w:color="auto" w:sz="4" w:space="0"/>
            </w:tcBorders>
            <w:noWrap w:val="0"/>
            <w:vAlign w:val="center"/>
          </w:tcPr>
          <w:p w14:paraId="370C3BF6">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990" w:type="dxa"/>
            <w:tcBorders>
              <w:top w:val="single" w:color="000000" w:sz="4" w:space="0"/>
              <w:left w:val="single" w:color="auto" w:sz="4" w:space="0"/>
              <w:bottom w:val="single" w:color="000000" w:sz="4" w:space="0"/>
              <w:right w:val="single" w:color="auto" w:sz="4" w:space="0"/>
            </w:tcBorders>
            <w:noWrap w:val="0"/>
            <w:vAlign w:val="center"/>
          </w:tcPr>
          <w:p w14:paraId="2FA4DDC8">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标准分</w:t>
            </w:r>
          </w:p>
        </w:tc>
        <w:tc>
          <w:tcPr>
            <w:tcW w:w="2655" w:type="dxa"/>
            <w:tcBorders>
              <w:top w:val="single" w:color="000000" w:sz="4" w:space="0"/>
              <w:left w:val="single" w:color="auto" w:sz="4" w:space="0"/>
              <w:bottom w:val="single" w:color="000000" w:sz="4" w:space="0"/>
              <w:right w:val="single" w:color="auto" w:sz="4" w:space="0"/>
            </w:tcBorders>
            <w:noWrap w:val="0"/>
            <w:vAlign w:val="center"/>
          </w:tcPr>
          <w:p w14:paraId="41F7F821">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管理要求</w:t>
            </w:r>
          </w:p>
        </w:tc>
        <w:tc>
          <w:tcPr>
            <w:tcW w:w="7284" w:type="dxa"/>
            <w:tcBorders>
              <w:top w:val="single" w:color="000000" w:sz="4" w:space="0"/>
              <w:left w:val="single" w:color="auto" w:sz="4" w:space="0"/>
              <w:bottom w:val="single" w:color="auto" w:sz="4" w:space="0"/>
              <w:right w:val="single" w:color="000000" w:sz="4" w:space="0"/>
            </w:tcBorders>
            <w:noWrap w:val="0"/>
            <w:vAlign w:val="center"/>
          </w:tcPr>
          <w:p w14:paraId="207E668D">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扣分项</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91EAB1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考核得分</w:t>
            </w:r>
          </w:p>
        </w:tc>
      </w:tr>
      <w:tr w14:paraId="5BCF3475">
        <w:tblPrEx>
          <w:tblCellMar>
            <w:top w:w="15" w:type="dxa"/>
            <w:left w:w="15" w:type="dxa"/>
            <w:bottom w:w="15" w:type="dxa"/>
            <w:right w:w="15" w:type="dxa"/>
          </w:tblCellMar>
        </w:tblPrEx>
        <w:trPr>
          <w:trHeight w:val="1115" w:hRule="atLeast"/>
        </w:trPr>
        <w:tc>
          <w:tcPr>
            <w:tcW w:w="628" w:type="dxa"/>
            <w:vMerge w:val="restart"/>
            <w:tcBorders>
              <w:top w:val="single" w:color="000000" w:sz="4" w:space="0"/>
              <w:left w:val="single" w:color="000000" w:sz="4" w:space="0"/>
              <w:right w:val="single" w:color="auto" w:sz="4" w:space="0"/>
            </w:tcBorders>
            <w:noWrap w:val="0"/>
            <w:vAlign w:val="center"/>
          </w:tcPr>
          <w:p w14:paraId="339C12A8">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0" w:type="dxa"/>
            <w:vMerge w:val="restart"/>
            <w:tcBorders>
              <w:top w:val="single" w:color="000000" w:sz="4" w:space="0"/>
              <w:left w:val="single" w:color="auto" w:sz="4" w:space="0"/>
              <w:right w:val="single" w:color="000000" w:sz="4" w:space="0"/>
            </w:tcBorders>
            <w:noWrap w:val="0"/>
            <w:vAlign w:val="center"/>
          </w:tcPr>
          <w:p w14:paraId="0A13DD13">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运行管理</w:t>
            </w:r>
          </w:p>
        </w:tc>
        <w:tc>
          <w:tcPr>
            <w:tcW w:w="990" w:type="dxa"/>
            <w:vMerge w:val="restart"/>
            <w:tcBorders>
              <w:top w:val="single" w:color="000000" w:sz="4" w:space="0"/>
              <w:left w:val="single" w:color="000000" w:sz="4" w:space="0"/>
              <w:right w:val="single" w:color="000000" w:sz="4" w:space="0"/>
            </w:tcBorders>
            <w:noWrap w:val="0"/>
            <w:vAlign w:val="center"/>
          </w:tcPr>
          <w:p w14:paraId="4A775242">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655" w:type="dxa"/>
            <w:tcBorders>
              <w:top w:val="single" w:color="000000" w:sz="4" w:space="0"/>
              <w:left w:val="single" w:color="000000" w:sz="4" w:space="0"/>
              <w:bottom w:val="single" w:color="000000" w:sz="4" w:space="0"/>
              <w:right w:val="single" w:color="auto" w:sz="4" w:space="0"/>
            </w:tcBorders>
            <w:noWrap w:val="0"/>
            <w:vAlign w:val="center"/>
          </w:tcPr>
          <w:p w14:paraId="32A6D6B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严格执行“两票三制”等各项制度、规程，</w:t>
            </w:r>
          </w:p>
        </w:tc>
        <w:tc>
          <w:tcPr>
            <w:tcW w:w="7284" w:type="dxa"/>
            <w:tcBorders>
              <w:top w:val="single" w:color="auto" w:sz="4" w:space="0"/>
              <w:left w:val="single" w:color="auto" w:sz="4" w:space="0"/>
              <w:bottom w:val="single" w:color="auto" w:sz="4" w:space="0"/>
              <w:right w:val="single" w:color="000000" w:sz="4" w:space="0"/>
            </w:tcBorders>
            <w:noWrap w:val="0"/>
            <w:vAlign w:val="center"/>
          </w:tcPr>
          <w:p w14:paraId="196F2F21">
            <w:pPr>
              <w:keepNext w:val="0"/>
              <w:keepLines w:val="0"/>
              <w:widowControl/>
              <w:numPr>
                <w:ilvl w:val="0"/>
                <w:numId w:val="0"/>
              </w:numPr>
              <w:suppressLineNumbers w:val="0"/>
              <w:spacing w:before="0" w:beforeAutospacing="0" w:after="0" w:afterAutospacing="0" w:line="400" w:lineRule="exact"/>
              <w:ind w:left="541" w:leftChars="0" w:right="0" w:rightChars="0" w:hanging="425" w:firstLineChars="0"/>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应用工作票的工作而未用的，或工作票不符合要求，每次扣10分；</w:t>
            </w:r>
          </w:p>
          <w:p w14:paraId="04F4C65D">
            <w:pPr>
              <w:keepNext w:val="0"/>
              <w:keepLines w:val="0"/>
              <w:widowControl/>
              <w:numPr>
                <w:ilvl w:val="0"/>
                <w:numId w:val="0"/>
              </w:numPr>
              <w:suppressLineNumbers w:val="0"/>
              <w:spacing w:before="0" w:beforeAutospacing="0" w:after="0" w:afterAutospacing="0" w:line="400" w:lineRule="exact"/>
              <w:ind w:left="541" w:leftChars="0" w:right="0" w:rightChars="0" w:hanging="425" w:firstLineChars="0"/>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应用操作票的操作而未用的，或操作票不符合要求，每次扣10分；</w:t>
            </w:r>
          </w:p>
          <w:p w14:paraId="1C9621FD">
            <w:pPr>
              <w:keepNext w:val="0"/>
              <w:keepLines w:val="0"/>
              <w:widowControl/>
              <w:numPr>
                <w:ilvl w:val="0"/>
                <w:numId w:val="0"/>
              </w:numPr>
              <w:suppressLineNumbers w:val="0"/>
              <w:spacing w:before="0" w:beforeAutospacing="0" w:after="0" w:afterAutospacing="0" w:line="400" w:lineRule="exact"/>
              <w:ind w:left="541" w:leftChars="0" w:right="0" w:rightChars="0" w:hanging="425" w:firstLineChars="0"/>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违反交接班制度、巡回检查制度、设备定期试验轮换制度，每次扣5分；</w:t>
            </w:r>
          </w:p>
          <w:p w14:paraId="649CAE95">
            <w:pPr>
              <w:keepNext w:val="0"/>
              <w:keepLines w:val="0"/>
              <w:widowControl/>
              <w:numPr>
                <w:ilvl w:val="0"/>
                <w:numId w:val="0"/>
              </w:numPr>
              <w:suppressLineNumbers w:val="0"/>
              <w:spacing w:before="0" w:beforeAutospacing="0" w:after="0" w:afterAutospacing="0" w:line="400" w:lineRule="exact"/>
              <w:ind w:left="541" w:leftChars="0" w:right="0" w:rightChars="0" w:hanging="425" w:firstLineChars="0"/>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违章操作、违章作业，发现一次扣20分；</w:t>
            </w:r>
          </w:p>
          <w:p w14:paraId="665A098E">
            <w:pPr>
              <w:keepNext w:val="0"/>
              <w:keepLines w:val="0"/>
              <w:numPr>
                <w:ilvl w:val="0"/>
                <w:numId w:val="0"/>
              </w:numPr>
              <w:suppressLineNumbers w:val="0"/>
              <w:snapToGrid w:val="0"/>
              <w:spacing w:before="0" w:beforeAutospacing="0" w:after="0" w:afterAutospacing="0" w:line="276" w:lineRule="auto"/>
              <w:ind w:left="541" w:leftChars="0" w:right="0" w:rightChars="0" w:hanging="425" w:firstLineChars="0"/>
              <w:jc w:val="left"/>
              <w:rPr>
                <w:rFonts w:hint="eastAsia" w:ascii="宋体" w:hAnsi="宋体" w:eastAsia="宋体" w:cs="宋体"/>
                <w:snapToGrid w:val="0"/>
                <w:color w:val="auto"/>
                <w:sz w:val="21"/>
                <w:szCs w:val="21"/>
                <w:highlight w:val="none"/>
              </w:rPr>
            </w:pPr>
            <w:r>
              <w:rPr>
                <w:rFonts w:hint="default" w:ascii="宋体" w:hAnsi="宋体" w:eastAsia="宋体" w:cs="宋体"/>
                <w:snapToGrid w:val="0"/>
                <w:color w:val="auto"/>
                <w:kern w:val="2"/>
                <w:sz w:val="21"/>
                <w:szCs w:val="21"/>
                <w:lang w:val="en-US" w:eastAsia="zh-CN" w:bidi="ar-SA"/>
              </w:rPr>
              <w:t>5.</w:t>
            </w:r>
            <w:r>
              <w:rPr>
                <w:rFonts w:hint="eastAsia" w:ascii="宋体" w:hAnsi="宋体" w:eastAsia="宋体" w:cs="宋体"/>
                <w:snapToGrid w:val="0"/>
                <w:color w:val="auto"/>
                <w:sz w:val="21"/>
                <w:szCs w:val="21"/>
                <w:highlight w:val="none"/>
              </w:rPr>
              <w:t>在岗人员不足额，有迟到早退的，每发现一次扣10分；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90F84E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665346B7">
        <w:tblPrEx>
          <w:tblCellMar>
            <w:top w:w="15" w:type="dxa"/>
            <w:left w:w="15" w:type="dxa"/>
            <w:bottom w:w="15" w:type="dxa"/>
            <w:right w:w="15" w:type="dxa"/>
          </w:tblCellMar>
        </w:tblPrEx>
        <w:trPr>
          <w:trHeight w:val="930" w:hRule="atLeast"/>
        </w:trPr>
        <w:tc>
          <w:tcPr>
            <w:tcW w:w="628" w:type="dxa"/>
            <w:vMerge w:val="continue"/>
            <w:tcBorders>
              <w:left w:val="single" w:color="000000" w:sz="4" w:space="0"/>
              <w:right w:val="single" w:color="auto" w:sz="4" w:space="0"/>
            </w:tcBorders>
            <w:noWrap w:val="0"/>
            <w:vAlign w:val="center"/>
          </w:tcPr>
          <w:p w14:paraId="0D99D1BB">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c>
          <w:tcPr>
            <w:tcW w:w="1140" w:type="dxa"/>
            <w:vMerge w:val="continue"/>
            <w:tcBorders>
              <w:left w:val="single" w:color="auto" w:sz="4" w:space="0"/>
              <w:right w:val="single" w:color="000000" w:sz="4" w:space="0"/>
            </w:tcBorders>
            <w:noWrap w:val="0"/>
            <w:vAlign w:val="center"/>
          </w:tcPr>
          <w:p w14:paraId="05118D5B">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c>
          <w:tcPr>
            <w:tcW w:w="990" w:type="dxa"/>
            <w:vMerge w:val="continue"/>
            <w:tcBorders>
              <w:left w:val="single" w:color="000000" w:sz="4" w:space="0"/>
              <w:right w:val="single" w:color="000000" w:sz="4" w:space="0"/>
            </w:tcBorders>
            <w:noWrap w:val="0"/>
            <w:vAlign w:val="center"/>
          </w:tcPr>
          <w:p w14:paraId="11E34F32">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c>
          <w:tcPr>
            <w:tcW w:w="2655" w:type="dxa"/>
            <w:tcBorders>
              <w:top w:val="single" w:color="000000" w:sz="4" w:space="0"/>
              <w:left w:val="single" w:color="000000" w:sz="4" w:space="0"/>
              <w:bottom w:val="single" w:color="000000" w:sz="4" w:space="0"/>
              <w:right w:val="single" w:color="auto" w:sz="4" w:space="0"/>
            </w:tcBorders>
            <w:noWrap w:val="0"/>
            <w:vAlign w:val="center"/>
          </w:tcPr>
          <w:p w14:paraId="5EE32450">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调控命令，完成</w:t>
            </w:r>
            <w:r>
              <w:rPr>
                <w:rFonts w:hint="eastAsia" w:ascii="宋体" w:hAnsi="宋体" w:cs="宋体"/>
                <w:color w:val="auto"/>
                <w:sz w:val="21"/>
                <w:szCs w:val="21"/>
                <w:highlight w:val="none"/>
                <w:lang w:val="en-US" w:eastAsia="zh-CN"/>
              </w:rPr>
              <w:t>业主</w:t>
            </w:r>
            <w:r>
              <w:rPr>
                <w:rFonts w:hint="eastAsia" w:ascii="宋体" w:hAnsi="宋体" w:eastAsia="宋体" w:cs="宋体"/>
                <w:color w:val="auto"/>
                <w:sz w:val="21"/>
                <w:szCs w:val="21"/>
                <w:highlight w:val="none"/>
              </w:rPr>
              <w:t>下达的发电任务，</w:t>
            </w:r>
          </w:p>
        </w:tc>
        <w:tc>
          <w:tcPr>
            <w:tcW w:w="7284" w:type="dxa"/>
            <w:tcBorders>
              <w:top w:val="single" w:color="auto" w:sz="4" w:space="0"/>
              <w:left w:val="single" w:color="auto" w:sz="4" w:space="0"/>
              <w:bottom w:val="single" w:color="auto" w:sz="4" w:space="0"/>
              <w:right w:val="single" w:color="000000" w:sz="4" w:space="0"/>
            </w:tcBorders>
            <w:noWrap w:val="0"/>
            <w:vAlign w:val="center"/>
          </w:tcPr>
          <w:p w14:paraId="5D5DDFA4">
            <w:pPr>
              <w:keepNext w:val="0"/>
              <w:keepLines w:val="0"/>
              <w:widowControl/>
              <w:numPr>
                <w:ilvl w:val="0"/>
                <w:numId w:val="0"/>
              </w:numPr>
              <w:suppressLineNumbers w:val="0"/>
              <w:spacing w:before="0" w:beforeAutospacing="0" w:after="0" w:afterAutospacing="0" w:line="400" w:lineRule="exact"/>
              <w:ind w:left="556" w:leftChars="55" w:right="0" w:rightChars="0" w:hanging="424" w:hangingChars="202"/>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1.</w:t>
            </w:r>
            <w:r>
              <w:rPr>
                <w:rFonts w:hint="eastAsia" w:ascii="宋体" w:hAnsi="宋体" w:eastAsia="宋体" w:cs="宋体"/>
                <w:snapToGrid w:val="0"/>
                <w:color w:val="auto"/>
                <w:sz w:val="21"/>
                <w:szCs w:val="21"/>
                <w:highlight w:val="none"/>
              </w:rPr>
              <w:t>调控指令执行率未达100%，每次扣5分</w:t>
            </w:r>
            <w:r>
              <w:rPr>
                <w:rFonts w:hint="eastAsia" w:ascii="宋体" w:hAnsi="宋体" w:eastAsia="宋体" w:cs="宋体"/>
                <w:color w:val="auto"/>
                <w:sz w:val="21"/>
                <w:szCs w:val="21"/>
                <w:highlight w:val="none"/>
              </w:rPr>
              <w:t>；</w:t>
            </w:r>
          </w:p>
          <w:p w14:paraId="1D368699">
            <w:pPr>
              <w:keepNext w:val="0"/>
              <w:keepLines w:val="0"/>
              <w:widowControl/>
              <w:numPr>
                <w:ilvl w:val="0"/>
                <w:numId w:val="0"/>
              </w:numPr>
              <w:suppressLineNumbers w:val="0"/>
              <w:spacing w:before="0" w:beforeAutospacing="0" w:after="0" w:afterAutospacing="0" w:line="400" w:lineRule="exact"/>
              <w:ind w:left="556" w:leftChars="55" w:right="0" w:rightChars="0" w:hanging="424" w:hangingChars="202"/>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snapToGrid w:val="0"/>
                <w:color w:val="auto"/>
                <w:sz w:val="21"/>
                <w:szCs w:val="21"/>
                <w:highlight w:val="none"/>
              </w:rPr>
              <w:t>执行不及时，每次扣5分</w:t>
            </w:r>
            <w:r>
              <w:rPr>
                <w:rFonts w:hint="eastAsia" w:ascii="宋体" w:hAnsi="宋体" w:eastAsia="宋体" w:cs="宋体"/>
                <w:color w:val="auto"/>
                <w:sz w:val="21"/>
                <w:szCs w:val="21"/>
                <w:highlight w:val="none"/>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A33806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610290C8">
        <w:tblPrEx>
          <w:tblCellMar>
            <w:top w:w="15" w:type="dxa"/>
            <w:left w:w="15" w:type="dxa"/>
            <w:bottom w:w="15" w:type="dxa"/>
            <w:right w:w="15" w:type="dxa"/>
          </w:tblCellMar>
        </w:tblPrEx>
        <w:trPr>
          <w:trHeight w:val="1115" w:hRule="atLeast"/>
        </w:trPr>
        <w:tc>
          <w:tcPr>
            <w:tcW w:w="628" w:type="dxa"/>
            <w:vMerge w:val="continue"/>
            <w:tcBorders>
              <w:left w:val="single" w:color="000000" w:sz="4" w:space="0"/>
              <w:bottom w:val="single" w:color="000000" w:sz="4" w:space="0"/>
              <w:right w:val="single" w:color="auto" w:sz="4" w:space="0"/>
            </w:tcBorders>
            <w:noWrap w:val="0"/>
            <w:vAlign w:val="center"/>
          </w:tcPr>
          <w:p w14:paraId="54B2BBC1">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c>
          <w:tcPr>
            <w:tcW w:w="1140" w:type="dxa"/>
            <w:vMerge w:val="continue"/>
            <w:tcBorders>
              <w:left w:val="single" w:color="auto" w:sz="4" w:space="0"/>
              <w:bottom w:val="single" w:color="000000" w:sz="4" w:space="0"/>
              <w:right w:val="single" w:color="000000" w:sz="4" w:space="0"/>
            </w:tcBorders>
            <w:noWrap w:val="0"/>
            <w:vAlign w:val="center"/>
          </w:tcPr>
          <w:p w14:paraId="2567C797">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c>
          <w:tcPr>
            <w:tcW w:w="990" w:type="dxa"/>
            <w:vMerge w:val="continue"/>
            <w:tcBorders>
              <w:left w:val="single" w:color="000000" w:sz="4" w:space="0"/>
              <w:bottom w:val="single" w:color="000000" w:sz="4" w:space="0"/>
              <w:right w:val="single" w:color="000000" w:sz="4" w:space="0"/>
            </w:tcBorders>
            <w:noWrap w:val="0"/>
            <w:vAlign w:val="center"/>
          </w:tcPr>
          <w:p w14:paraId="31AF07AE">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p>
        </w:tc>
        <w:tc>
          <w:tcPr>
            <w:tcW w:w="2655" w:type="dxa"/>
            <w:tcBorders>
              <w:top w:val="single" w:color="000000" w:sz="4" w:space="0"/>
              <w:left w:val="single" w:color="000000" w:sz="4" w:space="0"/>
              <w:bottom w:val="single" w:color="000000" w:sz="4" w:space="0"/>
              <w:right w:val="single" w:color="auto" w:sz="4" w:space="0"/>
            </w:tcBorders>
            <w:noWrap w:val="0"/>
            <w:vAlign w:val="center"/>
          </w:tcPr>
          <w:p w14:paraId="1B595933">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定期上报发电量、设备运行状况以及维护维修的统计分析。</w:t>
            </w:r>
          </w:p>
        </w:tc>
        <w:tc>
          <w:tcPr>
            <w:tcW w:w="7284" w:type="dxa"/>
            <w:tcBorders>
              <w:top w:val="single" w:color="auto" w:sz="4" w:space="0"/>
              <w:left w:val="single" w:color="auto" w:sz="4" w:space="0"/>
              <w:bottom w:val="single" w:color="auto" w:sz="4" w:space="0"/>
              <w:right w:val="single" w:color="000000" w:sz="4" w:space="0"/>
            </w:tcBorders>
            <w:noWrap w:val="0"/>
            <w:vAlign w:val="center"/>
          </w:tcPr>
          <w:p w14:paraId="5BC7CD95">
            <w:pPr>
              <w:keepNext w:val="0"/>
              <w:keepLines w:val="0"/>
              <w:numPr>
                <w:ilvl w:val="0"/>
                <w:numId w:val="0"/>
              </w:numPr>
              <w:suppressLineNumbers w:val="0"/>
              <w:snapToGrid w:val="0"/>
              <w:spacing w:before="0" w:beforeAutospacing="0" w:after="0" w:afterAutospacing="0" w:line="276" w:lineRule="auto"/>
              <w:ind w:left="541" w:leftChars="0" w:right="0" w:rightChars="0" w:hanging="425" w:firstLineChars="0"/>
              <w:jc w:val="left"/>
              <w:rPr>
                <w:rFonts w:hint="eastAsia" w:ascii="宋体" w:hAnsi="宋体" w:eastAsia="宋体" w:cs="宋体"/>
                <w:snapToGrid w:val="0"/>
                <w:color w:val="auto"/>
                <w:sz w:val="21"/>
                <w:szCs w:val="21"/>
                <w:highlight w:val="none"/>
              </w:rPr>
            </w:pPr>
            <w:r>
              <w:rPr>
                <w:rFonts w:hint="default"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未及时上报发电量、运行维护记录、统计分析，每次扣5分；</w:t>
            </w:r>
          </w:p>
          <w:p w14:paraId="6785B776">
            <w:pPr>
              <w:keepNext w:val="0"/>
              <w:keepLines w:val="0"/>
              <w:widowControl/>
              <w:numPr>
                <w:ilvl w:val="0"/>
                <w:numId w:val="0"/>
              </w:numPr>
              <w:suppressLineNumbers w:val="0"/>
              <w:spacing w:before="0" w:beforeAutospacing="0" w:after="0" w:afterAutospacing="0" w:line="400" w:lineRule="exact"/>
              <w:ind w:left="556" w:leftChars="55" w:right="0" w:rightChars="0" w:hanging="424" w:hangingChars="202"/>
              <w:jc w:val="left"/>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未正确、规范填写工作要求的相关记录，或记录缺失，每次扣5分；</w:t>
            </w:r>
          </w:p>
          <w:p w14:paraId="2FD14556">
            <w:pPr>
              <w:keepNext w:val="0"/>
              <w:keepLines w:val="0"/>
              <w:widowControl/>
              <w:numPr>
                <w:ilvl w:val="0"/>
                <w:numId w:val="0"/>
              </w:numPr>
              <w:suppressLineNumbers w:val="0"/>
              <w:spacing w:before="0" w:beforeAutospacing="0" w:after="0" w:afterAutospacing="0" w:line="400" w:lineRule="exact"/>
              <w:ind w:left="556" w:leftChars="55" w:right="0" w:rightChars="0" w:hanging="424" w:hangingChars="202"/>
              <w:jc w:val="left"/>
              <w:textAlignment w:val="center"/>
              <w:rPr>
                <w:rFonts w:hint="eastAsia" w:ascii="宋体" w:hAnsi="宋体" w:eastAsia="宋体" w:cs="宋体"/>
                <w:snapToGrid w:val="0"/>
                <w:color w:val="auto"/>
                <w:sz w:val="21"/>
                <w:szCs w:val="21"/>
                <w:highlight w:val="none"/>
              </w:rPr>
            </w:pPr>
            <w:r>
              <w:rPr>
                <w:rFonts w:hint="default"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资料书籍及记录簿未分类有序存放，每次扣5分。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B940EB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bl>
    <w:p w14:paraId="66DB3AD0">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sectPr>
          <w:pgSz w:w="16838" w:h="11906" w:orient="landscape"/>
          <w:pgMar w:top="1502" w:right="1440" w:bottom="1225"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tbl>
      <w:tblPr>
        <w:tblStyle w:val="80"/>
        <w:tblW w:w="0" w:type="auto"/>
        <w:tblInd w:w="0" w:type="dxa"/>
        <w:tblLayout w:type="fixed"/>
        <w:tblCellMar>
          <w:top w:w="15" w:type="dxa"/>
          <w:left w:w="15" w:type="dxa"/>
          <w:bottom w:w="15" w:type="dxa"/>
          <w:right w:w="15" w:type="dxa"/>
        </w:tblCellMar>
      </w:tblPr>
      <w:tblGrid>
        <w:gridCol w:w="628"/>
        <w:gridCol w:w="1140"/>
        <w:gridCol w:w="990"/>
        <w:gridCol w:w="2655"/>
        <w:gridCol w:w="7284"/>
        <w:gridCol w:w="1283"/>
      </w:tblGrid>
      <w:tr w14:paraId="54D1DD59">
        <w:tblPrEx>
          <w:tblCellMar>
            <w:top w:w="15" w:type="dxa"/>
            <w:left w:w="15" w:type="dxa"/>
            <w:bottom w:w="15" w:type="dxa"/>
            <w:right w:w="15" w:type="dxa"/>
          </w:tblCellMar>
        </w:tblPrEx>
        <w:trPr>
          <w:trHeight w:val="3171" w:hRule="atLeast"/>
        </w:trPr>
        <w:tc>
          <w:tcPr>
            <w:tcW w:w="628" w:type="dxa"/>
            <w:vMerge w:val="restart"/>
            <w:tcBorders>
              <w:left w:val="single" w:color="000000" w:sz="4" w:space="0"/>
              <w:right w:val="single" w:color="auto" w:sz="4" w:space="0"/>
            </w:tcBorders>
            <w:noWrap w:val="0"/>
            <w:vAlign w:val="center"/>
          </w:tcPr>
          <w:p w14:paraId="6A873D06">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40" w:type="dxa"/>
            <w:vMerge w:val="restart"/>
            <w:tcBorders>
              <w:left w:val="single" w:color="auto" w:sz="4" w:space="0"/>
              <w:right w:val="single" w:color="000000" w:sz="4" w:space="0"/>
            </w:tcBorders>
            <w:noWrap w:val="0"/>
            <w:vAlign w:val="center"/>
          </w:tcPr>
          <w:p w14:paraId="4102E12B">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维护管理</w:t>
            </w:r>
          </w:p>
        </w:tc>
        <w:tc>
          <w:tcPr>
            <w:tcW w:w="990" w:type="dxa"/>
            <w:vMerge w:val="restart"/>
            <w:tcBorders>
              <w:left w:val="single" w:color="000000" w:sz="4" w:space="0"/>
              <w:right w:val="single" w:color="000000" w:sz="4" w:space="0"/>
            </w:tcBorders>
            <w:noWrap w:val="0"/>
            <w:vAlign w:val="center"/>
          </w:tcPr>
          <w:p w14:paraId="3A08B0E0">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w:t>
            </w:r>
          </w:p>
        </w:tc>
        <w:tc>
          <w:tcPr>
            <w:tcW w:w="2655" w:type="dxa"/>
            <w:tcBorders>
              <w:top w:val="single" w:color="000000" w:sz="4" w:space="0"/>
              <w:left w:val="single" w:color="000000" w:sz="4" w:space="0"/>
              <w:right w:val="single" w:color="auto" w:sz="4" w:space="0"/>
            </w:tcBorders>
            <w:noWrap w:val="0"/>
            <w:vAlign w:val="center"/>
          </w:tcPr>
          <w:p w14:paraId="5E142142">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定期对电站各设备进行检查维护，及时消除电站设备、设施的缺陷和隐患，主设备消缺率达到100%，保持电站全部设备设施的整洁、安全、完好和正常运用。</w:t>
            </w:r>
          </w:p>
        </w:tc>
        <w:tc>
          <w:tcPr>
            <w:tcW w:w="7284" w:type="dxa"/>
            <w:tcBorders>
              <w:top w:val="single" w:color="auto" w:sz="4" w:space="0"/>
              <w:left w:val="single" w:color="auto" w:sz="4" w:space="0"/>
              <w:right w:val="single" w:color="000000" w:sz="4" w:space="0"/>
            </w:tcBorders>
            <w:noWrap w:val="0"/>
            <w:vAlign w:val="center"/>
          </w:tcPr>
          <w:p w14:paraId="38D5F0D0">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设备评级为二类的，每有一台扣5分；</w:t>
            </w:r>
          </w:p>
          <w:p w14:paraId="515D4A92">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设备评级为三类的，每有一台扣10分；</w:t>
            </w:r>
          </w:p>
          <w:p w14:paraId="289382D5">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当月因站内设备原因造成机组非正常停用台次大于2次，每增加1次，扣5分；</w:t>
            </w:r>
          </w:p>
          <w:p w14:paraId="3A9B7D16">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4.</w:t>
            </w:r>
            <w:r>
              <w:rPr>
                <w:rFonts w:hint="eastAsia" w:ascii="宋体" w:hAnsi="宋体" w:eastAsia="宋体" w:cs="宋体"/>
                <w:snapToGrid w:val="0"/>
                <w:color w:val="auto"/>
                <w:sz w:val="21"/>
                <w:szCs w:val="21"/>
                <w:highlight w:val="none"/>
              </w:rPr>
              <w:t>站内设备原因造成机组非正常停用时间单次处理时间＞24小时的，每增加12小时扣5分；</w:t>
            </w:r>
          </w:p>
          <w:p w14:paraId="11848709">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5.</w:t>
            </w:r>
            <w:r>
              <w:rPr>
                <w:rFonts w:hint="eastAsia" w:ascii="宋体" w:hAnsi="宋体" w:eastAsia="宋体" w:cs="宋体"/>
                <w:snapToGrid w:val="0"/>
                <w:color w:val="auto"/>
                <w:sz w:val="21"/>
                <w:szCs w:val="21"/>
                <w:highlight w:val="none"/>
              </w:rPr>
              <w:t>设备未定期进行检查维护的或维护不到位，每发现一台扣10分，</w:t>
            </w:r>
          </w:p>
          <w:p w14:paraId="13AFB176">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6.</w:t>
            </w:r>
            <w:r>
              <w:rPr>
                <w:rFonts w:hint="eastAsia" w:ascii="宋体" w:hAnsi="宋体" w:eastAsia="宋体" w:cs="宋体"/>
                <w:snapToGrid w:val="0"/>
                <w:color w:val="auto"/>
                <w:sz w:val="21"/>
                <w:szCs w:val="21"/>
                <w:highlight w:val="none"/>
              </w:rPr>
              <w:t>设备、管路漏油、漏气、漏水的，发现一处扣5分；</w:t>
            </w:r>
          </w:p>
          <w:p w14:paraId="7FCA4B76">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7.</w:t>
            </w:r>
            <w:r>
              <w:rPr>
                <w:rFonts w:hint="eastAsia" w:ascii="宋体" w:hAnsi="宋体" w:eastAsia="宋体" w:cs="宋体"/>
                <w:snapToGrid w:val="0"/>
                <w:color w:val="auto"/>
                <w:sz w:val="21"/>
                <w:szCs w:val="21"/>
                <w:highlight w:val="none"/>
              </w:rPr>
              <w:t>设备不卫生，有昆虫、积尘、杂物的，每处扣5分；</w:t>
            </w:r>
          </w:p>
          <w:p w14:paraId="438C742B">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8.</w:t>
            </w:r>
            <w:r>
              <w:rPr>
                <w:rFonts w:hint="eastAsia" w:ascii="宋体" w:hAnsi="宋体" w:eastAsia="宋体" w:cs="宋体"/>
                <w:snapToGrid w:val="0"/>
                <w:color w:val="auto"/>
                <w:sz w:val="21"/>
                <w:szCs w:val="21"/>
                <w:highlight w:val="none"/>
              </w:rPr>
              <w:t>压力容器安全阀未在规定时间内试验、检测的，每次扣10分；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819DEC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1C5502F2">
        <w:tblPrEx>
          <w:tblCellMar>
            <w:top w:w="15" w:type="dxa"/>
            <w:left w:w="15" w:type="dxa"/>
            <w:bottom w:w="15" w:type="dxa"/>
            <w:right w:w="15" w:type="dxa"/>
          </w:tblCellMar>
        </w:tblPrEx>
        <w:trPr>
          <w:trHeight w:val="2077" w:hRule="atLeast"/>
        </w:trPr>
        <w:tc>
          <w:tcPr>
            <w:tcW w:w="628" w:type="dxa"/>
            <w:vMerge w:val="continue"/>
            <w:tcBorders>
              <w:left w:val="single" w:color="000000" w:sz="4" w:space="0"/>
              <w:right w:val="single" w:color="auto" w:sz="4" w:space="0"/>
            </w:tcBorders>
            <w:noWrap w:val="0"/>
            <w:vAlign w:val="center"/>
          </w:tcPr>
          <w:p w14:paraId="37EBA05C">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p>
        </w:tc>
        <w:tc>
          <w:tcPr>
            <w:tcW w:w="1140" w:type="dxa"/>
            <w:vMerge w:val="continue"/>
            <w:tcBorders>
              <w:left w:val="single" w:color="auto" w:sz="4" w:space="0"/>
              <w:right w:val="single" w:color="000000" w:sz="4" w:space="0"/>
            </w:tcBorders>
            <w:noWrap w:val="0"/>
            <w:vAlign w:val="center"/>
          </w:tcPr>
          <w:p w14:paraId="692CCCEC">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p>
        </w:tc>
        <w:tc>
          <w:tcPr>
            <w:tcW w:w="990" w:type="dxa"/>
            <w:vMerge w:val="continue"/>
            <w:tcBorders>
              <w:left w:val="single" w:color="000000" w:sz="4" w:space="0"/>
              <w:right w:val="single" w:color="000000" w:sz="4" w:space="0"/>
            </w:tcBorders>
            <w:noWrap w:val="0"/>
            <w:vAlign w:val="center"/>
          </w:tcPr>
          <w:p w14:paraId="6311D641">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p>
        </w:tc>
        <w:tc>
          <w:tcPr>
            <w:tcW w:w="2655" w:type="dxa"/>
            <w:tcBorders>
              <w:top w:val="single" w:color="000000" w:sz="4" w:space="0"/>
              <w:left w:val="single" w:color="000000" w:sz="4" w:space="0"/>
              <w:bottom w:val="single" w:color="000000" w:sz="4" w:space="0"/>
              <w:right w:val="single" w:color="auto" w:sz="4" w:space="0"/>
            </w:tcBorders>
            <w:noWrap w:val="0"/>
            <w:vAlign w:val="center"/>
          </w:tcPr>
          <w:p w14:paraId="6BC49ADA">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工器具摆放位置合理、整齐。安全工器具应专人管理，，专柜存放，按规定定期试验合格。备品备件配置合理，分类存放，有清单及进出记录，库房整洁。</w:t>
            </w:r>
          </w:p>
        </w:tc>
        <w:tc>
          <w:tcPr>
            <w:tcW w:w="7284" w:type="dxa"/>
            <w:tcBorders>
              <w:top w:val="single" w:color="000000" w:sz="4" w:space="0"/>
              <w:left w:val="single" w:color="auto" w:sz="4" w:space="0"/>
              <w:bottom w:val="single" w:color="000000" w:sz="4" w:space="0"/>
              <w:right w:val="single" w:color="000000" w:sz="4" w:space="0"/>
            </w:tcBorders>
            <w:noWrap w:val="0"/>
            <w:vAlign w:val="center"/>
          </w:tcPr>
          <w:p w14:paraId="577886E5">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工器具摆放位置不合理、不整齐，每次扣5分；</w:t>
            </w:r>
          </w:p>
          <w:p w14:paraId="67CFD98A">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安全工器具未定期试验 ，每次扣5分；</w:t>
            </w:r>
          </w:p>
          <w:p w14:paraId="01F6720E">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常用备品备件耗品缺失，影响发电运行生产，每次扣10分；</w:t>
            </w:r>
          </w:p>
          <w:p w14:paraId="7BBC476B">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4.</w:t>
            </w:r>
            <w:r>
              <w:rPr>
                <w:rFonts w:hint="eastAsia" w:ascii="宋体" w:hAnsi="宋体" w:eastAsia="宋体" w:cs="宋体"/>
                <w:snapToGrid w:val="0"/>
                <w:color w:val="auto"/>
                <w:sz w:val="21"/>
                <w:szCs w:val="21"/>
                <w:highlight w:val="none"/>
              </w:rPr>
              <w:t>备品备件存放混乱，脏污，每次扣5分；</w:t>
            </w:r>
          </w:p>
          <w:p w14:paraId="66F82362">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5.</w:t>
            </w:r>
            <w:r>
              <w:rPr>
                <w:rFonts w:hint="eastAsia" w:ascii="宋体" w:hAnsi="宋体" w:eastAsia="宋体" w:cs="宋体"/>
                <w:snapToGrid w:val="0"/>
                <w:color w:val="auto"/>
                <w:sz w:val="21"/>
                <w:szCs w:val="21"/>
                <w:highlight w:val="none"/>
              </w:rPr>
              <w:t>备品备件清单、进出记录与实物不对应，每次扣5分；</w:t>
            </w:r>
          </w:p>
          <w:p w14:paraId="21041929">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6.</w:t>
            </w:r>
            <w:r>
              <w:rPr>
                <w:rFonts w:hint="eastAsia" w:ascii="宋体" w:hAnsi="宋体" w:eastAsia="宋体" w:cs="宋体"/>
                <w:snapToGrid w:val="0"/>
                <w:color w:val="auto"/>
                <w:sz w:val="21"/>
                <w:szCs w:val="21"/>
                <w:highlight w:val="none"/>
              </w:rPr>
              <w:t>库房脏、乱、差的，每次扣5分。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DFBA37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797A2687">
        <w:tblPrEx>
          <w:tblCellMar>
            <w:top w:w="15" w:type="dxa"/>
            <w:left w:w="15" w:type="dxa"/>
            <w:bottom w:w="15" w:type="dxa"/>
            <w:right w:w="15" w:type="dxa"/>
          </w:tblCellMar>
        </w:tblPrEx>
        <w:trPr>
          <w:trHeight w:val="923" w:hRule="atLeast"/>
        </w:trPr>
        <w:tc>
          <w:tcPr>
            <w:tcW w:w="628" w:type="dxa"/>
            <w:vMerge w:val="continue"/>
            <w:tcBorders>
              <w:left w:val="single" w:color="000000" w:sz="4" w:space="0"/>
              <w:bottom w:val="single" w:color="000000" w:sz="4" w:space="0"/>
              <w:right w:val="single" w:color="auto" w:sz="4" w:space="0"/>
            </w:tcBorders>
            <w:noWrap w:val="0"/>
            <w:vAlign w:val="center"/>
          </w:tcPr>
          <w:p w14:paraId="3597AEC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p>
        </w:tc>
        <w:tc>
          <w:tcPr>
            <w:tcW w:w="1140" w:type="dxa"/>
            <w:vMerge w:val="continue"/>
            <w:tcBorders>
              <w:left w:val="single" w:color="auto" w:sz="4" w:space="0"/>
              <w:bottom w:val="single" w:color="000000" w:sz="4" w:space="0"/>
              <w:right w:val="single" w:color="000000" w:sz="4" w:space="0"/>
            </w:tcBorders>
            <w:noWrap w:val="0"/>
            <w:vAlign w:val="center"/>
          </w:tcPr>
          <w:p w14:paraId="200F467D">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p>
        </w:tc>
        <w:tc>
          <w:tcPr>
            <w:tcW w:w="990" w:type="dxa"/>
            <w:vMerge w:val="continue"/>
            <w:tcBorders>
              <w:left w:val="single" w:color="000000" w:sz="4" w:space="0"/>
              <w:bottom w:val="single" w:color="000000" w:sz="4" w:space="0"/>
              <w:right w:val="single" w:color="000000" w:sz="4" w:space="0"/>
            </w:tcBorders>
            <w:noWrap w:val="0"/>
            <w:vAlign w:val="center"/>
          </w:tcPr>
          <w:p w14:paraId="60D8598D">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p>
        </w:tc>
        <w:tc>
          <w:tcPr>
            <w:tcW w:w="2655" w:type="dxa"/>
            <w:tcBorders>
              <w:top w:val="single" w:color="000000" w:sz="4" w:space="0"/>
              <w:left w:val="single" w:color="000000" w:sz="4" w:space="0"/>
              <w:bottom w:val="single" w:color="000000" w:sz="4" w:space="0"/>
              <w:right w:val="single" w:color="auto" w:sz="4" w:space="0"/>
            </w:tcBorders>
            <w:noWrap w:val="0"/>
            <w:vAlign w:val="center"/>
          </w:tcPr>
          <w:p w14:paraId="56E2519A">
            <w:pPr>
              <w:keepNext w:val="0"/>
              <w:keepLines w:val="0"/>
              <w:suppressLineNumbers w:val="0"/>
              <w:snapToGrid w:val="0"/>
              <w:spacing w:before="0" w:beforeAutospacing="0" w:after="0" w:afterAutospacing="0" w:line="276" w:lineRule="auto"/>
              <w:ind w:left="0" w:right="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电站设备、设施、阀门、仪表等标牌、标志、编号牌，以及路线标贴、警示标贴、警示牌、上墙牌匾等保持齐全完好。</w:t>
            </w:r>
          </w:p>
        </w:tc>
        <w:tc>
          <w:tcPr>
            <w:tcW w:w="7284" w:type="dxa"/>
            <w:tcBorders>
              <w:top w:val="single" w:color="000000" w:sz="4" w:space="0"/>
              <w:left w:val="single" w:color="auto" w:sz="4" w:space="0"/>
              <w:bottom w:val="single" w:color="000000" w:sz="4" w:space="0"/>
              <w:right w:val="single" w:color="000000" w:sz="4" w:space="0"/>
            </w:tcBorders>
            <w:noWrap w:val="0"/>
            <w:vAlign w:val="center"/>
          </w:tcPr>
          <w:p w14:paraId="54A71124">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1.</w:t>
            </w:r>
            <w:r>
              <w:rPr>
                <w:rFonts w:hint="eastAsia" w:ascii="宋体" w:hAnsi="宋体" w:eastAsia="宋体" w:cs="宋体"/>
                <w:snapToGrid w:val="0"/>
                <w:color w:val="auto"/>
                <w:sz w:val="21"/>
                <w:szCs w:val="21"/>
                <w:highlight w:val="none"/>
              </w:rPr>
              <w:t>规定悬挂和放置的图表缺失，每发现一件扣5分；</w:t>
            </w:r>
          </w:p>
          <w:p w14:paraId="432DAF7B">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损坏标志标牌、牌匾、标贴，每发现一处扣5分；</w:t>
            </w:r>
          </w:p>
          <w:p w14:paraId="7150BD3E">
            <w:pPr>
              <w:pStyle w:val="564"/>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名称类、警示类、指引类、建筑物上标识等标识标牌破损未及时报告更换，每发现一处扣5分。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77B43E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7A47ED88">
        <w:tblPrEx>
          <w:tblCellMar>
            <w:top w:w="15" w:type="dxa"/>
            <w:left w:w="15" w:type="dxa"/>
            <w:bottom w:w="15" w:type="dxa"/>
            <w:right w:w="15" w:type="dxa"/>
          </w:tblCellMar>
        </w:tblPrEx>
        <w:trPr>
          <w:trHeight w:val="45" w:hRule="atLeast"/>
        </w:trPr>
        <w:tc>
          <w:tcPr>
            <w:tcW w:w="628" w:type="dxa"/>
            <w:tcBorders>
              <w:top w:val="single" w:color="000000" w:sz="4" w:space="0"/>
              <w:left w:val="single" w:color="000000" w:sz="4" w:space="0"/>
              <w:bottom w:val="single" w:color="000000" w:sz="4" w:space="0"/>
              <w:right w:val="single" w:color="auto" w:sz="4" w:space="0"/>
            </w:tcBorders>
            <w:noWrap w:val="0"/>
            <w:vAlign w:val="center"/>
          </w:tcPr>
          <w:p w14:paraId="798D4FE6">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40" w:type="dxa"/>
            <w:tcBorders>
              <w:top w:val="single" w:color="000000" w:sz="4" w:space="0"/>
              <w:left w:val="single" w:color="auto" w:sz="4" w:space="0"/>
              <w:bottom w:val="single" w:color="000000" w:sz="4" w:space="0"/>
              <w:right w:val="single" w:color="000000" w:sz="4" w:space="0"/>
            </w:tcBorders>
            <w:noWrap w:val="0"/>
            <w:vAlign w:val="center"/>
          </w:tcPr>
          <w:p w14:paraId="048471F5">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检修管理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B709F1">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655" w:type="dxa"/>
            <w:tcBorders>
              <w:top w:val="single" w:color="000000" w:sz="4" w:space="0"/>
              <w:left w:val="single" w:color="000000" w:sz="4" w:space="0"/>
              <w:bottom w:val="single" w:color="000000" w:sz="4" w:space="0"/>
              <w:right w:val="single" w:color="auto" w:sz="4" w:space="0"/>
            </w:tcBorders>
            <w:noWrap w:val="0"/>
            <w:vAlign w:val="center"/>
          </w:tcPr>
          <w:p w14:paraId="3007D79C">
            <w:pPr>
              <w:keepNext w:val="0"/>
              <w:keepLines w:val="0"/>
              <w:widowControl/>
              <w:suppressLineNumbers w:val="0"/>
              <w:spacing w:before="0" w:beforeAutospacing="0" w:after="0" w:afterAutospacing="0" w:line="40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制定符合实际的检修计划。按照规程要求，完成检修工作。</w:t>
            </w:r>
            <w:r>
              <w:rPr>
                <w:rFonts w:hint="eastAsia" w:ascii="宋体" w:hAnsi="宋体" w:eastAsia="宋体" w:cs="宋体"/>
                <w:color w:val="auto"/>
                <w:sz w:val="21"/>
                <w:szCs w:val="21"/>
                <w:highlight w:val="none"/>
              </w:rPr>
              <w:t>保障机组设备状况良好，随时可以投运。</w:t>
            </w:r>
          </w:p>
        </w:tc>
        <w:tc>
          <w:tcPr>
            <w:tcW w:w="7284" w:type="dxa"/>
            <w:tcBorders>
              <w:top w:val="single" w:color="000000" w:sz="4" w:space="0"/>
              <w:left w:val="single" w:color="auto" w:sz="4" w:space="0"/>
              <w:bottom w:val="single" w:color="000000" w:sz="4" w:space="0"/>
              <w:right w:val="single" w:color="000000" w:sz="4" w:space="0"/>
            </w:tcBorders>
            <w:noWrap w:val="0"/>
            <w:vAlign w:val="center"/>
          </w:tcPr>
          <w:p w14:paraId="7D984329">
            <w:pPr>
              <w:keepNext w:val="0"/>
              <w:keepLines w:val="0"/>
              <w:widowControl/>
              <w:numPr>
                <w:ilvl w:val="0"/>
                <w:numId w:val="0"/>
              </w:numPr>
              <w:suppressLineNumbers w:val="0"/>
              <w:spacing w:before="0" w:beforeAutospacing="0" w:after="0" w:afterAutospacing="0" w:line="400" w:lineRule="exact"/>
              <w:ind w:left="420" w:leftChars="0" w:right="0" w:rightChars="0" w:hanging="42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snapToGrid w:val="0"/>
                <w:color w:val="auto"/>
                <w:sz w:val="21"/>
                <w:szCs w:val="21"/>
                <w:highlight w:val="none"/>
              </w:rPr>
              <w:t>检修计划不合理，没有</w:t>
            </w:r>
            <w:r>
              <w:rPr>
                <w:rFonts w:hint="eastAsia" w:ascii="宋体" w:hAnsi="宋体" w:cs="宋体"/>
                <w:snapToGrid w:val="0"/>
                <w:color w:val="auto"/>
                <w:sz w:val="21"/>
                <w:szCs w:val="21"/>
                <w:highlight w:val="none"/>
                <w:lang w:val="en-US" w:eastAsia="zh-CN"/>
              </w:rPr>
              <w:t>业主</w:t>
            </w:r>
            <w:r>
              <w:rPr>
                <w:rFonts w:hint="eastAsia" w:ascii="宋体" w:hAnsi="宋体" w:eastAsia="宋体" w:cs="宋体"/>
                <w:snapToGrid w:val="0"/>
                <w:color w:val="auto"/>
                <w:sz w:val="21"/>
                <w:szCs w:val="21"/>
                <w:highlight w:val="none"/>
              </w:rPr>
              <w:t>批复，扣10分；</w:t>
            </w:r>
          </w:p>
          <w:p w14:paraId="3A812B98">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2.</w:t>
            </w:r>
            <w:r>
              <w:rPr>
                <w:rFonts w:hint="eastAsia" w:ascii="宋体" w:hAnsi="宋体" w:eastAsia="宋体" w:cs="宋体"/>
                <w:snapToGrid w:val="0"/>
                <w:color w:val="auto"/>
                <w:sz w:val="21"/>
                <w:szCs w:val="21"/>
                <w:highlight w:val="none"/>
              </w:rPr>
              <w:t>检修工作未按规程要求作业，每次扣10分；</w:t>
            </w:r>
          </w:p>
          <w:p w14:paraId="0AEFB93B">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3.</w:t>
            </w:r>
            <w:r>
              <w:rPr>
                <w:rFonts w:hint="eastAsia" w:ascii="宋体" w:hAnsi="宋体" w:eastAsia="宋体" w:cs="宋体"/>
                <w:snapToGrid w:val="0"/>
                <w:color w:val="auto"/>
                <w:sz w:val="21"/>
                <w:szCs w:val="21"/>
                <w:highlight w:val="none"/>
              </w:rPr>
              <w:t>检修后设备状况达不到正常运行标准，本项不得分；</w:t>
            </w:r>
          </w:p>
          <w:p w14:paraId="5C7B8AB1">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4.</w:t>
            </w:r>
            <w:r>
              <w:rPr>
                <w:rFonts w:hint="eastAsia" w:ascii="宋体" w:hAnsi="宋体" w:eastAsia="宋体" w:cs="宋体"/>
                <w:snapToGrid w:val="0"/>
                <w:color w:val="auto"/>
                <w:sz w:val="21"/>
                <w:szCs w:val="21"/>
                <w:highlight w:val="none"/>
              </w:rPr>
              <w:t>突发性故障、事故未能及时处置、修复，致影响发电运行，扣20分；</w:t>
            </w:r>
          </w:p>
          <w:p w14:paraId="73FE4F73">
            <w:pPr>
              <w:keepNext w:val="0"/>
              <w:keepLines w:val="0"/>
              <w:numPr>
                <w:ilvl w:val="0"/>
                <w:numId w:val="0"/>
              </w:numPr>
              <w:suppressLineNumbers w:val="0"/>
              <w:snapToGrid w:val="0"/>
              <w:spacing w:before="0" w:beforeAutospacing="0" w:after="0" w:afterAutospacing="0" w:line="276" w:lineRule="auto"/>
              <w:ind w:left="420" w:leftChars="0" w:right="0" w:rightChars="0" w:hanging="420" w:firstLineChars="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
                <w:sz w:val="21"/>
                <w:szCs w:val="21"/>
                <w:lang w:val="en-US" w:eastAsia="zh-CN" w:bidi="ar-SA"/>
              </w:rPr>
              <w:t>5.</w:t>
            </w:r>
            <w:r>
              <w:rPr>
                <w:rFonts w:hint="eastAsia" w:ascii="宋体" w:hAnsi="宋体" w:eastAsia="宋体" w:cs="宋体"/>
                <w:snapToGrid w:val="0"/>
                <w:color w:val="auto"/>
                <w:sz w:val="21"/>
                <w:szCs w:val="21"/>
                <w:highlight w:val="none"/>
              </w:rPr>
              <w:t>工作时未佩戴安全帽，未做好安全防护，每发生一次扣5分；</w:t>
            </w:r>
          </w:p>
          <w:p w14:paraId="66152E5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相关记录不及时、不准确或资料、记录缺失，每处扣5分。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8F0AB9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bl>
    <w:p w14:paraId="638586B5">
      <w:pPr>
        <w:pStyle w:val="78"/>
        <w:ind w:left="0" w:leftChars="0" w:firstLine="0" w:firstLineChars="0"/>
        <w:rPr>
          <w:color w:val="auto"/>
          <w:highlight w:val="none"/>
        </w:rPr>
        <w:sectPr>
          <w:footerReference r:id="rId15" w:type="default"/>
          <w:pgSz w:w="16838" w:h="11906" w:orient="landscape"/>
          <w:pgMar w:top="1502" w:right="1440" w:bottom="1225"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35801490">
      <w:pPr>
        <w:pStyle w:val="3"/>
        <w:spacing w:line="700" w:lineRule="exact"/>
        <w:ind w:left="0" w:leftChars="0" w:firstLine="0" w:firstLineChars="0"/>
        <w:jc w:val="center"/>
        <w:rPr>
          <w:rFonts w:hint="default"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t>第四部分  评标办法</w:t>
      </w:r>
      <w:bookmarkEnd w:id="91"/>
      <w:bookmarkEnd w:id="92"/>
      <w:bookmarkEnd w:id="93"/>
      <w:bookmarkEnd w:id="94"/>
      <w:bookmarkEnd w:id="95"/>
      <w:bookmarkEnd w:id="96"/>
      <w:bookmarkEnd w:id="97"/>
      <w:r>
        <w:rPr>
          <w:rFonts w:hint="eastAsia" w:ascii="宋体" w:hAnsi="宋体" w:eastAsia="宋体" w:cs="宋体"/>
          <w:b/>
          <w:bCs/>
          <w:color w:val="auto"/>
          <w:kern w:val="0"/>
          <w:sz w:val="32"/>
          <w:szCs w:val="32"/>
          <w:lang w:val="en-US" w:eastAsia="zh-CN" w:bidi="ar-SA"/>
        </w:rPr>
        <w:t>及评分标准</w:t>
      </w:r>
    </w:p>
    <w:p w14:paraId="018801FD">
      <w:pPr>
        <w:pStyle w:val="4"/>
        <w:spacing w:before="120" w:beforeLines="0" w:after="120" w:afterLines="0" w:line="440" w:lineRule="exact"/>
        <w:ind w:firstLine="103"/>
        <w:rPr>
          <w:rFonts w:hint="eastAsia" w:ascii="宋体" w:hAnsi="宋体" w:eastAsia="宋体" w:cs="宋体"/>
          <w:color w:val="auto"/>
          <w:sz w:val="28"/>
          <w:szCs w:val="28"/>
        </w:rPr>
      </w:pPr>
      <w:r>
        <w:rPr>
          <w:rFonts w:hint="eastAsia" w:ascii="宋体" w:hAnsi="宋体" w:eastAsia="宋体" w:cs="宋体"/>
          <w:color w:val="auto"/>
          <w:sz w:val="28"/>
          <w:szCs w:val="28"/>
        </w:rPr>
        <w:t>1、评标方法：</w:t>
      </w:r>
    </w:p>
    <w:p w14:paraId="4AC36965">
      <w:pPr>
        <w:keepNext w:val="0"/>
        <w:keepLines w:val="0"/>
        <w:pageBreakBefore w:val="0"/>
        <w:widowControl w:val="0"/>
        <w:kinsoku/>
        <w:wordWrap/>
        <w:overflowPunct/>
        <w:topLinePunct w:val="0"/>
        <w:autoSpaceDE/>
        <w:autoSpaceDN/>
        <w:bidi w:val="0"/>
        <w:adjustRightInd w:val="0"/>
        <w:snapToGrid/>
        <w:spacing w:line="420" w:lineRule="exact"/>
        <w:ind w:firstLine="50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F936BA3">
      <w:pPr>
        <w:keepNext w:val="0"/>
        <w:keepLines w:val="0"/>
        <w:pageBreakBefore w:val="0"/>
        <w:widowControl w:val="0"/>
        <w:kinsoku/>
        <w:wordWrap/>
        <w:overflowPunct/>
        <w:topLinePunct w:val="0"/>
        <w:autoSpaceDE/>
        <w:autoSpaceDN/>
        <w:bidi w:val="0"/>
        <w:adjustRightInd w:val="0"/>
        <w:snapToGrid/>
        <w:spacing w:line="420" w:lineRule="exact"/>
        <w:ind w:firstLine="502" w:firstLineChars="200"/>
        <w:jc w:val="left"/>
        <w:textAlignment w:val="auto"/>
        <w:rPr>
          <w:rFonts w:hint="eastAsia" w:ascii="仿宋" w:hAnsi="仿宋" w:eastAsia="仿宋" w:cs="仿宋"/>
          <w:color w:val="auto"/>
          <w:sz w:val="24"/>
        </w:rPr>
      </w:pPr>
      <w:r>
        <w:rPr>
          <w:rFonts w:hint="eastAsia" w:ascii="宋体" w:hAnsi="宋体" w:eastAsia="宋体" w:cs="宋体"/>
          <w:color w:val="auto"/>
          <w:sz w:val="24"/>
          <w:szCs w:val="24"/>
        </w:rPr>
        <w:t>评分标准：共100分，其中</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技术分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0分，价格分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0分。评分依下述所列为评标打分依据，分值如下（计算分值时，按其算术平均值保留小数2位）</w:t>
      </w:r>
      <w:r>
        <w:rPr>
          <w:rFonts w:hint="eastAsia" w:ascii="仿宋" w:hAnsi="仿宋" w:eastAsia="仿宋" w:cs="仿宋"/>
          <w:color w:val="auto"/>
          <w:sz w:val="24"/>
        </w:rPr>
        <w:t>。</w:t>
      </w:r>
    </w:p>
    <w:p w14:paraId="10A007EF">
      <w:pPr>
        <w:pStyle w:val="4"/>
        <w:spacing w:before="120" w:beforeLines="0" w:after="120" w:afterLines="0" w:line="440" w:lineRule="exact"/>
        <w:ind w:firstLine="103"/>
        <w:rPr>
          <w:rFonts w:hint="eastAsia" w:ascii="宋体" w:hAnsi="宋体" w:eastAsia="宋体" w:cs="宋体"/>
          <w:color w:val="auto"/>
          <w:sz w:val="28"/>
          <w:szCs w:val="28"/>
        </w:rPr>
      </w:pPr>
      <w:bookmarkStart w:id="112" w:name="_Toc19935"/>
      <w:r>
        <w:rPr>
          <w:rFonts w:hint="eastAsia" w:ascii="宋体" w:cs="宋体"/>
          <w:color w:val="auto"/>
          <w:sz w:val="28"/>
          <w:szCs w:val="28"/>
          <w:lang w:val="en-US" w:eastAsia="zh-CN"/>
        </w:rPr>
        <w:t>2</w:t>
      </w:r>
      <w:r>
        <w:rPr>
          <w:rFonts w:hint="eastAsia" w:ascii="宋体" w:hAnsi="宋体" w:eastAsia="宋体" w:cs="宋体"/>
          <w:color w:val="auto"/>
          <w:sz w:val="28"/>
          <w:szCs w:val="28"/>
        </w:rPr>
        <w:t>、评标细则</w:t>
      </w:r>
      <w:bookmarkEnd w:id="112"/>
    </w:p>
    <w:p w14:paraId="4A4C980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sz w:val="24"/>
          <w:lang w:eastAsia="zh-CN"/>
        </w:rPr>
      </w:pPr>
      <w:r>
        <w:rPr>
          <w:rFonts w:hint="eastAsia" w:ascii="宋体" w:hAnsi="宋体" w:eastAsia="宋体" w:cs="宋体"/>
          <w:color w:val="auto"/>
          <w:sz w:val="24"/>
          <w:szCs w:val="24"/>
          <w:lang w:val="en-US" w:eastAsia="zh-CN"/>
        </w:rPr>
        <w:t>一、</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技术</w:t>
      </w:r>
      <w:r>
        <w:rPr>
          <w:rFonts w:hint="eastAsia" w:ascii="宋体" w:hAnsi="宋体" w:eastAsia="宋体" w:cs="宋体"/>
          <w:color w:val="auto"/>
          <w:sz w:val="24"/>
          <w:szCs w:val="24"/>
          <w:lang w:val="en-US" w:eastAsia="zh-CN"/>
        </w:rPr>
        <w:t>部</w:t>
      </w:r>
      <w:r>
        <w:rPr>
          <w:rFonts w:hint="eastAsia" w:ascii="宋体" w:hAnsi="宋体" w:eastAsia="宋体" w:cs="宋体"/>
          <w:color w:val="auto"/>
          <w:sz w:val="24"/>
          <w:szCs w:val="24"/>
        </w:rPr>
        <w:t>分</w:t>
      </w:r>
      <w:r>
        <w:rPr>
          <w:rFonts w:hint="eastAsia" w:ascii="宋体" w:hAnsi="宋体" w:eastAsia="宋体" w:cs="宋体"/>
          <w:sz w:val="24"/>
          <w:u w:val="none"/>
          <w:lang w:val="en-US" w:eastAsia="zh-CN"/>
        </w:rPr>
        <w:t xml:space="preserve"> 50 </w:t>
      </w:r>
      <w:r>
        <w:rPr>
          <w:rFonts w:hint="eastAsia" w:ascii="宋体" w:hAnsi="宋体" w:eastAsia="宋体" w:cs="宋体"/>
          <w:sz w:val="24"/>
        </w:rPr>
        <w:t>分</w:t>
      </w:r>
      <w:r>
        <w:rPr>
          <w:rFonts w:hint="eastAsia" w:ascii="宋体" w:hAnsi="宋体" w:eastAsia="宋体" w:cs="宋体"/>
          <w:sz w:val="24"/>
          <w:lang w:eastAsia="zh-CN"/>
        </w:rPr>
        <w:t>。</w:t>
      </w:r>
    </w:p>
    <w:p w14:paraId="7223EF14">
      <w:pPr>
        <w:keepNext w:val="0"/>
        <w:keepLines w:val="0"/>
        <w:pageBreakBefore w:val="0"/>
        <w:widowControl w:val="0"/>
        <w:kinsoku/>
        <w:wordWrap/>
        <w:overflowPunct/>
        <w:topLinePunct w:val="0"/>
        <w:autoSpaceDE/>
        <w:autoSpaceDN/>
        <w:bidi w:val="0"/>
        <w:adjustRightInd w:val="0"/>
        <w:snapToGrid/>
        <w:spacing w:line="420" w:lineRule="exact"/>
        <w:ind w:firstLine="251"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各评委成员按评标细则进行评审，计算精确到小数点后二位（各家单位的分值为所有评标成员给出的值的算术平均值）</w:t>
      </w:r>
      <w:r>
        <w:rPr>
          <w:rFonts w:hint="eastAsia" w:ascii="宋体" w:hAnsi="宋体" w:eastAsia="宋体" w:cs="宋体"/>
          <w:color w:val="auto"/>
          <w:sz w:val="24"/>
          <w:szCs w:val="24"/>
          <w:lang w:eastAsia="zh-CN"/>
        </w:rPr>
        <w:t>。</w:t>
      </w:r>
    </w:p>
    <w:p w14:paraId="18E83335">
      <w:pPr>
        <w:spacing w:line="440" w:lineRule="exact"/>
        <w:ind w:firstLine="251" w:firstLineChars="100"/>
        <w:rPr>
          <w:rFonts w:hint="eastAsia"/>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技术分值（</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98"/>
        <w:gridCol w:w="6570"/>
        <w:gridCol w:w="841"/>
      </w:tblGrid>
      <w:tr w14:paraId="6E7B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0F484E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序号</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5AB5501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评分内容</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326A165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评分标准</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6376677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分值</w:t>
            </w:r>
          </w:p>
        </w:tc>
      </w:tr>
      <w:tr w14:paraId="7943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69" w:type="dxa"/>
            <w:tcBorders>
              <w:left w:val="single" w:color="auto" w:sz="4" w:space="0"/>
              <w:bottom w:val="single" w:color="auto" w:sz="4" w:space="0"/>
              <w:right w:val="single" w:color="auto" w:sz="4" w:space="0"/>
            </w:tcBorders>
            <w:shd w:val="clear" w:color="auto" w:fill="auto"/>
            <w:noWrap w:val="0"/>
            <w:vAlign w:val="center"/>
          </w:tcPr>
          <w:p w14:paraId="34E22195">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498" w:type="dxa"/>
            <w:tcBorders>
              <w:left w:val="single" w:color="auto" w:sz="4" w:space="0"/>
              <w:right w:val="single" w:color="auto" w:sz="4" w:space="0"/>
            </w:tcBorders>
            <w:shd w:val="clear" w:color="auto" w:fill="auto"/>
            <w:noWrap w:val="0"/>
            <w:vAlign w:val="center"/>
          </w:tcPr>
          <w:p w14:paraId="10A74B3A">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投标人资质</w:t>
            </w:r>
          </w:p>
        </w:tc>
        <w:tc>
          <w:tcPr>
            <w:tcW w:w="6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8EB528">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（1）投标人具有有效的水利水电机电安装工程专业承包壹级资质的得2分，贰级的得1分，叁级的得0.5分；</w:t>
            </w:r>
          </w:p>
          <w:p w14:paraId="615FEE05">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（2）投标人</w:t>
            </w:r>
            <w:r>
              <w:rPr>
                <w:rFonts w:hint="eastAsia" w:ascii="宋体" w:hAnsi="宋体" w:eastAsia="宋体" w:cs="宋体"/>
                <w:color w:val="000000" w:themeColor="text1"/>
                <w:sz w:val="21"/>
                <w:szCs w:val="21"/>
                <w:highlight w:val="none"/>
                <w14:textFill>
                  <w14:solidFill>
                    <w14:schemeClr w14:val="tx1"/>
                  </w14:solidFill>
                </w14:textFill>
              </w:rPr>
              <w:t>具有水工金属结构制作与安装工程专业承包一级及以上资质的得1分。</w:t>
            </w:r>
          </w:p>
          <w:p w14:paraId="082E9986">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bCs/>
                <w:color w:val="000000" w:themeColor="text1"/>
                <w:sz w:val="21"/>
                <w:szCs w:val="21"/>
                <w:highlight w:val="none"/>
                <w14:textFill>
                  <w14:solidFill>
                    <w14:schemeClr w14:val="tx1"/>
                  </w14:solidFill>
                </w14:textFill>
              </w:rPr>
              <w:t>提供资质证书扫描件并加盖投标人CA签章。）</w:t>
            </w:r>
          </w:p>
        </w:tc>
        <w:tc>
          <w:tcPr>
            <w:tcW w:w="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3B54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3分</w:t>
            </w:r>
          </w:p>
        </w:tc>
      </w:tr>
      <w:tr w14:paraId="1E0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69" w:type="dxa"/>
            <w:tcBorders>
              <w:left w:val="single" w:color="auto" w:sz="4" w:space="0"/>
              <w:bottom w:val="single" w:color="auto" w:sz="4" w:space="0"/>
              <w:right w:val="single" w:color="auto" w:sz="4" w:space="0"/>
            </w:tcBorders>
            <w:shd w:val="clear" w:color="auto" w:fill="auto"/>
            <w:noWrap w:val="0"/>
            <w:vAlign w:val="center"/>
          </w:tcPr>
          <w:p w14:paraId="2F514936">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498" w:type="dxa"/>
            <w:tcBorders>
              <w:left w:val="single" w:color="auto" w:sz="4" w:space="0"/>
              <w:right w:val="single" w:color="auto" w:sz="4" w:space="0"/>
            </w:tcBorders>
            <w:shd w:val="clear" w:color="auto" w:fill="auto"/>
            <w:noWrap w:val="0"/>
            <w:vAlign w:val="center"/>
          </w:tcPr>
          <w:p w14:paraId="1C73A985">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体系认证</w:t>
            </w:r>
          </w:p>
        </w:tc>
        <w:tc>
          <w:tcPr>
            <w:tcW w:w="6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8FBFC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（1）投标人具有有效期内质量管理体系认证证书的得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7D7EB608">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投标人具有有效期内环境管理体系认证证书的得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3771264D">
            <w:pPr>
              <w:pStyle w:val="289"/>
              <w:keepNext w:val="0"/>
              <w:keepLines w:val="0"/>
              <w:pageBreakBefore w:val="0"/>
              <w:widowControl w:val="0"/>
              <w:suppressLineNumbers w:val="0"/>
              <w:kinsoku/>
              <w:wordWrap/>
              <w:overflowPunct/>
              <w:topLinePunct w:val="0"/>
              <w:bidi w:val="0"/>
              <w:snapToGrid w:val="0"/>
              <w:spacing w:before="0" w:line="40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（3）投标人具有有效期内职业健康安全管理体系认证证书的得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016F5D03">
            <w:pPr>
              <w:pStyle w:val="289"/>
              <w:keepNext w:val="0"/>
              <w:keepLines w:val="0"/>
              <w:pageBreakBefore w:val="0"/>
              <w:widowControl w:val="0"/>
              <w:suppressLineNumbers w:val="0"/>
              <w:kinsoku/>
              <w:wordWrap/>
              <w:overflowPunct/>
              <w:topLinePunct w:val="0"/>
              <w:bidi w:val="0"/>
              <w:snapToGrid w:val="0"/>
              <w:spacing w:before="0" w:line="400" w:lineRule="exact"/>
              <w:ind w:left="32" w:leftChars="0" w:right="0" w:righ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bCs/>
                <w:color w:val="000000" w:themeColor="text1"/>
                <w:sz w:val="21"/>
                <w:szCs w:val="21"/>
                <w:highlight w:val="none"/>
                <w14:textFill>
                  <w14:solidFill>
                    <w14:schemeClr w14:val="tx1"/>
                  </w14:solidFill>
                </w14:textFill>
              </w:rPr>
              <w:t>提供有效期内认证证书扫描件并加盖投标人CA签章。）</w:t>
            </w:r>
          </w:p>
        </w:tc>
        <w:tc>
          <w:tcPr>
            <w:tcW w:w="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8A44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250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69" w:type="dxa"/>
            <w:tcBorders>
              <w:left w:val="single" w:color="auto" w:sz="4" w:space="0"/>
              <w:bottom w:val="single" w:color="auto" w:sz="4" w:space="0"/>
              <w:right w:val="single" w:color="auto" w:sz="4" w:space="0"/>
            </w:tcBorders>
            <w:noWrap w:val="0"/>
            <w:vAlign w:val="center"/>
          </w:tcPr>
          <w:p w14:paraId="039617FB">
            <w:pPr>
              <w:pStyle w:val="289"/>
              <w:keepNext w:val="0"/>
              <w:keepLines w:val="0"/>
              <w:pageBreakBefore w:val="0"/>
              <w:widowControl w:val="0"/>
              <w:suppressLineNumbers w:val="0"/>
              <w:kinsoku/>
              <w:wordWrap/>
              <w:overflowPunct/>
              <w:topLinePunct w:val="0"/>
              <w:bidi w:val="0"/>
              <w:snapToGrid w:val="0"/>
              <w:spacing w:before="0" w:line="400" w:lineRule="exact"/>
              <w:ind w:left="32" w:right="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498" w:type="dxa"/>
            <w:tcBorders>
              <w:left w:val="single" w:color="auto" w:sz="4" w:space="0"/>
              <w:right w:val="single" w:color="auto" w:sz="4" w:space="0"/>
            </w:tcBorders>
            <w:noWrap w:val="0"/>
            <w:vAlign w:val="center"/>
          </w:tcPr>
          <w:p w14:paraId="4672B5B9">
            <w:pPr>
              <w:pStyle w:val="289"/>
              <w:keepNext w:val="0"/>
              <w:keepLines w:val="0"/>
              <w:pageBreakBefore w:val="0"/>
              <w:widowControl w:val="0"/>
              <w:suppressLineNumbers w:val="0"/>
              <w:kinsoku/>
              <w:wordWrap/>
              <w:overflowPunct/>
              <w:topLinePunct w:val="0"/>
              <w:bidi w:val="0"/>
              <w:snapToGrid w:val="0"/>
              <w:spacing w:before="0" w:line="400" w:lineRule="exact"/>
              <w:ind w:left="32"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安全生产标准化</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71B683E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投标人获得水利安全生产标准化一级单位得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分，获得水利安全生产标准化二级单位得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分，获得水利安全生产标准化三级单位得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5F3B3D8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bCs/>
                <w:color w:val="000000" w:themeColor="text1"/>
                <w:sz w:val="21"/>
                <w:szCs w:val="21"/>
                <w:highlight w:val="none"/>
                <w14:textFill>
                  <w14:solidFill>
                    <w14:schemeClr w14:val="tx1"/>
                  </w14:solidFill>
                </w14:textFill>
              </w:rPr>
              <w:t>提供荣誉证书或文件扫描件并加盖投标人CA签章。）</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69453B0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bl>
    <w:p w14:paraId="6A743B1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cs="宋体"/>
          <w:bCs/>
          <w:color w:val="000000" w:themeColor="text1"/>
          <w:sz w:val="21"/>
          <w:szCs w:val="21"/>
          <w:highlight w:val="none"/>
          <w:lang w:val="en-US" w:eastAsia="zh-CN"/>
          <w14:textFill>
            <w14:solidFill>
              <w14:schemeClr w14:val="tx1"/>
            </w14:solidFill>
          </w14:textFill>
        </w:rPr>
        <w:sectPr>
          <w:pgSz w:w="11907" w:h="16840"/>
          <w:pgMar w:top="1701" w:right="1134" w:bottom="1418" w:left="1134" w:header="1304" w:footer="1134" w:gutter="0"/>
          <w:pgBorders w:offsetFrom="page">
            <w:top w:val="none" w:sz="0" w:space="0"/>
            <w:left w:val="none" w:sz="0" w:space="0"/>
            <w:bottom w:val="none" w:sz="0" w:space="0"/>
            <w:right w:val="none" w:sz="0" w:space="0"/>
          </w:pgBorders>
          <w:pgNumType w:fmt="decimal"/>
          <w:cols w:space="720" w:num="1"/>
          <w:docGrid w:type="linesAndChars" w:linePitch="457" w:charSpace="2264"/>
        </w:sect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18"/>
        <w:gridCol w:w="6365"/>
        <w:gridCol w:w="926"/>
      </w:tblGrid>
      <w:tr w14:paraId="5EF9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69" w:type="dxa"/>
            <w:tcBorders>
              <w:left w:val="single" w:color="auto" w:sz="4" w:space="0"/>
              <w:bottom w:val="single" w:color="auto" w:sz="4" w:space="0"/>
              <w:right w:val="single" w:color="auto" w:sz="4" w:space="0"/>
            </w:tcBorders>
            <w:noWrap w:val="0"/>
            <w:vAlign w:val="center"/>
          </w:tcPr>
          <w:p w14:paraId="3C4B792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4</w:t>
            </w:r>
          </w:p>
        </w:tc>
        <w:tc>
          <w:tcPr>
            <w:tcW w:w="1618" w:type="dxa"/>
            <w:tcBorders>
              <w:left w:val="single" w:color="auto" w:sz="4" w:space="0"/>
              <w:right w:val="single" w:color="auto" w:sz="4" w:space="0"/>
            </w:tcBorders>
            <w:noWrap w:val="0"/>
            <w:vAlign w:val="center"/>
          </w:tcPr>
          <w:p w14:paraId="5F0E861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荣誉</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5A96EB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2018年1月1日以来，投标人获得省级及以上水利水电工程运维类（或水利水电工程金结机电安装类）奖项的每个得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分，市级奖项的每个得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分，区级奖项每个得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分，本项最高得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5C03A6E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bCs/>
                <w:color w:val="000000" w:themeColor="text1"/>
                <w:sz w:val="21"/>
                <w:szCs w:val="21"/>
                <w:highlight w:val="none"/>
                <w14:textFill>
                  <w14:solidFill>
                    <w14:schemeClr w14:val="tx1"/>
                  </w14:solidFill>
                </w14:textFill>
              </w:rPr>
              <w:t>提供荣誉证书或文件扫描件并加盖投标人CA签章。）</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655CBF8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1110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69" w:type="dxa"/>
            <w:tcBorders>
              <w:left w:val="single" w:color="auto" w:sz="4" w:space="0"/>
              <w:bottom w:val="single" w:color="auto" w:sz="4" w:space="0"/>
              <w:right w:val="single" w:color="auto" w:sz="4" w:space="0"/>
            </w:tcBorders>
            <w:noWrap w:val="0"/>
            <w:vAlign w:val="center"/>
          </w:tcPr>
          <w:p w14:paraId="4824F55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1618" w:type="dxa"/>
            <w:tcBorders>
              <w:left w:val="single" w:color="auto" w:sz="4" w:space="0"/>
              <w:right w:val="single" w:color="auto" w:sz="4" w:space="0"/>
            </w:tcBorders>
            <w:noWrap w:val="0"/>
            <w:vAlign w:val="center"/>
          </w:tcPr>
          <w:p w14:paraId="78E0A69F">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同类业绩</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7FD9E61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投标人自20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年1月1日（含）以来（以合同签订时间为准）承接过</w:t>
            </w:r>
            <w:r>
              <w:rPr>
                <w:rFonts w:hint="eastAsia" w:ascii="宋体" w:hAnsi="宋体" w:eastAsia="宋体" w:cs="宋体"/>
                <w:color w:val="000000" w:themeColor="text1"/>
                <w:sz w:val="21"/>
                <w:szCs w:val="21"/>
                <w:highlight w:val="none"/>
                <w:lang w:val="en-US" w:eastAsia="zh-CN"/>
                <w14:textFill>
                  <w14:solidFill>
                    <w14:schemeClr w14:val="tx1"/>
                  </w14:solidFill>
                </w14:textFill>
              </w:rPr>
              <w:t>同类</w:t>
            </w:r>
            <w:r>
              <w:rPr>
                <w:rFonts w:hint="eastAsia" w:ascii="宋体" w:hAnsi="宋体" w:eastAsia="宋体" w:cs="宋体"/>
                <w:color w:val="000000" w:themeColor="text1"/>
                <w:sz w:val="21"/>
                <w:szCs w:val="21"/>
                <w:highlight w:val="none"/>
                <w14:textFill>
                  <w14:solidFill>
                    <w14:schemeClr w14:val="tx1"/>
                  </w14:solidFill>
                </w14:textFill>
              </w:rPr>
              <w:t>运行管理维护项目合同，每提供一个案例得0.5分，最多得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065E378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bCs/>
                <w:color w:val="000000" w:themeColor="text1"/>
                <w:sz w:val="21"/>
                <w:szCs w:val="21"/>
                <w:highlight w:val="none"/>
                <w14:textFill>
                  <w14:solidFill>
                    <w14:schemeClr w14:val="tx1"/>
                  </w14:solidFill>
                </w14:textFill>
              </w:rPr>
              <w:t>提供合同、中标通知书扫描件并加盖CA签章。）</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A3F89D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5A45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69" w:type="dxa"/>
            <w:tcBorders>
              <w:left w:val="single" w:color="auto" w:sz="4" w:space="0"/>
              <w:right w:val="single" w:color="auto" w:sz="4" w:space="0"/>
            </w:tcBorders>
            <w:noWrap w:val="0"/>
            <w:vAlign w:val="center"/>
          </w:tcPr>
          <w:p w14:paraId="2D21658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221" w:firstLineChars="1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618" w:type="dxa"/>
            <w:vMerge w:val="restart"/>
            <w:tcBorders>
              <w:left w:val="single" w:color="auto" w:sz="4" w:space="0"/>
              <w:right w:val="single" w:color="auto" w:sz="4" w:space="0"/>
            </w:tcBorders>
            <w:noWrap w:val="0"/>
            <w:vAlign w:val="center"/>
          </w:tcPr>
          <w:p w14:paraId="106D50B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项目技术人员团队配置</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6EA879A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项目负责人：具有水利工程类专业或机电类专业</w:t>
            </w:r>
            <w:r>
              <w:rPr>
                <w:rFonts w:hint="eastAsia" w:ascii="宋体" w:hAnsi="宋体" w:cs="宋体"/>
                <w:bCs/>
                <w:color w:val="000000" w:themeColor="text1"/>
                <w:sz w:val="21"/>
                <w:szCs w:val="21"/>
                <w:highlight w:val="none"/>
                <w:lang w:eastAsia="zh-CN"/>
                <w14:textFill>
                  <w14:solidFill>
                    <w14:schemeClr w14:val="tx1"/>
                  </w14:solidFill>
                </w14:textFill>
              </w:rPr>
              <w:t>高</w:t>
            </w:r>
            <w:r>
              <w:rPr>
                <w:rFonts w:hint="eastAsia" w:ascii="宋体" w:hAnsi="宋体" w:eastAsia="宋体" w:cs="宋体"/>
                <w:bCs/>
                <w:color w:val="000000" w:themeColor="text1"/>
                <w:sz w:val="21"/>
                <w:szCs w:val="21"/>
                <w:highlight w:val="none"/>
                <w14:textFill>
                  <w14:solidFill>
                    <w14:schemeClr w14:val="tx1"/>
                  </w14:solidFill>
                </w14:textFill>
              </w:rPr>
              <w:t>级及以上职称</w:t>
            </w:r>
            <w:r>
              <w:rPr>
                <w:rFonts w:hint="eastAsia" w:ascii="宋体" w:hAnsi="宋体" w:cs="宋体"/>
                <w:bCs/>
                <w:color w:val="000000" w:themeColor="text1"/>
                <w:sz w:val="21"/>
                <w:szCs w:val="21"/>
                <w:highlight w:val="none"/>
                <w:lang w:val="en-US" w:eastAsia="zh-CN"/>
                <w14:textFill>
                  <w14:solidFill>
                    <w14:schemeClr w14:val="tx1"/>
                  </w14:solidFill>
                </w14:textFill>
              </w:rPr>
              <w:t>，同时具备</w:t>
            </w:r>
            <w:r>
              <w:rPr>
                <w:rFonts w:hint="eastAsia" w:ascii="宋体" w:hAnsi="宋体" w:eastAsia="宋体" w:cs="宋体"/>
                <w:bCs/>
                <w:color w:val="000000" w:themeColor="text1"/>
                <w:sz w:val="21"/>
                <w:szCs w:val="21"/>
                <w:highlight w:val="none"/>
                <w14:textFill>
                  <w14:solidFill>
                    <w14:schemeClr w14:val="tx1"/>
                  </w14:solidFill>
                </w14:textFill>
              </w:rPr>
              <w:t>省农村水电站从业人员岗位培训合格证明</w:t>
            </w:r>
            <w:r>
              <w:rPr>
                <w:rFonts w:hint="eastAsia" w:ascii="宋体" w:hAnsi="宋体" w:cs="宋体"/>
                <w:bCs/>
                <w:color w:val="000000" w:themeColor="text1"/>
                <w:sz w:val="21"/>
                <w:szCs w:val="21"/>
                <w:highlight w:val="none"/>
                <w:lang w:val="en-US" w:eastAsia="zh-CN"/>
                <w14:textFill>
                  <w14:solidFill>
                    <w14:schemeClr w14:val="tx1"/>
                  </w14:solidFill>
                </w14:textFill>
              </w:rPr>
              <w:t>得2</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cs="宋体"/>
                <w:bCs/>
                <w:color w:val="000000" w:themeColor="text1"/>
                <w:sz w:val="21"/>
                <w:szCs w:val="21"/>
                <w:highlight w:val="none"/>
                <w:lang w:eastAsia="zh-CN"/>
                <w14:textFill>
                  <w14:solidFill>
                    <w14:schemeClr w14:val="tx1"/>
                  </w14:solidFill>
                </w14:textFill>
              </w:rPr>
              <w:t>中级得</w:t>
            </w:r>
            <w:r>
              <w:rPr>
                <w:rFonts w:hint="eastAsia" w:ascii="宋体" w:hAnsi="宋体" w:cs="宋体"/>
                <w:bCs/>
                <w:color w:val="000000" w:themeColor="text1"/>
                <w:sz w:val="21"/>
                <w:szCs w:val="21"/>
                <w:highlight w:val="none"/>
                <w:lang w:val="en-US" w:eastAsia="zh-CN"/>
                <w14:textFill>
                  <w14:solidFill>
                    <w14:schemeClr w14:val="tx1"/>
                  </w14:solidFill>
                </w14:textFill>
              </w:rPr>
              <w:t>1分</w:t>
            </w:r>
            <w:r>
              <w:rPr>
                <w:rFonts w:hint="eastAsia" w:ascii="宋体" w:hAnsi="宋体" w:eastAsia="宋体" w:cs="宋体"/>
                <w:bCs/>
                <w:color w:val="000000" w:themeColor="text1"/>
                <w:sz w:val="21"/>
                <w:szCs w:val="21"/>
                <w:highlight w:val="none"/>
                <w14:textFill>
                  <w14:solidFill>
                    <w14:schemeClr w14:val="tx1"/>
                  </w14:solidFill>
                </w14:textFill>
              </w:rPr>
              <w:t>。</w:t>
            </w:r>
          </w:p>
          <w:p w14:paraId="7169413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color w:val="000000" w:themeColor="text1"/>
                <w:sz w:val="21"/>
                <w:szCs w:val="21"/>
                <w:highlight w:val="none"/>
                <w14:textFill>
                  <w14:solidFill>
                    <w14:schemeClr w14:val="tx1"/>
                  </w14:solidFill>
                </w14:textFill>
              </w:rPr>
              <w:t>提供职称证书扫描件</w:t>
            </w:r>
            <w:r>
              <w:rPr>
                <w:rFonts w:hint="eastAsia" w:ascii="宋体" w:hAnsi="宋体" w:cs="宋体"/>
                <w:b/>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b/>
                <w:color w:val="000000" w:themeColor="text1"/>
                <w:sz w:val="21"/>
                <w:szCs w:val="21"/>
                <w:highlight w:val="none"/>
                <w14:textFill>
                  <w14:solidFill>
                    <w14:schemeClr w14:val="tx1"/>
                  </w14:solidFill>
                </w14:textFill>
              </w:rPr>
              <w:t>近3个月</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2024年11月、2024年12月、2025年1月</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在职社保缴纳证明材料并加盖</w:t>
            </w:r>
            <w:r>
              <w:rPr>
                <w:rFonts w:hint="eastAsia" w:ascii="宋体" w:hAnsi="宋体" w:eastAsia="宋体" w:cs="宋体"/>
                <w:b/>
                <w:bCs/>
                <w:color w:val="000000" w:themeColor="text1"/>
                <w:sz w:val="21"/>
                <w:szCs w:val="21"/>
                <w:highlight w:val="none"/>
                <w14:textFill>
                  <w14:solidFill>
                    <w14:schemeClr w14:val="tx1"/>
                  </w14:solidFill>
                </w14:textFill>
              </w:rPr>
              <w:t>CA签章</w:t>
            </w:r>
            <w:r>
              <w:rPr>
                <w:rFonts w:hint="eastAsia" w:ascii="宋体" w:hAnsi="宋体" w:eastAsia="宋体" w:cs="宋体"/>
                <w:b/>
                <w:color w:val="000000" w:themeColor="text1"/>
                <w:sz w:val="21"/>
                <w:szCs w:val="21"/>
                <w:highlight w:val="none"/>
                <w14:textFill>
                  <w14:solidFill>
                    <w14:schemeClr w14:val="tx1"/>
                  </w14:solidFill>
                </w14:textFill>
              </w:rPr>
              <w:t>）</w:t>
            </w:r>
          </w:p>
        </w:tc>
        <w:tc>
          <w:tcPr>
            <w:tcW w:w="926" w:type="dxa"/>
            <w:tcBorders>
              <w:left w:val="single" w:color="auto" w:sz="4" w:space="0"/>
              <w:right w:val="single" w:color="auto" w:sz="4" w:space="0"/>
            </w:tcBorders>
            <w:noWrap w:val="0"/>
            <w:vAlign w:val="center"/>
          </w:tcPr>
          <w:p w14:paraId="42A778E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1323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69" w:type="dxa"/>
            <w:tcBorders>
              <w:left w:val="single" w:color="auto" w:sz="4" w:space="0"/>
              <w:bottom w:val="single" w:color="auto" w:sz="4" w:space="0"/>
              <w:right w:val="single" w:color="auto" w:sz="4" w:space="0"/>
            </w:tcBorders>
            <w:noWrap w:val="0"/>
            <w:vAlign w:val="center"/>
          </w:tcPr>
          <w:p w14:paraId="76F16F3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618" w:type="dxa"/>
            <w:vMerge w:val="continue"/>
            <w:tcBorders>
              <w:left w:val="single" w:color="auto" w:sz="4" w:space="0"/>
              <w:right w:val="single" w:color="auto" w:sz="4" w:space="0"/>
            </w:tcBorders>
            <w:noWrap w:val="0"/>
            <w:vAlign w:val="center"/>
          </w:tcPr>
          <w:p w14:paraId="3168B8A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F81285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技术负责人：具有水利水电工程类专业或机电类专业中级及以上职称的加1分。</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color w:val="000000" w:themeColor="text1"/>
                <w:sz w:val="21"/>
                <w:szCs w:val="21"/>
                <w:highlight w:val="none"/>
                <w14:textFill>
                  <w14:solidFill>
                    <w14:schemeClr w14:val="tx1"/>
                  </w14:solidFill>
                </w14:textFill>
              </w:rPr>
              <w:t>提供职称证书扫描件和近3个月</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2024年11月、2024年12月、2025年1月</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在职社保缴纳证明材料并加盖</w:t>
            </w:r>
            <w:r>
              <w:rPr>
                <w:rFonts w:hint="eastAsia" w:ascii="宋体" w:hAnsi="宋体" w:eastAsia="宋体" w:cs="宋体"/>
                <w:b/>
                <w:bCs/>
                <w:color w:val="000000" w:themeColor="text1"/>
                <w:sz w:val="21"/>
                <w:szCs w:val="21"/>
                <w:highlight w:val="none"/>
                <w14:textFill>
                  <w14:solidFill>
                    <w14:schemeClr w14:val="tx1"/>
                  </w14:solidFill>
                </w14:textFill>
              </w:rPr>
              <w:t>CA签章</w:t>
            </w:r>
            <w:r>
              <w:rPr>
                <w:rFonts w:hint="eastAsia" w:ascii="宋体" w:hAnsi="宋体" w:eastAsia="宋体" w:cs="宋体"/>
                <w:b/>
                <w:color w:val="000000" w:themeColor="text1"/>
                <w:sz w:val="21"/>
                <w:szCs w:val="21"/>
                <w:highlight w:val="none"/>
                <w14:textFill>
                  <w14:solidFill>
                    <w14:schemeClr w14:val="tx1"/>
                  </w14:solidFill>
                </w14:textFill>
              </w:rPr>
              <w:t>）</w:t>
            </w:r>
          </w:p>
        </w:tc>
        <w:tc>
          <w:tcPr>
            <w:tcW w:w="926" w:type="dxa"/>
            <w:tcBorders>
              <w:left w:val="single" w:color="auto" w:sz="4" w:space="0"/>
              <w:bottom w:val="single" w:color="auto" w:sz="4" w:space="0"/>
              <w:right w:val="single" w:color="auto" w:sz="4" w:space="0"/>
            </w:tcBorders>
            <w:noWrap w:val="0"/>
            <w:vAlign w:val="center"/>
          </w:tcPr>
          <w:p w14:paraId="2219CDD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221" w:firstLineChars="1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0344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69" w:type="dxa"/>
            <w:tcBorders>
              <w:left w:val="single" w:color="auto" w:sz="4" w:space="0"/>
              <w:bottom w:val="single" w:color="auto" w:sz="4" w:space="0"/>
              <w:right w:val="single" w:color="auto" w:sz="4" w:space="0"/>
            </w:tcBorders>
            <w:noWrap w:val="0"/>
            <w:vAlign w:val="center"/>
          </w:tcPr>
          <w:p w14:paraId="48CD41D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221" w:firstLineChars="1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618" w:type="dxa"/>
            <w:vMerge w:val="continue"/>
            <w:tcBorders>
              <w:left w:val="single" w:color="auto" w:sz="4" w:space="0"/>
              <w:right w:val="single" w:color="auto" w:sz="4" w:space="0"/>
            </w:tcBorders>
            <w:noWrap w:val="0"/>
            <w:vAlign w:val="center"/>
          </w:tcPr>
          <w:p w14:paraId="5CBC51A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365" w:type="dxa"/>
            <w:tcBorders>
              <w:top w:val="single" w:color="auto" w:sz="4" w:space="0"/>
              <w:left w:val="single" w:color="auto" w:sz="4" w:space="0"/>
              <w:bottom w:val="single" w:color="auto" w:sz="4" w:space="0"/>
              <w:right w:val="single" w:color="auto" w:sz="4" w:space="0"/>
            </w:tcBorders>
            <w:noWrap w:val="0"/>
            <w:vAlign w:val="center"/>
          </w:tcPr>
          <w:p w14:paraId="7EFD009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其他技术团队人员：具有大专以上学历且具备省农村水电站从业人员岗位培训合格证明的水轮发电机组值班长3名，具有省农村水电站从业人员岗位培训合格证明的水轮发电机组值班员</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名，具有大专以上学历的闸门运行工</w:t>
            </w: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名，高压电工2名（可兼），特种设备安全管理和作业人员证（作业项目：Q4）人员各1名（可兼），熔化焊接与热切割作业证人员1名（可兼）。配齐上述人员的得</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分，持证上述人员中每少一证扣1分，扣完为止。</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color w:val="000000" w:themeColor="text1"/>
                <w:sz w:val="21"/>
                <w:szCs w:val="21"/>
                <w:highlight w:val="none"/>
                <w14:textFill>
                  <w14:solidFill>
                    <w14:schemeClr w14:val="tx1"/>
                  </w14:solidFill>
                </w14:textFill>
              </w:rPr>
              <w:t>提供人员证书和近3个月</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2024年11月、2024年12月、2025年1月</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在职社保缴纳证明材料</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b/>
                <w:color w:val="000000" w:themeColor="text1"/>
                <w:sz w:val="21"/>
                <w:szCs w:val="21"/>
                <w:highlight w:val="none"/>
                <w14:textFill>
                  <w14:solidFill>
                    <w14:schemeClr w14:val="tx1"/>
                  </w14:solidFill>
                </w14:textFill>
              </w:rPr>
              <w:t>加盖投标人</w:t>
            </w:r>
            <w:r>
              <w:rPr>
                <w:rFonts w:hint="eastAsia" w:ascii="宋体" w:hAnsi="宋体" w:eastAsia="宋体" w:cs="宋体"/>
                <w:b/>
                <w:bCs/>
                <w:color w:val="000000" w:themeColor="text1"/>
                <w:sz w:val="21"/>
                <w:szCs w:val="21"/>
                <w:highlight w:val="none"/>
                <w14:textFill>
                  <w14:solidFill>
                    <w14:schemeClr w14:val="tx1"/>
                  </w14:solidFill>
                </w14:textFill>
              </w:rPr>
              <w:t>CA签</w:t>
            </w:r>
            <w:r>
              <w:rPr>
                <w:rFonts w:hint="eastAsia" w:ascii="宋体" w:hAnsi="宋体" w:eastAsia="宋体" w:cs="宋体"/>
                <w:b/>
                <w:color w:val="000000" w:themeColor="text1"/>
                <w:sz w:val="21"/>
                <w:szCs w:val="21"/>
                <w:highlight w:val="none"/>
                <w14:textFill>
                  <w14:solidFill>
                    <w14:schemeClr w14:val="tx1"/>
                  </w14:solidFill>
                </w14:textFill>
              </w:rPr>
              <w:t>章，否则不得分）</w:t>
            </w:r>
          </w:p>
        </w:tc>
        <w:tc>
          <w:tcPr>
            <w:tcW w:w="926" w:type="dxa"/>
            <w:tcBorders>
              <w:left w:val="single" w:color="auto" w:sz="4" w:space="0"/>
              <w:bottom w:val="single" w:color="auto" w:sz="4" w:space="0"/>
              <w:right w:val="single" w:color="auto" w:sz="4" w:space="0"/>
            </w:tcBorders>
            <w:noWrap w:val="0"/>
            <w:vAlign w:val="center"/>
          </w:tcPr>
          <w:p w14:paraId="205939C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6E5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69" w:type="dxa"/>
            <w:tcBorders>
              <w:left w:val="single" w:color="auto" w:sz="4" w:space="0"/>
              <w:bottom w:val="single" w:color="auto" w:sz="4" w:space="0"/>
              <w:right w:val="single" w:color="auto" w:sz="4" w:space="0"/>
            </w:tcBorders>
            <w:noWrap w:val="0"/>
            <w:vAlign w:val="center"/>
          </w:tcPr>
          <w:p w14:paraId="0B3F5E4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1618" w:type="dxa"/>
            <w:vMerge w:val="continue"/>
            <w:tcBorders>
              <w:left w:val="single" w:color="auto" w:sz="4" w:space="0"/>
              <w:right w:val="single" w:color="auto" w:sz="4" w:space="0"/>
            </w:tcBorders>
            <w:noWrap w:val="0"/>
            <w:vAlign w:val="center"/>
          </w:tcPr>
          <w:p w14:paraId="04D47BB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365" w:type="dxa"/>
            <w:tcBorders>
              <w:top w:val="single" w:color="auto" w:sz="4" w:space="0"/>
              <w:left w:val="single" w:color="auto" w:sz="4" w:space="0"/>
              <w:bottom w:val="single" w:color="auto" w:sz="4" w:space="0"/>
              <w:right w:val="single" w:color="auto" w:sz="4" w:space="0"/>
            </w:tcBorders>
            <w:noWrap w:val="0"/>
            <w:vAlign w:val="center"/>
          </w:tcPr>
          <w:p w14:paraId="6F0602FD">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拟派所有人员中，获得过省级</w:t>
            </w:r>
            <w:r>
              <w:rPr>
                <w:rFonts w:hint="eastAsia" w:ascii="宋体" w:hAnsi="宋体" w:cs="宋体"/>
                <w:bCs/>
                <w:color w:val="000000" w:themeColor="text1"/>
                <w:sz w:val="21"/>
                <w:szCs w:val="21"/>
                <w:highlight w:val="none"/>
                <w:lang w:val="en-US" w:eastAsia="zh-CN"/>
                <w14:textFill>
                  <w14:solidFill>
                    <w14:schemeClr w14:val="tx1"/>
                  </w14:solidFill>
                </w14:textFill>
              </w:rPr>
              <w:t>及以上</w:t>
            </w:r>
            <w:r>
              <w:rPr>
                <w:rFonts w:hint="eastAsia" w:ascii="宋体" w:hAnsi="宋体" w:eastAsia="宋体" w:cs="宋体"/>
                <w:bCs/>
                <w:color w:val="000000" w:themeColor="text1"/>
                <w:sz w:val="21"/>
                <w:szCs w:val="21"/>
                <w:highlight w:val="none"/>
                <w14:textFill>
                  <w14:solidFill>
                    <w14:schemeClr w14:val="tx1"/>
                  </w14:solidFill>
                </w14:textFill>
              </w:rPr>
              <w:t>的“水利类专业技能比赛”荣誉证书的，得</w:t>
            </w:r>
            <w:r>
              <w:rPr>
                <w:rFonts w:hint="eastAsia" w:ascii="宋体" w:hAnsi="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分；市级的“水利类专业技能比赛”荣誉证书的，得1分。</w:t>
            </w:r>
          </w:p>
          <w:p w14:paraId="4E561E4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b/>
                <w:color w:val="000000" w:themeColor="text1"/>
                <w:sz w:val="21"/>
                <w:szCs w:val="21"/>
                <w:highlight w:val="none"/>
                <w14:textFill>
                  <w14:solidFill>
                    <w14:schemeClr w14:val="tx1"/>
                  </w14:solidFill>
                </w14:textFill>
              </w:rPr>
              <w:t>提供相关荣誉证书或文件扫描件加盖投标人</w:t>
            </w:r>
            <w:r>
              <w:rPr>
                <w:rFonts w:hint="eastAsia" w:ascii="宋体" w:hAnsi="宋体" w:eastAsia="宋体" w:cs="宋体"/>
                <w:b/>
                <w:bCs/>
                <w:color w:val="000000" w:themeColor="text1"/>
                <w:sz w:val="21"/>
                <w:szCs w:val="21"/>
                <w:highlight w:val="none"/>
                <w14:textFill>
                  <w14:solidFill>
                    <w14:schemeClr w14:val="tx1"/>
                  </w14:solidFill>
                </w14:textFill>
              </w:rPr>
              <w:t>CA签章</w:t>
            </w:r>
            <w:r>
              <w:rPr>
                <w:rFonts w:hint="eastAsia" w:ascii="宋体" w:hAnsi="宋体" w:eastAsia="宋体" w:cs="宋体"/>
                <w:b/>
                <w:color w:val="000000" w:themeColor="text1"/>
                <w:sz w:val="21"/>
                <w:szCs w:val="21"/>
                <w:highlight w:val="none"/>
                <w14:textFill>
                  <w14:solidFill>
                    <w14:schemeClr w14:val="tx1"/>
                  </w14:solidFill>
                </w14:textFill>
              </w:rPr>
              <w:t>）</w:t>
            </w:r>
          </w:p>
        </w:tc>
        <w:tc>
          <w:tcPr>
            <w:tcW w:w="926" w:type="dxa"/>
            <w:tcBorders>
              <w:left w:val="single" w:color="auto" w:sz="4" w:space="0"/>
              <w:bottom w:val="single" w:color="auto" w:sz="4" w:space="0"/>
              <w:right w:val="single" w:color="auto" w:sz="4" w:space="0"/>
            </w:tcBorders>
            <w:noWrap w:val="0"/>
            <w:vAlign w:val="center"/>
          </w:tcPr>
          <w:p w14:paraId="7D3CAA9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p>
        </w:tc>
      </w:tr>
    </w:tbl>
    <w:p w14:paraId="51CE52E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cs="宋体"/>
          <w:bCs/>
          <w:color w:val="000000" w:themeColor="text1"/>
          <w:sz w:val="21"/>
          <w:szCs w:val="21"/>
          <w:highlight w:val="none"/>
          <w:lang w:val="en-US" w:eastAsia="zh-CN"/>
          <w14:textFill>
            <w14:solidFill>
              <w14:schemeClr w14:val="tx1"/>
            </w14:solidFill>
          </w14:textFill>
        </w:rPr>
        <w:sectPr>
          <w:pgSz w:w="11907" w:h="16840"/>
          <w:pgMar w:top="1701" w:right="1134" w:bottom="1418" w:left="1134" w:header="1304" w:footer="1134" w:gutter="0"/>
          <w:pgBorders w:offsetFrom="page">
            <w:top w:val="none" w:sz="0" w:space="0"/>
            <w:left w:val="none" w:sz="0" w:space="0"/>
            <w:bottom w:val="none" w:sz="0" w:space="0"/>
            <w:right w:val="none" w:sz="0" w:space="0"/>
          </w:pgBorders>
          <w:pgNumType w:fmt="decimal"/>
          <w:cols w:space="720" w:num="1"/>
          <w:docGrid w:type="linesAndChars" w:linePitch="457" w:charSpace="2264"/>
        </w:sect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18"/>
        <w:gridCol w:w="6365"/>
        <w:gridCol w:w="926"/>
      </w:tblGrid>
      <w:tr w14:paraId="1D9F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69" w:type="dxa"/>
            <w:tcBorders>
              <w:left w:val="single" w:color="auto" w:sz="4" w:space="0"/>
              <w:bottom w:val="single" w:color="auto" w:sz="4" w:space="0"/>
              <w:right w:val="single" w:color="auto" w:sz="4" w:space="0"/>
            </w:tcBorders>
            <w:noWrap w:val="0"/>
            <w:vAlign w:val="center"/>
          </w:tcPr>
          <w:p w14:paraId="115C90E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10</w:t>
            </w:r>
          </w:p>
        </w:tc>
        <w:tc>
          <w:tcPr>
            <w:tcW w:w="1618" w:type="dxa"/>
            <w:tcBorders>
              <w:left w:val="single" w:color="auto" w:sz="4" w:space="0"/>
              <w:bottom w:val="single" w:color="auto" w:sz="4" w:space="0"/>
              <w:right w:val="single" w:color="auto" w:sz="4" w:space="0"/>
            </w:tcBorders>
            <w:noWrap w:val="0"/>
            <w:vAlign w:val="center"/>
          </w:tcPr>
          <w:p w14:paraId="6493417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运维组织架构体系</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A78DC4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的运维管理组织体系、岗位制度及责任、内部监督和考核制度进行打分：</w:t>
            </w:r>
          </w:p>
          <w:p w14:paraId="3700C50F">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运维管理组织体系</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科学</w:t>
            </w:r>
            <w:r>
              <w:rPr>
                <w:rFonts w:hint="eastAsia" w:ascii="宋体" w:hAnsi="宋体" w:eastAsia="宋体" w:cs="宋体"/>
                <w:color w:val="000000" w:themeColor="text1"/>
                <w:sz w:val="21"/>
                <w:szCs w:val="21"/>
                <w:highlight w:val="none"/>
                <w:lang w:val="en-US"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0174814A">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岗位制度及责任</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的完善性、针对性</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4085BDF0">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内部监督和考核制度</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完善</w:t>
            </w:r>
            <w:r>
              <w:rPr>
                <w:rFonts w:hint="eastAsia" w:ascii="宋体" w:hAnsi="宋体" w:eastAsia="宋体" w:cs="宋体"/>
                <w:color w:val="000000" w:themeColor="text1"/>
                <w:sz w:val="21"/>
                <w:szCs w:val="21"/>
                <w:highlight w:val="none"/>
                <w:lang w:val="en-US"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规范</w:t>
            </w:r>
            <w:r>
              <w:rPr>
                <w:rFonts w:hint="eastAsia" w:ascii="宋体" w:hAnsi="宋体" w:eastAsia="宋体" w:cs="宋体"/>
                <w:color w:val="000000" w:themeColor="text1"/>
                <w:sz w:val="21"/>
                <w:szCs w:val="21"/>
                <w:highlight w:val="none"/>
                <w:lang w:val="en-US"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620B9E55">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7592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769" w:type="dxa"/>
            <w:tcBorders>
              <w:left w:val="single" w:color="auto" w:sz="4" w:space="0"/>
              <w:right w:val="single" w:color="auto" w:sz="4" w:space="0"/>
            </w:tcBorders>
            <w:noWrap w:val="0"/>
            <w:vAlign w:val="center"/>
          </w:tcPr>
          <w:p w14:paraId="3FFA6051">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11</w:t>
            </w:r>
          </w:p>
        </w:tc>
        <w:tc>
          <w:tcPr>
            <w:tcW w:w="1618" w:type="dxa"/>
            <w:tcBorders>
              <w:left w:val="single" w:color="auto" w:sz="4" w:space="0"/>
              <w:bottom w:val="single" w:color="auto" w:sz="4" w:space="0"/>
              <w:right w:val="single" w:color="auto" w:sz="4" w:space="0"/>
            </w:tcBorders>
            <w:noWrap w:val="0"/>
            <w:vAlign w:val="center"/>
          </w:tcPr>
          <w:p w14:paraId="100F275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运维目标和标准</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0D9FC5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根据投标人的运维管理目标，运维管理工作标准和规程进行打分：</w:t>
            </w:r>
          </w:p>
          <w:p w14:paraId="70188E79">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textAlignment w:val="auto"/>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Cs/>
                <w:iCs/>
                <w:color w:val="000000" w:themeColor="text1"/>
                <w:sz w:val="21"/>
                <w:szCs w:val="21"/>
                <w:highlight w:val="none"/>
                <w14:textFill>
                  <w14:solidFill>
                    <w14:schemeClr w14:val="tx1"/>
                  </w14:solidFill>
                </w14:textFill>
              </w:rPr>
              <w:t>运维管理目标</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Cs/>
                <w:iCs/>
                <w:color w:val="000000" w:themeColor="text1"/>
                <w:sz w:val="21"/>
                <w:szCs w:val="21"/>
                <w:highlight w:val="none"/>
                <w14:textFill>
                  <w14:solidFill>
                    <w14:schemeClr w14:val="tx1"/>
                  </w14:solidFill>
                </w14:textFill>
              </w:rPr>
              <w:t>合理</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性</w:t>
            </w:r>
            <w:r>
              <w:rPr>
                <w:rFonts w:hint="eastAsia" w:ascii="宋体" w:hAnsi="宋体" w:eastAsia="宋体" w:cs="宋体"/>
                <w:bCs/>
                <w:iCs/>
                <w:color w:val="000000" w:themeColor="text1"/>
                <w:sz w:val="21"/>
                <w:szCs w:val="21"/>
                <w:highlight w:val="none"/>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针对性</w:t>
            </w:r>
            <w:r>
              <w:rPr>
                <w:rFonts w:hint="eastAsia" w:ascii="宋体" w:hAnsi="宋体" w:eastAsia="宋体" w:cs="宋体"/>
                <w:bCs/>
                <w:iCs/>
                <w:color w:val="000000" w:themeColor="text1"/>
                <w:sz w:val="21"/>
                <w:szCs w:val="21"/>
                <w:highlight w:val="none"/>
                <w14:textFill>
                  <w14:solidFill>
                    <w14:schemeClr w14:val="tx1"/>
                  </w14:solidFill>
                </w14:textFill>
              </w:rPr>
              <w:t>（0-</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iCs/>
                <w:color w:val="000000" w:themeColor="text1"/>
                <w:sz w:val="21"/>
                <w:szCs w:val="21"/>
                <w:highlight w:val="none"/>
                <w14:textFill>
                  <w14:solidFill>
                    <w14:schemeClr w14:val="tx1"/>
                  </w14:solidFill>
                </w14:textFill>
              </w:rPr>
              <w:t>分）；</w:t>
            </w:r>
          </w:p>
          <w:p w14:paraId="13287844">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textAlignment w:val="auto"/>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Cs/>
                <w:iCs/>
                <w:color w:val="000000" w:themeColor="text1"/>
                <w:sz w:val="21"/>
                <w:szCs w:val="21"/>
                <w:highlight w:val="none"/>
                <w14:textFill>
                  <w14:solidFill>
                    <w14:schemeClr w14:val="tx1"/>
                  </w14:solidFill>
                </w14:textFill>
              </w:rPr>
              <w:t>运维管理工作标准和规程</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的科学性、完整性</w:t>
            </w:r>
            <w:r>
              <w:rPr>
                <w:rFonts w:hint="eastAsia" w:ascii="宋体" w:hAnsi="宋体" w:eastAsia="宋体" w:cs="宋体"/>
                <w:bCs/>
                <w:iCs/>
                <w:color w:val="000000" w:themeColor="text1"/>
                <w:sz w:val="21"/>
                <w:szCs w:val="21"/>
                <w:highlight w:val="none"/>
                <w14:textFill>
                  <w14:solidFill>
                    <w14:schemeClr w14:val="tx1"/>
                  </w14:solidFill>
                </w14:textFill>
              </w:rPr>
              <w:t>（0-</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iCs/>
                <w:color w:val="000000" w:themeColor="text1"/>
                <w:sz w:val="21"/>
                <w:szCs w:val="21"/>
                <w:highlight w:val="none"/>
                <w14:textFill>
                  <w14:solidFill>
                    <w14:schemeClr w14:val="tx1"/>
                  </w14:solidFill>
                </w14:textFill>
              </w:rPr>
              <w:t>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3352476">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165A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69" w:type="dxa"/>
            <w:tcBorders>
              <w:left w:val="single" w:color="auto" w:sz="4" w:space="0"/>
              <w:right w:val="single" w:color="auto" w:sz="4" w:space="0"/>
            </w:tcBorders>
            <w:noWrap w:val="0"/>
            <w:vAlign w:val="center"/>
          </w:tcPr>
          <w:p w14:paraId="72AFB370">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12</w:t>
            </w:r>
          </w:p>
        </w:tc>
        <w:tc>
          <w:tcPr>
            <w:tcW w:w="1618" w:type="dxa"/>
            <w:tcBorders>
              <w:left w:val="single" w:color="auto" w:sz="4" w:space="0"/>
              <w:bottom w:val="single" w:color="auto" w:sz="4" w:space="0"/>
              <w:right w:val="single" w:color="auto" w:sz="4" w:space="0"/>
            </w:tcBorders>
            <w:noWrap w:val="0"/>
            <w:vAlign w:val="center"/>
          </w:tcPr>
          <w:p w14:paraId="6E66929C">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运维方案及重难点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677D0D6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根据投标人提供的针对本项目重难点分析、</w:t>
            </w:r>
            <w:r>
              <w:rPr>
                <w:rFonts w:hint="eastAsia" w:ascii="宋体" w:hAnsi="宋体" w:eastAsia="宋体" w:cs="宋体"/>
                <w:color w:val="000000" w:themeColor="text1"/>
                <w:kern w:val="0"/>
                <w:sz w:val="21"/>
                <w:szCs w:val="21"/>
                <w:highlight w:val="none"/>
                <w:lang w:bidi="ar"/>
                <w14:textFill>
                  <w14:solidFill>
                    <w14:schemeClr w14:val="tx1"/>
                  </w14:solidFill>
                </w14:textFill>
              </w:rPr>
              <w:t>运维管理、检修方案和保障措施</w:t>
            </w:r>
            <w:r>
              <w:rPr>
                <w:rFonts w:hint="eastAsia" w:ascii="宋体" w:hAnsi="宋体" w:eastAsia="宋体" w:cs="宋体"/>
                <w:color w:val="000000" w:themeColor="text1"/>
                <w:sz w:val="21"/>
                <w:szCs w:val="21"/>
                <w:highlight w:val="none"/>
                <w14:textFill>
                  <w14:solidFill>
                    <w14:schemeClr w14:val="tx1"/>
                  </w14:solidFill>
                </w14:textFill>
              </w:rPr>
              <w:t>进行打分：</w:t>
            </w:r>
          </w:p>
          <w:p w14:paraId="2C9A5B73">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textAlignment w:val="auto"/>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针对本项目</w:t>
            </w:r>
            <w:r>
              <w:rPr>
                <w:rFonts w:hint="eastAsia" w:ascii="宋体" w:hAnsi="宋体" w:eastAsia="宋体" w:cs="宋体"/>
                <w:color w:val="000000" w:themeColor="text1"/>
                <w:kern w:val="0"/>
                <w:sz w:val="21"/>
                <w:szCs w:val="21"/>
                <w:highlight w:val="none"/>
                <w:lang w:bidi="ar"/>
                <w14:textFill>
                  <w14:solidFill>
                    <w14:schemeClr w14:val="tx1"/>
                  </w14:solidFill>
                </w14:textFill>
              </w:rPr>
              <w:t>重点难点分析</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的针对性、准确性</w:t>
            </w:r>
            <w:r>
              <w:rPr>
                <w:rFonts w:hint="eastAsia" w:ascii="宋体" w:hAnsi="宋体" w:eastAsia="宋体" w:cs="宋体"/>
                <w:color w:val="000000" w:themeColor="text1"/>
                <w:kern w:val="0"/>
                <w:sz w:val="21"/>
                <w:szCs w:val="21"/>
                <w:highlight w:val="none"/>
                <w:lang w:bidi="ar"/>
                <w14:textFill>
                  <w14:solidFill>
                    <w14:schemeClr w14:val="tx1"/>
                  </w14:solidFill>
                </w14:textFill>
              </w:rPr>
              <w:t>（0-</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分）；</w:t>
            </w:r>
          </w:p>
          <w:p w14:paraId="656725CA">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运维管理、检修方案</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的合理性、全面性</w:t>
            </w:r>
            <w:r>
              <w:rPr>
                <w:rFonts w:hint="eastAsia" w:ascii="宋体" w:hAnsi="宋体" w:eastAsia="宋体" w:cs="宋体"/>
                <w:color w:val="000000" w:themeColor="text1"/>
                <w:kern w:val="0"/>
                <w:sz w:val="21"/>
                <w:szCs w:val="21"/>
                <w:highlight w:val="none"/>
                <w:lang w:bidi="ar"/>
                <w14:textFill>
                  <w14:solidFill>
                    <w14:schemeClr w14:val="tx1"/>
                  </w14:solidFill>
                </w14:textFill>
              </w:rPr>
              <w:t>（0-</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分）；</w:t>
            </w:r>
          </w:p>
          <w:p w14:paraId="229C94C3">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00" w:lineRule="exact"/>
              <w:ind w:left="0" w:leftChars="0"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保障措施</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w:t>
            </w:r>
            <w:r>
              <w:rPr>
                <w:rFonts w:hint="eastAsia" w:ascii="宋体" w:hAnsi="宋体" w:eastAsia="宋体" w:cs="宋体"/>
                <w:color w:val="000000" w:themeColor="text1"/>
                <w:kern w:val="0"/>
                <w:sz w:val="21"/>
                <w:szCs w:val="21"/>
                <w:highlight w:val="none"/>
                <w:lang w:bidi="ar"/>
                <w14:textFill>
                  <w14:solidFill>
                    <w14:schemeClr w14:val="tx1"/>
                  </w14:solidFill>
                </w14:textFill>
              </w:rPr>
              <w:t>科学</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性、</w:t>
            </w:r>
            <w:r>
              <w:rPr>
                <w:rFonts w:hint="eastAsia" w:ascii="宋体" w:hAnsi="宋体" w:eastAsia="宋体" w:cs="宋体"/>
                <w:color w:val="000000" w:themeColor="text1"/>
                <w:kern w:val="0"/>
                <w:sz w:val="21"/>
                <w:szCs w:val="21"/>
                <w:highlight w:val="none"/>
                <w:lang w:bidi="ar"/>
                <w14:textFill>
                  <w14:solidFill>
                    <w14:schemeClr w14:val="tx1"/>
                  </w14:solidFill>
                </w14:textFill>
              </w:rPr>
              <w:t>合理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性</w:t>
            </w:r>
            <w:r>
              <w:rPr>
                <w:rFonts w:hint="eastAsia" w:ascii="宋体" w:hAnsi="宋体" w:eastAsia="宋体" w:cs="宋体"/>
                <w:color w:val="000000" w:themeColor="text1"/>
                <w:kern w:val="0"/>
                <w:sz w:val="21"/>
                <w:szCs w:val="21"/>
                <w:highlight w:val="none"/>
                <w:lang w:bidi="ar"/>
                <w14:textFill>
                  <w14:solidFill>
                    <w14:schemeClr w14:val="tx1"/>
                  </w14:solidFill>
                </w14:textFill>
              </w:rPr>
              <w:t>（0-</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FED5B7F">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449B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69" w:type="dxa"/>
            <w:tcBorders>
              <w:left w:val="single" w:color="auto" w:sz="4" w:space="0"/>
              <w:right w:val="single" w:color="auto" w:sz="4" w:space="0"/>
            </w:tcBorders>
            <w:noWrap w:val="0"/>
            <w:vAlign w:val="center"/>
          </w:tcPr>
          <w:p w14:paraId="003BFA1A">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p>
        </w:tc>
        <w:tc>
          <w:tcPr>
            <w:tcW w:w="1618" w:type="dxa"/>
            <w:tcBorders>
              <w:left w:val="single" w:color="auto" w:sz="4" w:space="0"/>
              <w:bottom w:val="single" w:color="auto" w:sz="4" w:space="0"/>
              <w:right w:val="single" w:color="auto" w:sz="4" w:space="0"/>
            </w:tcBorders>
            <w:noWrap w:val="0"/>
            <w:vAlign w:val="center"/>
          </w:tcPr>
          <w:p w14:paraId="4F42D67E">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安全文明生产</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0603A617">
            <w:pPr>
              <w:pStyle w:val="3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根据投标人</w:t>
            </w:r>
            <w:r>
              <w:rPr>
                <w:rFonts w:hint="eastAsia" w:hAnsi="宋体" w:eastAsia="宋体" w:cs="宋体"/>
                <w:color w:val="000000" w:themeColor="text1"/>
                <w:sz w:val="21"/>
                <w:szCs w:val="21"/>
                <w:highlight w:val="none"/>
                <w:lang w:val="en-US" w:eastAsia="zh-CN" w:bidi="ar"/>
                <w14:textFill>
                  <w14:solidFill>
                    <w14:schemeClr w14:val="tx1"/>
                  </w14:solidFill>
                </w14:textFill>
              </w:rPr>
              <w:t>针对本项目</w:t>
            </w:r>
            <w:r>
              <w:rPr>
                <w:rFonts w:hint="eastAsia" w:ascii="宋体" w:hAnsi="宋体" w:eastAsia="宋体" w:cs="宋体"/>
                <w:color w:val="000000" w:themeColor="text1"/>
                <w:sz w:val="21"/>
                <w:szCs w:val="21"/>
                <w:highlight w:val="none"/>
                <w:lang w:bidi="ar"/>
                <w14:textFill>
                  <w14:solidFill>
                    <w14:schemeClr w14:val="tx1"/>
                  </w14:solidFill>
                </w14:textFill>
              </w:rPr>
              <w:t>安全生产制度建立健全，责任落实，环境保护措施及文明保证措施</w:t>
            </w:r>
            <w:r>
              <w:rPr>
                <w:rFonts w:hint="eastAsia" w:hAnsi="宋体" w:eastAsia="宋体" w:cs="宋体"/>
                <w:color w:val="000000" w:themeColor="text1"/>
                <w:sz w:val="21"/>
                <w:szCs w:val="21"/>
                <w:highlight w:val="none"/>
                <w:lang w:val="en-US" w:eastAsia="zh-CN" w:bidi="ar"/>
                <w14:textFill>
                  <w14:solidFill>
                    <w14:schemeClr w14:val="tx1"/>
                  </w14:solidFill>
                </w14:textFill>
              </w:rPr>
              <w:t>等情况</w:t>
            </w:r>
            <w:r>
              <w:rPr>
                <w:rFonts w:hint="eastAsia" w:ascii="宋体" w:hAnsi="宋体" w:eastAsia="宋体" w:cs="宋体"/>
                <w:color w:val="000000" w:themeColor="text1"/>
                <w:sz w:val="21"/>
                <w:szCs w:val="21"/>
                <w:highlight w:val="none"/>
                <w:lang w:bidi="ar"/>
                <w14:textFill>
                  <w14:solidFill>
                    <w14:schemeClr w14:val="tx1"/>
                  </w14:solidFill>
                </w14:textFill>
              </w:rPr>
              <w:t>进行打分。</w:t>
            </w:r>
            <w:r>
              <w:rPr>
                <w:rFonts w:hint="eastAsia" w:ascii="宋体" w:hAnsi="宋体" w:cs="宋体"/>
                <w:color w:val="000000" w:themeColor="text1"/>
                <w:kern w:val="0"/>
                <w:sz w:val="21"/>
                <w:szCs w:val="21"/>
                <w:highlight w:val="none"/>
                <w:lang w:bidi="ar"/>
                <w14:textFill>
                  <w14:solidFill>
                    <w14:schemeClr w14:val="tx1"/>
                  </w14:solidFill>
                </w14:textFill>
              </w:rPr>
              <w:t>（0-2分）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8F3250B">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6EFB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69" w:type="dxa"/>
            <w:tcBorders>
              <w:left w:val="single" w:color="auto" w:sz="4" w:space="0"/>
              <w:right w:val="single" w:color="auto" w:sz="4" w:space="0"/>
            </w:tcBorders>
            <w:noWrap w:val="0"/>
            <w:vAlign w:val="center"/>
          </w:tcPr>
          <w:p w14:paraId="250A46E6">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14</w:t>
            </w:r>
          </w:p>
        </w:tc>
        <w:tc>
          <w:tcPr>
            <w:tcW w:w="1618" w:type="dxa"/>
            <w:tcBorders>
              <w:left w:val="single" w:color="auto" w:sz="4" w:space="0"/>
              <w:bottom w:val="single" w:color="auto" w:sz="4" w:space="0"/>
              <w:right w:val="single" w:color="auto" w:sz="4" w:space="0"/>
            </w:tcBorders>
            <w:noWrap w:val="0"/>
            <w:vAlign w:val="center"/>
          </w:tcPr>
          <w:p w14:paraId="095C5C35">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拟投入设备</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A5EE859">
            <w:pPr>
              <w:pStyle w:val="3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根据投标人投入本项目运行和日常维修养护过程的设备、器具及材料的品种</w:t>
            </w:r>
            <w:r>
              <w:rPr>
                <w:rFonts w:hint="eastAsia" w:hAnsi="宋体" w:eastAsia="宋体" w:cs="宋体"/>
                <w:color w:val="000000" w:themeColor="text1"/>
                <w:sz w:val="21"/>
                <w:szCs w:val="21"/>
                <w:highlight w:val="none"/>
                <w:lang w:val="en-US" w:eastAsia="zh-CN"/>
                <w14:textFill>
                  <w14:solidFill>
                    <w14:schemeClr w14:val="tx1"/>
                  </w14:solidFill>
                </w14:textFill>
              </w:rPr>
              <w:t>完善</w:t>
            </w:r>
            <w:r>
              <w:rPr>
                <w:rFonts w:hint="eastAsia" w:ascii="宋体" w:hAnsi="宋体" w:eastAsia="宋体" w:cs="宋体"/>
                <w:color w:val="000000" w:themeColor="text1"/>
                <w:sz w:val="21"/>
                <w:szCs w:val="21"/>
                <w:highlight w:val="none"/>
                <w14:textFill>
                  <w14:solidFill>
                    <w14:schemeClr w14:val="tx1"/>
                  </w14:solidFill>
                </w14:textFill>
              </w:rPr>
              <w:t>、性能先进、数量满足实际要求等</w:t>
            </w:r>
            <w:r>
              <w:rPr>
                <w:rFonts w:hint="eastAsia" w:hAnsi="宋体" w:cs="宋体"/>
                <w:color w:val="000000" w:themeColor="text1"/>
                <w:sz w:val="21"/>
                <w:szCs w:val="21"/>
                <w:highlight w:val="none"/>
                <w:lang w:val="en-US" w:eastAsia="zh-CN"/>
                <w14:textFill>
                  <w14:solidFill>
                    <w14:schemeClr w14:val="tx1"/>
                  </w14:solidFill>
                </w14:textFill>
              </w:rPr>
              <w:t>合理性</w:t>
            </w:r>
            <w:r>
              <w:rPr>
                <w:rFonts w:hint="eastAsia" w:ascii="宋体" w:hAnsi="宋体" w:eastAsia="宋体" w:cs="宋体"/>
                <w:color w:val="000000" w:themeColor="text1"/>
                <w:sz w:val="21"/>
                <w:szCs w:val="21"/>
                <w:highlight w:val="none"/>
                <w14:textFill>
                  <w14:solidFill>
                    <w14:schemeClr w14:val="tx1"/>
                  </w14:solidFill>
                </w14:textFill>
              </w:rPr>
              <w:t>进行打分。</w:t>
            </w:r>
            <w:r>
              <w:rPr>
                <w:rFonts w:hint="eastAsia" w:ascii="宋体" w:hAnsi="宋体" w:cs="宋体"/>
                <w:color w:val="000000" w:themeColor="text1"/>
                <w:kern w:val="0"/>
                <w:sz w:val="21"/>
                <w:szCs w:val="21"/>
                <w:highlight w:val="none"/>
                <w:lang w:bidi="ar"/>
                <w14:textFill>
                  <w14:solidFill>
                    <w14:schemeClr w14:val="tx1"/>
                  </w14:solidFill>
                </w14:textFill>
              </w:rPr>
              <w:t>（0-2分）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A283191">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4653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769" w:type="dxa"/>
            <w:tcBorders>
              <w:left w:val="single" w:color="auto" w:sz="4" w:space="0"/>
              <w:right w:val="single" w:color="auto" w:sz="4" w:space="0"/>
            </w:tcBorders>
            <w:noWrap w:val="0"/>
            <w:vAlign w:val="center"/>
          </w:tcPr>
          <w:p w14:paraId="751EB7C4">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15</w:t>
            </w:r>
          </w:p>
        </w:tc>
        <w:tc>
          <w:tcPr>
            <w:tcW w:w="1618" w:type="dxa"/>
            <w:tcBorders>
              <w:left w:val="single" w:color="auto" w:sz="4" w:space="0"/>
              <w:bottom w:val="single" w:color="auto" w:sz="4" w:space="0"/>
              <w:right w:val="single" w:color="auto" w:sz="4" w:space="0"/>
            </w:tcBorders>
            <w:noWrap w:val="0"/>
            <w:vAlign w:val="center"/>
          </w:tcPr>
          <w:p w14:paraId="49C9DB6E">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档案资料整理归档</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A1C82C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根据投标人提供档案资料的归档整理方案，安全生产标准化要求进行打分。</w:t>
            </w:r>
            <w:r>
              <w:rPr>
                <w:rFonts w:hint="eastAsia" w:ascii="宋体" w:hAnsi="宋体" w:cs="宋体"/>
                <w:color w:val="000000" w:themeColor="text1"/>
                <w:kern w:val="0"/>
                <w:sz w:val="21"/>
                <w:szCs w:val="21"/>
                <w:highlight w:val="none"/>
                <w:lang w:bidi="ar"/>
                <w14:textFill>
                  <w14:solidFill>
                    <w14:schemeClr w14:val="tx1"/>
                  </w14:solidFill>
                </w14:textFill>
              </w:rPr>
              <w:t>（0-</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0"/>
                <w:sz w:val="21"/>
                <w:szCs w:val="21"/>
                <w:highlight w:val="none"/>
                <w:lang w:bidi="ar"/>
                <w14:textFill>
                  <w14:solidFill>
                    <w14:schemeClr w14:val="tx1"/>
                  </w14:solidFill>
                </w14:textFill>
              </w:rPr>
              <w:t>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AEAA514">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623C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69" w:type="dxa"/>
            <w:tcBorders>
              <w:left w:val="single" w:color="auto" w:sz="4" w:space="0"/>
              <w:right w:val="single" w:color="auto" w:sz="4" w:space="0"/>
            </w:tcBorders>
            <w:noWrap w:val="0"/>
            <w:vAlign w:val="center"/>
          </w:tcPr>
          <w:p w14:paraId="4D6A3480">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16</w:t>
            </w:r>
          </w:p>
        </w:tc>
        <w:tc>
          <w:tcPr>
            <w:tcW w:w="1618" w:type="dxa"/>
            <w:tcBorders>
              <w:left w:val="single" w:color="auto" w:sz="4" w:space="0"/>
              <w:bottom w:val="single" w:color="auto" w:sz="4" w:space="0"/>
              <w:right w:val="single" w:color="auto" w:sz="4" w:space="0"/>
            </w:tcBorders>
            <w:noWrap w:val="0"/>
            <w:vAlign w:val="center"/>
          </w:tcPr>
          <w:p w14:paraId="5DBB00CE">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保密措施</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3087A5D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根据投标人提供的针对本项目相关工作内容的保密措施的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全面性、严密性</w:t>
            </w:r>
            <w:r>
              <w:rPr>
                <w:rFonts w:hint="default" w:ascii="宋体" w:hAnsi="宋体" w:eastAsia="宋体" w:cs="宋体"/>
                <w:color w:val="000000" w:themeColor="text1"/>
                <w:sz w:val="21"/>
                <w:szCs w:val="21"/>
                <w:highlight w:val="none"/>
                <w:lang w:val="en-US" w:eastAsia="zh-CN"/>
                <w14:textFill>
                  <w14:solidFill>
                    <w14:schemeClr w14:val="tx1"/>
                  </w14:solidFill>
                </w14:textFill>
              </w:rPr>
              <w:t>等进行打分。</w:t>
            </w:r>
            <w:r>
              <w:rPr>
                <w:rFonts w:hint="eastAsia" w:ascii="宋体" w:hAnsi="宋体" w:cs="宋体"/>
                <w:color w:val="000000" w:themeColor="text1"/>
                <w:kern w:val="0"/>
                <w:sz w:val="21"/>
                <w:szCs w:val="21"/>
                <w:highlight w:val="none"/>
                <w:lang w:bidi="ar"/>
                <w14:textFill>
                  <w14:solidFill>
                    <w14:schemeClr w14:val="tx1"/>
                  </w14:solidFill>
                </w14:textFill>
              </w:rPr>
              <w:t>（0-</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0"/>
                <w:sz w:val="21"/>
                <w:szCs w:val="21"/>
                <w:highlight w:val="none"/>
                <w:lang w:bidi="ar"/>
                <w14:textFill>
                  <w14:solidFill>
                    <w14:schemeClr w14:val="tx1"/>
                  </w14:solidFill>
                </w14:textFill>
              </w:rPr>
              <w:t>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3C30480">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w:t>
            </w:r>
          </w:p>
        </w:tc>
      </w:tr>
      <w:tr w14:paraId="619B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69" w:type="dxa"/>
            <w:tcBorders>
              <w:left w:val="single" w:color="auto" w:sz="4" w:space="0"/>
              <w:right w:val="single" w:color="auto" w:sz="4" w:space="0"/>
            </w:tcBorders>
            <w:noWrap w:val="0"/>
            <w:vAlign w:val="center"/>
          </w:tcPr>
          <w:p w14:paraId="06890310">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17</w:t>
            </w:r>
          </w:p>
        </w:tc>
        <w:tc>
          <w:tcPr>
            <w:tcW w:w="1618" w:type="dxa"/>
            <w:tcBorders>
              <w:left w:val="single" w:color="auto" w:sz="4" w:space="0"/>
              <w:bottom w:val="single" w:color="auto" w:sz="4" w:space="0"/>
              <w:right w:val="single" w:color="auto" w:sz="4" w:space="0"/>
            </w:tcBorders>
            <w:noWrap w:val="0"/>
            <w:vAlign w:val="center"/>
          </w:tcPr>
          <w:p w14:paraId="0A38FFA6">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培训计划</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18D4171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运维人员的专业培训、安全生产培训计划和措施进行打分。</w:t>
            </w:r>
            <w:r>
              <w:rPr>
                <w:rFonts w:hint="eastAsia" w:ascii="宋体" w:hAnsi="宋体" w:cs="宋体"/>
                <w:color w:val="000000" w:themeColor="text1"/>
                <w:kern w:val="0"/>
                <w:sz w:val="21"/>
                <w:szCs w:val="21"/>
                <w:highlight w:val="none"/>
                <w:lang w:bidi="ar"/>
                <w14:textFill>
                  <w14:solidFill>
                    <w14:schemeClr w14:val="tx1"/>
                  </w14:solidFill>
                </w14:textFill>
              </w:rPr>
              <w:t>（0-</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cs="宋体"/>
                <w:color w:val="000000" w:themeColor="text1"/>
                <w:kern w:val="0"/>
                <w:sz w:val="21"/>
                <w:szCs w:val="21"/>
                <w:highlight w:val="none"/>
                <w:lang w:bidi="ar"/>
                <w14:textFill>
                  <w14:solidFill>
                    <w14:schemeClr w14:val="tx1"/>
                  </w14:solidFill>
                </w14:textFill>
              </w:rPr>
              <w:t>分）</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26BD75A1">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4B94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69" w:type="dxa"/>
            <w:tcBorders>
              <w:left w:val="single" w:color="auto" w:sz="4" w:space="0"/>
              <w:right w:val="single" w:color="auto" w:sz="4" w:space="0"/>
            </w:tcBorders>
            <w:noWrap w:val="0"/>
            <w:vAlign w:val="center"/>
          </w:tcPr>
          <w:p w14:paraId="016CF027">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18</w:t>
            </w:r>
          </w:p>
        </w:tc>
        <w:tc>
          <w:tcPr>
            <w:tcW w:w="1618" w:type="dxa"/>
            <w:tcBorders>
              <w:left w:val="single" w:color="auto" w:sz="4" w:space="0"/>
              <w:right w:val="single" w:color="auto" w:sz="4" w:space="0"/>
            </w:tcBorders>
            <w:noWrap w:val="0"/>
            <w:vAlign w:val="center"/>
          </w:tcPr>
          <w:p w14:paraId="5F97128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防汛应急抢险预案</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3E1E50F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根据投标人对招标人的防汛应急特殊情况提出要求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的响应承诺</w:t>
            </w:r>
            <w:r>
              <w:rPr>
                <w:rFonts w:hint="eastAsia" w:ascii="宋体" w:hAnsi="宋体" w:eastAsia="宋体" w:cs="宋体"/>
                <w:color w:val="000000" w:themeColor="text1"/>
                <w:sz w:val="21"/>
                <w:szCs w:val="21"/>
                <w:highlight w:val="none"/>
                <w14:textFill>
                  <w14:solidFill>
                    <w14:schemeClr w14:val="tx1"/>
                  </w14:solidFill>
                </w14:textFill>
              </w:rPr>
              <w:t>，工作抢险预案</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进行打分。</w:t>
            </w:r>
            <w:r>
              <w:rPr>
                <w:rFonts w:hint="eastAsia" w:ascii="宋体" w:hAnsi="宋体" w:cs="宋体"/>
                <w:color w:val="000000" w:themeColor="text1"/>
                <w:kern w:val="0"/>
                <w:sz w:val="21"/>
                <w:szCs w:val="21"/>
                <w:highlight w:val="none"/>
                <w:lang w:bidi="ar"/>
                <w14:textFill>
                  <w14:solidFill>
                    <w14:schemeClr w14:val="tx1"/>
                  </w14:solidFill>
                </w14:textFill>
              </w:rPr>
              <w:t>（0-2分）</w:t>
            </w:r>
          </w:p>
        </w:tc>
        <w:tc>
          <w:tcPr>
            <w:tcW w:w="926" w:type="dxa"/>
            <w:tcBorders>
              <w:left w:val="single" w:color="auto" w:sz="4" w:space="0"/>
              <w:bottom w:val="single" w:color="auto" w:sz="4" w:space="0"/>
              <w:right w:val="single" w:color="auto" w:sz="4" w:space="0"/>
            </w:tcBorders>
            <w:noWrap w:val="0"/>
            <w:vAlign w:val="center"/>
          </w:tcPr>
          <w:p w14:paraId="750D1900">
            <w:pPr>
              <w:keepNext w:val="0"/>
              <w:keepLines w:val="0"/>
              <w:pageBreakBefore w:val="0"/>
              <w:widowControl w:val="0"/>
              <w:suppressLineNumbers w:val="0"/>
              <w:kinsoku/>
              <w:wordWrap/>
              <w:overflowPunct/>
              <w:topLinePunct w:val="0"/>
              <w:bidi w:val="0"/>
              <w:spacing w:before="156"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bl>
    <w:p w14:paraId="130BDBB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szCs w:val="24"/>
          <w:lang w:val="en-US" w:eastAsia="zh-CN"/>
        </w:rPr>
      </w:pPr>
    </w:p>
    <w:p w14:paraId="0380C99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价格部分</w:t>
      </w:r>
      <w:r>
        <w:rPr>
          <w:rFonts w:hint="eastAsia" w:ascii="宋体" w:hAnsi="宋体" w:cs="宋体"/>
          <w:b/>
          <w:color w:val="auto"/>
          <w:sz w:val="24"/>
          <w:szCs w:val="24"/>
          <w:lang w:val="en-US" w:eastAsia="zh-CN"/>
        </w:rPr>
        <w:t>5</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分</w:t>
      </w:r>
    </w:p>
    <w:p w14:paraId="1F7564E0">
      <w:pPr>
        <w:keepNext w:val="0"/>
        <w:keepLines w:val="0"/>
        <w:pageBreakBefore w:val="0"/>
        <w:widowControl w:val="0"/>
        <w:kinsoku/>
        <w:wordWrap/>
        <w:overflowPunct/>
        <w:topLinePunct w:val="0"/>
        <w:autoSpaceDE/>
        <w:autoSpaceDN/>
        <w:bidi w:val="0"/>
        <w:adjustRightInd w:val="0"/>
        <w:spacing w:line="400" w:lineRule="exact"/>
        <w:ind w:firstLine="502" w:firstLineChars="200"/>
        <w:textAlignment w:val="auto"/>
        <w:rPr>
          <w:rFonts w:hint="eastAsia" w:ascii="宋体" w:hAnsi="宋体" w:eastAsia="宋体" w:cs="宋体"/>
          <w:color w:val="auto"/>
          <w:kern w:val="0"/>
          <w:sz w:val="24"/>
          <w:szCs w:val="24"/>
        </w:rPr>
        <w:sectPr>
          <w:pgSz w:w="11907" w:h="16840"/>
          <w:pgMar w:top="1701" w:right="1134" w:bottom="1418" w:left="1134" w:header="1304" w:footer="1134" w:gutter="0"/>
          <w:pgBorders w:offsetFrom="page">
            <w:top w:val="none" w:sz="0" w:space="0"/>
            <w:left w:val="none" w:sz="0" w:space="0"/>
            <w:bottom w:val="none" w:sz="0" w:space="0"/>
            <w:right w:val="none" w:sz="0" w:space="0"/>
          </w:pgBorders>
          <w:pgNumType w:fmt="decimal"/>
          <w:cols w:space="720" w:num="1"/>
          <w:docGrid w:type="linesAndChars" w:linePitch="457" w:charSpace="2264"/>
        </w:sectPr>
      </w:pPr>
      <w:r>
        <w:rPr>
          <w:rFonts w:hint="eastAsia" w:ascii="宋体" w:hAnsi="宋体" w:eastAsia="宋体" w:cs="宋体"/>
          <w:color w:val="auto"/>
          <w:kern w:val="0"/>
          <w:sz w:val="24"/>
          <w:szCs w:val="24"/>
        </w:rPr>
        <w:t>评标基准价：即满足招标文件要求且投标价格最低的投标报价为评标基准价，其价</w:t>
      </w:r>
    </w:p>
    <w:p w14:paraId="0992B52D">
      <w:pPr>
        <w:keepNext w:val="0"/>
        <w:keepLines w:val="0"/>
        <w:pageBreakBefore w:val="0"/>
        <w:widowControl w:val="0"/>
        <w:kinsoku/>
        <w:wordWrap/>
        <w:overflowPunct/>
        <w:topLinePunct w:val="0"/>
        <w:autoSpaceDE/>
        <w:autoSpaceDN/>
        <w:bidi w:val="0"/>
        <w:adjustRightInd w:val="0"/>
        <w:spacing w:line="400" w:lineRule="exact"/>
        <w:ind w:firstLine="502"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格分为满分。</w:t>
      </w:r>
    </w:p>
    <w:p w14:paraId="3D4FCEB6">
      <w:pPr>
        <w:keepNext w:val="0"/>
        <w:keepLines w:val="0"/>
        <w:pageBreakBefore w:val="0"/>
        <w:widowControl w:val="0"/>
        <w:kinsoku/>
        <w:wordWrap/>
        <w:overflowPunct/>
        <w:topLinePunct w:val="0"/>
        <w:autoSpaceDE/>
        <w:autoSpaceDN/>
        <w:bidi w:val="0"/>
        <w:adjustRightInd/>
        <w:snapToGrid w:val="0"/>
        <w:spacing w:line="400" w:lineRule="exact"/>
        <w:ind w:firstLine="50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其他投标人的价格分统一按照下列公式计算：</w:t>
      </w:r>
    </w:p>
    <w:p w14:paraId="1741EAEC">
      <w:pPr>
        <w:keepNext w:val="0"/>
        <w:keepLines w:val="0"/>
        <w:pageBreakBefore w:val="0"/>
        <w:widowControl w:val="0"/>
        <w:kinsoku/>
        <w:wordWrap/>
        <w:overflowPunct/>
        <w:topLinePunct w:val="0"/>
        <w:autoSpaceDE/>
        <w:autoSpaceDN/>
        <w:bidi w:val="0"/>
        <w:adjustRightInd w:val="0"/>
        <w:spacing w:line="400" w:lineRule="exact"/>
        <w:ind w:firstLine="502"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投标报价得分=(评标基准价／投标报价)×</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%×100</w:t>
      </w:r>
    </w:p>
    <w:p w14:paraId="78AD8348">
      <w:pPr>
        <w:keepNext w:val="0"/>
        <w:keepLines w:val="0"/>
        <w:pageBreakBefore w:val="0"/>
        <w:widowControl w:val="0"/>
        <w:kinsoku/>
        <w:wordWrap/>
        <w:overflowPunct/>
        <w:topLinePunct w:val="0"/>
        <w:autoSpaceDE/>
        <w:autoSpaceDN/>
        <w:bidi w:val="0"/>
        <w:adjustRightInd w:val="0"/>
        <w:spacing w:line="400" w:lineRule="exact"/>
        <w:ind w:firstLine="502" w:firstLineChars="200"/>
        <w:textAlignment w:val="auto"/>
        <w:rPr>
          <w:rFonts w:hint="eastAsia" w:ascii="宋体" w:hAnsi="宋体" w:cs="宋体"/>
          <w:b/>
          <w:bCs/>
          <w:color w:val="auto"/>
          <w:sz w:val="24"/>
          <w:szCs w:val="24"/>
          <w:lang w:val="en-US" w:eastAsia="zh-CN"/>
        </w:rPr>
      </w:pPr>
      <w:r>
        <w:rPr>
          <w:rFonts w:hint="eastAsia" w:ascii="宋体" w:hAnsi="宋体" w:eastAsia="宋体" w:cs="宋体"/>
          <w:color w:val="auto"/>
          <w:kern w:val="0"/>
          <w:sz w:val="24"/>
          <w:szCs w:val="24"/>
          <w:highlight w:val="none"/>
          <w:lang w:val="en-US" w:eastAsia="zh-CN"/>
        </w:rPr>
        <w:t>本次招标预算价</w:t>
      </w:r>
      <w:r>
        <w:rPr>
          <w:rFonts w:hint="eastAsia" w:ascii="宋体" w:hAnsi="宋体" w:cs="宋体"/>
          <w:color w:val="auto"/>
          <w:kern w:val="0"/>
          <w:sz w:val="24"/>
          <w:szCs w:val="24"/>
          <w:highlight w:val="none"/>
          <w:lang w:val="en-US" w:eastAsia="zh-CN"/>
        </w:rPr>
        <w:t>2259816</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Times New Roman"/>
          <w:sz w:val="24"/>
          <w:szCs w:val="24"/>
          <w:highlight w:val="none"/>
          <w:lang w:val="zh-CN"/>
        </w:rPr>
        <w:t>本项目风险控制价为</w:t>
      </w:r>
      <w:r>
        <w:rPr>
          <w:rFonts w:hint="eastAsia" w:ascii="宋体" w:hAnsi="宋体" w:cs="Times New Roman"/>
          <w:sz w:val="24"/>
          <w:szCs w:val="24"/>
          <w:highlight w:val="none"/>
          <w:u w:val="single"/>
          <w:lang w:val="en-US" w:eastAsia="zh-CN"/>
        </w:rPr>
        <w:t>1807852.8</w:t>
      </w:r>
      <w:r>
        <w:rPr>
          <w:rFonts w:hint="eastAsia" w:ascii="宋体" w:hAnsi="宋体" w:eastAsia="宋体" w:cs="Times New Roman"/>
          <w:sz w:val="24"/>
          <w:szCs w:val="24"/>
          <w:highlight w:val="none"/>
          <w:lang w:val="zh-CN"/>
        </w:rPr>
        <w:t>元（预算金额</w:t>
      </w:r>
      <w:r>
        <w:rPr>
          <w:rFonts w:hint="eastAsia" w:ascii="宋体" w:hAnsi="宋体" w:cs="Times New Roman"/>
          <w:sz w:val="24"/>
          <w:szCs w:val="24"/>
          <w:highlight w:val="none"/>
          <w:lang w:val="en-US" w:eastAsia="zh-CN"/>
        </w:rPr>
        <w:t>2259816元*8</w:t>
      </w:r>
      <w:r>
        <w:rPr>
          <w:rFonts w:hint="eastAsia" w:ascii="宋体" w:hAnsi="宋体" w:eastAsia="宋体" w:cs="Times New Roman"/>
          <w:sz w:val="24"/>
          <w:szCs w:val="24"/>
          <w:highlight w:val="none"/>
          <w:lang w:val="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凡低</w:t>
      </w:r>
      <w:r>
        <w:rPr>
          <w:rFonts w:hint="eastAsia" w:ascii="宋体" w:hAnsi="宋体" w:eastAsia="宋体" w:cs="宋体"/>
          <w:b/>
          <w:bCs/>
          <w:color w:val="auto"/>
          <w:sz w:val="24"/>
          <w:szCs w:val="24"/>
        </w:rPr>
        <w:t>于该风险控制价的，</w:t>
      </w:r>
      <w:r>
        <w:rPr>
          <w:rFonts w:hint="eastAsia" w:ascii="宋体" w:hAnsi="宋体" w:eastAsia="宋体" w:cs="宋体"/>
          <w:b/>
          <w:bCs/>
          <w:color w:val="auto"/>
          <w:sz w:val="24"/>
          <w:szCs w:val="24"/>
          <w:lang w:eastAsia="zh-CN"/>
        </w:rPr>
        <w:t>中标供应商</w:t>
      </w:r>
      <w:r>
        <w:rPr>
          <w:rFonts w:hint="eastAsia" w:ascii="宋体" w:hAnsi="宋体" w:eastAsia="宋体" w:cs="宋体"/>
          <w:b/>
          <w:bCs/>
          <w:color w:val="auto"/>
          <w:sz w:val="24"/>
          <w:szCs w:val="24"/>
        </w:rPr>
        <w:t>应在中标通知书发出后5个工作日内补交中标价净值与风险控制价之差额，</w:t>
      </w:r>
      <w:r>
        <w:rPr>
          <w:rFonts w:hint="eastAsia" w:ascii="宋体" w:hAnsi="宋体" w:eastAsia="宋体" w:cs="宋体"/>
          <w:b/>
          <w:bCs/>
          <w:color w:val="auto"/>
          <w:sz w:val="24"/>
          <w:szCs w:val="24"/>
          <w:lang w:eastAsia="zh-CN"/>
        </w:rPr>
        <w:t>中标供应商</w:t>
      </w:r>
      <w:r>
        <w:rPr>
          <w:rFonts w:hint="eastAsia" w:ascii="宋体" w:hAnsi="宋体" w:eastAsia="宋体" w:cs="宋体"/>
          <w:b/>
          <w:bCs/>
          <w:color w:val="auto"/>
          <w:sz w:val="24"/>
          <w:szCs w:val="24"/>
        </w:rPr>
        <w:t>不提交的视为放弃中标。差额保证金待</w:t>
      </w:r>
      <w:r>
        <w:rPr>
          <w:rFonts w:hint="eastAsia" w:ascii="宋体" w:hAnsi="宋体" w:eastAsia="宋体" w:cs="宋体"/>
          <w:b/>
          <w:bCs/>
          <w:color w:val="auto"/>
          <w:sz w:val="24"/>
          <w:szCs w:val="24"/>
          <w:lang w:eastAsia="zh-CN"/>
        </w:rPr>
        <w:t>质保期满后</w:t>
      </w:r>
      <w:r>
        <w:rPr>
          <w:rFonts w:hint="eastAsia" w:ascii="宋体" w:hAnsi="宋体" w:eastAsia="宋体" w:cs="宋体"/>
          <w:b/>
          <w:bCs/>
          <w:color w:val="auto"/>
          <w:sz w:val="24"/>
          <w:szCs w:val="24"/>
        </w:rPr>
        <w:t>7个工作日内无息退还。（差额保证金应在中标通知书发出后5个工作日内交至采购单位，以现金、电汇、转账方式交纳</w:t>
      </w:r>
      <w:r>
        <w:rPr>
          <w:rFonts w:hint="eastAsia" w:ascii="宋体" w:hAnsi="宋体" w:eastAsia="宋体" w:cs="宋体"/>
          <w:b/>
          <w:bCs/>
          <w:color w:val="auto"/>
          <w:sz w:val="24"/>
          <w:szCs w:val="24"/>
          <w:lang w:eastAsia="zh-CN"/>
        </w:rPr>
        <w:t>，其他方式不接受</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w:t>
      </w:r>
    </w:p>
    <w:p w14:paraId="7B2D251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00" w:lineRule="exact"/>
        <w:ind w:firstLine="50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bookmarkStart w:id="113" w:name="_Toc32443"/>
      <w:bookmarkStart w:id="114" w:name="_Toc54978901"/>
    </w:p>
    <w:p w14:paraId="3ECBBA8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00" w:lineRule="exact"/>
        <w:ind w:firstLine="502" w:firstLineChars="200"/>
        <w:textAlignment w:val="auto"/>
        <w:rPr>
          <w:rFonts w:hint="eastAsia" w:ascii="宋体" w:hAnsi="宋体" w:eastAsia="宋体" w:cs="宋体"/>
          <w:b/>
          <w:bCs/>
          <w:color w:val="auto"/>
          <w:sz w:val="24"/>
          <w:szCs w:val="24"/>
        </w:rPr>
      </w:pPr>
    </w:p>
    <w:p w14:paraId="5814DE73">
      <w:pPr>
        <w:pStyle w:val="93"/>
        <w:rPr>
          <w:rFonts w:hint="eastAsia"/>
        </w:rPr>
      </w:pPr>
    </w:p>
    <w:p w14:paraId="08AE9CD3">
      <w:pPr>
        <w:pStyle w:val="93"/>
        <w:rPr>
          <w:rFonts w:hint="eastAsia"/>
        </w:rPr>
      </w:pPr>
    </w:p>
    <w:p w14:paraId="327525CA">
      <w:pPr>
        <w:pStyle w:val="93"/>
        <w:rPr>
          <w:rFonts w:hint="eastAsia"/>
        </w:rPr>
      </w:pPr>
    </w:p>
    <w:p w14:paraId="14FF0AE2">
      <w:pPr>
        <w:pStyle w:val="93"/>
        <w:rPr>
          <w:rFonts w:hint="eastAsia"/>
        </w:rPr>
      </w:pPr>
    </w:p>
    <w:p w14:paraId="1C451F35">
      <w:pPr>
        <w:pStyle w:val="93"/>
        <w:rPr>
          <w:rFonts w:hint="eastAsia"/>
        </w:rPr>
      </w:pPr>
    </w:p>
    <w:p w14:paraId="00405D10">
      <w:pPr>
        <w:pStyle w:val="93"/>
        <w:ind w:left="0" w:leftChars="0" w:firstLine="0" w:firstLineChars="0"/>
        <w:rPr>
          <w:rFonts w:hint="eastAsia"/>
        </w:rPr>
      </w:pPr>
    </w:p>
    <w:p w14:paraId="2221D804">
      <w:pPr>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p>
    <w:p w14:paraId="018E29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00" w:lineRule="exact"/>
        <w:ind w:firstLine="662" w:firstLineChars="200"/>
        <w:jc w:val="center"/>
        <w:textAlignment w:val="auto"/>
        <w:rPr>
          <w:rFonts w:ascii="宋体" w:hAnsi="宋体" w:cs="宋体"/>
          <w:b w:val="0"/>
          <w:color w:val="auto"/>
          <w:kern w:val="1"/>
          <w:highlight w:val="none"/>
        </w:rPr>
      </w:pPr>
      <w:r>
        <w:rPr>
          <w:rFonts w:hint="eastAsia" w:ascii="宋体" w:hAnsi="宋体" w:eastAsia="宋体" w:cs="宋体"/>
          <w:b/>
          <w:bCs/>
          <w:color w:val="auto"/>
          <w:kern w:val="0"/>
          <w:sz w:val="32"/>
          <w:szCs w:val="32"/>
          <w:lang w:val="en-US" w:eastAsia="zh-CN" w:bidi="ar-SA"/>
        </w:rPr>
        <w:t>第五部分  采购合同主要条款指引</w:t>
      </w:r>
    </w:p>
    <w:p w14:paraId="20E68281">
      <w:pPr>
        <w:pStyle w:val="41"/>
        <w:keepNext w:val="0"/>
        <w:keepLines w:val="0"/>
        <w:pageBreakBefore w:val="0"/>
        <w:widowControl w:val="0"/>
        <w:tabs>
          <w:tab w:val="left" w:pos="180"/>
        </w:tabs>
        <w:kinsoku/>
        <w:wordWrap/>
        <w:overflowPunct/>
        <w:topLinePunct w:val="0"/>
        <w:autoSpaceDE/>
        <w:autoSpaceDN/>
        <w:bidi w:val="0"/>
        <w:snapToGrid/>
        <w:spacing w:before="0" w:after="120" w:line="500" w:lineRule="exact"/>
        <w:jc w:val="center"/>
        <w:textAlignment w:val="auto"/>
        <w:rPr>
          <w:rFonts w:cs="宋体"/>
          <w:b/>
          <w:color w:val="auto"/>
          <w:highlight w:val="none"/>
        </w:rPr>
      </w:pPr>
      <w:bookmarkStart w:id="115" w:name="_Toc375646996"/>
      <w:bookmarkEnd w:id="115"/>
      <w:bookmarkStart w:id="116" w:name="_Toc366682413"/>
      <w:bookmarkEnd w:id="116"/>
      <w:bookmarkStart w:id="117" w:name="_Toc381971608"/>
      <w:bookmarkEnd w:id="117"/>
      <w:bookmarkStart w:id="118" w:name="_Toc330214740"/>
      <w:bookmarkEnd w:id="118"/>
      <w:bookmarkStart w:id="119" w:name="_Toc330215491"/>
      <w:bookmarkEnd w:id="119"/>
      <w:bookmarkStart w:id="120" w:name="_Toc330214868"/>
      <w:bookmarkEnd w:id="120"/>
      <w:bookmarkStart w:id="121" w:name="_Toc330215293"/>
      <w:bookmarkEnd w:id="121"/>
      <w:r>
        <w:rPr>
          <w:rFonts w:hint="eastAsia" w:cs="宋体"/>
          <w:b/>
          <w:color w:val="auto"/>
          <w:sz w:val="21"/>
          <w:szCs w:val="21"/>
          <w:highlight w:val="none"/>
          <w:lang w:val="en-US" w:eastAsia="zh-CN"/>
        </w:rPr>
        <w:t xml:space="preserve">   </w:t>
      </w:r>
      <w:r>
        <w:rPr>
          <w:rFonts w:hint="eastAsia" w:cs="宋体"/>
          <w:b/>
          <w:color w:val="auto"/>
          <w:sz w:val="21"/>
          <w:szCs w:val="21"/>
          <w:highlight w:val="none"/>
        </w:rPr>
        <w:t>（</w:t>
      </w:r>
      <w:r>
        <w:rPr>
          <w:rFonts w:hint="eastAsia" w:cs="宋体"/>
          <w:b/>
          <w:color w:val="auto"/>
          <w:highlight w:val="none"/>
        </w:rPr>
        <w:t xml:space="preserve">本合同为合同样稿，最终稿由双方协商后确定）                              </w:t>
      </w:r>
    </w:p>
    <w:p w14:paraId="301226CE">
      <w:pPr>
        <w:spacing w:line="440" w:lineRule="exact"/>
        <w:ind w:firstLine="442" w:firstLineChars="200"/>
        <w:rPr>
          <w:rFonts w:hint="eastAsia" w:ascii="宋体" w:hAnsi="宋体" w:cs="宋体"/>
          <w:color w:val="auto"/>
          <w:sz w:val="21"/>
          <w:szCs w:val="21"/>
          <w:highlight w:val="none"/>
        </w:rPr>
      </w:pPr>
      <w:bookmarkStart w:id="122" w:name="_Toc365622278"/>
      <w:bookmarkStart w:id="123" w:name="_Toc366707574"/>
      <w:bookmarkStart w:id="124" w:name="_Toc383706800"/>
      <w:r>
        <w:rPr>
          <w:rFonts w:hint="eastAsia" w:ascii="宋体" w:hAnsi="宋体" w:cs="宋体"/>
          <w:color w:val="auto"/>
          <w:sz w:val="21"/>
          <w:szCs w:val="21"/>
          <w:highlight w:val="none"/>
        </w:rPr>
        <w:t xml:space="preserve">甲方：（采购方）                              </w:t>
      </w:r>
    </w:p>
    <w:p w14:paraId="2757ED5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乙方：（供应商）</w:t>
      </w:r>
    </w:p>
    <w:p w14:paraId="6B79B946">
      <w:pPr>
        <w:spacing w:line="440" w:lineRule="exact"/>
        <w:ind w:firstLine="442" w:firstLineChars="200"/>
        <w:rPr>
          <w:rFonts w:hint="eastAsia" w:ascii="宋体" w:hAnsi="宋体" w:cs="宋体"/>
          <w:b/>
          <w:color w:val="000000"/>
          <w:kern w:val="0"/>
          <w:szCs w:val="21"/>
        </w:rPr>
      </w:pPr>
      <w:r>
        <w:rPr>
          <w:rFonts w:hint="eastAsia" w:ascii="宋体" w:hAnsi="宋体" w:cs="宋体"/>
          <w:color w:val="auto"/>
          <w:sz w:val="21"/>
          <w:szCs w:val="21"/>
          <w:highlight w:val="none"/>
        </w:rPr>
        <w:t>甲、乙双方根据《中华人民共和国政府采购法》、《中华人民共和国民法典》和_______________________项目采购文件的相关规定，双方达成一致签署本合同。</w:t>
      </w:r>
    </w:p>
    <w:p w14:paraId="54CEFA13">
      <w:pPr>
        <w:spacing w:line="440" w:lineRule="exact"/>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1.词语涵义及合同文件</w:t>
      </w:r>
    </w:p>
    <w:p w14:paraId="013F1AF5">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第1条</w:t>
      </w:r>
      <w:r>
        <w:rPr>
          <w:rFonts w:hint="eastAsia" w:ascii="宋体" w:hAnsi="宋体" w:cs="宋体"/>
          <w:color w:val="auto"/>
          <w:sz w:val="21"/>
          <w:szCs w:val="21"/>
          <w:highlight w:val="none"/>
        </w:rPr>
        <w:t xml:space="preserve"> 词语涵义。合同中用词用语应是具有本条所赋予的含义。</w:t>
      </w:r>
    </w:p>
    <w:p w14:paraId="3122EC70">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1.1采购人：</w:t>
      </w:r>
      <w:r>
        <w:rPr>
          <w:rFonts w:hint="eastAsia" w:ascii="宋体" w:hAnsi="宋体" w:cs="宋体"/>
          <w:color w:val="auto"/>
          <w:sz w:val="21"/>
          <w:szCs w:val="21"/>
          <w:highlight w:val="none"/>
          <w:u w:val="single"/>
        </w:rPr>
        <w:t>嵊州市</w:t>
      </w:r>
      <w:r>
        <w:rPr>
          <w:rFonts w:hint="eastAsia" w:ascii="宋体" w:hAnsi="宋体" w:cs="宋体"/>
          <w:color w:val="auto"/>
          <w:sz w:val="21"/>
          <w:szCs w:val="21"/>
          <w:highlight w:val="none"/>
          <w:u w:val="single"/>
          <w:lang w:val="en-US" w:eastAsia="zh-CN"/>
        </w:rPr>
        <w:t>鸿发物业管理有限公司</w:t>
      </w:r>
      <w:r>
        <w:rPr>
          <w:rFonts w:hint="eastAsia" w:ascii="宋体" w:hAnsi="宋体" w:cs="宋体"/>
          <w:snapToGrid w:val="0"/>
          <w:color w:val="auto"/>
          <w:sz w:val="21"/>
          <w:szCs w:val="21"/>
          <w:highlight w:val="none"/>
        </w:rPr>
        <w:t>（采购人名称，以下简称“甲方”）</w:t>
      </w:r>
    </w:p>
    <w:p w14:paraId="1AC6F3BD">
      <w:pPr>
        <w:spacing w:line="440" w:lineRule="exact"/>
        <w:ind w:firstLine="442"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1.2供应商：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snapToGrid w:val="0"/>
          <w:color w:val="auto"/>
          <w:sz w:val="21"/>
          <w:szCs w:val="21"/>
          <w:highlight w:val="none"/>
        </w:rPr>
        <w:t>（供应商名称，</w:t>
      </w:r>
      <w:r>
        <w:rPr>
          <w:rFonts w:hint="eastAsia" w:ascii="宋体" w:hAnsi="宋体" w:cs="宋体"/>
          <w:color w:val="auto"/>
          <w:sz w:val="21"/>
          <w:szCs w:val="21"/>
          <w:highlight w:val="none"/>
        </w:rPr>
        <w:t>以下简称“乙方”）</w:t>
      </w:r>
    </w:p>
    <w:p w14:paraId="7D4140C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1.3项目负责人：指乙方派驻现场履行本合同的全权负责人。</w:t>
      </w:r>
    </w:p>
    <w:p w14:paraId="0E8092B0">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1.4合同：指由甲方与乙方为完成商定的</w:t>
      </w:r>
      <w:r>
        <w:rPr>
          <w:rFonts w:hint="eastAsia" w:ascii="宋体" w:hAnsi="宋体" w:cs="宋体"/>
          <w:color w:val="auto"/>
          <w:sz w:val="21"/>
          <w:szCs w:val="21"/>
          <w:highlight w:val="none"/>
          <w:lang w:eastAsia="zh-CN"/>
        </w:rPr>
        <w:t>物业化运行管理服务项目</w:t>
      </w:r>
      <w:r>
        <w:rPr>
          <w:rFonts w:hint="eastAsia" w:ascii="宋体" w:hAnsi="宋体" w:cs="宋体"/>
          <w:color w:val="auto"/>
          <w:sz w:val="21"/>
          <w:szCs w:val="21"/>
          <w:highlight w:val="none"/>
        </w:rPr>
        <w:t>，明确相互权利、义务关系的协议。</w:t>
      </w:r>
    </w:p>
    <w:p w14:paraId="0EB839EF">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1.5合同文件：指组成本合同的全部文件。</w:t>
      </w:r>
    </w:p>
    <w:p w14:paraId="2D4D0233">
      <w:pPr>
        <w:spacing w:line="440" w:lineRule="exact"/>
        <w:ind w:firstLine="442"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1.6工程：</w:t>
      </w:r>
      <w:r>
        <w:rPr>
          <w:rFonts w:hint="eastAsia" w:ascii="宋体" w:hAnsi="宋体" w:cs="宋体"/>
          <w:color w:val="auto"/>
          <w:sz w:val="21"/>
          <w:szCs w:val="21"/>
          <w:highlight w:val="none"/>
          <w:lang w:eastAsia="zh-CN"/>
        </w:rPr>
        <w:t>嵊州市艇湖枢纽开发有限公司物业化运行管理服务项目</w:t>
      </w:r>
    </w:p>
    <w:p w14:paraId="6CEC9575">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1.7合同价格：指合同书中写明的为完成合同规定的各项工作应付给承包人的总金额或单价金额。</w:t>
      </w:r>
    </w:p>
    <w:p w14:paraId="07230054">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1.8费用：指为实施本合同所发生的所有开支。包括管理费和分摊的其它费用。</w:t>
      </w:r>
    </w:p>
    <w:p w14:paraId="55EE651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1.9开工通知：指经甲方签发通知乙方开工的函件。</w:t>
      </w:r>
    </w:p>
    <w:p w14:paraId="38C79CF1">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1.10运行和日常维修管理周期：指合同条款约定的运行和日常维修管理周期。</w:t>
      </w:r>
    </w:p>
    <w:p w14:paraId="0A7A742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1.11技术条款：指列入本合同的技术条款和经甲方批准的对技术条款的任何修改文件或补充文件。</w:t>
      </w:r>
    </w:p>
    <w:p w14:paraId="12E2DF0A">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1.12投标报价书：指乙方为完成本合同规定的各项工作，向甲方提交的投标总报价及承诺招标文件规定条件和要求的文件。</w:t>
      </w:r>
    </w:p>
    <w:p w14:paraId="35E73C38">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1.13中标通知书：指甲方正式向乙方授标的通知书。</w:t>
      </w:r>
    </w:p>
    <w:p w14:paraId="7B4AFD1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1.14维护设备：指为完成本合同规定的各项工作所需的全部用于维护的设备、器具等。</w:t>
      </w:r>
    </w:p>
    <w:p w14:paraId="1A5DC47C">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1.15书面形式：指任何手写、打印、印刷的各种函件。</w:t>
      </w:r>
    </w:p>
    <w:p w14:paraId="5B593AD0">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1.16不可抗力：指台风、洪水、地震等自然灾害或异常现象以及导致合同无法履行的不可预见、不可避免并不能克服的客观情况。</w:t>
      </w:r>
    </w:p>
    <w:p w14:paraId="4AAE0E4A">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第2条</w:t>
      </w:r>
      <w:r>
        <w:rPr>
          <w:rFonts w:hint="eastAsia" w:ascii="宋体" w:hAnsi="宋体" w:cs="宋体"/>
          <w:color w:val="auto"/>
          <w:sz w:val="21"/>
          <w:szCs w:val="21"/>
          <w:highlight w:val="none"/>
        </w:rPr>
        <w:t xml:space="preserve"> 合同使用的语言文字和适用法律。本合同使用的语言文字为汉语。适用的法律包括法律、行政法规和国务院有关部门的规章和以及工程所在地的省级地方性法规和规章。</w:t>
      </w:r>
    </w:p>
    <w:p w14:paraId="571E5D76">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第3条</w:t>
      </w:r>
      <w:r>
        <w:rPr>
          <w:rFonts w:hint="eastAsia" w:ascii="宋体" w:hAnsi="宋体" w:cs="宋体"/>
          <w:color w:val="auto"/>
          <w:sz w:val="21"/>
          <w:szCs w:val="21"/>
          <w:highlight w:val="none"/>
        </w:rPr>
        <w:t xml:space="preserve"> 运行和日常维修养护必须符合以下规程规范：</w:t>
      </w:r>
    </w:p>
    <w:p w14:paraId="0E5C64A4">
      <w:pPr>
        <w:spacing w:line="440" w:lineRule="exact"/>
        <w:ind w:firstLine="442" w:firstLineChars="200"/>
        <w:rPr>
          <w:rFonts w:hint="eastAsia" w:ascii="宋体" w:hAnsi="宋体" w:cs="宋体"/>
          <w:color w:val="auto"/>
          <w:sz w:val="21"/>
          <w:szCs w:val="21"/>
          <w:highlight w:val="none"/>
        </w:rPr>
      </w:pPr>
      <w:bookmarkStart w:id="125" w:name="_Toc347334891"/>
      <w:r>
        <w:rPr>
          <w:rFonts w:hint="eastAsia" w:ascii="宋体" w:hAnsi="宋体" w:cs="宋体"/>
          <w:color w:val="auto"/>
          <w:sz w:val="21"/>
          <w:szCs w:val="21"/>
          <w:highlight w:val="none"/>
        </w:rPr>
        <w:t>（1）中华人民共和国防洪法</w:t>
      </w:r>
    </w:p>
    <w:p w14:paraId="71C84CE6">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（2）水库大坝安全管理条例</w:t>
      </w:r>
    </w:p>
    <w:p w14:paraId="417D9150">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（3）浙江省防汛防台抗旱条例</w:t>
      </w:r>
    </w:p>
    <w:p w14:paraId="29CA62CB">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（4）浙江省水利工程安全管理条例</w:t>
      </w:r>
    </w:p>
    <w:p w14:paraId="582C6898">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（5）浙江省水库大坝安全管理办法</w:t>
      </w:r>
    </w:p>
    <w:p w14:paraId="0FAAC580">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（6）大中型水库管理规程（DB33/T2013-2018）</w:t>
      </w:r>
    </w:p>
    <w:p w14:paraId="6CB74DE6">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（7）《电力安全工作规程》（发电厂和变电站电气部分）GB26860-2011</w:t>
      </w:r>
    </w:p>
    <w:p w14:paraId="4521E423">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（8）《水轮机运行规程》DL/T710-2018</w:t>
      </w:r>
    </w:p>
    <w:p w14:paraId="07CD25D8">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（9）《水轮发电机安装技术规范》GB/T8564-2003</w:t>
      </w:r>
    </w:p>
    <w:p w14:paraId="36F1AAA3">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（10）《浙江省水利工程维修养护定额标准（试行）》（浙江省水利厅、财政厅）</w:t>
      </w:r>
    </w:p>
    <w:p w14:paraId="2ED02BAE">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（11）《农村水电站技术管理规程》SL529-2011</w:t>
      </w:r>
    </w:p>
    <w:p w14:paraId="1D49ABE7">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（12）《小型水电站运行维护技术规范》GB/T50964-2014</w:t>
      </w:r>
    </w:p>
    <w:p w14:paraId="77BD8F51">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（13）《农村水电站运行技术规程》DB33/T809-2010</w:t>
      </w:r>
    </w:p>
    <w:p w14:paraId="66E3769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（14）《小型水电站机组综合运行性能质量评定标准》SL524-2011</w:t>
      </w:r>
    </w:p>
    <w:p w14:paraId="6519C8C1">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（15）《关于全面推行水利工程标准化管理的意见》（浙政办发〔2016〕4号）</w:t>
      </w:r>
    </w:p>
    <w:p w14:paraId="47EB3A47">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（16）《发电企业设备检修导则》（DL/T838-2018）；</w:t>
      </w:r>
    </w:p>
    <w:p w14:paraId="5F2DF023">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（17）《发电厂检修规程》（SD230—87）；</w:t>
      </w:r>
    </w:p>
    <w:p w14:paraId="74A98E33">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（18）《电力设备预防性试验规程》（</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"http://www.so.com/link?m=aNkqOn7Cc6HkZoXb0SwzF0JuNttVWUasa5YWZW2D3phhFwbNYEbrGg%2FAkR1%2Bw7e8bKGkYphgVkkvjUmKhFQTkIw7NdOz%2BaYfxbaEcED4LDz7hmX090Hc2Qt8cEWOifw81tyQDgZFQnrrCr0%2B4JTWzcTdlnqlko8fNpTc2xHWfF%2FDeV2ZE0KdnJ52mh9JY4jJgaOj1m19tcKLkpcoFLKuBLZikUXESWWJ%2B" \t "_blank"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DL/T 596-2005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w:t>
      </w:r>
    </w:p>
    <w:p w14:paraId="7B086608">
      <w:pPr>
        <w:spacing w:line="440" w:lineRule="exact"/>
        <w:ind w:firstLine="442"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）投标人应遵从</w:t>
      </w:r>
      <w:r>
        <w:rPr>
          <w:rFonts w:hint="eastAsia" w:ascii="宋体" w:hAnsi="宋体" w:cs="宋体"/>
          <w:color w:val="auto"/>
          <w:sz w:val="21"/>
          <w:szCs w:val="21"/>
          <w:highlight w:val="none"/>
          <w:lang w:val="en-US" w:eastAsia="zh-CN"/>
        </w:rPr>
        <w:t>艇湖枢纽开发</w:t>
      </w:r>
      <w:r>
        <w:rPr>
          <w:rFonts w:hint="eastAsia" w:ascii="宋体" w:hAnsi="宋体" w:cs="宋体"/>
          <w:color w:val="auto"/>
          <w:sz w:val="21"/>
          <w:szCs w:val="21"/>
          <w:highlight w:val="none"/>
        </w:rPr>
        <w:t>各项规章制度，不得违反制度规程</w:t>
      </w:r>
      <w:r>
        <w:rPr>
          <w:rFonts w:hint="eastAsia" w:ascii="宋体" w:hAnsi="宋体" w:cs="宋体"/>
          <w:szCs w:val="21"/>
        </w:rPr>
        <w:t>。</w:t>
      </w:r>
    </w:p>
    <w:p w14:paraId="5025F679">
      <w:pPr>
        <w:spacing w:line="44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2.双方主要义务和责任</w:t>
      </w:r>
      <w:bookmarkEnd w:id="125"/>
    </w:p>
    <w:p w14:paraId="0256558D">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第1条</w:t>
      </w:r>
      <w:r>
        <w:rPr>
          <w:rFonts w:hint="eastAsia" w:ascii="宋体" w:hAnsi="宋体" w:cs="宋体"/>
          <w:color w:val="auto"/>
          <w:sz w:val="21"/>
          <w:szCs w:val="21"/>
          <w:highlight w:val="none"/>
        </w:rPr>
        <w:t xml:space="preserve"> 委托运行管理主要内容</w:t>
      </w:r>
    </w:p>
    <w:p w14:paraId="36A4E9F8">
      <w:pPr>
        <w:spacing w:line="440" w:lineRule="exact"/>
        <w:ind w:firstLine="44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包括但不限于</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坝及电站的运行和日常维修养护的以下工作内容</w:t>
      </w:r>
      <w:r>
        <w:rPr>
          <w:rFonts w:hint="eastAsia" w:ascii="宋体" w:hAnsi="宋体" w:cs="宋体"/>
          <w:color w:val="000000" w:themeColor="text1"/>
          <w:sz w:val="21"/>
          <w:szCs w:val="21"/>
          <w:highlight w:val="none"/>
          <w14:textFill>
            <w14:solidFill>
              <w14:schemeClr w14:val="tx1"/>
            </w14:solidFill>
          </w14:textFill>
        </w:rPr>
        <w:t>。</w:t>
      </w:r>
    </w:p>
    <w:p w14:paraId="7C46627E">
      <w:pPr>
        <w:spacing w:line="440" w:lineRule="exact"/>
        <w:ind w:firstLine="44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w:t>
      </w:r>
      <w:r>
        <w:rPr>
          <w:rFonts w:hint="eastAsia" w:ascii="宋体" w:hAnsi="宋体" w:cs="宋体"/>
          <w:color w:val="000000" w:themeColor="text1"/>
          <w:sz w:val="21"/>
          <w:szCs w:val="21"/>
          <w:highlight w:val="none"/>
          <w14:textFill>
            <w14:solidFill>
              <w14:schemeClr w14:val="tx1"/>
            </w14:solidFill>
          </w14:textFill>
        </w:rPr>
        <w:t>运行、维护、管理；</w:t>
      </w:r>
    </w:p>
    <w:p w14:paraId="3CC50B7E">
      <w:pPr>
        <w:spacing w:line="440" w:lineRule="exact"/>
        <w:ind w:firstLine="44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（2）电站运行、维护、管理；</w:t>
      </w:r>
    </w:p>
    <w:p w14:paraId="65159EC5">
      <w:pPr>
        <w:spacing w:line="440" w:lineRule="exact"/>
        <w:ind w:firstLine="44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）后勤管理和档案管理。</w:t>
      </w:r>
    </w:p>
    <w:p w14:paraId="695D5A77">
      <w:pPr>
        <w:spacing w:line="440" w:lineRule="exact"/>
        <w:ind w:firstLine="44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委托运行维护管理期:自合同签订之日起</w:t>
      </w:r>
      <w:r>
        <w:rPr>
          <w:rFonts w:hint="eastAsia" w:ascii="宋体" w:hAnsi="宋体" w:cs="宋体"/>
          <w:color w:val="000000" w:themeColor="text1"/>
          <w:sz w:val="21"/>
          <w:szCs w:val="21"/>
          <w:highlight w:val="none"/>
          <w:lang w:val="en-US" w:eastAsia="zh-CN"/>
          <w14:textFill>
            <w14:solidFill>
              <w14:schemeClr w14:val="tx1"/>
            </w14:solidFill>
          </w14:textFill>
        </w:rPr>
        <w:t>2年</w:t>
      </w:r>
      <w:r>
        <w:rPr>
          <w:rFonts w:hint="eastAsia" w:ascii="宋体" w:hAnsi="宋体" w:cs="宋体"/>
          <w:color w:val="000000" w:themeColor="text1"/>
          <w:sz w:val="21"/>
          <w:szCs w:val="21"/>
          <w:highlight w:val="none"/>
          <w14:textFill>
            <w14:solidFill>
              <w14:schemeClr w14:val="tx1"/>
            </w14:solidFill>
          </w14:textFill>
        </w:rPr>
        <w:t>。</w:t>
      </w:r>
    </w:p>
    <w:p w14:paraId="3BD617DC">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第2条</w:t>
      </w:r>
      <w:r>
        <w:rPr>
          <w:rFonts w:hint="eastAsia" w:ascii="宋体" w:hAnsi="宋体" w:cs="宋体"/>
          <w:color w:val="auto"/>
          <w:sz w:val="21"/>
          <w:szCs w:val="21"/>
          <w:highlight w:val="none"/>
        </w:rPr>
        <w:t xml:space="preserve"> 甲方的主要义务和责任</w:t>
      </w:r>
    </w:p>
    <w:p w14:paraId="2BCFB9CC">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2.1对乙方的管理实施监督检查，负责考核办法的制定，考核评定。如因乙方管理不善，或人为因素造成重大经济损失，或造成严重不良社会影响的，或月度考核分累计3次低于900分的，或连续两</w:t>
      </w:r>
      <w:r>
        <w:rPr>
          <w:rFonts w:hint="eastAsia" w:ascii="宋体" w:hAnsi="宋体" w:cs="宋体"/>
          <w:color w:val="auto"/>
          <w:sz w:val="21"/>
          <w:szCs w:val="21"/>
          <w:highlight w:val="none"/>
          <w:lang w:eastAsia="zh-CN"/>
        </w:rPr>
        <w:t>次</w:t>
      </w:r>
      <w:r>
        <w:rPr>
          <w:rFonts w:hint="eastAsia" w:ascii="宋体" w:hAnsi="宋体" w:cs="宋体"/>
          <w:color w:val="auto"/>
          <w:sz w:val="21"/>
          <w:szCs w:val="21"/>
          <w:highlight w:val="none"/>
        </w:rPr>
        <w:t>月度考核分低于900分的，甲方有权终止合同；</w:t>
      </w:r>
    </w:p>
    <w:p w14:paraId="1A1CF7A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2.2负责零星及新建项目的委托设计、实施方案下达，负责承包商提交的维修养护方案和计划的审核、审批，负责维修养护项目的检查、验收、审计；</w:t>
      </w:r>
    </w:p>
    <w:p w14:paraId="4794071F">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2.3负责提供专用工具（附工具清单）、管理范围内有关工程图纸、技术资料并进行必要的技术交底，并在乙方管理期满时予以收回；</w:t>
      </w:r>
    </w:p>
    <w:p w14:paraId="762AB9EB">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2.4负责水工程改造、机电设备设施安全鉴定、电站技术改造、电气设备定期预防性试验、继电保护校验等工作并承担其费用。负责对装置性材料、备品备件消耗进行审定，并承担其费用。承担因不可抗力造成的资产损失和恢复费用。</w:t>
      </w:r>
    </w:p>
    <w:p w14:paraId="282D3548">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2.5按合同条款的约定，按时支付进度款及结算款；</w:t>
      </w:r>
    </w:p>
    <w:p w14:paraId="61F0908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2.6不得干涉乙方依法或依本合同规定内容所进行的管理和经营活动；</w:t>
      </w:r>
    </w:p>
    <w:p w14:paraId="41ABDE6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2.7负责处理非乙方原因而产生的各种纠纷；</w:t>
      </w:r>
    </w:p>
    <w:p w14:paraId="6759267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2.8法规政策规定由甲方承担的其他责任。</w:t>
      </w:r>
    </w:p>
    <w:p w14:paraId="03564622">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第3条</w:t>
      </w:r>
      <w:r>
        <w:rPr>
          <w:rFonts w:hint="eastAsia" w:ascii="宋体" w:hAnsi="宋体" w:cs="宋体"/>
          <w:color w:val="auto"/>
          <w:sz w:val="21"/>
          <w:szCs w:val="21"/>
          <w:highlight w:val="none"/>
        </w:rPr>
        <w:t xml:space="preserve"> 乙方的主要义务和责任</w:t>
      </w:r>
    </w:p>
    <w:p w14:paraId="03225392">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3.1根据有关法律、法规政策及本合同的规定，制订运行和日常维修管理制度、值班制度等各项制度、实施细则，并报甲方批准后执行。</w:t>
      </w:r>
    </w:p>
    <w:p w14:paraId="4260E7F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3.2按照甲方的指令，严格按照技术条款中规定的质量要求完成全部承包工作。接受甲方的监督、考核，并对存在的问题进行整改。</w:t>
      </w:r>
    </w:p>
    <w:p w14:paraId="31856F1A">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3.3按技术条款的规定编制运行和日常维修管理方案和计划提交甲方审批，方案中应包含运行和日常维修管理措施计划，保证按照国家有关规定文明运行和日常维修管理。每月对运行和日常维修管理工作进行总结（每月的25号之前提交甲方）。做好运行记录、维修维保工作的日记，每月末与总结一起提交甲方。</w:t>
      </w:r>
    </w:p>
    <w:p w14:paraId="09B5D18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3.4乙方对本招标工程范围内的运行和日常维修管理（包括巡视、看护、定期检查、特别检查等）、电站机组检修现场配备人数应满足合同工作需要。若人员不能满足安全生产要求，经甲方提出增配或更换工作人员，在接甲方通知后的一周内人员到位，并不得提出额外的费用补偿要求。项目负责人的更换须取得甲方同意。在进场一个月之内，乙方必须在运行和日常维修管理区域完成公示牌二块，内容由发包人审定）的设置，设置地点由甲方指定。</w:t>
      </w:r>
    </w:p>
    <w:p w14:paraId="698AB8B2">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3.5遵守环境保护的法律、法规和规章及技术条款有关规定，禁止弃土、材料任意堆放，防止因为噪音、扬尘、废水、废油不进行控制和治理及生活垃圾不及时清除而造成环境破坏、人员伤害和财产损失。</w:t>
      </w:r>
    </w:p>
    <w:p w14:paraId="27D2CDFD">
      <w:pPr>
        <w:snapToGrid w:val="0"/>
        <w:spacing w:line="360" w:lineRule="auto"/>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3.6甲方提供管理范围内生产生活设施用房及公共区域水电。乙方按季度实际发生数向甲方缴纳员工宿舍生活用电电费。如认为生产、生活用房面积不够的，承包商应另行租用，费用自理。乙方不得出租发包人提供管理及生产用房。对本招标范围内的维修项目，应包含乙方为完成合同规定的运行和日常维修管理任务所发生的一切费用。</w:t>
      </w:r>
    </w:p>
    <w:p w14:paraId="6DDE21B7">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3.7在合同存续期间，乙方要保证工程运行安全，必须服从防汛防台抢险的命令与调度的规定。</w:t>
      </w:r>
    </w:p>
    <w:p w14:paraId="6EF62EA1">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3.8在符合合同要求所许可的范围内，实施和完成本合同维护工作中的一切运行和日常维修管理作业，不得对现有建筑物及各种管道、电线、电缆、通讯等设施造成任何影响或破坏，不得影响邻近建筑物、构筑物等的安全与正常使用或不适当作业造成对附近群众的干扰与不便。如发生上述情况，应由乙方承担一切责任及费用。乙方应协调和处理好与邻近单位及居民的关系。</w:t>
      </w:r>
    </w:p>
    <w:p w14:paraId="10D4811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3.9乙方应对投标报价中所报的单价和合价的正确性和完备性负责。除合同中另有规定的以外，上述报价包括了合同内列明和包含的全部风险、责任和义务，以及为履行本合同所需的全部费用及利润、税费。</w:t>
      </w:r>
    </w:p>
    <w:p w14:paraId="5371F2A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3.10按照投标承诺组织项目管理人员、设备按时到场。</w:t>
      </w:r>
    </w:p>
    <w:p w14:paraId="085897F5">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3.11遵守安全生产法律法规，按照国家标准、行业标准及甲方提供的安全生产管理制度进行</w:t>
      </w:r>
      <w:r>
        <w:rPr>
          <w:rFonts w:hint="eastAsia" w:ascii="宋体" w:hAnsi="宋体" w:cs="宋体"/>
          <w:color w:val="auto"/>
          <w:sz w:val="21"/>
          <w:szCs w:val="21"/>
          <w:highlight w:val="none"/>
          <w:lang w:val="en-US" w:eastAsia="zh-CN"/>
        </w:rPr>
        <w:t>橡胶坝</w:t>
      </w:r>
      <w:r>
        <w:rPr>
          <w:rFonts w:hint="eastAsia" w:ascii="宋体" w:hAnsi="宋体" w:cs="宋体"/>
          <w:color w:val="auto"/>
          <w:sz w:val="21"/>
          <w:szCs w:val="21"/>
          <w:highlight w:val="none"/>
        </w:rPr>
        <w:t>、电站的安全运行管理，承担因违反相关法规和运行维护不当造成的甲方经济损失。</w:t>
      </w:r>
    </w:p>
    <w:p w14:paraId="3B67BA6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3.12负责合同范围内甲方资产的安全完好，及时处理安全隐患和事故。</w:t>
      </w:r>
    </w:p>
    <w:p w14:paraId="223F078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3.13负责</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cs="宋体"/>
          <w:color w:val="000000" w:themeColor="text1"/>
          <w:sz w:val="21"/>
          <w:szCs w:val="21"/>
          <w:highlight w:val="none"/>
          <w14:textFill>
            <w14:solidFill>
              <w14:schemeClr w14:val="tx1"/>
            </w14:solidFill>
          </w14:textFill>
        </w:rPr>
        <w:t>坝</w:t>
      </w:r>
      <w:r>
        <w:rPr>
          <w:rFonts w:hint="eastAsia" w:ascii="宋体" w:hAnsi="宋体" w:cs="宋体"/>
          <w:color w:val="auto"/>
          <w:sz w:val="21"/>
          <w:szCs w:val="21"/>
          <w:highlight w:val="none"/>
        </w:rPr>
        <w:t>日常值班值守，按照标准化管理要求开展日常巡查，观测记录水文、水工程及机电设备数据。</w:t>
      </w:r>
    </w:p>
    <w:p w14:paraId="657C3588">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3.14负责</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cs="宋体"/>
          <w:color w:val="000000" w:themeColor="text1"/>
          <w:sz w:val="21"/>
          <w:szCs w:val="21"/>
          <w:highlight w:val="none"/>
          <w14:textFill>
            <w14:solidFill>
              <w14:schemeClr w14:val="tx1"/>
            </w14:solidFill>
          </w14:textFill>
        </w:rPr>
        <w:t>坝</w:t>
      </w:r>
      <w:r>
        <w:rPr>
          <w:rFonts w:hint="eastAsia" w:ascii="宋体" w:hAnsi="宋体" w:cs="宋体"/>
          <w:color w:val="auto"/>
          <w:sz w:val="21"/>
          <w:szCs w:val="21"/>
          <w:highlight w:val="none"/>
        </w:rPr>
        <w:t>承包范围内各种生产设备、设施的运行、日常维护及招标文件规定的检修工作。</w:t>
      </w:r>
    </w:p>
    <w:p w14:paraId="04208B4A">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3.15负责</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cs="宋体"/>
          <w:color w:val="000000" w:themeColor="text1"/>
          <w:sz w:val="21"/>
          <w:szCs w:val="21"/>
          <w:highlight w:val="none"/>
          <w14:textFill>
            <w14:solidFill>
              <w14:schemeClr w14:val="tx1"/>
            </w14:solidFill>
          </w14:textFill>
        </w:rPr>
        <w:t>坝</w:t>
      </w:r>
      <w:r>
        <w:rPr>
          <w:rFonts w:hint="eastAsia" w:ascii="宋体" w:hAnsi="宋体" w:cs="宋体"/>
          <w:color w:val="auto"/>
          <w:sz w:val="21"/>
          <w:szCs w:val="21"/>
          <w:highlight w:val="none"/>
        </w:rPr>
        <w:t>现场运行规程和管理规章制度的修编，建立事故应急预案，报甲方同意后实施。</w:t>
      </w:r>
    </w:p>
    <w:p w14:paraId="30E473F3">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3.16认真记录，收集、整理水文、水工程观测相关资料，以及设备设施运行、维护、异常、故障、检修消缺等相关资料，并做好数据库录入和归档保存工作，按年度整编水文及水工程观测资料。</w:t>
      </w:r>
    </w:p>
    <w:p w14:paraId="4834502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3.17负责编制年度检修计划，按照甲方批准的方案组织实施大坝的水工程、金属结构、机电设备年度检修，以及电站机组、设备的年度检修；</w:t>
      </w:r>
    </w:p>
    <w:p w14:paraId="51E55EAB">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3.18协助甲方编制技改方案等，完成电气设备定期预防性试验、继电保护校验等，组织实施事故抢修。</w:t>
      </w:r>
    </w:p>
    <w:p w14:paraId="3A43CFBB">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3.19负责承担</w:t>
      </w:r>
      <w:r>
        <w:rPr>
          <w:rFonts w:hint="eastAsia" w:ascii="宋体" w:hAnsi="宋体" w:cs="宋体"/>
          <w:color w:val="000000" w:themeColor="text1"/>
          <w:sz w:val="21"/>
          <w:szCs w:val="21"/>
          <w:highlight w:val="none"/>
          <w:lang w:eastAsia="zh-CN"/>
          <w14:textFill>
            <w14:solidFill>
              <w14:schemeClr w14:val="tx1"/>
            </w14:solidFill>
          </w14:textFill>
        </w:rPr>
        <w:t>橡胶</w:t>
      </w:r>
      <w:r>
        <w:rPr>
          <w:rFonts w:hint="eastAsia" w:ascii="宋体" w:hAnsi="宋体" w:eastAsia="宋体" w:cs="宋体"/>
          <w:color w:val="000000" w:themeColor="text1"/>
          <w:sz w:val="21"/>
          <w:szCs w:val="21"/>
          <w:highlight w:val="none"/>
          <w14:textFill>
            <w14:solidFill>
              <w14:schemeClr w14:val="tx1"/>
            </w14:solidFill>
          </w14:textFill>
        </w:rPr>
        <w:t>坝</w:t>
      </w:r>
      <w:r>
        <w:rPr>
          <w:rFonts w:hint="eastAsia" w:ascii="宋体" w:hAnsi="宋体" w:cs="宋体"/>
          <w:color w:val="auto"/>
          <w:sz w:val="21"/>
          <w:szCs w:val="21"/>
          <w:highlight w:val="none"/>
        </w:rPr>
        <w:t>电站运行、维护、检修、试验及所需工器具（含安全用具）、劳动保护、办公用品和消耗性材料的费用，确保设备完好。</w:t>
      </w:r>
    </w:p>
    <w:p w14:paraId="51D54022">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3.20负责对在岗人员进行安全教育、岗位培训、法制教育，并进行安全、岗位技术考核，并承担相应费用。</w:t>
      </w:r>
    </w:p>
    <w:p w14:paraId="5A09A0BC">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第4条</w:t>
      </w:r>
      <w:r>
        <w:rPr>
          <w:rFonts w:hint="eastAsia" w:ascii="宋体" w:hAnsi="宋体" w:cs="宋体"/>
          <w:color w:val="auto"/>
          <w:sz w:val="21"/>
          <w:szCs w:val="21"/>
          <w:highlight w:val="none"/>
        </w:rPr>
        <w:t xml:space="preserve"> 项目负责人。项目负责人按照本合同的约定行使权利，履行职责。</w:t>
      </w:r>
    </w:p>
    <w:p w14:paraId="1040805C">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4.1为实施本合同发出的一切函件应由项目负责人或其授权代表签名，甲方人员在回执上签署姓名和收到时间后生效。</w:t>
      </w:r>
    </w:p>
    <w:p w14:paraId="04AF281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4.2项目负责人按甲方要求的运行和日常维修管理方案、进度计划和合同发出的指示、要求组织开展工作。</w:t>
      </w:r>
    </w:p>
    <w:p w14:paraId="0833770E">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4.3项目负责人原则上不得换人，如确因工作需要，须经业主同意。项目负责人每月在现场时间不得少于22天；否则处以500元／天罚款（以现场考勤表为准）。</w:t>
      </w:r>
    </w:p>
    <w:p w14:paraId="0C892D5C">
      <w:pPr>
        <w:spacing w:line="440" w:lineRule="exact"/>
        <w:ind w:firstLine="442"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4.4项目负责人考勤驻现场天数以使用电子化考勤为准。</w:t>
      </w:r>
    </w:p>
    <w:p w14:paraId="3D9DDFC1">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第5条</w:t>
      </w:r>
      <w:r>
        <w:rPr>
          <w:rFonts w:hint="eastAsia" w:ascii="宋体" w:hAnsi="宋体" w:cs="宋体"/>
          <w:color w:val="auto"/>
          <w:sz w:val="21"/>
          <w:szCs w:val="21"/>
          <w:highlight w:val="none"/>
        </w:rPr>
        <w:t xml:space="preserve"> 人员的工伤事故</w:t>
      </w:r>
    </w:p>
    <w:p w14:paraId="10AC05FE">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乙方须为本项目现场服务人员投保人身意外伤害险。</w:t>
      </w:r>
    </w:p>
    <w:p w14:paraId="253AFA7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1"/>
          <w:szCs w:val="21"/>
          <w:highlight w:val="none"/>
        </w:rPr>
      </w:pPr>
      <w:bookmarkStart w:id="126" w:name="_Toc347334892"/>
      <w:r>
        <w:rPr>
          <w:rFonts w:hint="eastAsia" w:ascii="宋体" w:hAnsi="宋体" w:eastAsia="宋体" w:cs="宋体"/>
          <w:b/>
          <w:bCs/>
          <w:color w:val="auto"/>
          <w:sz w:val="21"/>
          <w:szCs w:val="21"/>
          <w:highlight w:val="none"/>
        </w:rPr>
        <w:t>3.</w:t>
      </w:r>
      <w:bookmarkEnd w:id="126"/>
      <w:r>
        <w:rPr>
          <w:rFonts w:hint="eastAsia" w:ascii="宋体" w:hAnsi="宋体" w:eastAsia="宋体" w:cs="宋体"/>
          <w:b/>
          <w:bCs/>
          <w:color w:val="auto"/>
          <w:sz w:val="21"/>
          <w:szCs w:val="21"/>
          <w:highlight w:val="none"/>
        </w:rPr>
        <w:t>运行和日常维修养护项目质量考核</w:t>
      </w:r>
    </w:p>
    <w:p w14:paraId="6C5B526C">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第1条</w:t>
      </w:r>
      <w:r>
        <w:rPr>
          <w:rFonts w:hint="eastAsia" w:ascii="宋体" w:hAnsi="宋体" w:eastAsia="宋体" w:cs="宋体"/>
          <w:color w:val="auto"/>
          <w:sz w:val="21"/>
          <w:szCs w:val="21"/>
          <w:highlight w:val="none"/>
        </w:rPr>
        <w:t xml:space="preserve"> 运行和日常维修养护项目质量考核</w:t>
      </w:r>
    </w:p>
    <w:p w14:paraId="435CAA86">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运行和日常维修养护工作实施每周不定期抽查和月度定期考核相结合的检查制度。每周不定期抽查由甲方择时进行，一般每周一次，检查发现的问题，作为月度考核该项目赋分的重要依据；月度定期考核由发包人自行随机确定，打分作为月度考核分；全年月度考核平均分为年度考核分。</w:t>
      </w:r>
    </w:p>
    <w:p w14:paraId="0E578A10">
      <w:pPr>
        <w:keepNext w:val="0"/>
        <w:keepLines w:val="0"/>
        <w:pageBreakBefore w:val="0"/>
        <w:widowControl w:val="0"/>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1.2考核分在900分及以上为合格，900分以下为不合格；950分以上为优秀。</w:t>
      </w:r>
      <w:r>
        <w:rPr>
          <w:rFonts w:hint="eastAsia" w:ascii="宋体" w:hAnsi="宋体" w:eastAsia="宋体" w:cs="宋体"/>
          <w:color w:val="auto"/>
          <w:sz w:val="21"/>
          <w:szCs w:val="21"/>
          <w:highlight w:val="none"/>
          <w:lang w:val="en-US" w:eastAsia="zh-CN"/>
        </w:rPr>
        <w:t>累计三次月度考核不合格的或连续两次月度考核不合格的，甲方有权单方面中止合同并没收履约保证金。</w:t>
      </w:r>
    </w:p>
    <w:p w14:paraId="4F47BB18">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第2条</w:t>
      </w:r>
      <w:r>
        <w:rPr>
          <w:rFonts w:hint="eastAsia" w:ascii="宋体" w:hAnsi="宋体" w:eastAsia="宋体" w:cs="宋体"/>
          <w:color w:val="auto"/>
          <w:sz w:val="21"/>
          <w:szCs w:val="21"/>
          <w:highlight w:val="none"/>
        </w:rPr>
        <w:t xml:space="preserve"> 维修项目质量验收</w:t>
      </w:r>
    </w:p>
    <w:p w14:paraId="341181D3">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2.1本工程招标要求维修项目质量等级必须达到合格及其以上。</w:t>
      </w:r>
    </w:p>
    <w:p w14:paraId="462833CE">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2.2如维修项目质量未能达到合格，乙方必须无条件返工，直至工程质量达到合格，期间所发生的一切费用由乙方自行承担。</w:t>
      </w:r>
    </w:p>
    <w:p w14:paraId="51E90AA1">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维修项目验收按照SL223—2008《水利水电建设工程验收规程》、SL176-2007《水利水电工程施工质量检验与评定规程》、GB50221-95《钢结构工程质量检验评定标准》、SL529-2011《农村水电站技术管理规程》、GB/T8564-2003《水轮发电机组安装技术规范》等行业规程或标准。</w:t>
      </w:r>
    </w:p>
    <w:p w14:paraId="51241E99">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2.4维修项目由甲方组织验收小组在该项目完工后单独进行验收评定。</w:t>
      </w:r>
    </w:p>
    <w:p w14:paraId="4DDCBC82">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2.5维修项目验收时，乙方必须提交</w:t>
      </w:r>
      <w:r>
        <w:rPr>
          <w:rFonts w:hint="eastAsia" w:ascii="宋体" w:hAnsi="宋体" w:eastAsia="宋体" w:cs="宋体"/>
          <w:color w:val="auto"/>
          <w:sz w:val="21"/>
          <w:szCs w:val="21"/>
          <w:highlight w:val="none"/>
          <w:lang w:eastAsia="zh-CN"/>
        </w:rPr>
        <w:t>工程量清单、</w:t>
      </w:r>
      <w:r>
        <w:rPr>
          <w:rFonts w:hint="eastAsia" w:ascii="宋体" w:hAnsi="宋体" w:eastAsia="宋体" w:cs="宋体"/>
          <w:color w:val="auto"/>
          <w:sz w:val="21"/>
          <w:szCs w:val="21"/>
          <w:highlight w:val="none"/>
        </w:rPr>
        <w:t>质量评定资料、维修总结、设备保养日记、保养维保大事记等验收工作必须具备的一切资料。</w:t>
      </w:r>
    </w:p>
    <w:p w14:paraId="625DD67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1"/>
          <w:szCs w:val="21"/>
          <w:highlight w:val="none"/>
        </w:rPr>
      </w:pPr>
      <w:bookmarkStart w:id="127" w:name="_Toc347334893"/>
      <w:r>
        <w:rPr>
          <w:rFonts w:hint="eastAsia" w:ascii="宋体" w:hAnsi="宋体" w:eastAsia="宋体" w:cs="宋体"/>
          <w:b/>
          <w:bCs/>
          <w:color w:val="auto"/>
          <w:sz w:val="21"/>
          <w:szCs w:val="21"/>
          <w:highlight w:val="none"/>
        </w:rPr>
        <w:t>4.合同价格与支付</w:t>
      </w:r>
      <w:bookmarkEnd w:id="127"/>
    </w:p>
    <w:p w14:paraId="1D63BC5C">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4.1本合同金额为（大写）：_______________元（￥___________元）人民币。</w:t>
      </w:r>
    </w:p>
    <w:p w14:paraId="1C361E42">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4.2结算方式</w:t>
      </w:r>
    </w:p>
    <w:p w14:paraId="4475D108">
      <w:pPr>
        <w:keepNext w:val="0"/>
        <w:keepLines w:val="0"/>
        <w:suppressLineNumbers w:val="0"/>
        <w:spacing w:before="0" w:beforeAutospacing="0" w:after="0" w:afterAutospacing="0" w:line="440" w:lineRule="exact"/>
        <w:ind w:left="0" w:right="0" w:firstLine="442" w:firstLineChars="200"/>
        <w:rPr>
          <w:rFonts w:hint="eastAsia" w:ascii="宋体" w:hAnsi="宋体" w:eastAsia="宋体" w:cs="宋体"/>
          <w:color w:val="auto"/>
          <w:sz w:val="21"/>
          <w:szCs w:val="21"/>
          <w:highlight w:val="none"/>
          <w:lang w:val="en-US" w:eastAsia="zh-CN"/>
        </w:rPr>
      </w:pPr>
      <w:bookmarkStart w:id="128" w:name="_Toc347334895"/>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合同签订进场后一个季度内预付30000元；</w:t>
      </w:r>
    </w:p>
    <w:p w14:paraId="378455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4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运行维护费用实行总价承包，并根据考核情况按月结算、按季度结付。结算方式如下：①运行维护费用月度扣款额：项目月度考核得分值在9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0分以下的，按每低1分（9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0分为基数）扣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00元的标准实行，即月度扣款额＝（9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0-月度考核得分值）×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00；②运行维护费用季度扣款额为项目各月度扣款额之和；③运行维护费用季度付款额＝项目委托的季度运行维护合同费用－运行维护费用季度扣款额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考核分在900分及以上为合格，900分以下为不合格；950分以上为优秀。</w:t>
      </w:r>
      <w:r>
        <w:rPr>
          <w:rFonts w:hint="eastAsia" w:ascii="宋体" w:hAnsi="宋体" w:eastAsia="宋体" w:cs="宋体"/>
          <w:color w:val="auto"/>
          <w:sz w:val="21"/>
          <w:szCs w:val="21"/>
          <w:highlight w:val="none"/>
          <w:lang w:val="en-US" w:eastAsia="zh-CN"/>
        </w:rPr>
        <w:t>累计三次月度考核不合格的或连续两次月度考核不合格的，采购人有权单方面中止合同并没收履约保证金</w:t>
      </w:r>
      <w:r>
        <w:rPr>
          <w:rFonts w:hint="eastAsia" w:ascii="宋体" w:hAnsi="宋体" w:eastAsia="宋体" w:cs="宋体"/>
          <w:color w:val="auto"/>
          <w:sz w:val="21"/>
          <w:szCs w:val="21"/>
          <w:highlight w:val="none"/>
          <w:lang w:eastAsia="zh-CN"/>
        </w:rPr>
        <w:t>；</w:t>
      </w:r>
    </w:p>
    <w:p w14:paraId="507B72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42"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年终奖励实行与发电量挂钩，奖励基数为</w:t>
      </w:r>
      <w:r>
        <w:rPr>
          <w:rFonts w:hint="eastAsia" w:ascii="宋体" w:hAnsi="宋体" w:cs="宋体"/>
          <w:color w:val="auto"/>
          <w:sz w:val="21"/>
          <w:szCs w:val="21"/>
          <w:highlight w:val="none"/>
          <w:lang w:val="en-US" w:eastAsia="zh-CN"/>
        </w:rPr>
        <w:t>500万度-550万度（10万度为计算单位）。</w:t>
      </w:r>
      <w:r>
        <w:rPr>
          <w:rFonts w:hint="eastAsia" w:ascii="宋体" w:hAnsi="宋体" w:eastAsia="宋体" w:cs="宋体"/>
          <w:color w:val="auto"/>
          <w:sz w:val="21"/>
          <w:szCs w:val="21"/>
          <w:highlight w:val="none"/>
          <w:lang w:val="en-US" w:eastAsia="zh-CN"/>
        </w:rPr>
        <w:t>具体为：1.年发电量小于</w:t>
      </w:r>
      <w:r>
        <w:rPr>
          <w:rFonts w:hint="eastAsia" w:ascii="宋体" w:hAnsi="宋体" w:cs="宋体"/>
          <w:color w:val="auto"/>
          <w:sz w:val="21"/>
          <w:szCs w:val="21"/>
          <w:highlight w:val="none"/>
          <w:lang w:val="en-US" w:eastAsia="zh-CN"/>
        </w:rPr>
        <w:t>490</w:t>
      </w:r>
      <w:r>
        <w:rPr>
          <w:rFonts w:hint="eastAsia" w:ascii="宋体" w:hAnsi="宋体" w:eastAsia="宋体" w:cs="宋体"/>
          <w:color w:val="auto"/>
          <w:sz w:val="21"/>
          <w:szCs w:val="21"/>
          <w:highlight w:val="none"/>
          <w:lang w:val="en-US" w:eastAsia="zh-CN"/>
        </w:rPr>
        <w:t>万度，</w:t>
      </w:r>
      <w:r>
        <w:rPr>
          <w:rFonts w:hint="eastAsia" w:ascii="宋体" w:hAnsi="宋体" w:cs="宋体"/>
          <w:color w:val="auto"/>
          <w:sz w:val="21"/>
          <w:szCs w:val="21"/>
          <w:highlight w:val="none"/>
          <w:lang w:val="en-US" w:eastAsia="zh-CN"/>
        </w:rPr>
        <w:t>扣3000元</w:t>
      </w:r>
      <w:r>
        <w:rPr>
          <w:rFonts w:hint="eastAsia" w:ascii="宋体" w:hAnsi="宋体" w:eastAsia="宋体" w:cs="宋体"/>
          <w:color w:val="auto"/>
          <w:sz w:val="21"/>
          <w:szCs w:val="21"/>
          <w:highlight w:val="none"/>
          <w:lang w:val="en-US" w:eastAsia="zh-CN"/>
        </w:rPr>
        <w:t>；2.年发电量</w:t>
      </w:r>
      <w:r>
        <w:rPr>
          <w:rFonts w:hint="eastAsia" w:ascii="宋体" w:hAnsi="宋体" w:cs="宋体"/>
          <w:color w:val="auto"/>
          <w:sz w:val="21"/>
          <w:szCs w:val="21"/>
          <w:highlight w:val="none"/>
          <w:lang w:val="en-US" w:eastAsia="zh-CN"/>
        </w:rPr>
        <w:t>大于</w:t>
      </w:r>
      <w:r>
        <w:rPr>
          <w:rFonts w:hint="eastAsia" w:ascii="宋体" w:hAnsi="宋体" w:cs="宋体"/>
          <w:i/>
          <w:iCs/>
          <w:color w:val="auto"/>
          <w:sz w:val="21"/>
          <w:szCs w:val="21"/>
          <w:highlight w:val="none"/>
          <w:lang w:val="en-US" w:eastAsia="zh-CN"/>
        </w:rPr>
        <w:t>560</w:t>
      </w:r>
      <w:r>
        <w:rPr>
          <w:rFonts w:hint="eastAsia" w:ascii="宋体" w:hAnsi="宋体" w:eastAsia="宋体" w:cs="宋体"/>
          <w:color w:val="auto"/>
          <w:sz w:val="21"/>
          <w:szCs w:val="21"/>
          <w:highlight w:val="none"/>
          <w:lang w:val="en-US" w:eastAsia="zh-CN"/>
        </w:rPr>
        <w:t>万度</w:t>
      </w:r>
      <w:r>
        <w:rPr>
          <w:rFonts w:hint="eastAsia" w:ascii="宋体" w:hAnsi="宋体" w:cs="宋体"/>
          <w:color w:val="auto"/>
          <w:sz w:val="21"/>
          <w:szCs w:val="21"/>
          <w:highlight w:val="none"/>
          <w:lang w:val="en-US" w:eastAsia="zh-CN"/>
        </w:rPr>
        <w:t>以上，奖励5000元。（注：奖罚制度依此类推）</w:t>
      </w:r>
    </w:p>
    <w:p w14:paraId="1DE2C120">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（4）橡胶坝上游工程施工经上级部门审批需要坍坝放水，施工方赔付的10000元/天，可计入年度电量。因其他情况坍坝，不计算年度电量。</w:t>
      </w:r>
    </w:p>
    <w:p w14:paraId="4BEF292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5.违约及责任</w:t>
      </w:r>
      <w:bookmarkEnd w:id="128"/>
    </w:p>
    <w:p w14:paraId="1B1C2F49">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第1条</w:t>
      </w:r>
      <w:r>
        <w:rPr>
          <w:rFonts w:hint="eastAsia" w:ascii="宋体" w:hAnsi="宋体" w:cs="宋体"/>
          <w:color w:val="auto"/>
          <w:sz w:val="21"/>
          <w:szCs w:val="21"/>
          <w:highlight w:val="none"/>
        </w:rPr>
        <w:t xml:space="preserve"> 乙方违约</w:t>
      </w:r>
    </w:p>
    <w:p w14:paraId="2921E1E3">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在履行合同过程中，乙方发生下述行为之一者属乙方违约。</w:t>
      </w:r>
    </w:p>
    <w:p w14:paraId="51994F08">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1.1在防汛防台期间，运行维护人员未按要求到位，或由于人为原因造成</w:t>
      </w:r>
      <w:r>
        <w:rPr>
          <w:rFonts w:hint="eastAsia" w:ascii="宋体" w:hAnsi="宋体" w:cs="宋体"/>
          <w:color w:val="auto"/>
          <w:sz w:val="21"/>
          <w:szCs w:val="21"/>
          <w:highlight w:val="none"/>
          <w:lang w:eastAsia="zh-CN"/>
        </w:rPr>
        <w:t>橡胶坝</w:t>
      </w:r>
      <w:r>
        <w:rPr>
          <w:rFonts w:hint="eastAsia" w:ascii="宋体" w:hAnsi="宋体" w:cs="宋体"/>
          <w:color w:val="FF0000"/>
          <w:sz w:val="21"/>
          <w:szCs w:val="21"/>
          <w:highlight w:val="none"/>
        </w:rPr>
        <w:t>、</w:t>
      </w:r>
      <w:r>
        <w:rPr>
          <w:rFonts w:hint="eastAsia" w:ascii="宋体" w:hAnsi="宋体" w:cs="宋体"/>
          <w:color w:val="auto"/>
          <w:sz w:val="21"/>
          <w:szCs w:val="21"/>
          <w:highlight w:val="none"/>
        </w:rPr>
        <w:t>电站设备设施不能正常运行，并造成损失。</w:t>
      </w:r>
    </w:p>
    <w:p w14:paraId="12D1B15E">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1.2乙方无正当理由未按开工通知的要求及时进点开展工作和未按签订协议书商定的进度计划有效地开展工作，造成工作延误。</w:t>
      </w:r>
    </w:p>
    <w:p w14:paraId="6209DB46">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1.3乙方违反规定私自将合同或合同的任何部分或任何权利转让给其他人。</w:t>
      </w:r>
    </w:p>
    <w:p w14:paraId="0094359A">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1.4未经监督管理人批准，乙方私自将已按合同规定进入工地的工程设备、养护设备、临时工程或材料撤离工地。</w:t>
      </w:r>
    </w:p>
    <w:p w14:paraId="5E7E8B31">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1.5乙方违反规定使用了不合格的设备材料，并拒绝按规定处理不合格的养护设备材料的。</w:t>
      </w:r>
    </w:p>
    <w:p w14:paraId="70CE7594">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1.6由于乙方原因拒绝按合同进度计划及时完成合同规定的工程，而又未按规定采取有效措施赶上进度，造成工期延误。</w:t>
      </w:r>
    </w:p>
    <w:p w14:paraId="154180A4">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1.7乙方无视甲方对运行维护质量的监督管理，造成月度考核分累计3次低于900分的，或连续两个月度考核分低于900分的。</w:t>
      </w:r>
    </w:p>
    <w:p w14:paraId="7A636B20">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1.8乙方在保修期内拒绝按规定和工程移交证书中所列的缺陷清单内容进行修复，或经监督管理人检验认为修复质量不合格而乙方拒绝再进行修补。</w:t>
      </w:r>
    </w:p>
    <w:p w14:paraId="304E24B5">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1.9乙方否认合同有效或拒绝履行合同规定的乙方义务，或由于法律、财务等原因导致乙方无法继续履行或实质上已停止履行本合同的义务。</w:t>
      </w:r>
    </w:p>
    <w:p w14:paraId="68CAC76C">
      <w:pPr>
        <w:snapToGrid w:val="0"/>
        <w:spacing w:line="360" w:lineRule="auto"/>
        <w:ind w:firstLine="442" w:firstLineChars="200"/>
        <w:rPr>
          <w:rFonts w:hint="eastAsia"/>
          <w:color w:val="auto"/>
          <w:highlight w:val="none"/>
        </w:rPr>
      </w:pPr>
      <w:r>
        <w:rPr>
          <w:rFonts w:hint="eastAsia" w:ascii="宋体" w:hAnsi="宋体" w:cs="宋体"/>
          <w:color w:val="auto"/>
          <w:sz w:val="21"/>
          <w:szCs w:val="21"/>
          <w:highlight w:val="none"/>
        </w:rPr>
        <w:t>1.10乙方必须确保项目组人员到位（如需更换人员，须向发包人书面申请并得到发包人同意后，方可更换具有相应资格或高于现岗位人员资格</w:t>
      </w:r>
      <w:r>
        <w:rPr>
          <w:rFonts w:hint="eastAsia" w:ascii="宋体" w:hAnsi="宋体" w:cs="宋体"/>
          <w:color w:val="auto"/>
          <w:sz w:val="21"/>
          <w:szCs w:val="21"/>
          <w:highlight w:val="none"/>
          <w:lang w:eastAsia="zh-CN"/>
        </w:rPr>
        <w:t>，其中</w:t>
      </w:r>
      <w:r>
        <w:rPr>
          <w:rFonts w:hint="eastAsia" w:ascii="宋体" w:hAnsi="宋体" w:cs="宋体"/>
          <w:color w:val="auto"/>
          <w:sz w:val="21"/>
          <w:szCs w:val="21"/>
          <w:highlight w:val="none"/>
          <w:lang w:val="en-US" w:eastAsia="zh-CN"/>
        </w:rPr>
        <w:t>社保要求为项目开标前在该单位缴纳3个月（2024年11月、2024年12月、2025年1月）以上</w:t>
      </w:r>
      <w:r>
        <w:rPr>
          <w:rFonts w:hint="eastAsia" w:ascii="宋体" w:hAnsi="宋体" w:cs="宋体"/>
          <w:color w:val="auto"/>
          <w:sz w:val="21"/>
          <w:szCs w:val="21"/>
          <w:highlight w:val="none"/>
        </w:rPr>
        <w:t>），否则发包人有权终止合同，相应的损失由承包商承担。</w:t>
      </w:r>
    </w:p>
    <w:p w14:paraId="05789226">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第2条</w:t>
      </w:r>
      <w:r>
        <w:rPr>
          <w:rFonts w:hint="eastAsia" w:ascii="宋体" w:hAnsi="宋体" w:cs="宋体"/>
          <w:color w:val="auto"/>
          <w:sz w:val="21"/>
          <w:szCs w:val="21"/>
          <w:highlight w:val="none"/>
        </w:rPr>
        <w:t xml:space="preserve"> 对乙方违约的处理</w:t>
      </w:r>
    </w:p>
    <w:p w14:paraId="7F3E4DBC">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2.1对乙方发出警告</w:t>
      </w:r>
    </w:p>
    <w:p w14:paraId="71BF3670">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发生上述违约行为时，甲方应及时向乙方发出书面警告，限令其在收到书面警告后的14天内予以改正。乙方应立即采取有效措施认真改正，并尽可能挽回由于违约造成的延误和损失。由于乙方采取改正措施所增加的费用，应由乙方承担。</w:t>
      </w:r>
    </w:p>
    <w:p w14:paraId="4ECDB54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2.2责令乙方停工整改</w:t>
      </w:r>
    </w:p>
    <w:p w14:paraId="6591EF47">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在收到书面警告的的14天内仍不采取有效措施改正其违约行为，甚至危及工程安全，甲方可暂停支付合同价款，责令其整改，并限令乙方在14天提交整改报告报送甲方审核。由此增加的费用和损失责任由乙方承担。</w:t>
      </w:r>
    </w:p>
    <w:p w14:paraId="3B3670B0">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2.3解除合同</w:t>
      </w:r>
    </w:p>
    <w:p w14:paraId="60A1ACA1">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监督管理人发出整改通知14天后，乙方继续无视甲方意见，仍不提交整改报告，亦不采取整改措施，则甲方有权另行组织人员或委托其他承包商实施本合同内容，但甲方的这一行动不免除乙方按合同规定应负的责任。乙方月度考核分累计3次低于900分的，或连续两个月度考核分低于900分的，甲方可单方解除本次招标合同，并按乙方完成合同规定各项工作应得金额的70％进行结算。</w:t>
      </w:r>
    </w:p>
    <w:p w14:paraId="1729148F">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第3条</w:t>
      </w:r>
      <w:r>
        <w:rPr>
          <w:rFonts w:hint="eastAsia" w:ascii="宋体" w:hAnsi="宋体" w:cs="宋体"/>
          <w:color w:val="auto"/>
          <w:sz w:val="21"/>
          <w:szCs w:val="21"/>
          <w:highlight w:val="none"/>
        </w:rPr>
        <w:t xml:space="preserve"> 甲方违约</w:t>
      </w:r>
    </w:p>
    <w:p w14:paraId="30F666A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在履行合同过程中，发生下述行为之一者属甲方违约。</w:t>
      </w:r>
    </w:p>
    <w:p w14:paraId="071622DC">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3.1甲方未能按合同规定的时间支付各项预付款或合同价款，或拖延、拒绝批准付款申请和支付凭证，导致付款延误。</w:t>
      </w:r>
    </w:p>
    <w:p w14:paraId="0B5DF90D">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3.2由于法律、财务等原因导致甲方无法继续履行或实质上已停止履行本合同的义务。</w:t>
      </w:r>
    </w:p>
    <w:p w14:paraId="5EE2F863">
      <w:pPr>
        <w:spacing w:line="440" w:lineRule="exact"/>
        <w:ind w:firstLine="44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第4条 </w:t>
      </w:r>
      <w:r>
        <w:rPr>
          <w:rFonts w:hint="eastAsia" w:ascii="宋体" w:hAnsi="宋体" w:eastAsia="宋体" w:cs="宋体"/>
          <w:b w:val="0"/>
          <w:bCs w:val="0"/>
          <w:color w:val="auto"/>
          <w:sz w:val="21"/>
          <w:szCs w:val="21"/>
          <w:highlight w:val="none"/>
        </w:rPr>
        <w:t>甲方违约的处理</w:t>
      </w:r>
    </w:p>
    <w:p w14:paraId="7D4334C9">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4.1乙方有权暂停养护：若发生3.1项的违约时，甲方应按规定加付逾期付款违约金，逾期28天仍不支付，则乙方有权暂停养护，并通知甲方。由此增加的费用和工期延误责任，由甲方承担。</w:t>
      </w:r>
    </w:p>
    <w:p w14:paraId="6682E5B9">
      <w:pPr>
        <w:spacing w:line="440" w:lineRule="exact"/>
        <w:ind w:firstLine="442" w:firstLineChars="200"/>
        <w:rPr>
          <w:rFonts w:hint="eastAsia"/>
          <w:color w:val="auto"/>
          <w:highlight w:val="none"/>
        </w:rPr>
      </w:pPr>
      <w:r>
        <w:rPr>
          <w:rFonts w:hint="eastAsia" w:ascii="宋体" w:hAnsi="宋体" w:cs="宋体"/>
          <w:color w:val="auto"/>
          <w:sz w:val="21"/>
          <w:szCs w:val="21"/>
          <w:highlight w:val="none"/>
        </w:rPr>
        <w:t>4.2乙方有权解除合同：若发生第3.1、3.2项的违约时，乙方向甲方发出通知，并采取了暂停养护的行动后，甲方仍未采取有效措施纠正其违约行为，乙方有权向甲方提出解除合同的要求。甲方在收到乙方书面要求后的28天内仍不答复乙方，则乙方有权立即采取行动解除合同。</w:t>
      </w:r>
    </w:p>
    <w:p w14:paraId="5AA37C0C">
      <w:pPr>
        <w:spacing w:line="440" w:lineRule="exact"/>
        <w:rPr>
          <w:rFonts w:hint="eastAsia" w:ascii="宋体" w:hAnsi="宋体" w:cs="宋体"/>
          <w:b/>
          <w:bCs/>
          <w:color w:val="auto"/>
          <w:sz w:val="21"/>
          <w:szCs w:val="21"/>
          <w:highlight w:val="none"/>
        </w:rPr>
      </w:pPr>
      <w:bookmarkStart w:id="129" w:name="_Toc347334896"/>
      <w:r>
        <w:rPr>
          <w:rFonts w:hint="eastAsia" w:ascii="宋体" w:hAnsi="宋体" w:cs="宋体"/>
          <w:b/>
          <w:bCs/>
          <w:color w:val="auto"/>
          <w:sz w:val="21"/>
          <w:szCs w:val="21"/>
          <w:highlight w:val="none"/>
        </w:rPr>
        <w:t>6.其他</w:t>
      </w:r>
      <w:bookmarkEnd w:id="129"/>
    </w:p>
    <w:p w14:paraId="31079676">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第1条</w:t>
      </w:r>
      <w:r>
        <w:rPr>
          <w:rFonts w:hint="eastAsia" w:ascii="宋体" w:hAnsi="宋体" w:cs="宋体"/>
          <w:color w:val="auto"/>
          <w:sz w:val="21"/>
          <w:szCs w:val="21"/>
          <w:highlight w:val="none"/>
        </w:rPr>
        <w:t xml:space="preserve"> 安全运行</w:t>
      </w:r>
    </w:p>
    <w:p w14:paraId="5F7C1C45">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乙方应按</w:t>
      </w:r>
      <w:r>
        <w:rPr>
          <w:rFonts w:hint="eastAsia" w:ascii="宋体" w:hAnsi="宋体" w:cs="宋体"/>
          <w:color w:val="auto"/>
          <w:sz w:val="21"/>
          <w:szCs w:val="21"/>
          <w:highlight w:val="none"/>
          <w:lang w:eastAsia="zh-CN"/>
        </w:rPr>
        <w:t>橡胶坝</w:t>
      </w:r>
      <w:r>
        <w:rPr>
          <w:rFonts w:hint="eastAsia" w:ascii="宋体" w:hAnsi="宋体" w:cs="宋体"/>
          <w:color w:val="FF0000"/>
          <w:sz w:val="21"/>
          <w:szCs w:val="21"/>
          <w:highlight w:val="none"/>
        </w:rPr>
        <w:t>、</w:t>
      </w:r>
      <w:r>
        <w:rPr>
          <w:rFonts w:hint="eastAsia" w:ascii="宋体" w:hAnsi="宋体" w:cs="宋体"/>
          <w:color w:val="auto"/>
          <w:sz w:val="21"/>
          <w:szCs w:val="21"/>
          <w:highlight w:val="none"/>
        </w:rPr>
        <w:t>电站标准化管理规定，严格执行各项安全规程，做好各项安全保障措施。因乙方原因引起的人员伤亡、财产损失等安全事故由乙方负责，并承担相应费用。甲方应按照有关法律、法规、规章和本合同有关规定，检查乙方上述工作的实施，对乙方故意延误或拒绝改正的，有权责令其停工整改。发生重大伤亡事故，乙方应按有关规定立即通知甲方和上级有关部门。发生事故应及时上报，对隐瞒不报及阻碍事故调查的要追究相关人员责任。</w:t>
      </w:r>
    </w:p>
    <w:p w14:paraId="1C1C0CF3">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第2条</w:t>
      </w:r>
      <w:r>
        <w:rPr>
          <w:rFonts w:hint="eastAsia" w:ascii="宋体" w:hAnsi="宋体" w:cs="宋体"/>
          <w:color w:val="auto"/>
          <w:sz w:val="21"/>
          <w:szCs w:val="21"/>
          <w:highlight w:val="none"/>
        </w:rPr>
        <w:t xml:space="preserve"> 验收</w:t>
      </w:r>
    </w:p>
    <w:p w14:paraId="58A2151D">
      <w:pPr>
        <w:spacing w:line="440" w:lineRule="exact"/>
        <w:ind w:firstLine="442" w:firstLineChars="200"/>
        <w:rPr>
          <w:rFonts w:ascii="宋体" w:hAnsi="宋体" w:cs="宋体"/>
          <w:color w:val="auto"/>
          <w:sz w:val="21"/>
          <w:szCs w:val="21"/>
          <w:highlight w:val="none"/>
        </w:rPr>
      </w:pPr>
      <w:r>
        <w:rPr>
          <w:rFonts w:hint="eastAsia" w:ascii="宋体" w:hAnsi="宋体" w:cs="宋体"/>
          <w:color w:val="auto"/>
          <w:sz w:val="21"/>
          <w:szCs w:val="21"/>
          <w:highlight w:val="none"/>
        </w:rPr>
        <w:t>由甲方组织相关人员进行验收。</w:t>
      </w:r>
    </w:p>
    <w:p w14:paraId="27CAF2FF">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第3条</w:t>
      </w:r>
      <w:r>
        <w:rPr>
          <w:rFonts w:hint="eastAsia" w:ascii="宋体" w:hAnsi="宋体" w:cs="宋体"/>
          <w:color w:val="auto"/>
          <w:sz w:val="21"/>
          <w:szCs w:val="21"/>
          <w:highlight w:val="none"/>
        </w:rPr>
        <w:t xml:space="preserve"> 不可抗力</w:t>
      </w:r>
    </w:p>
    <w:p w14:paraId="5B154E0C">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地震、洪水、雪雹等不可抗力发生后，乙方应迅速采取措施，尽力减少损失，并立即向甲方通报情况。甲方应对灾害处理提供必要条件。</w:t>
      </w:r>
    </w:p>
    <w:p w14:paraId="0CB4F548">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因灾害发生的费用按下列规定由双方分别承担。</w:t>
      </w:r>
    </w:p>
    <w:p w14:paraId="7DFF0394">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3.1工程本身的损害由甲方承担。</w:t>
      </w:r>
    </w:p>
    <w:p w14:paraId="5D941FC5">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3.2人员伤亡由其所属单位负责，并承担相应费用。</w:t>
      </w:r>
    </w:p>
    <w:p w14:paraId="0A2D4293">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3.3乙方设备、机械的损失等由乙方承担。</w:t>
      </w:r>
    </w:p>
    <w:p w14:paraId="0B61C98F">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3.4所需清理修复工作的费用由甲方承担。</w:t>
      </w:r>
    </w:p>
    <w:p w14:paraId="6129E896">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第4条</w:t>
      </w:r>
      <w:r>
        <w:rPr>
          <w:rFonts w:hint="eastAsia" w:ascii="宋体" w:hAnsi="宋体" w:cs="宋体"/>
          <w:color w:val="auto"/>
          <w:sz w:val="21"/>
          <w:szCs w:val="21"/>
          <w:highlight w:val="none"/>
        </w:rPr>
        <w:t xml:space="preserve"> 合同的生效与终止</w:t>
      </w:r>
    </w:p>
    <w:p w14:paraId="316FAC76">
      <w:pPr>
        <w:spacing w:line="44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本合同自甲方和乙方在合同书上签字并盖公章后生效。甲方将合同工程全部移交乙方，维护期满，经检查验收后，合同双方均未遗留按合同规定应履行的义务时，合同自然终止。</w:t>
      </w:r>
    </w:p>
    <w:p w14:paraId="2952B521">
      <w:pPr>
        <w:spacing w:line="440" w:lineRule="exact"/>
        <w:ind w:firstLine="44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第5条</w:t>
      </w:r>
      <w:r>
        <w:rPr>
          <w:rFonts w:hint="eastAsia" w:ascii="宋体" w:hAnsi="宋体" w:cs="宋体"/>
          <w:color w:val="auto"/>
          <w:sz w:val="21"/>
          <w:szCs w:val="21"/>
          <w:highlight w:val="none"/>
        </w:rPr>
        <w:t xml:space="preserve"> 合同份数</w:t>
      </w:r>
      <w:bookmarkStart w:id="130" w:name="_Toc1463"/>
      <w:bookmarkStart w:id="131" w:name="_Toc4611"/>
    </w:p>
    <w:p w14:paraId="094BEBF8">
      <w:pPr>
        <w:spacing w:line="440" w:lineRule="exact"/>
        <w:ind w:firstLine="442"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本合同正本一式贰份，合同双方各执壹份，副本一式陆份，双方各执叁份，由承、发包双方签字盖章后分别保存。</w:t>
      </w:r>
      <w:bookmarkEnd w:id="130"/>
      <w:bookmarkEnd w:id="131"/>
    </w:p>
    <w:p w14:paraId="3A2E27AF">
      <w:pPr>
        <w:spacing w:line="400" w:lineRule="exact"/>
        <w:rPr>
          <w:rFonts w:hint="eastAsia" w:ascii="宋体" w:hAnsi="宋体" w:cs="宋体"/>
          <w:color w:val="auto"/>
          <w:sz w:val="21"/>
          <w:szCs w:val="21"/>
          <w:highlight w:val="none"/>
        </w:rPr>
      </w:pPr>
    </w:p>
    <w:p w14:paraId="1FA87FCF">
      <w:pPr>
        <w:spacing w:line="400" w:lineRule="exact"/>
        <w:ind w:firstLine="560"/>
        <w:rPr>
          <w:rFonts w:hint="eastAsia" w:ascii="宋体" w:hAnsi="宋体" w:cs="宋体"/>
          <w:color w:val="auto"/>
          <w:sz w:val="21"/>
          <w:szCs w:val="21"/>
          <w:highlight w:val="none"/>
        </w:rPr>
      </w:pPr>
      <w:r>
        <w:rPr>
          <w:rFonts w:hint="eastAsia" w:ascii="宋体" w:hAnsi="宋体" w:cs="宋体"/>
          <w:color w:val="auto"/>
          <w:sz w:val="21"/>
          <w:szCs w:val="21"/>
          <w:highlight w:val="none"/>
        </w:rPr>
        <w:t>发包人名称：（盖章）                           承包人名称：（盖章）</w:t>
      </w:r>
    </w:p>
    <w:p w14:paraId="36892DC6">
      <w:pPr>
        <w:spacing w:line="400" w:lineRule="exact"/>
        <w:ind w:firstLine="56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法定代表人：（签章）                           法定代表人：（签章）</w:t>
      </w:r>
    </w:p>
    <w:p w14:paraId="487DBBEE">
      <w:pPr>
        <w:spacing w:line="400" w:lineRule="exact"/>
        <w:ind w:firstLine="560"/>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                           委托代理人：（签字）</w:t>
      </w:r>
    </w:p>
    <w:p w14:paraId="0B62AF7C">
      <w:pPr>
        <w:spacing w:line="400" w:lineRule="exact"/>
        <w:ind w:firstLine="560"/>
        <w:rPr>
          <w:rFonts w:hint="eastAsia" w:ascii="宋体" w:hAnsi="宋体" w:cs="宋体"/>
          <w:color w:val="auto"/>
          <w:sz w:val="21"/>
          <w:szCs w:val="21"/>
          <w:highlight w:val="none"/>
        </w:rPr>
      </w:pPr>
      <w:r>
        <w:rPr>
          <w:rFonts w:hint="eastAsia" w:ascii="宋体" w:hAnsi="宋体" w:cs="宋体"/>
          <w:color w:val="auto"/>
          <w:sz w:val="21"/>
          <w:szCs w:val="21"/>
          <w:highlight w:val="none"/>
        </w:rPr>
        <w:t>住      所：                                   住      所：</w:t>
      </w:r>
    </w:p>
    <w:p w14:paraId="33D88565">
      <w:pPr>
        <w:spacing w:line="400" w:lineRule="exact"/>
        <w:ind w:firstLine="560"/>
        <w:rPr>
          <w:rFonts w:hint="eastAsia" w:ascii="宋体" w:hAnsi="宋体" w:cs="宋体"/>
          <w:color w:val="auto"/>
          <w:sz w:val="21"/>
          <w:szCs w:val="21"/>
          <w:highlight w:val="none"/>
        </w:rPr>
      </w:pPr>
      <w:r>
        <w:rPr>
          <w:rFonts w:hint="eastAsia" w:ascii="宋体" w:hAnsi="宋体" w:cs="宋体"/>
          <w:color w:val="auto"/>
          <w:sz w:val="21"/>
          <w:szCs w:val="21"/>
          <w:highlight w:val="none"/>
        </w:rPr>
        <w:t>电      话：                                   电      话：</w:t>
      </w:r>
    </w:p>
    <w:p w14:paraId="5C97A278">
      <w:pPr>
        <w:spacing w:line="400" w:lineRule="exact"/>
        <w:ind w:firstLine="560"/>
        <w:rPr>
          <w:rFonts w:hint="eastAsia" w:ascii="宋体" w:hAnsi="宋体" w:cs="宋体"/>
          <w:color w:val="auto"/>
          <w:sz w:val="21"/>
          <w:szCs w:val="21"/>
          <w:highlight w:val="none"/>
        </w:rPr>
      </w:pPr>
      <w:r>
        <w:rPr>
          <w:rFonts w:hint="eastAsia" w:ascii="宋体" w:hAnsi="宋体" w:cs="宋体"/>
          <w:color w:val="auto"/>
          <w:sz w:val="21"/>
          <w:szCs w:val="21"/>
          <w:highlight w:val="none"/>
        </w:rPr>
        <w:t>开 户 银行：                                   开 户 银行：</w:t>
      </w:r>
    </w:p>
    <w:p w14:paraId="5278C364">
      <w:pPr>
        <w:spacing w:line="400" w:lineRule="exact"/>
        <w:ind w:firstLine="560"/>
        <w:rPr>
          <w:rFonts w:hint="eastAsia" w:ascii="宋体" w:hAnsi="宋体" w:cs="宋体"/>
          <w:color w:val="auto"/>
          <w:sz w:val="21"/>
          <w:szCs w:val="21"/>
          <w:highlight w:val="none"/>
        </w:rPr>
      </w:pPr>
      <w:r>
        <w:rPr>
          <w:rFonts w:hint="eastAsia" w:ascii="宋体" w:hAnsi="宋体" w:cs="宋体"/>
          <w:color w:val="auto"/>
          <w:sz w:val="21"/>
          <w:szCs w:val="21"/>
          <w:highlight w:val="none"/>
        </w:rPr>
        <w:t>银 行 帐号：                                   银 行 账号：</w:t>
      </w:r>
    </w:p>
    <w:p w14:paraId="106EBCA4">
      <w:pPr>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6F4D28D">
      <w:pPr>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7998351A">
      <w:pPr>
        <w:rPr>
          <w:rFonts w:hint="eastAsia" w:ascii="宋体" w:hAnsi="宋体" w:cs="宋体"/>
          <w:b/>
          <w:color w:val="auto"/>
          <w:sz w:val="28"/>
          <w:szCs w:val="28"/>
          <w:highlight w:val="none"/>
        </w:rPr>
      </w:pPr>
      <w:bookmarkStart w:id="132" w:name="_Toc259981277"/>
      <w:bookmarkStart w:id="133" w:name="_Toc243881280"/>
      <w:bookmarkStart w:id="134" w:name="_Toc13140"/>
      <w:bookmarkStart w:id="135" w:name="_Toc259974012"/>
      <w:bookmarkStart w:id="136" w:name="_Toc18980"/>
      <w:bookmarkStart w:id="137" w:name="_Toc259977223"/>
      <w:bookmarkStart w:id="138" w:name="_Toc360093082"/>
      <w:r>
        <w:rPr>
          <w:rFonts w:hint="eastAsia" w:ascii="宋体" w:hAnsi="宋体" w:cs="宋体"/>
          <w:b/>
          <w:color w:val="auto"/>
          <w:sz w:val="28"/>
          <w:szCs w:val="28"/>
          <w:highlight w:val="none"/>
        </w:rPr>
        <w:br w:type="page"/>
      </w:r>
    </w:p>
    <w:p w14:paraId="0D6CFCC8">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合同附件格式</w:t>
      </w:r>
      <w:bookmarkEnd w:id="132"/>
      <w:bookmarkEnd w:id="133"/>
      <w:bookmarkEnd w:id="134"/>
      <w:bookmarkEnd w:id="135"/>
      <w:bookmarkEnd w:id="136"/>
      <w:bookmarkEnd w:id="137"/>
      <w:bookmarkEnd w:id="138"/>
    </w:p>
    <w:p w14:paraId="328D6456">
      <w:pPr>
        <w:pStyle w:val="4"/>
        <w:tabs>
          <w:tab w:val="left" w:pos="720"/>
          <w:tab w:val="clear" w:pos="778"/>
        </w:tabs>
        <w:spacing w:before="228" w:after="228" w:line="400" w:lineRule="exact"/>
        <w:ind w:firstLine="109"/>
        <w:rPr>
          <w:rFonts w:hint="eastAsia" w:ascii="宋体" w:cs="宋体"/>
          <w:snapToGrid w:val="0"/>
          <w:color w:val="auto"/>
          <w:sz w:val="21"/>
          <w:szCs w:val="21"/>
          <w:highlight w:val="none"/>
        </w:rPr>
      </w:pPr>
      <w:bookmarkStart w:id="139" w:name="_Toc243881281"/>
      <w:bookmarkStart w:id="140" w:name="_Toc24199"/>
      <w:bookmarkStart w:id="141" w:name="_Toc15602"/>
      <w:bookmarkStart w:id="142" w:name="_Toc9281"/>
      <w:bookmarkStart w:id="143" w:name="_Toc259974013"/>
      <w:bookmarkStart w:id="144" w:name="_Toc450859773"/>
      <w:bookmarkStart w:id="145" w:name="_Toc259977224"/>
      <w:bookmarkStart w:id="146" w:name="_Toc218314718"/>
      <w:bookmarkStart w:id="147" w:name="_Toc360093083"/>
      <w:bookmarkStart w:id="148" w:name="_Toc259981278"/>
      <w:r>
        <w:rPr>
          <w:rFonts w:hint="eastAsia" w:ascii="宋体" w:cs="宋体"/>
          <w:snapToGrid w:val="0"/>
          <w:color w:val="auto"/>
          <w:sz w:val="21"/>
          <w:szCs w:val="21"/>
          <w:highlight w:val="none"/>
        </w:rPr>
        <w:t>附件一：合同协议书</w:t>
      </w:r>
      <w:bookmarkEnd w:id="139"/>
      <w:bookmarkEnd w:id="140"/>
      <w:bookmarkEnd w:id="141"/>
      <w:bookmarkEnd w:id="142"/>
      <w:bookmarkEnd w:id="143"/>
      <w:bookmarkEnd w:id="144"/>
      <w:bookmarkEnd w:id="145"/>
      <w:bookmarkEnd w:id="146"/>
      <w:bookmarkEnd w:id="147"/>
      <w:bookmarkEnd w:id="148"/>
    </w:p>
    <w:p w14:paraId="49B878B1">
      <w:pPr>
        <w:pStyle w:val="41"/>
        <w:adjustRightInd w:val="0"/>
        <w:spacing w:before="228" w:after="228" w:line="400" w:lineRule="exact"/>
        <w:jc w:val="center"/>
        <w:rPr>
          <w:rFonts w:hint="eastAsia" w:hAnsi="宋体" w:cs="宋体"/>
          <w:snapToGrid w:val="0"/>
          <w:color w:val="auto"/>
          <w:kern w:val="0"/>
          <w:szCs w:val="21"/>
          <w:highlight w:val="none"/>
        </w:rPr>
      </w:pPr>
      <w:r>
        <w:rPr>
          <w:rFonts w:hint="eastAsia" w:hAnsi="宋体" w:cs="宋体"/>
          <w:b/>
          <w:snapToGrid w:val="0"/>
          <w:color w:val="auto"/>
          <w:kern w:val="0"/>
          <w:szCs w:val="21"/>
          <w:highlight w:val="none"/>
        </w:rPr>
        <w:t>合同协议书</w:t>
      </w:r>
    </w:p>
    <w:p w14:paraId="6B3892DA">
      <w:pPr>
        <w:pStyle w:val="41"/>
        <w:adjustRightInd w:val="0"/>
        <w:spacing w:before="228" w:after="228" w:line="400" w:lineRule="exact"/>
        <w:ind w:firstLine="442"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（发包人名称，以下简称“发包人”）为实施</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（项目名称），已接受</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（承包人名称，以下简称“承包人”）对</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的投标，并确定其为中标人。发包人和承包人共同达成如下协议。</w:t>
      </w:r>
    </w:p>
    <w:p w14:paraId="0FE65DE1">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1．本协议书与下列文件一起构成合同文件：</w:t>
      </w:r>
    </w:p>
    <w:p w14:paraId="5C952DA4">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 中标通知书；</w:t>
      </w:r>
    </w:p>
    <w:p w14:paraId="68058BBB">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(2) 投标函及投标函附录；</w:t>
      </w:r>
    </w:p>
    <w:p w14:paraId="0AF3C3D7">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(3) 专用合同条款；</w:t>
      </w:r>
    </w:p>
    <w:p w14:paraId="2865F4B8">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(4) 通用合同条款；</w:t>
      </w:r>
    </w:p>
    <w:p w14:paraId="0BC55B0F">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(5) 技术标准和要求（合同技术条款）；</w:t>
      </w:r>
    </w:p>
    <w:p w14:paraId="2E6083EA">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(6) 图纸；</w:t>
      </w:r>
    </w:p>
    <w:p w14:paraId="7A1E4781">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(7) 其他合同文件。</w:t>
      </w:r>
    </w:p>
    <w:p w14:paraId="593A0DC0">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2．上述文件互相补充和解释，如有不明确或不一致之处，以合同约定次序在先者为准。</w:t>
      </w:r>
    </w:p>
    <w:p w14:paraId="0C56A819">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3．签约合同价：人民币（大写）</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元（￥</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元）。</w:t>
      </w:r>
    </w:p>
    <w:p w14:paraId="2F7FF6F2">
      <w:pPr>
        <w:spacing w:line="40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4．维保质量符合标准。</w:t>
      </w:r>
    </w:p>
    <w:p w14:paraId="6DCBD40B">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5．承包商承诺按合同约定承担项目的实施、完成及缺陷修复。</w:t>
      </w:r>
    </w:p>
    <w:p w14:paraId="0846D820">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6．发包人承诺按合同约定的条件、时间和方式向承包商支付合同价款。</w:t>
      </w:r>
    </w:p>
    <w:p w14:paraId="44AA747A">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7．承包商应按照发包人指示开工，工期为</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个月，自</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日起至</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日止。</w:t>
      </w:r>
    </w:p>
    <w:p w14:paraId="16AC3FF7">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8.本协议书正本一式贰份，合同双方各执壹份；副本一式陆份，双方各执叁份。</w:t>
      </w:r>
    </w:p>
    <w:p w14:paraId="236F8513">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9．合同未尽事宜，双方另行签订补充协议。补充协议是合同的组成部份。</w:t>
      </w:r>
    </w:p>
    <w:p w14:paraId="4A4889BE">
      <w:pPr>
        <w:spacing w:line="400" w:lineRule="exact"/>
        <w:ind w:firstLine="442" w:firstLineChars="200"/>
        <w:rPr>
          <w:rFonts w:hint="eastAsia" w:ascii="宋体" w:hAnsi="宋体" w:cs="宋体"/>
          <w:snapToGrid w:val="0"/>
          <w:color w:val="auto"/>
          <w:sz w:val="21"/>
          <w:szCs w:val="21"/>
          <w:highlight w:val="none"/>
        </w:rPr>
      </w:pPr>
    </w:p>
    <w:p w14:paraId="02BDF10F">
      <w:pPr>
        <w:spacing w:line="400" w:lineRule="exact"/>
        <w:ind w:firstLine="884" w:firstLineChars="4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发包人： </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 xml:space="preserve">（盖单位章）           承包人： </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（盖单位章）</w:t>
      </w:r>
    </w:p>
    <w:p w14:paraId="1299B372">
      <w:pPr>
        <w:spacing w:line="400" w:lineRule="exact"/>
        <w:rPr>
          <w:rFonts w:hint="eastAsia" w:ascii="宋体" w:hAnsi="宋体" w:cs="宋体"/>
          <w:snapToGrid w:val="0"/>
          <w:color w:val="auto"/>
          <w:spacing w:val="-20"/>
          <w:sz w:val="21"/>
          <w:szCs w:val="21"/>
          <w:highlight w:val="none"/>
        </w:rPr>
      </w:pPr>
    </w:p>
    <w:p w14:paraId="5C971DE7">
      <w:pPr>
        <w:spacing w:line="400" w:lineRule="exact"/>
        <w:ind w:firstLine="884" w:firstLineChars="4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法定代表人：</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（签字）          法定代表人：</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（签字）</w:t>
      </w:r>
    </w:p>
    <w:p w14:paraId="3669D904">
      <w:pPr>
        <w:spacing w:line="400" w:lineRule="exact"/>
        <w:ind w:firstLine="884" w:firstLineChars="4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或其委托代理人                          或其委托代理人</w:t>
      </w:r>
    </w:p>
    <w:p w14:paraId="493AAD8F">
      <w:pPr>
        <w:pStyle w:val="41"/>
        <w:adjustRightInd w:val="0"/>
        <w:spacing w:before="228" w:after="228" w:line="400" w:lineRule="exact"/>
        <w:ind w:firstLine="1099" w:firstLineChars="498"/>
        <w:rPr>
          <w:rFonts w:hint="eastAsia" w:hAnsi="宋体" w:cs="宋体"/>
          <w:snapToGrid w:val="0"/>
          <w:color w:val="auto"/>
          <w:kern w:val="0"/>
          <w:szCs w:val="21"/>
          <w:highlight w:val="none"/>
        </w:rPr>
      </w:pP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 xml:space="preserve">日               </w:t>
      </w:r>
      <w:r>
        <w:rPr>
          <w:rFonts w:hint="eastAsia" w:hAnsi="宋体" w:cs="宋体"/>
          <w:snapToGrid w:val="0"/>
          <w:color w:val="auto"/>
          <w:kern w:val="0"/>
          <w:szCs w:val="21"/>
          <w:highlight w:val="none"/>
          <w:lang w:val="en-US" w:eastAsia="zh-CN"/>
        </w:rPr>
        <w:t xml:space="preserve">  </w:t>
      </w:r>
      <w:r>
        <w:rPr>
          <w:rFonts w:hint="eastAsia" w:hAnsi="宋体" w:cs="宋体"/>
          <w:snapToGrid w:val="0"/>
          <w:color w:val="auto"/>
          <w:kern w:val="0"/>
          <w:szCs w:val="21"/>
          <w:highlight w:val="none"/>
        </w:rPr>
        <w:t xml:space="preserve"> </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日</w:t>
      </w:r>
    </w:p>
    <w:p w14:paraId="4B53EA63">
      <w:pPr>
        <w:pStyle w:val="4"/>
        <w:tabs>
          <w:tab w:val="left" w:pos="720"/>
          <w:tab w:val="clear" w:pos="778"/>
        </w:tabs>
        <w:spacing w:before="228" w:after="228" w:line="400" w:lineRule="exact"/>
        <w:ind w:firstLine="109"/>
        <w:rPr>
          <w:rFonts w:hint="eastAsia" w:ascii="宋体" w:cs="宋体"/>
          <w:snapToGrid w:val="0"/>
          <w:color w:val="auto"/>
          <w:sz w:val="21"/>
          <w:szCs w:val="21"/>
          <w:highlight w:val="none"/>
        </w:rPr>
      </w:pPr>
      <w:r>
        <w:rPr>
          <w:rFonts w:hint="eastAsia" w:ascii="宋体" w:cs="宋体"/>
          <w:snapToGrid w:val="0"/>
          <w:color w:val="auto"/>
          <w:sz w:val="21"/>
          <w:szCs w:val="21"/>
          <w:highlight w:val="none"/>
        </w:rPr>
        <w:br w:type="page"/>
      </w:r>
      <w:bookmarkStart w:id="149" w:name="_Toc360093084"/>
      <w:bookmarkStart w:id="150" w:name="_Toc259977225"/>
      <w:bookmarkStart w:id="151" w:name="_Toc22558"/>
      <w:bookmarkStart w:id="152" w:name="_Toc259974014"/>
      <w:bookmarkStart w:id="153" w:name="_Toc259981279"/>
      <w:bookmarkStart w:id="154" w:name="_Toc4918"/>
      <w:bookmarkStart w:id="155" w:name="_Toc218314719"/>
      <w:bookmarkStart w:id="156" w:name="_Toc450859774"/>
      <w:bookmarkStart w:id="157" w:name="_Toc29932"/>
      <w:r>
        <w:rPr>
          <w:rFonts w:hint="eastAsia" w:ascii="宋体" w:cs="宋体"/>
          <w:snapToGrid w:val="0"/>
          <w:color w:val="auto"/>
          <w:sz w:val="21"/>
          <w:szCs w:val="21"/>
          <w:highlight w:val="none"/>
        </w:rPr>
        <w:t>附件二：</w:t>
      </w:r>
      <w:bookmarkStart w:id="158" w:name="_Toc45616646"/>
      <w:bookmarkStart w:id="159" w:name="_Toc45075873"/>
      <w:bookmarkStart w:id="160" w:name="_Toc178843985"/>
      <w:bookmarkStart w:id="161" w:name="_Toc140662032"/>
      <w:bookmarkStart w:id="162" w:name="_Toc113248415"/>
      <w:r>
        <w:rPr>
          <w:rFonts w:hint="eastAsia" w:ascii="宋体" w:cs="宋体"/>
          <w:snapToGrid w:val="0"/>
          <w:color w:val="auto"/>
          <w:sz w:val="21"/>
          <w:szCs w:val="21"/>
          <w:highlight w:val="none"/>
        </w:rPr>
        <w:t>履约</w:t>
      </w:r>
      <w:bookmarkEnd w:id="158"/>
      <w:bookmarkEnd w:id="159"/>
      <w:bookmarkEnd w:id="160"/>
      <w:bookmarkEnd w:id="161"/>
      <w:bookmarkEnd w:id="162"/>
      <w:r>
        <w:rPr>
          <w:rFonts w:hint="eastAsia" w:ascii="宋体" w:cs="宋体"/>
          <w:snapToGrid w:val="0"/>
          <w:color w:val="auto"/>
          <w:sz w:val="21"/>
          <w:szCs w:val="21"/>
          <w:highlight w:val="none"/>
        </w:rPr>
        <w:t>担保</w:t>
      </w:r>
      <w:bookmarkEnd w:id="149"/>
      <w:bookmarkEnd w:id="150"/>
      <w:bookmarkEnd w:id="151"/>
      <w:bookmarkEnd w:id="152"/>
      <w:bookmarkEnd w:id="153"/>
      <w:bookmarkEnd w:id="154"/>
      <w:bookmarkEnd w:id="155"/>
      <w:bookmarkEnd w:id="156"/>
      <w:bookmarkEnd w:id="157"/>
    </w:p>
    <w:p w14:paraId="7341BFEE">
      <w:pPr>
        <w:pStyle w:val="41"/>
        <w:adjustRightInd w:val="0"/>
        <w:spacing w:before="228" w:after="228" w:line="400" w:lineRule="exact"/>
        <w:jc w:val="center"/>
        <w:rPr>
          <w:rFonts w:hint="eastAsia" w:hAnsi="宋体" w:cs="宋体"/>
          <w:b/>
          <w:snapToGrid w:val="0"/>
          <w:color w:val="auto"/>
          <w:kern w:val="0"/>
          <w:szCs w:val="21"/>
          <w:highlight w:val="none"/>
        </w:rPr>
      </w:pPr>
      <w:r>
        <w:rPr>
          <w:rFonts w:hint="eastAsia" w:hAnsi="宋体" w:cs="宋体"/>
          <w:b/>
          <w:snapToGrid w:val="0"/>
          <w:color w:val="auto"/>
          <w:kern w:val="0"/>
          <w:sz w:val="28"/>
          <w:szCs w:val="28"/>
          <w:highlight w:val="none"/>
        </w:rPr>
        <w:t>履 约 担 保</w:t>
      </w:r>
    </w:p>
    <w:p w14:paraId="5022FA34">
      <w:pPr>
        <w:spacing w:line="400" w:lineRule="exact"/>
        <w:rPr>
          <w:rFonts w:hint="eastAsia" w:ascii="宋体" w:hAnsi="宋体" w:cs="宋体"/>
          <w:snapToGrid w:val="0"/>
          <w:color w:val="auto"/>
          <w:sz w:val="21"/>
          <w:szCs w:val="21"/>
          <w:highlight w:val="none"/>
          <w:u w:val="single"/>
        </w:rPr>
      </w:pPr>
    </w:p>
    <w:p w14:paraId="72C792A0">
      <w:pPr>
        <w:spacing w:line="40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 xml:space="preserve">（发包人名称）： </w:t>
      </w:r>
    </w:p>
    <w:p w14:paraId="6A587213">
      <w:pPr>
        <w:spacing w:line="400" w:lineRule="exact"/>
        <w:ind w:firstLine="442" w:firstLineChars="200"/>
        <w:rPr>
          <w:rFonts w:hint="eastAsia" w:ascii="宋体" w:hAnsi="宋体" w:cs="宋体"/>
          <w:snapToGrid w:val="0"/>
          <w:color w:val="auto"/>
          <w:sz w:val="21"/>
          <w:szCs w:val="21"/>
          <w:highlight w:val="none"/>
        </w:rPr>
      </w:pPr>
    </w:p>
    <w:p w14:paraId="08B69D30">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鉴于</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（发包人名称，以下简称“发包人”）已接受</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（承包人名称，以下称“承包人”）于</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日递交的</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（项目名称）</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（标段名称）的投标文件。我方愿意无条件地、不可撤销地就承包人履行与你方订立的合同，向你方提供担保。</w:t>
      </w:r>
    </w:p>
    <w:p w14:paraId="2D385813">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1．担保金额人民币（大写）</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元（￥</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元）。</w:t>
      </w:r>
    </w:p>
    <w:p w14:paraId="4A18F9A8">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2．担保有效期自发包人与承包人签订的合同生效之日起至发包人签发合同工程完工证书之日止。</w:t>
      </w:r>
    </w:p>
    <w:p w14:paraId="687D606D">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3．在本担保有效期内，因承包人违反合同约定的义务给你方造成经济损失时，我方在收到你方以书面形式提出的在担保金额内的赔偿要求后，在</w:t>
      </w:r>
      <w:r>
        <w:rPr>
          <w:rFonts w:hint="eastAsia" w:ascii="宋体" w:hAnsi="宋体" w:cs="宋体"/>
          <w:snapToGrid w:val="0"/>
          <w:color w:val="auto"/>
          <w:sz w:val="21"/>
          <w:szCs w:val="21"/>
          <w:highlight w:val="none"/>
          <w:u w:val="single"/>
        </w:rPr>
        <w:t xml:space="preserve"> 7 </w:t>
      </w:r>
      <w:r>
        <w:rPr>
          <w:rFonts w:hint="eastAsia" w:ascii="宋体" w:hAnsi="宋体" w:cs="宋体"/>
          <w:snapToGrid w:val="0"/>
          <w:color w:val="auto"/>
          <w:sz w:val="21"/>
          <w:szCs w:val="21"/>
          <w:highlight w:val="none"/>
        </w:rPr>
        <w:t>天内无条件支付。</w:t>
      </w:r>
    </w:p>
    <w:p w14:paraId="3EB737A7">
      <w:pPr>
        <w:spacing w:line="400" w:lineRule="exact"/>
        <w:ind w:firstLine="442" w:firstLineChars="200"/>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4．发包人和承包人按《通用合同条款》第15条变更合同时，我方承担本担保规定的义务不变。</w:t>
      </w:r>
    </w:p>
    <w:p w14:paraId="1A6F4405">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宋体" w:hAnsi="宋体" w:cs="宋体"/>
          <w:snapToGrid w:val="0"/>
          <w:color w:val="auto"/>
          <w:sz w:val="21"/>
          <w:szCs w:val="21"/>
          <w:highlight w:val="none"/>
        </w:rPr>
      </w:pPr>
    </w:p>
    <w:p w14:paraId="7AC138F7">
      <w:pPr>
        <w:pStyle w:val="90"/>
        <w:rPr>
          <w:rFonts w:hint="eastAsia"/>
        </w:rPr>
      </w:pPr>
    </w:p>
    <w:p w14:paraId="6E2186AE">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w:t>
      </w:r>
      <w:r>
        <w:rPr>
          <w:rFonts w:hint="eastAsia" w:ascii="宋体" w:hAnsi="宋体" w:cs="宋体"/>
          <w:snapToGrid w:val="0"/>
          <w:color w:val="auto"/>
          <w:spacing w:val="105"/>
          <w:sz w:val="21"/>
          <w:szCs w:val="21"/>
          <w:highlight w:val="none"/>
        </w:rPr>
        <w:t>担保</w:t>
      </w:r>
      <w:r>
        <w:rPr>
          <w:rFonts w:hint="eastAsia" w:ascii="宋体" w:hAnsi="宋体" w:cs="宋体"/>
          <w:snapToGrid w:val="0"/>
          <w:color w:val="auto"/>
          <w:spacing w:val="7"/>
          <w:sz w:val="21"/>
          <w:szCs w:val="21"/>
          <w:highlight w:val="none"/>
        </w:rPr>
        <w:t>人</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（盖单位章）</w:t>
      </w:r>
    </w:p>
    <w:p w14:paraId="38C0F96C">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w:t>
      </w:r>
      <w:r>
        <w:rPr>
          <w:rFonts w:hint="eastAsia" w:ascii="宋体" w:hAnsi="宋体" w:cs="宋体"/>
          <w:snapToGrid w:val="0"/>
          <w:color w:val="auto"/>
          <w:sz w:val="21"/>
          <w:szCs w:val="21"/>
          <w:highlight w:val="none"/>
          <w:lang w:val="en-US" w:eastAsia="zh-CN"/>
        </w:rPr>
        <w:t xml:space="preserve">               </w:t>
      </w:r>
      <w:r>
        <w:rPr>
          <w:rFonts w:hint="eastAsia" w:ascii="宋体" w:hAnsi="宋体" w:cs="宋体"/>
          <w:snapToGrid w:val="0"/>
          <w:color w:val="auto"/>
          <w:sz w:val="21"/>
          <w:szCs w:val="21"/>
          <w:highlight w:val="none"/>
        </w:rPr>
        <w:t>法定代表人或其委托代理人：</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（签字）</w:t>
      </w:r>
    </w:p>
    <w:p w14:paraId="57D6D5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w:t>
      </w:r>
      <w:r>
        <w:rPr>
          <w:rFonts w:hint="eastAsia" w:ascii="宋体" w:hAnsi="宋体" w:cs="宋体"/>
          <w:snapToGrid w:val="0"/>
          <w:color w:val="auto"/>
          <w:spacing w:val="20"/>
          <w:sz w:val="21"/>
          <w:szCs w:val="21"/>
          <w:highlight w:val="none"/>
        </w:rPr>
        <w:t xml:space="preserve">地    </w:t>
      </w:r>
      <w:r>
        <w:rPr>
          <w:rFonts w:hint="eastAsia" w:ascii="宋体" w:hAnsi="宋体" w:cs="宋体"/>
          <w:snapToGrid w:val="0"/>
          <w:color w:val="auto"/>
          <w:spacing w:val="2"/>
          <w:sz w:val="21"/>
          <w:szCs w:val="21"/>
          <w:highlight w:val="none"/>
        </w:rPr>
        <w:t>址</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u w:val="single"/>
        </w:rPr>
        <w:t xml:space="preserve">                     </w:t>
      </w:r>
    </w:p>
    <w:p w14:paraId="3258ED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w:t>
      </w:r>
      <w:r>
        <w:rPr>
          <w:rFonts w:hint="eastAsia" w:ascii="宋体" w:hAnsi="宋体" w:cs="宋体"/>
          <w:snapToGrid w:val="0"/>
          <w:color w:val="auto"/>
          <w:spacing w:val="30"/>
          <w:sz w:val="21"/>
          <w:szCs w:val="21"/>
          <w:highlight w:val="none"/>
        </w:rPr>
        <w:t>邮政编</w:t>
      </w:r>
      <w:r>
        <w:rPr>
          <w:rFonts w:hint="eastAsia" w:ascii="宋体" w:hAnsi="宋体" w:cs="宋体"/>
          <w:snapToGrid w:val="0"/>
          <w:color w:val="auto"/>
          <w:spacing w:val="7"/>
          <w:sz w:val="21"/>
          <w:szCs w:val="21"/>
          <w:highlight w:val="none"/>
        </w:rPr>
        <w:t>码</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u w:val="single"/>
        </w:rPr>
        <w:t xml:space="preserve">                     </w:t>
      </w:r>
    </w:p>
    <w:p w14:paraId="3278C1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w:t>
      </w:r>
      <w:r>
        <w:rPr>
          <w:rFonts w:hint="eastAsia" w:ascii="宋体" w:hAnsi="宋体" w:cs="宋体"/>
          <w:snapToGrid w:val="0"/>
          <w:color w:val="auto"/>
          <w:spacing w:val="20"/>
          <w:sz w:val="21"/>
          <w:szCs w:val="21"/>
          <w:highlight w:val="none"/>
        </w:rPr>
        <w:t xml:space="preserve">电    </w:t>
      </w:r>
      <w:r>
        <w:rPr>
          <w:rFonts w:hint="eastAsia" w:ascii="宋体" w:hAnsi="宋体" w:cs="宋体"/>
          <w:snapToGrid w:val="0"/>
          <w:color w:val="auto"/>
          <w:spacing w:val="2"/>
          <w:sz w:val="21"/>
          <w:szCs w:val="21"/>
          <w:highlight w:val="none"/>
        </w:rPr>
        <w:t>话</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u w:val="single"/>
        </w:rPr>
        <w:t xml:space="preserve">                     </w:t>
      </w:r>
    </w:p>
    <w:p w14:paraId="3D839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w:t>
      </w:r>
      <w:r>
        <w:rPr>
          <w:rFonts w:hint="eastAsia" w:ascii="宋体" w:hAnsi="宋体" w:cs="宋体"/>
          <w:snapToGrid w:val="0"/>
          <w:color w:val="auto"/>
          <w:spacing w:val="20"/>
          <w:sz w:val="21"/>
          <w:szCs w:val="21"/>
          <w:highlight w:val="none"/>
        </w:rPr>
        <w:t xml:space="preserve">传    </w:t>
      </w:r>
      <w:r>
        <w:rPr>
          <w:rFonts w:hint="eastAsia" w:ascii="宋体" w:hAnsi="宋体" w:cs="宋体"/>
          <w:snapToGrid w:val="0"/>
          <w:color w:val="auto"/>
          <w:spacing w:val="2"/>
          <w:sz w:val="21"/>
          <w:szCs w:val="21"/>
          <w:highlight w:val="none"/>
        </w:rPr>
        <w:t>真</w:t>
      </w:r>
      <w:r>
        <w:rPr>
          <w:rFonts w:hint="eastAsia" w:ascii="宋体" w:hAnsi="宋体" w:cs="宋体"/>
          <w:snapToGrid w:val="0"/>
          <w:color w:val="auto"/>
          <w:sz w:val="21"/>
          <w:szCs w:val="21"/>
          <w:highlight w:val="none"/>
        </w:rPr>
        <w:t>:</w:t>
      </w:r>
      <w:r>
        <w:rPr>
          <w:rFonts w:hint="eastAsia" w:ascii="宋体" w:hAnsi="宋体" w:cs="宋体"/>
          <w:snapToGrid w:val="0"/>
          <w:color w:val="auto"/>
          <w:sz w:val="21"/>
          <w:szCs w:val="21"/>
          <w:highlight w:val="none"/>
          <w:u w:val="single"/>
        </w:rPr>
        <w:t xml:space="preserve">                      </w:t>
      </w:r>
    </w:p>
    <w:p w14:paraId="47E481B5">
      <w:pPr>
        <w:spacing w:line="400" w:lineRule="exact"/>
        <w:rPr>
          <w:rFonts w:hint="eastAsia" w:ascii="宋体" w:hAnsi="宋体" w:cs="宋体"/>
          <w:snapToGrid w:val="0"/>
          <w:color w:val="auto"/>
          <w:sz w:val="21"/>
          <w:szCs w:val="21"/>
          <w:highlight w:val="none"/>
          <w:u w:val="single"/>
        </w:rPr>
      </w:pPr>
    </w:p>
    <w:p w14:paraId="0E0D0F5E">
      <w:pPr>
        <w:spacing w:line="400" w:lineRule="exact"/>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 xml:space="preserve">                                    </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日</w:t>
      </w:r>
    </w:p>
    <w:p w14:paraId="40DEAC4A">
      <w:pPr>
        <w:pStyle w:val="4"/>
        <w:tabs>
          <w:tab w:val="left" w:pos="720"/>
          <w:tab w:val="clear" w:pos="778"/>
        </w:tabs>
        <w:spacing w:before="228" w:after="228" w:line="400" w:lineRule="exact"/>
        <w:ind w:firstLine="109"/>
        <w:rPr>
          <w:rFonts w:hint="eastAsia" w:ascii="宋体" w:cs="宋体"/>
          <w:snapToGrid w:val="0"/>
          <w:color w:val="auto"/>
          <w:sz w:val="21"/>
          <w:szCs w:val="21"/>
          <w:highlight w:val="none"/>
        </w:rPr>
      </w:pPr>
      <w:r>
        <w:rPr>
          <w:rFonts w:hint="eastAsia" w:ascii="宋体" w:cs="宋体"/>
          <w:snapToGrid w:val="0"/>
          <w:color w:val="auto"/>
          <w:sz w:val="21"/>
          <w:szCs w:val="21"/>
          <w:highlight w:val="none"/>
        </w:rPr>
        <w:br w:type="page"/>
      </w:r>
      <w:bookmarkStart w:id="163" w:name="_Toc218314720"/>
      <w:bookmarkStart w:id="164" w:name="_Toc8703"/>
      <w:bookmarkStart w:id="165" w:name="_Toc450859775"/>
      <w:bookmarkStart w:id="166" w:name="_Toc836"/>
      <w:bookmarkStart w:id="167" w:name="_Toc29241"/>
      <w:bookmarkStart w:id="168" w:name="_Toc259974015"/>
      <w:bookmarkStart w:id="169" w:name="_Toc259977226"/>
      <w:bookmarkStart w:id="170" w:name="_Toc259981280"/>
      <w:bookmarkStart w:id="171" w:name="_Toc360093085"/>
      <w:r>
        <w:rPr>
          <w:rFonts w:hint="eastAsia" w:ascii="宋体" w:cs="宋体"/>
          <w:snapToGrid w:val="0"/>
          <w:color w:val="auto"/>
          <w:sz w:val="21"/>
          <w:szCs w:val="21"/>
          <w:highlight w:val="none"/>
        </w:rPr>
        <w:t>附件三：</w:t>
      </w:r>
      <w:bookmarkEnd w:id="163"/>
      <w:r>
        <w:rPr>
          <w:rFonts w:hint="eastAsia" w:ascii="宋体" w:cs="宋体"/>
          <w:snapToGrid w:val="0"/>
          <w:color w:val="auto"/>
          <w:sz w:val="21"/>
          <w:szCs w:val="21"/>
          <w:highlight w:val="none"/>
        </w:rPr>
        <w:t>廉政责任书</w:t>
      </w:r>
      <w:bookmarkEnd w:id="164"/>
      <w:bookmarkEnd w:id="165"/>
      <w:bookmarkEnd w:id="166"/>
      <w:bookmarkEnd w:id="167"/>
    </w:p>
    <w:p w14:paraId="34F1E5EA">
      <w:pPr>
        <w:pStyle w:val="568"/>
        <w:spacing w:line="400" w:lineRule="exact"/>
        <w:rPr>
          <w:rFonts w:hint="eastAsia" w:cs="宋体"/>
          <w:color w:val="auto"/>
          <w:sz w:val="28"/>
          <w:szCs w:val="28"/>
          <w:highlight w:val="none"/>
        </w:rPr>
      </w:pPr>
      <w:r>
        <w:rPr>
          <w:rFonts w:hint="eastAsia" w:cs="宋体"/>
          <w:color w:val="auto"/>
          <w:sz w:val="28"/>
          <w:szCs w:val="28"/>
          <w:highlight w:val="none"/>
        </w:rPr>
        <w:t>廉 政 责 任 书</w:t>
      </w:r>
    </w:p>
    <w:p w14:paraId="1230CAB7">
      <w:pPr>
        <w:snapToGrid w:val="0"/>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项目名称：   </w:t>
      </w:r>
    </w:p>
    <w:p w14:paraId="405D3C85">
      <w:pPr>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工程项目地址：</w:t>
      </w:r>
    </w:p>
    <w:p w14:paraId="34BA10E1">
      <w:pPr>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发包单位：（发包人）</w:t>
      </w:r>
      <w:r>
        <w:rPr>
          <w:rFonts w:hint="eastAsia" w:ascii="宋体" w:hAnsi="宋体" w:cs="宋体"/>
          <w:color w:val="auto"/>
          <w:sz w:val="21"/>
          <w:szCs w:val="21"/>
          <w:highlight w:val="none"/>
          <w:u w:val="single"/>
        </w:rPr>
        <w:t>发包人名称</w:t>
      </w:r>
    </w:p>
    <w:p w14:paraId="68229429">
      <w:pPr>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运行维护单位：（承包人）</w:t>
      </w:r>
      <w:r>
        <w:rPr>
          <w:rFonts w:hint="eastAsia" w:ascii="宋体" w:hAnsi="宋体" w:cs="宋体"/>
          <w:color w:val="auto"/>
          <w:sz w:val="21"/>
          <w:szCs w:val="21"/>
          <w:highlight w:val="none"/>
          <w:u w:val="single"/>
        </w:rPr>
        <w:t>（承包商名称）</w:t>
      </w:r>
    </w:p>
    <w:p w14:paraId="45692621">
      <w:pPr>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B938E27">
      <w:pPr>
        <w:tabs>
          <w:tab w:val="left" w:pos="990"/>
          <w:tab w:val="left" w:pos="1252"/>
          <w:tab w:val="left" w:pos="144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一、甲乙双方的责任</w:t>
      </w:r>
    </w:p>
    <w:p w14:paraId="0CDE36F3">
      <w:pPr>
        <w:tabs>
          <w:tab w:val="left" w:pos="1372"/>
          <w:tab w:val="left" w:pos="1470"/>
          <w:tab w:val="left" w:pos="1620"/>
        </w:tabs>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1、严格遵守党和国家有关市场准入、项目招标投标、工程建设、施工安装和市场活动等有关法律、法规，相关政策，以及廉政建设的各项规定。</w:t>
      </w:r>
    </w:p>
    <w:p w14:paraId="270424DA">
      <w:pPr>
        <w:tabs>
          <w:tab w:val="left" w:pos="1372"/>
          <w:tab w:val="left" w:pos="1470"/>
          <w:tab w:val="left" w:pos="1620"/>
        </w:tabs>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2、严格执行工程维修养护承发包合同文件，自觉按合同办事。</w:t>
      </w:r>
    </w:p>
    <w:p w14:paraId="0CEE48BF">
      <w:pPr>
        <w:tabs>
          <w:tab w:val="left" w:pos="1372"/>
          <w:tab w:val="left" w:pos="1470"/>
          <w:tab w:val="left" w:pos="1620"/>
        </w:tabs>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3、业务活动必须坚持公开、公平、公正、诚信、透明的原则（除法律法规另有规定者外），不得为获取不正当利益，损害国家、集体和对方利益，不得违反工程建设管理、施工安装的规章制度。</w:t>
      </w:r>
    </w:p>
    <w:p w14:paraId="7C7E81D0">
      <w:pPr>
        <w:tabs>
          <w:tab w:val="left" w:pos="1372"/>
          <w:tab w:val="left" w:pos="1470"/>
          <w:tab w:val="left" w:pos="1620"/>
        </w:tabs>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4、发现对方在业务活动中有违规、违纪、违法行为的，应及时提醒对方，情节严重的，应向上级主管部门或纪检监察、司法等有关机关举报。</w:t>
      </w:r>
    </w:p>
    <w:p w14:paraId="2EA7D2D3">
      <w:pPr>
        <w:tabs>
          <w:tab w:val="left" w:pos="990"/>
          <w:tab w:val="left" w:pos="1252"/>
          <w:tab w:val="left" w:pos="1440"/>
        </w:tabs>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二、发包人的责任</w:t>
      </w:r>
    </w:p>
    <w:p w14:paraId="122BCA89">
      <w:pPr>
        <w:snapToGrid w:val="0"/>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发包人的领导和从事该建设工程项目的工作人员，在工程维修养护的事前、事中、事后应遵循以下规定：</w:t>
      </w:r>
    </w:p>
    <w:p w14:paraId="471F5F6B">
      <w:pPr>
        <w:tabs>
          <w:tab w:val="left" w:pos="1372"/>
          <w:tab w:val="left" w:pos="1470"/>
          <w:tab w:val="left" w:pos="1620"/>
        </w:tabs>
        <w:snapToGrid w:val="0"/>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1、不准向承包商和相关单位索要或接受回扣、礼金、有价证券、贵重物品和好处费、感谢费等。</w:t>
      </w:r>
    </w:p>
    <w:p w14:paraId="07F8D588">
      <w:pPr>
        <w:tabs>
          <w:tab w:val="left" w:pos="1372"/>
          <w:tab w:val="left" w:pos="1470"/>
          <w:tab w:val="left" w:pos="1620"/>
        </w:tabs>
        <w:snapToGrid w:val="0"/>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2、不准在承包商和相关单位报销任何由发包人或个人支付的费用。</w:t>
      </w:r>
    </w:p>
    <w:p w14:paraId="65E6012C">
      <w:pPr>
        <w:tabs>
          <w:tab w:val="left" w:pos="1372"/>
          <w:tab w:val="left" w:pos="1470"/>
          <w:tab w:val="left" w:pos="1620"/>
        </w:tabs>
        <w:snapToGrid w:val="0"/>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3、不准要求、暗示和接受承包商和相关单位为个人装修住房、婚丧嫁娶、配偶子女的工作安排以及出国（境）、旅游等提供方便。</w:t>
      </w:r>
    </w:p>
    <w:p w14:paraId="6A71E8D7">
      <w:pPr>
        <w:tabs>
          <w:tab w:val="left" w:pos="1372"/>
          <w:tab w:val="left" w:pos="1470"/>
          <w:tab w:val="left" w:pos="1620"/>
        </w:tabs>
        <w:snapToGrid w:val="0"/>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4、不准参加有可能影响公正执行公务的承包商和相关单位的宴请和健身、娱乐等活动。</w:t>
      </w:r>
    </w:p>
    <w:p w14:paraId="7D97790D">
      <w:pPr>
        <w:tabs>
          <w:tab w:val="left" w:pos="1372"/>
          <w:tab w:val="left" w:pos="1470"/>
          <w:tab w:val="left" w:pos="1620"/>
        </w:tabs>
        <w:snapToGrid w:val="0"/>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不准向承包商介绍或为配偶、子女、亲属参与同发包人项目工程维修养护合同有关的设备、材料、工程分包、劳务等经济活动。不得以任何理由向承包商和相关单位推荐分包单位和要求承包商购买项目维修养护合同规定以外的材料、设备等。</w:t>
      </w:r>
    </w:p>
    <w:p w14:paraId="1D7A9D26">
      <w:pPr>
        <w:tabs>
          <w:tab w:val="left" w:pos="1252"/>
          <w:tab w:val="left" w:pos="1470"/>
          <w:tab w:val="left" w:pos="1620"/>
        </w:tabs>
        <w:snapToGrid w:val="0"/>
        <w:spacing w:line="400" w:lineRule="exact"/>
        <w:ind w:firstLine="44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三、承包商的责任</w:t>
      </w:r>
    </w:p>
    <w:p w14:paraId="1B75DFD0">
      <w:pPr>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应与发包人保持正常的业务交往，按照有关法律法规和程序开展业务工作。严格执行工程建设的有关方针、政策，尤其是有关建筑施工安装的强制性标准和规范，并遵守以下规定：</w:t>
      </w:r>
    </w:p>
    <w:p w14:paraId="140F452F">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1、不准以任何理由向发包人、相关单位及其工作人员索要、接受或赠送礼金、有价证券、贵重礼品和回扣、好处费、感谢费等。</w:t>
      </w:r>
    </w:p>
    <w:p w14:paraId="568C1DDF">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2、不准以任何理由为发包人和相关单位报销应由对方或个人对付的费用。</w:t>
      </w:r>
    </w:p>
    <w:p w14:paraId="7DF75B86">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3、不准接受或暗示为发包人、相关单位或个人装修住房、婚丧嫁娶、配偶子女的工作安排以及出国（境）、旅游等提供方便。</w:t>
      </w:r>
    </w:p>
    <w:p w14:paraId="0FAEBFFF">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4、不准以任何理由为发包人、相关单位或个人组织有可能影响公正执行公务的宴请和健身、娱乐等活动。</w:t>
      </w:r>
    </w:p>
    <w:p w14:paraId="1CCEB5B0">
      <w:pPr>
        <w:tabs>
          <w:tab w:val="left" w:pos="990"/>
          <w:tab w:val="left" w:pos="1252"/>
          <w:tab w:val="left" w:pos="144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四、违约责任</w:t>
      </w:r>
    </w:p>
    <w:p w14:paraId="1F1F28C6">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1、发包人工作人员有违反本责任书第一、二条责任行为的，按照管理权限，依据有关法律和规定给予党纪、政纪处分或组织处理；涉嫌犯罪的，移交司法机关追究刑事责任；给承包商单位造成经济损失的，应予以赔偿。</w:t>
      </w:r>
    </w:p>
    <w:p w14:paraId="62D7CBDE">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2、承包商及其工作人员违反本责任书第一、三条责任行为的，按照管理权限，依据有关法律法规和规定给予党纪、政纪处分或组织处理；涉嫌犯罪的，移交司法机关追究刑事责任；给发包人单位造成经济损失的，应予以赔偿。</w:t>
      </w:r>
    </w:p>
    <w:p w14:paraId="62918C16">
      <w:pPr>
        <w:tabs>
          <w:tab w:val="left" w:pos="990"/>
          <w:tab w:val="left" w:pos="1252"/>
          <w:tab w:val="left" w:pos="144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五、本责任书为工程维修养护合同的附件，与工程维修养护合同具有同等法律效力，经双方签署后立即生效。</w:t>
      </w:r>
    </w:p>
    <w:p w14:paraId="32668552">
      <w:pPr>
        <w:tabs>
          <w:tab w:val="left" w:pos="990"/>
          <w:tab w:val="left" w:pos="1252"/>
          <w:tab w:val="left" w:pos="144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六、本责任书的有效期为双方签署之日起至该工程项目竣工验收合格时止。</w:t>
      </w:r>
    </w:p>
    <w:p w14:paraId="09F098E7">
      <w:pPr>
        <w:tabs>
          <w:tab w:val="left" w:pos="990"/>
          <w:tab w:val="left" w:pos="1252"/>
          <w:tab w:val="left" w:pos="144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七、本责任书一式四份，甲乙双方各执一份，送交甲乙双方的监督单位各一份。</w:t>
      </w:r>
    </w:p>
    <w:p w14:paraId="7CE1C82B">
      <w:pPr>
        <w:snapToGrid w:val="0"/>
        <w:spacing w:line="400" w:lineRule="exact"/>
        <w:ind w:firstLine="567"/>
        <w:rPr>
          <w:rFonts w:hint="eastAsia" w:ascii="宋体" w:hAnsi="宋体" w:cs="宋体"/>
          <w:color w:val="auto"/>
          <w:sz w:val="21"/>
          <w:szCs w:val="21"/>
          <w:highlight w:val="none"/>
        </w:rPr>
      </w:pPr>
    </w:p>
    <w:p w14:paraId="0A7EB124">
      <w:pPr>
        <w:snapToGrid w:val="0"/>
        <w:spacing w:line="400" w:lineRule="exact"/>
        <w:ind w:firstLine="567"/>
        <w:rPr>
          <w:rFonts w:hint="eastAsia" w:ascii="宋体" w:hAnsi="宋体" w:cs="宋体"/>
          <w:color w:val="auto"/>
          <w:sz w:val="21"/>
          <w:szCs w:val="21"/>
          <w:highlight w:val="none"/>
        </w:rPr>
      </w:pPr>
    </w:p>
    <w:p w14:paraId="317CFEB8">
      <w:pPr>
        <w:snapToGrid w:val="0"/>
        <w:spacing w:line="400" w:lineRule="exact"/>
        <w:ind w:firstLine="567"/>
        <w:rPr>
          <w:rFonts w:hint="eastAsia" w:ascii="宋体" w:hAnsi="宋体" w:cs="宋体"/>
          <w:color w:val="auto"/>
          <w:sz w:val="21"/>
          <w:szCs w:val="21"/>
          <w:highlight w:val="none"/>
        </w:rPr>
      </w:pPr>
    </w:p>
    <w:p w14:paraId="6502B0FF">
      <w:pPr>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发包人单位：（盖章）                      承包商单位：（盖章）</w:t>
      </w:r>
    </w:p>
    <w:p w14:paraId="02522CAF">
      <w:pPr>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                              法定代表人：</w:t>
      </w:r>
    </w:p>
    <w:p w14:paraId="3614A4C7">
      <w:pPr>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地址：                                    地址：</w:t>
      </w:r>
    </w:p>
    <w:p w14:paraId="6FEF6473">
      <w:pPr>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电话：                                    电话：</w:t>
      </w:r>
    </w:p>
    <w:p w14:paraId="357230AD">
      <w:pPr>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172" w:name="_Toc16403"/>
      <w:bookmarkStart w:id="173" w:name="_Toc17790"/>
      <w:r>
        <w:rPr>
          <w:rFonts w:hint="eastAsia" w:ascii="宋体" w:hAnsi="宋体" w:cs="宋体"/>
          <w:color w:val="auto"/>
          <w:sz w:val="21"/>
          <w:szCs w:val="21"/>
          <w:highlight w:val="none"/>
        </w:rPr>
        <w:t>年  月  日                         年  月  日</w:t>
      </w:r>
      <w:bookmarkEnd w:id="168"/>
      <w:bookmarkEnd w:id="169"/>
      <w:bookmarkEnd w:id="170"/>
      <w:bookmarkEnd w:id="171"/>
      <w:bookmarkEnd w:id="172"/>
      <w:bookmarkEnd w:id="173"/>
    </w:p>
    <w:p w14:paraId="444FAE87">
      <w:pPr>
        <w:snapToGrid w:val="0"/>
        <w:spacing w:line="400" w:lineRule="exact"/>
        <w:ind w:firstLine="567"/>
        <w:rPr>
          <w:rFonts w:hint="eastAsia" w:ascii="宋体" w:hAnsi="宋体" w:cs="宋体"/>
          <w:color w:val="auto"/>
          <w:sz w:val="21"/>
          <w:szCs w:val="21"/>
          <w:highlight w:val="none"/>
        </w:rPr>
        <w:sectPr>
          <w:pgSz w:w="11907" w:h="16840"/>
          <w:pgMar w:top="1701" w:right="1134" w:bottom="1418" w:left="1134" w:header="1304" w:footer="1134" w:gutter="0"/>
          <w:pgBorders w:offsetFrom="page">
            <w:top w:val="none" w:sz="0" w:space="0"/>
            <w:left w:val="none" w:sz="0" w:space="0"/>
            <w:bottom w:val="none" w:sz="0" w:space="0"/>
            <w:right w:val="none" w:sz="0" w:space="0"/>
          </w:pgBorders>
          <w:pgNumType w:fmt="decimal"/>
          <w:cols w:space="720" w:num="1"/>
          <w:docGrid w:type="linesAndChars" w:linePitch="457" w:charSpace="2264"/>
        </w:sectPr>
      </w:pPr>
      <w:bookmarkStart w:id="174" w:name="_Toc25481956"/>
      <w:bookmarkStart w:id="175" w:name="_Toc85869928"/>
      <w:bookmarkStart w:id="176" w:name="_Toc99762609"/>
      <w:bookmarkStart w:id="177" w:name="_Toc99761973"/>
      <w:bookmarkStart w:id="178" w:name="_Toc69200159"/>
      <w:bookmarkStart w:id="179" w:name="_Toc85872442"/>
      <w:bookmarkStart w:id="180" w:name="_Toc180571596"/>
      <w:bookmarkStart w:id="181" w:name="_Toc205631016"/>
      <w:bookmarkStart w:id="182" w:name="_Toc244661570"/>
      <w:bookmarkStart w:id="183" w:name="_Toc140637813"/>
      <w:bookmarkStart w:id="184" w:name="_Toc90178281"/>
    </w:p>
    <w:p w14:paraId="59EF0A4A">
      <w:pPr>
        <w:snapToGrid w:val="0"/>
        <w:spacing w:line="4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附件四： 安全生产协议书</w:t>
      </w:r>
    </w:p>
    <w:p w14:paraId="18CA682A">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安全生产协议书</w:t>
      </w:r>
    </w:p>
    <w:p w14:paraId="52F6FDFB">
      <w:pPr>
        <w:tabs>
          <w:tab w:val="left" w:pos="1372"/>
          <w:tab w:val="left" w:pos="1470"/>
          <w:tab w:val="left" w:pos="1620"/>
        </w:tabs>
        <w:snapToGrid w:val="0"/>
        <w:spacing w:line="400" w:lineRule="exact"/>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合同的实施过程中创造安全、高效的养护环境，切实搞好本项目的安全管理工作，本项目的建设单位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（以下简称“发包人”）与养护单位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（以下简称“承包人”），特此签订安全生产协议书：</w:t>
      </w:r>
    </w:p>
    <w:p w14:paraId="312D246B">
      <w:pPr>
        <w:tabs>
          <w:tab w:val="left" w:pos="1372"/>
          <w:tab w:val="left" w:pos="1470"/>
          <w:tab w:val="left" w:pos="1620"/>
        </w:tabs>
        <w:snapToGrid w:val="0"/>
        <w:spacing w:line="4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一、发包人职责</w:t>
      </w:r>
    </w:p>
    <w:p w14:paraId="6AC94246">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（一）遵守国家有关安全生产的法律法规，认真执行工程承包合同中的有关安全要求。</w:t>
      </w:r>
    </w:p>
    <w:p w14:paraId="33D97E02">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（二）按照“安全第一、预防为主”和坚持“管生产必须管安全”的原则进行安全生产管理，做到生产与安全工作同时计划、布置、检查、总结和评比。</w:t>
      </w:r>
    </w:p>
    <w:p w14:paraId="77E5D9B2">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（三）重要的安全设施必须坚持与主体工程“三同时”的原则，即：同时设计、审批，同时养护，同时验收、投入使用。</w:t>
      </w:r>
    </w:p>
    <w:p w14:paraId="088463FE">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（四）定期召开安全生产调度会，及时传达中央及地方有关安全生产的精神。</w:t>
      </w:r>
    </w:p>
    <w:p w14:paraId="068BC2C3">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（五）组织对承包商养护现场安全生产检查，监督承包商及时处理发现的各种安全隐患。</w:t>
      </w:r>
    </w:p>
    <w:p w14:paraId="6A5747A2">
      <w:pPr>
        <w:tabs>
          <w:tab w:val="left" w:pos="1372"/>
          <w:tab w:val="left" w:pos="1470"/>
          <w:tab w:val="left" w:pos="1620"/>
        </w:tabs>
        <w:snapToGrid w:val="0"/>
        <w:spacing w:line="4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二、承包人职责</w:t>
      </w:r>
    </w:p>
    <w:p w14:paraId="16285730">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（一）严格遵守国家有关安全生产的法律法规、水利部颁发的有关工程施工安全技术规程的安全生产规定，认真执行工程承包合同中的有关安全要求。</w:t>
      </w:r>
    </w:p>
    <w:p w14:paraId="17ED2E4A">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E0A574E">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建立健全安全生产责任制。从派往项目实施的项目经理到生产工人（包括临时雇请的民工）的安全生产管理系统必须做到纵向到底，一环不漏；各职能部门、人员的安全生产责任制做到横向到边，人人有责。项目负责人是安全生产的第一责任人。现场设置的安全机构，应按养护人员的1%~3%配备安全员，专职负责所有员工的安全和治安保卫工作及预防事故的发生。安全机构人员，有权按有关规定发布指令，并采取保护性措施防止事故发生。</w:t>
      </w:r>
    </w:p>
    <w:p w14:paraId="5E0896E8">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（四）承包商在任何时候都应采取各种合理的预防措施，防止其员工发生任何违法、违禁、暴力或妨碍治安的行为。</w:t>
      </w:r>
    </w:p>
    <w:p w14:paraId="2AE10733">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承包商必须具有劳动安全管理部门颁发的安全生产证书，参加养护的人员，必须接受安全技术教育，熟知和遵守本工种的各项安全技术操作规程，定期进行安全技术考核，合格者方准上岗操作。对于从事电气、起重、建筑登高架设作业、压力容器、焊接、机动车驾驶、等特殊工种的人员，需经过专业培训，获得《安全操作合格证》后，方准持证上岗。养护现场如出现特种作业无证操作现象时，项目经理必须承担管理责任。</w:t>
      </w:r>
    </w:p>
    <w:p w14:paraId="7F9FB8C0">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六）对于易燃易爆的材料除应专门妥善保管之外，还应配备有足够的消防设施，所有养护人员都应熟悉消防设备的性能和使用方法；承包商不得将任何种类的给予、易货或以其他方式转让给任何人，或允许、容忍上述同样行为。</w:t>
      </w:r>
    </w:p>
    <w:p w14:paraId="31AAF5F5">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（七）操作人员上岗，必须按规定穿戴防护用品。</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负责人和安全检查员应随时检查劳动防护用品的穿戴情况，不按规定穿戴防护用品的人员不得上岗。</w:t>
      </w:r>
    </w:p>
    <w:p w14:paraId="4ACF5115">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（八）所有养护机具设备和高空作业的设备均应定期检查，并有安全员的签字记录，保证其经常处于完好状态；不合格的机具、设备和劳动保护用品严禁使用。</w:t>
      </w:r>
    </w:p>
    <w:p w14:paraId="44D70A6F">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（九）所有施工中采用新技术，新工艺、新设备、新材料时，必须制定相应的安全技术措施，施工现场必须具有相关的安全标志牌。</w:t>
      </w:r>
    </w:p>
    <w:p w14:paraId="55F824B8">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十）承包商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8BA6EA0">
      <w:pPr>
        <w:tabs>
          <w:tab w:val="left" w:pos="1372"/>
          <w:tab w:val="left" w:pos="1470"/>
          <w:tab w:val="left" w:pos="1620"/>
        </w:tabs>
        <w:snapToGrid w:val="0"/>
        <w:spacing w:line="4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三、违约责任</w:t>
      </w:r>
    </w:p>
    <w:p w14:paraId="227D0ADF">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如因发包人或承包商违约造成安全事故，将依法追究责任。</w:t>
      </w:r>
    </w:p>
    <w:p w14:paraId="4F52DFF7">
      <w:pPr>
        <w:tabs>
          <w:tab w:val="left" w:pos="1372"/>
          <w:tab w:val="left" w:pos="1470"/>
          <w:tab w:val="left" w:pos="1620"/>
        </w:tabs>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本合同正本一式二份，副本四份，合同双方各执正本一份，副本二份。由双方法定代表人或其授权的代理人签署与加盖公章后生效，全部工程竣工验收后失效。</w:t>
      </w:r>
    </w:p>
    <w:p w14:paraId="6167C32B">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p>
    <w:p w14:paraId="58B36870">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采购人：</w:t>
      </w:r>
      <w:r>
        <w:rPr>
          <w:rFonts w:hint="eastAsia" w:ascii="宋体" w:hAnsi="宋体" w:cs="宋体"/>
          <w:color w:val="auto"/>
          <w:sz w:val="21"/>
          <w:szCs w:val="21"/>
          <w:highlight w:val="none"/>
          <w:u w:val="single"/>
        </w:rPr>
        <w:t xml:space="preserve">             （盖章</w:t>
      </w:r>
      <w:r>
        <w:rPr>
          <w:rFonts w:hint="eastAsia" w:ascii="宋体" w:hAnsi="宋体" w:cs="宋体"/>
          <w:color w:val="auto"/>
          <w:sz w:val="21"/>
          <w:szCs w:val="21"/>
          <w:highlight w:val="none"/>
        </w:rPr>
        <w:t>）      供应商：</w:t>
      </w:r>
      <w:r>
        <w:rPr>
          <w:rFonts w:hint="eastAsia" w:ascii="宋体" w:hAnsi="宋体" w:cs="宋体"/>
          <w:color w:val="auto"/>
          <w:sz w:val="21"/>
          <w:szCs w:val="21"/>
          <w:highlight w:val="none"/>
          <w:u w:val="single"/>
        </w:rPr>
        <w:t xml:space="preserve">                   （盖章）</w:t>
      </w:r>
    </w:p>
    <w:p w14:paraId="438D13E9">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                       法定代表人：</w:t>
      </w:r>
    </w:p>
    <w:p w14:paraId="5E501210">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或                                 或</w:t>
      </w:r>
    </w:p>
    <w:p w14:paraId="1087E8A1">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其授权的代理人：</w:t>
      </w:r>
      <w:r>
        <w:rPr>
          <w:rFonts w:hint="eastAsia" w:ascii="宋体" w:hAnsi="宋体" w:cs="宋体"/>
          <w:color w:val="auto"/>
          <w:sz w:val="21"/>
          <w:szCs w:val="21"/>
          <w:highlight w:val="none"/>
          <w:u w:val="single"/>
        </w:rPr>
        <w:t xml:space="preserve">           （职务）</w:t>
      </w:r>
      <w:r>
        <w:rPr>
          <w:rFonts w:hint="eastAsia" w:ascii="宋体" w:hAnsi="宋体" w:cs="宋体"/>
          <w:color w:val="auto"/>
          <w:sz w:val="21"/>
          <w:szCs w:val="21"/>
          <w:highlight w:val="none"/>
        </w:rPr>
        <w:t>其授权的代理人：</w:t>
      </w:r>
      <w:r>
        <w:rPr>
          <w:rFonts w:hint="eastAsia" w:ascii="宋体" w:hAnsi="宋体" w:cs="宋体"/>
          <w:color w:val="auto"/>
          <w:sz w:val="21"/>
          <w:szCs w:val="21"/>
          <w:highlight w:val="none"/>
          <w:u w:val="single"/>
        </w:rPr>
        <w:t xml:space="preserve">           （职务）</w:t>
      </w:r>
    </w:p>
    <w:p w14:paraId="4C785442">
      <w:pPr>
        <w:tabs>
          <w:tab w:val="left" w:pos="1372"/>
          <w:tab w:val="left" w:pos="1470"/>
          <w:tab w:val="left" w:pos="1620"/>
        </w:tabs>
        <w:snapToGrid w:val="0"/>
        <w:spacing w:line="400" w:lineRule="exact"/>
        <w:ind w:firstLine="200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（签字）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（签字）</w:t>
      </w:r>
    </w:p>
    <w:p w14:paraId="741746BA">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p>
    <w:p w14:paraId="2AB0B510">
      <w:pPr>
        <w:tabs>
          <w:tab w:val="left" w:pos="1372"/>
          <w:tab w:val="left" w:pos="1470"/>
          <w:tab w:val="left" w:pos="1620"/>
        </w:tabs>
        <w:snapToGrid w:val="0"/>
        <w:spacing w:line="400" w:lineRule="exact"/>
        <w:ind w:firstLine="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年   月 </w:t>
      </w:r>
      <w:bookmarkEnd w:id="174"/>
      <w:bookmarkEnd w:id="175"/>
      <w:bookmarkEnd w:id="176"/>
      <w:bookmarkEnd w:id="177"/>
      <w:bookmarkEnd w:id="178"/>
      <w:bookmarkEnd w:id="179"/>
      <w:bookmarkEnd w:id="180"/>
      <w:bookmarkEnd w:id="181"/>
      <w:bookmarkEnd w:id="182"/>
      <w:bookmarkEnd w:id="183"/>
      <w:bookmarkEnd w:id="184"/>
    </w:p>
    <w:p w14:paraId="69A2A16E">
      <w:pPr>
        <w:tabs>
          <w:tab w:val="left" w:pos="1372"/>
          <w:tab w:val="left" w:pos="1470"/>
          <w:tab w:val="left" w:pos="1620"/>
        </w:tabs>
        <w:snapToGrid w:val="0"/>
        <w:spacing w:line="400" w:lineRule="exact"/>
        <w:ind w:firstLine="567"/>
        <w:rPr>
          <w:rFonts w:hint="eastAsia" w:ascii="宋体" w:hAnsi="宋体" w:cs="宋体"/>
          <w:color w:val="auto"/>
          <w:szCs w:val="21"/>
          <w:highlight w:val="none"/>
        </w:rPr>
      </w:pPr>
    </w:p>
    <w:p w14:paraId="1D190CEB">
      <w:pPr>
        <w:rPr>
          <w:rFonts w:hint="eastAsia"/>
        </w:rPr>
      </w:pPr>
      <w:r>
        <w:rPr>
          <w:rFonts w:hint="eastAsia" w:ascii="宋体" w:hAnsi="宋体" w:cs="宋体"/>
          <w:b/>
          <w:bCs/>
          <w:color w:val="auto"/>
          <w:sz w:val="21"/>
          <w:szCs w:val="21"/>
          <w:highlight w:val="none"/>
        </w:rPr>
        <w:t>注：具体以双方签定的正式合同为准，合同内容不得违背本采购文件实质性要求。</w:t>
      </w:r>
    </w:p>
    <w:bookmarkEnd w:id="122"/>
    <w:bookmarkEnd w:id="123"/>
    <w:bookmarkEnd w:id="124"/>
    <w:p w14:paraId="1A8848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6"/>
          <w:rFonts w:hint="eastAsia" w:ascii="宋体" w:hAnsi="宋体" w:eastAsia="宋体" w:cs="宋体"/>
          <w:color w:val="auto"/>
          <w:sz w:val="24"/>
          <w:szCs w:val="24"/>
        </w:rPr>
      </w:pPr>
    </w:p>
    <w:p w14:paraId="0D9DB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6"/>
          <w:rFonts w:hint="eastAsia" w:ascii="宋体" w:hAnsi="宋体" w:eastAsia="宋体" w:cs="宋体"/>
          <w:color w:val="auto"/>
          <w:sz w:val="24"/>
          <w:szCs w:val="24"/>
        </w:rPr>
      </w:pPr>
    </w:p>
    <w:p w14:paraId="2B26CB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6"/>
          <w:rFonts w:hint="eastAsia" w:ascii="宋体" w:hAnsi="宋体" w:eastAsia="宋体" w:cs="宋体"/>
          <w:color w:val="auto"/>
          <w:sz w:val="24"/>
          <w:szCs w:val="24"/>
        </w:rPr>
      </w:pPr>
    </w:p>
    <w:p w14:paraId="44437B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6"/>
          <w:rFonts w:hint="eastAsia" w:ascii="宋体" w:hAnsi="宋体" w:eastAsia="宋体" w:cs="宋体"/>
          <w:color w:val="auto"/>
          <w:sz w:val="24"/>
          <w:szCs w:val="24"/>
        </w:rPr>
      </w:pPr>
    </w:p>
    <w:bookmarkEnd w:id="98"/>
    <w:bookmarkEnd w:id="99"/>
    <w:bookmarkEnd w:id="100"/>
    <w:bookmarkEnd w:id="101"/>
    <w:bookmarkEnd w:id="102"/>
    <w:bookmarkEnd w:id="103"/>
    <w:bookmarkEnd w:id="113"/>
    <w:bookmarkEnd w:id="114"/>
    <w:p w14:paraId="5C811D1F">
      <w:pPr>
        <w:rPr>
          <w:rFonts w:hint="eastAsia"/>
        </w:rPr>
      </w:pPr>
    </w:p>
    <w:p w14:paraId="2155BB67">
      <w:pPr>
        <w:pStyle w:val="3"/>
        <w:spacing w:line="700" w:lineRule="exact"/>
        <w:rPr>
          <w:rFonts w:hint="eastAsia" w:ascii="宋体" w:hAnsi="宋体" w:eastAsia="宋体" w:cs="宋体"/>
          <w:b/>
          <w:bCs/>
          <w:color w:val="auto"/>
          <w:kern w:val="0"/>
          <w:sz w:val="44"/>
          <w:szCs w:val="44"/>
          <w:lang w:val="en-US" w:eastAsia="zh-CN" w:bidi="ar-SA"/>
        </w:rPr>
      </w:pPr>
      <w:r>
        <w:rPr>
          <w:rFonts w:hint="eastAsia" w:ascii="宋体" w:hAnsi="宋体" w:eastAsia="宋体" w:cs="宋体"/>
          <w:b/>
          <w:bCs/>
          <w:color w:val="auto"/>
          <w:kern w:val="0"/>
          <w:sz w:val="44"/>
          <w:szCs w:val="44"/>
          <w:lang w:val="en-US" w:eastAsia="zh-CN" w:bidi="ar-SA"/>
        </w:rPr>
        <w:t>第六章 投标文件格式</w:t>
      </w:r>
    </w:p>
    <w:p w14:paraId="58AF11B1">
      <w:pPr>
        <w:pStyle w:val="41"/>
        <w:rPr>
          <w:rFonts w:hint="eastAsia" w:ascii="仿宋" w:hAnsi="仿宋" w:eastAsia="仿宋" w:cs="仿宋"/>
          <w:b/>
          <w:bCs/>
          <w:color w:val="auto"/>
          <w:kern w:val="2"/>
          <w:sz w:val="36"/>
          <w:szCs w:val="36"/>
          <w:lang w:val="en-US" w:eastAsia="zh-CN" w:bidi="ar-SA"/>
        </w:rPr>
      </w:pPr>
    </w:p>
    <w:p w14:paraId="6FBF5FD6">
      <w:pPr>
        <w:pStyle w:val="41"/>
        <w:snapToGrid w:val="0"/>
        <w:spacing w:before="0" w:after="0" w:line="500" w:lineRule="atLeast"/>
        <w:jc w:val="left"/>
        <w:rPr>
          <w:rFonts w:hint="eastAsia" w:ascii="宋体" w:eastAsia="宋体" w:cs="宋体"/>
          <w:b/>
          <w:color w:val="auto"/>
          <w:sz w:val="36"/>
          <w:szCs w:val="20"/>
          <w:highlight w:val="none"/>
          <w:lang w:val="en-US" w:eastAsia="zh-CN"/>
        </w:rPr>
      </w:pPr>
      <w:r>
        <w:rPr>
          <w:rFonts w:hint="eastAsia" w:ascii="宋体" w:eastAsia="宋体" w:cs="宋体"/>
          <w:b/>
          <w:color w:val="auto"/>
          <w:sz w:val="36"/>
          <w:szCs w:val="20"/>
          <w:highlight w:val="none"/>
          <w:lang w:val="en-US" w:eastAsia="zh-CN"/>
        </w:rPr>
        <w:t xml:space="preserve">投标文件封面                                                       </w:t>
      </w:r>
    </w:p>
    <w:p w14:paraId="52A637CC">
      <w:pPr>
        <w:pStyle w:val="41"/>
        <w:snapToGrid w:val="0"/>
        <w:spacing w:before="0" w:after="0" w:line="500" w:lineRule="atLeast"/>
        <w:jc w:val="center"/>
        <w:rPr>
          <w:rFonts w:hint="eastAsia" w:ascii="宋体" w:eastAsia="宋体" w:cs="宋体"/>
          <w:b/>
          <w:color w:val="auto"/>
          <w:sz w:val="36"/>
          <w:szCs w:val="20"/>
          <w:highlight w:val="none"/>
          <w:lang w:val="en-US" w:eastAsia="zh-CN"/>
        </w:rPr>
      </w:pPr>
    </w:p>
    <w:p w14:paraId="14116250">
      <w:pPr>
        <w:pStyle w:val="41"/>
        <w:snapToGrid w:val="0"/>
        <w:spacing w:before="0" w:after="0" w:line="500" w:lineRule="atLeast"/>
        <w:jc w:val="center"/>
        <w:rPr>
          <w:rFonts w:hint="eastAsia" w:ascii="宋体" w:eastAsia="宋体" w:cs="宋体"/>
          <w:b/>
          <w:color w:val="auto"/>
          <w:sz w:val="36"/>
          <w:szCs w:val="20"/>
          <w:highlight w:val="none"/>
          <w:lang w:val="en-US" w:eastAsia="zh-CN"/>
        </w:rPr>
      </w:pPr>
      <w:r>
        <w:rPr>
          <w:rFonts w:hint="eastAsia" w:ascii="宋体" w:eastAsia="宋体" w:cs="宋体"/>
          <w:b/>
          <w:color w:val="auto"/>
          <w:sz w:val="36"/>
          <w:szCs w:val="20"/>
          <w:highlight w:val="none"/>
          <w:lang w:val="en-US" w:eastAsia="zh-CN"/>
        </w:rPr>
        <w:t xml:space="preserve"> (项目名称)项目</w:t>
      </w:r>
    </w:p>
    <w:p w14:paraId="49358229">
      <w:pPr>
        <w:pStyle w:val="41"/>
        <w:snapToGrid w:val="0"/>
        <w:spacing w:before="0" w:after="0" w:line="500" w:lineRule="atLeast"/>
        <w:jc w:val="center"/>
        <w:rPr>
          <w:rFonts w:hint="default" w:ascii="宋体" w:eastAsia="宋体" w:cs="宋体"/>
          <w:b/>
          <w:color w:val="auto"/>
          <w:sz w:val="36"/>
          <w:szCs w:val="20"/>
          <w:highlight w:val="none"/>
          <w:lang w:val="en-US" w:eastAsia="zh-CN"/>
        </w:rPr>
      </w:pPr>
      <w:r>
        <w:rPr>
          <w:rFonts w:hint="eastAsia" w:ascii="宋体" w:eastAsia="宋体" w:cs="宋体"/>
          <w:b/>
          <w:color w:val="auto"/>
          <w:sz w:val="36"/>
          <w:szCs w:val="20"/>
          <w:highlight w:val="none"/>
          <w:lang w:val="en-US" w:eastAsia="zh-CN"/>
        </w:rPr>
        <w:t>项目编号：</w:t>
      </w:r>
      <w:r>
        <w:rPr>
          <w:rFonts w:hint="eastAsia" w:cs="宋体"/>
          <w:b/>
          <w:color w:val="auto"/>
          <w:sz w:val="36"/>
          <w:szCs w:val="20"/>
          <w:highlight w:val="none"/>
          <w:lang w:val="en-US" w:eastAsia="zh-CN"/>
        </w:rPr>
        <w:t>ZJZR-SZ20250301</w:t>
      </w:r>
    </w:p>
    <w:p w14:paraId="1212322A">
      <w:pPr>
        <w:spacing w:line="240" w:lineRule="auto"/>
        <w:jc w:val="center"/>
        <w:rPr>
          <w:rFonts w:hint="eastAsia" w:ascii="仿宋" w:hAnsi="仿宋" w:eastAsia="仿宋" w:cs="仿宋"/>
          <w:b/>
          <w:bCs/>
          <w:color w:val="auto"/>
          <w:sz w:val="48"/>
          <w:szCs w:val="48"/>
          <w:highlight w:val="none"/>
          <w:lang w:eastAsia="zh-CN"/>
        </w:rPr>
      </w:pPr>
    </w:p>
    <w:p w14:paraId="774E8762">
      <w:pPr>
        <w:spacing w:line="240" w:lineRule="auto"/>
        <w:jc w:val="center"/>
        <w:rPr>
          <w:rFonts w:hint="eastAsia" w:ascii="仿宋" w:hAnsi="仿宋" w:eastAsia="仿宋" w:cs="仿宋"/>
          <w:b/>
          <w:bCs/>
          <w:color w:val="auto"/>
          <w:sz w:val="48"/>
          <w:szCs w:val="48"/>
          <w:highlight w:val="none"/>
          <w:lang w:eastAsia="zh-CN"/>
        </w:rPr>
      </w:pPr>
    </w:p>
    <w:p w14:paraId="0A473769">
      <w:pPr>
        <w:spacing w:line="240" w:lineRule="auto"/>
        <w:jc w:val="center"/>
        <w:rPr>
          <w:rFonts w:hint="eastAsia" w:ascii="仿宋" w:hAnsi="仿宋" w:eastAsia="仿宋" w:cs="仿宋"/>
          <w:b/>
          <w:bCs/>
          <w:color w:val="auto"/>
          <w:sz w:val="48"/>
          <w:szCs w:val="48"/>
          <w:highlight w:val="none"/>
          <w:lang w:eastAsia="zh-CN"/>
        </w:rPr>
      </w:pPr>
    </w:p>
    <w:p w14:paraId="46A4F289">
      <w:pPr>
        <w:spacing w:line="240" w:lineRule="auto"/>
        <w:jc w:val="center"/>
        <w:rPr>
          <w:rFonts w:hint="eastAsia" w:ascii="仿宋" w:hAnsi="仿宋" w:eastAsia="仿宋" w:cs="仿宋"/>
          <w:b/>
          <w:bCs/>
          <w:color w:val="auto"/>
          <w:sz w:val="48"/>
          <w:szCs w:val="48"/>
          <w:highlight w:val="none"/>
          <w:lang w:eastAsia="zh-CN"/>
        </w:rPr>
      </w:pPr>
    </w:p>
    <w:p w14:paraId="37438E04">
      <w:pPr>
        <w:spacing w:line="240" w:lineRule="auto"/>
        <w:jc w:val="center"/>
        <w:rPr>
          <w:rFonts w:hint="eastAsia" w:ascii="仿宋" w:hAnsi="仿宋" w:eastAsia="仿宋" w:cs="仿宋"/>
          <w:b/>
          <w:bCs/>
          <w:color w:val="auto"/>
          <w:sz w:val="48"/>
          <w:szCs w:val="48"/>
          <w:highlight w:val="none"/>
          <w:lang w:eastAsia="zh-CN"/>
        </w:rPr>
      </w:pPr>
    </w:p>
    <w:p w14:paraId="3FC1C301">
      <w:pPr>
        <w:spacing w:line="240" w:lineRule="auto"/>
        <w:jc w:val="center"/>
        <w:rPr>
          <w:rFonts w:hint="eastAsia" w:ascii="仿宋" w:hAnsi="仿宋" w:eastAsia="仿宋" w:cs="仿宋"/>
          <w:b/>
          <w:bCs/>
          <w:color w:val="auto"/>
          <w:sz w:val="48"/>
          <w:szCs w:val="48"/>
          <w:highlight w:val="none"/>
          <w:lang w:eastAsia="zh-CN"/>
        </w:rPr>
      </w:pPr>
    </w:p>
    <w:p w14:paraId="707EEE0E">
      <w:pPr>
        <w:spacing w:line="24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48"/>
          <w:szCs w:val="48"/>
          <w:highlight w:val="none"/>
          <w:lang w:eastAsia="zh-CN"/>
        </w:rPr>
        <w:t>资格文件</w:t>
      </w:r>
      <w:r>
        <w:rPr>
          <w:rFonts w:hint="eastAsia" w:ascii="仿宋" w:hAnsi="仿宋" w:eastAsia="仿宋" w:cs="仿宋"/>
          <w:b/>
          <w:bCs/>
          <w:color w:val="auto"/>
          <w:sz w:val="48"/>
          <w:szCs w:val="48"/>
          <w:highlight w:val="none"/>
        </w:rPr>
        <w:t>/</w:t>
      </w:r>
      <w:r>
        <w:rPr>
          <w:rFonts w:hint="eastAsia" w:ascii="仿宋" w:hAnsi="仿宋" w:eastAsia="仿宋" w:cs="仿宋"/>
          <w:b/>
          <w:bCs/>
          <w:color w:val="auto"/>
          <w:sz w:val="48"/>
          <w:szCs w:val="48"/>
          <w:highlight w:val="none"/>
          <w:lang w:val="en-US" w:eastAsia="zh-CN"/>
        </w:rPr>
        <w:t>商务</w:t>
      </w:r>
      <w:r>
        <w:rPr>
          <w:rFonts w:hint="eastAsia" w:ascii="仿宋" w:hAnsi="仿宋" w:eastAsia="仿宋" w:cs="仿宋"/>
          <w:b/>
          <w:bCs/>
          <w:color w:val="auto"/>
          <w:sz w:val="48"/>
          <w:szCs w:val="48"/>
          <w:highlight w:val="none"/>
        </w:rPr>
        <w:t>技术文件/报价文件</w:t>
      </w:r>
    </w:p>
    <w:p w14:paraId="303FFAD6">
      <w:pPr>
        <w:ind w:firstLine="0" w:firstLineChars="0"/>
        <w:rPr>
          <w:rFonts w:hint="eastAsia" w:ascii="仿宋" w:hAnsi="仿宋" w:eastAsia="仿宋" w:cs="仿宋"/>
          <w:color w:val="auto"/>
          <w:highlight w:val="none"/>
        </w:rPr>
      </w:pPr>
    </w:p>
    <w:p w14:paraId="05816A65">
      <w:pPr>
        <w:ind w:firstLine="0" w:firstLineChars="0"/>
        <w:rPr>
          <w:rFonts w:hint="eastAsia" w:ascii="仿宋" w:hAnsi="仿宋" w:eastAsia="仿宋" w:cs="仿宋"/>
          <w:color w:val="auto"/>
          <w:highlight w:val="none"/>
        </w:rPr>
      </w:pPr>
    </w:p>
    <w:p w14:paraId="4447D570">
      <w:pPr>
        <w:ind w:firstLine="0" w:firstLineChars="0"/>
        <w:rPr>
          <w:rFonts w:hint="eastAsia" w:ascii="仿宋" w:hAnsi="仿宋" w:eastAsia="仿宋" w:cs="仿宋"/>
          <w:color w:val="auto"/>
          <w:highlight w:val="none"/>
        </w:rPr>
      </w:pPr>
    </w:p>
    <w:p w14:paraId="65365A9A">
      <w:pPr>
        <w:pStyle w:val="121"/>
        <w:rPr>
          <w:rFonts w:hint="eastAsia" w:ascii="仿宋" w:hAnsi="仿宋" w:eastAsia="仿宋" w:cs="仿宋"/>
          <w:color w:val="auto"/>
          <w:highlight w:val="none"/>
        </w:rPr>
      </w:pPr>
    </w:p>
    <w:p w14:paraId="1FAD80CC">
      <w:pPr>
        <w:pStyle w:val="121"/>
        <w:rPr>
          <w:rFonts w:hint="eastAsia" w:ascii="仿宋" w:hAnsi="仿宋" w:eastAsia="仿宋" w:cs="仿宋"/>
          <w:color w:val="auto"/>
          <w:highlight w:val="none"/>
        </w:rPr>
      </w:pPr>
    </w:p>
    <w:p w14:paraId="54D71C73">
      <w:pPr>
        <w:pStyle w:val="121"/>
        <w:rPr>
          <w:rFonts w:hint="eastAsia" w:ascii="仿宋" w:hAnsi="仿宋" w:eastAsia="仿宋" w:cs="仿宋"/>
          <w:color w:val="auto"/>
          <w:highlight w:val="none"/>
        </w:rPr>
      </w:pPr>
    </w:p>
    <w:p w14:paraId="13FE1F8A">
      <w:pPr>
        <w:pStyle w:val="121"/>
        <w:rPr>
          <w:rFonts w:hint="eastAsia" w:ascii="仿宋" w:hAnsi="仿宋" w:eastAsia="仿宋" w:cs="仿宋"/>
          <w:color w:val="auto"/>
          <w:highlight w:val="none"/>
        </w:rPr>
      </w:pPr>
    </w:p>
    <w:p w14:paraId="1CAF85CD">
      <w:pPr>
        <w:pStyle w:val="121"/>
        <w:rPr>
          <w:rFonts w:hint="eastAsia" w:ascii="仿宋" w:hAnsi="仿宋" w:eastAsia="仿宋" w:cs="仿宋"/>
          <w:color w:val="auto"/>
          <w:highlight w:val="none"/>
        </w:rPr>
      </w:pPr>
    </w:p>
    <w:p w14:paraId="592AD5C3">
      <w:pPr>
        <w:pStyle w:val="77"/>
        <w:ind w:left="0" w:leftChars="0" w:firstLine="0" w:firstLineChars="0"/>
        <w:rPr>
          <w:rFonts w:hint="eastAsia" w:ascii="仿宋" w:hAnsi="仿宋" w:eastAsia="仿宋" w:cs="仿宋"/>
          <w:color w:val="auto"/>
          <w:highlight w:val="none"/>
        </w:rPr>
      </w:pPr>
    </w:p>
    <w:p w14:paraId="0A3D42D6">
      <w:pPr>
        <w:rPr>
          <w:rFonts w:hint="eastAsia" w:ascii="仿宋" w:hAnsi="仿宋" w:eastAsia="仿宋" w:cs="仿宋"/>
          <w:color w:val="auto"/>
          <w:highlight w:val="none"/>
        </w:rPr>
      </w:pPr>
    </w:p>
    <w:p w14:paraId="61C27F33">
      <w:pPr>
        <w:rPr>
          <w:rFonts w:hint="eastAsia" w:ascii="仿宋" w:hAnsi="仿宋" w:eastAsia="仿宋" w:cs="仿宋"/>
          <w:color w:val="auto"/>
          <w:highlight w:val="none"/>
        </w:rPr>
      </w:pPr>
    </w:p>
    <w:p w14:paraId="1D9FB4DF">
      <w:pPr>
        <w:ind w:firstLine="480"/>
        <w:rPr>
          <w:rFonts w:hint="eastAsia" w:ascii="仿宋" w:hAnsi="仿宋" w:eastAsia="仿宋" w:cs="仿宋"/>
          <w:color w:val="auto"/>
          <w:highlight w:val="none"/>
        </w:rPr>
      </w:pPr>
    </w:p>
    <w:p w14:paraId="72DE6228">
      <w:pP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43DF2B71">
      <w:pPr>
        <w:widowControl/>
        <w:adjustRightInd/>
        <w:ind w:firstLine="640" w:firstLineChars="200"/>
        <w:jc w:val="both"/>
        <w:rPr>
          <w:rFonts w:hint="eastAsia" w:ascii="仿宋" w:hAnsi="仿宋" w:eastAsia="仿宋" w:cs="仿宋"/>
          <w:b/>
          <w:color w:val="auto"/>
          <w:kern w:val="0"/>
          <w:sz w:val="28"/>
          <w:szCs w:val="28"/>
          <w:lang w:val="zh-CN"/>
        </w:rPr>
      </w:pPr>
      <w:r>
        <w:rPr>
          <w:rFonts w:hint="eastAsia" w:ascii="宋体" w:hAnsi="宋体" w:eastAsia="宋体" w:cs="宋体"/>
          <w:color w:val="auto"/>
          <w:sz w:val="32"/>
          <w:highlight w:val="none"/>
        </w:rPr>
        <w:t>投标人地址：</w:t>
      </w:r>
      <w:r>
        <w:rPr>
          <w:rFonts w:hint="eastAsia" w:ascii="宋体" w:hAnsi="宋体" w:eastAsia="宋体" w:cs="宋体"/>
          <w:color w:val="auto"/>
          <w:sz w:val="32"/>
          <w:highlight w:val="none"/>
          <w:u w:val="single"/>
          <w:lang w:val="en-US" w:eastAsia="zh-CN"/>
        </w:rPr>
        <w:t xml:space="preserve">                           </w:t>
      </w:r>
    </w:p>
    <w:p w14:paraId="0A3B88B7">
      <w:pPr>
        <w:spacing w:beforeLines="0" w:afterLines="0" w:line="360" w:lineRule="auto"/>
        <w:jc w:val="center"/>
        <w:outlineLvl w:val="0"/>
        <w:rPr>
          <w:rFonts w:hint="eastAsia" w:ascii="宋体" w:hAnsi="宋体" w:eastAsia="宋体" w:cs="宋体"/>
          <w:b/>
          <w:color w:val="auto"/>
          <w:sz w:val="36"/>
          <w:szCs w:val="36"/>
          <w:highlight w:val="none"/>
        </w:rPr>
      </w:pPr>
    </w:p>
    <w:p w14:paraId="55319B1E">
      <w:pPr>
        <w:pStyle w:val="78"/>
        <w:rPr>
          <w:rFonts w:hint="eastAsia"/>
        </w:rPr>
      </w:pPr>
    </w:p>
    <w:p w14:paraId="12D351D8">
      <w:pPr>
        <w:spacing w:beforeLines="0" w:afterLines="0" w:line="360" w:lineRule="auto"/>
        <w:jc w:val="both"/>
        <w:outlineLvl w:val="0"/>
        <w:rPr>
          <w:rFonts w:hint="eastAsia" w:ascii="宋体" w:hAnsi="宋体" w:eastAsia="宋体" w:cs="宋体"/>
          <w:b/>
          <w:color w:val="auto"/>
          <w:sz w:val="36"/>
          <w:szCs w:val="36"/>
          <w:highlight w:val="none"/>
        </w:rPr>
      </w:pPr>
    </w:p>
    <w:p w14:paraId="2F3B25F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115DF3E">
      <w:pPr>
        <w:spacing w:line="360" w:lineRule="auto"/>
        <w:jc w:val="center"/>
        <w:outlineLvl w:val="0"/>
        <w:rPr>
          <w:rFonts w:hint="eastAsia" w:ascii="仿宋" w:hAnsi="仿宋" w:eastAsia="仿宋" w:cs="仿宋"/>
          <w:b/>
          <w:kern w:val="0"/>
          <w:sz w:val="36"/>
          <w:szCs w:val="36"/>
          <w:lang w:val="en-US" w:eastAsia="zh-CN"/>
        </w:rPr>
      </w:pPr>
      <w:r>
        <w:rPr>
          <w:rFonts w:hint="eastAsia" w:ascii="仿宋" w:hAnsi="仿宋" w:eastAsia="仿宋" w:cs="仿宋"/>
          <w:b/>
          <w:kern w:val="0"/>
          <w:sz w:val="36"/>
          <w:szCs w:val="36"/>
          <w:lang w:val="en-US" w:eastAsia="zh-CN"/>
        </w:rPr>
        <w:t>目录</w:t>
      </w:r>
    </w:p>
    <w:p w14:paraId="2F0F27B6">
      <w:pPr>
        <w:pStyle w:val="91"/>
        <w:rPr>
          <w:rFonts w:hint="eastAsia" w:ascii="仿宋" w:hAnsi="仿宋" w:eastAsia="仿宋" w:cs="仿宋"/>
          <w:lang w:val="en-US" w:eastAsia="zh-CN"/>
        </w:rPr>
      </w:pPr>
    </w:p>
    <w:p w14:paraId="2273DF0D">
      <w:pPr>
        <w:numPr>
          <w:ilvl w:val="0"/>
          <w:numId w:val="15"/>
        </w:numPr>
        <w:snapToGrid w:val="0"/>
        <w:spacing w:beforeLines="0" w:afterLines="0" w:line="360" w:lineRule="auto"/>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p>
    <w:p w14:paraId="722E9008">
      <w:pPr>
        <w:numPr>
          <w:ilvl w:val="0"/>
          <w:numId w:val="15"/>
        </w:numPr>
        <w:snapToGrid w:val="0"/>
        <w:spacing w:beforeLines="0" w:afterLines="0" w:line="360" w:lineRule="auto"/>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营业执照复印件…………………………………………………………………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p>
    <w:p w14:paraId="2266DCC4">
      <w:pPr>
        <w:numPr>
          <w:ilvl w:val="0"/>
          <w:numId w:val="15"/>
        </w:numPr>
        <w:snapToGrid w:val="0"/>
        <w:spacing w:beforeLines="0" w:afterLines="0" w:line="360" w:lineRule="auto"/>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p>
    <w:p w14:paraId="062888E9">
      <w:pPr>
        <w:numPr>
          <w:ilvl w:val="0"/>
          <w:numId w:val="15"/>
        </w:numPr>
        <w:snapToGrid w:val="0"/>
        <w:spacing w:beforeLines="0" w:afterLines="0" w:line="360" w:lineRule="auto"/>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投标保证金（提供投标保证金缴纳凭证截图</w:t>
      </w:r>
      <w:r>
        <w:rPr>
          <w:rFonts w:hint="eastAsia" w:ascii="仿宋" w:hAnsi="仿宋" w:eastAsia="仿宋" w:cs="仿宋"/>
          <w:b w:val="0"/>
          <w:bCs/>
          <w:color w:val="auto"/>
          <w:sz w:val="24"/>
          <w:szCs w:val="24"/>
          <w:lang w:val="en-US" w:eastAsia="zh-CN"/>
        </w:rPr>
        <w:t>）</w:t>
      </w:r>
      <w:r>
        <w:rPr>
          <w:rFonts w:hint="eastAsia" w:ascii="仿宋" w:hAnsi="仿宋" w:eastAsia="仿宋" w:cs="仿宋"/>
          <w:snapToGrid w:val="0"/>
          <w:color w:val="auto"/>
          <w:kern w:val="28"/>
          <w:sz w:val="24"/>
          <w:szCs w:val="20"/>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p>
    <w:p w14:paraId="18C57B46">
      <w:pPr>
        <w:snapToGrid w:val="0"/>
        <w:spacing w:beforeLines="0" w:afterLines="0" w:line="360" w:lineRule="auto"/>
        <w:rPr>
          <w:rFonts w:hint="default" w:ascii="宋体" w:hAnsi="宋体" w:cs="宋体"/>
          <w:snapToGrid w:val="0"/>
          <w:color w:val="auto"/>
          <w:kern w:val="28"/>
          <w:sz w:val="24"/>
          <w:szCs w:val="20"/>
          <w:highlight w:val="none"/>
          <w:lang w:val="en-US" w:eastAsia="zh-CN"/>
        </w:rPr>
      </w:pPr>
    </w:p>
    <w:p w14:paraId="4CB7BC01">
      <w:pPr>
        <w:pStyle w:val="91"/>
        <w:rPr>
          <w:rFonts w:hint="eastAsia"/>
        </w:rPr>
      </w:pPr>
    </w:p>
    <w:p w14:paraId="5C0A3BB0">
      <w:pPr>
        <w:snapToGrid w:val="0"/>
        <w:spacing w:beforeLines="0" w:afterLines="0" w:line="360" w:lineRule="auto"/>
        <w:rPr>
          <w:rFonts w:hint="eastAsia" w:ascii="宋体" w:hAnsi="宋体" w:eastAsia="宋体" w:cs="宋体"/>
          <w:snapToGrid w:val="0"/>
          <w:color w:val="auto"/>
          <w:kern w:val="28"/>
          <w:sz w:val="24"/>
          <w:szCs w:val="20"/>
          <w:highlight w:val="none"/>
          <w:lang w:val="en-US" w:eastAsia="zh-CN"/>
        </w:rPr>
      </w:pPr>
    </w:p>
    <w:p w14:paraId="0D622AB6">
      <w:pPr>
        <w:pStyle w:val="78"/>
        <w:rPr>
          <w:rFonts w:hint="eastAsia"/>
        </w:rPr>
      </w:pPr>
    </w:p>
    <w:p w14:paraId="49E7F21B">
      <w:pPr>
        <w:spacing w:beforeLines="0" w:afterLines="0" w:line="360" w:lineRule="auto"/>
        <w:ind w:firstLine="480" w:firstLineChars="200"/>
        <w:rPr>
          <w:rFonts w:hint="eastAsia" w:ascii="宋体" w:hAnsi="宋体" w:eastAsia="宋体" w:cs="宋体"/>
          <w:color w:val="auto"/>
          <w:sz w:val="24"/>
          <w:szCs w:val="24"/>
          <w:highlight w:val="none"/>
        </w:rPr>
      </w:pPr>
    </w:p>
    <w:p w14:paraId="5328719D">
      <w:pPr>
        <w:spacing w:beforeLines="0" w:afterLines="0" w:line="360" w:lineRule="auto"/>
        <w:rPr>
          <w:rFonts w:hint="eastAsia" w:ascii="宋体" w:hAnsi="Times New Roman" w:eastAsia="宋体" w:cs="宋体"/>
          <w:color w:val="auto"/>
          <w:sz w:val="21"/>
          <w:szCs w:val="28"/>
          <w:highlight w:val="none"/>
          <w:lang w:val="zh-CN"/>
        </w:rPr>
      </w:pPr>
    </w:p>
    <w:p w14:paraId="2C9C3B2B">
      <w:pPr>
        <w:spacing w:beforeLines="0" w:afterLines="0" w:line="360" w:lineRule="auto"/>
        <w:rPr>
          <w:rFonts w:hint="eastAsia" w:ascii="宋体" w:hAnsi="Times New Roman" w:eastAsia="宋体" w:cs="宋体"/>
          <w:color w:val="auto"/>
          <w:sz w:val="21"/>
          <w:szCs w:val="28"/>
          <w:highlight w:val="none"/>
          <w:lang w:val="zh-CN"/>
        </w:rPr>
      </w:pPr>
    </w:p>
    <w:p w14:paraId="37B31B33">
      <w:pPr>
        <w:spacing w:beforeLines="0" w:afterLines="0" w:line="360" w:lineRule="auto"/>
        <w:rPr>
          <w:rFonts w:hint="eastAsia" w:ascii="宋体" w:hAnsi="Times New Roman" w:eastAsia="宋体" w:cs="宋体"/>
          <w:color w:val="auto"/>
          <w:sz w:val="21"/>
          <w:szCs w:val="28"/>
          <w:highlight w:val="none"/>
          <w:lang w:val="zh-CN"/>
        </w:rPr>
      </w:pPr>
    </w:p>
    <w:p w14:paraId="019938F8">
      <w:pPr>
        <w:spacing w:beforeLines="0" w:afterLines="0" w:line="360" w:lineRule="auto"/>
        <w:rPr>
          <w:rFonts w:hint="eastAsia" w:ascii="宋体" w:hAnsi="Times New Roman" w:eastAsia="宋体" w:cs="宋体"/>
          <w:color w:val="auto"/>
          <w:sz w:val="21"/>
          <w:szCs w:val="28"/>
          <w:highlight w:val="none"/>
          <w:lang w:val="zh-CN"/>
        </w:rPr>
      </w:pPr>
    </w:p>
    <w:p w14:paraId="5E773984">
      <w:pPr>
        <w:spacing w:beforeLines="0" w:afterLines="0" w:line="360" w:lineRule="auto"/>
        <w:rPr>
          <w:rFonts w:hint="eastAsia" w:ascii="宋体" w:hAnsi="Times New Roman" w:eastAsia="宋体" w:cs="宋体"/>
          <w:color w:val="auto"/>
          <w:sz w:val="21"/>
          <w:szCs w:val="28"/>
          <w:highlight w:val="none"/>
          <w:lang w:val="zh-CN"/>
        </w:rPr>
      </w:pPr>
    </w:p>
    <w:p w14:paraId="588AE665">
      <w:pPr>
        <w:spacing w:beforeLines="0" w:afterLines="0" w:line="360" w:lineRule="auto"/>
        <w:rPr>
          <w:rFonts w:hint="eastAsia" w:ascii="宋体" w:hAnsi="Times New Roman" w:eastAsia="宋体" w:cs="宋体"/>
          <w:color w:val="auto"/>
          <w:sz w:val="21"/>
          <w:szCs w:val="28"/>
          <w:highlight w:val="none"/>
          <w:lang w:val="zh-CN"/>
        </w:rPr>
      </w:pPr>
    </w:p>
    <w:p w14:paraId="038AD719">
      <w:pPr>
        <w:spacing w:beforeLines="0" w:afterLines="0" w:line="360" w:lineRule="auto"/>
        <w:rPr>
          <w:rFonts w:hint="eastAsia" w:ascii="宋体" w:hAnsi="Times New Roman" w:eastAsia="宋体" w:cs="宋体"/>
          <w:color w:val="auto"/>
          <w:sz w:val="21"/>
          <w:szCs w:val="28"/>
          <w:highlight w:val="none"/>
          <w:lang w:val="zh-CN"/>
        </w:rPr>
      </w:pPr>
    </w:p>
    <w:p w14:paraId="7E3F7BEC">
      <w:pPr>
        <w:spacing w:beforeLines="0" w:afterLines="0" w:line="360" w:lineRule="auto"/>
        <w:rPr>
          <w:rFonts w:hint="eastAsia" w:ascii="宋体" w:hAnsi="Times New Roman" w:eastAsia="宋体" w:cs="宋体"/>
          <w:color w:val="auto"/>
          <w:sz w:val="21"/>
          <w:szCs w:val="28"/>
          <w:highlight w:val="none"/>
          <w:lang w:val="zh-CN"/>
        </w:rPr>
      </w:pPr>
    </w:p>
    <w:p w14:paraId="1FD82A48">
      <w:pPr>
        <w:pStyle w:val="91"/>
        <w:rPr>
          <w:rFonts w:hint="eastAsia" w:ascii="宋体" w:hAnsi="Times New Roman" w:eastAsia="宋体" w:cs="宋体"/>
          <w:color w:val="auto"/>
          <w:sz w:val="21"/>
          <w:szCs w:val="28"/>
          <w:highlight w:val="none"/>
          <w:lang w:val="zh-CN"/>
        </w:rPr>
      </w:pPr>
    </w:p>
    <w:p w14:paraId="3978FE65">
      <w:pPr>
        <w:pStyle w:val="92"/>
        <w:rPr>
          <w:rFonts w:hint="eastAsia" w:ascii="宋体" w:hAnsi="Times New Roman" w:eastAsia="宋体" w:cs="宋体"/>
          <w:color w:val="auto"/>
          <w:sz w:val="21"/>
          <w:szCs w:val="28"/>
          <w:highlight w:val="none"/>
          <w:lang w:val="zh-CN"/>
        </w:rPr>
      </w:pPr>
    </w:p>
    <w:p w14:paraId="643ED458">
      <w:pPr>
        <w:rPr>
          <w:rFonts w:hint="eastAsia" w:ascii="宋体" w:hAnsi="Times New Roman" w:eastAsia="宋体" w:cs="宋体"/>
          <w:color w:val="auto"/>
          <w:sz w:val="21"/>
          <w:szCs w:val="28"/>
          <w:highlight w:val="none"/>
          <w:lang w:val="zh-CN"/>
        </w:rPr>
      </w:pPr>
    </w:p>
    <w:p w14:paraId="4DA74A05">
      <w:pPr>
        <w:pStyle w:val="91"/>
        <w:rPr>
          <w:rFonts w:hint="eastAsia" w:ascii="宋体" w:hAnsi="Times New Roman" w:eastAsia="宋体" w:cs="宋体"/>
          <w:color w:val="auto"/>
          <w:sz w:val="21"/>
          <w:szCs w:val="28"/>
          <w:highlight w:val="none"/>
          <w:lang w:val="zh-CN"/>
        </w:rPr>
      </w:pPr>
    </w:p>
    <w:p w14:paraId="1FE729E1">
      <w:pPr>
        <w:pStyle w:val="92"/>
        <w:rPr>
          <w:rFonts w:hint="eastAsia"/>
          <w:lang w:val="zh-CN"/>
        </w:rPr>
      </w:pPr>
    </w:p>
    <w:p w14:paraId="4231C9DF">
      <w:pPr>
        <w:spacing w:beforeLines="0" w:afterLines="0" w:line="360" w:lineRule="auto"/>
        <w:rPr>
          <w:rFonts w:hint="eastAsia" w:ascii="宋体" w:hAnsi="Times New Roman" w:eastAsia="宋体" w:cs="宋体"/>
          <w:color w:val="auto"/>
          <w:sz w:val="21"/>
          <w:szCs w:val="28"/>
          <w:highlight w:val="none"/>
          <w:lang w:val="zh-CN"/>
        </w:rPr>
      </w:pPr>
    </w:p>
    <w:p w14:paraId="0034C382">
      <w:pPr>
        <w:spacing w:beforeLines="0" w:afterLines="0" w:line="360" w:lineRule="auto"/>
        <w:rPr>
          <w:rFonts w:hint="eastAsia" w:ascii="宋体" w:hAnsi="Times New Roman" w:eastAsia="宋体" w:cs="宋体"/>
          <w:color w:val="auto"/>
          <w:sz w:val="21"/>
          <w:szCs w:val="28"/>
          <w:highlight w:val="none"/>
          <w:lang w:val="zh-CN"/>
        </w:rPr>
      </w:pPr>
    </w:p>
    <w:p w14:paraId="37B3BF02">
      <w:pPr>
        <w:spacing w:beforeLines="0" w:afterLines="0" w:line="360" w:lineRule="auto"/>
        <w:rPr>
          <w:rFonts w:hint="eastAsia" w:ascii="宋体" w:hAnsi="Times New Roman" w:eastAsia="宋体" w:cs="宋体"/>
          <w:color w:val="auto"/>
          <w:sz w:val="21"/>
          <w:szCs w:val="28"/>
          <w:highlight w:val="none"/>
          <w:lang w:val="zh-CN"/>
        </w:rPr>
      </w:pPr>
    </w:p>
    <w:p w14:paraId="59F58E57">
      <w:pPr>
        <w:spacing w:beforeLines="0" w:afterLines="0" w:line="360" w:lineRule="auto"/>
        <w:rPr>
          <w:rFonts w:hint="eastAsia" w:ascii="宋体" w:hAnsi="Times New Roman" w:eastAsia="宋体" w:cs="宋体"/>
          <w:color w:val="auto"/>
          <w:sz w:val="21"/>
          <w:szCs w:val="28"/>
          <w:highlight w:val="none"/>
          <w:lang w:val="zh-CN"/>
        </w:rPr>
      </w:pPr>
    </w:p>
    <w:p w14:paraId="3EF7EA92">
      <w:pPr>
        <w:spacing w:beforeLines="0" w:afterLines="0" w:line="360" w:lineRule="auto"/>
        <w:rPr>
          <w:rFonts w:hint="eastAsia" w:ascii="宋体" w:hAnsi="Times New Roman" w:eastAsia="宋体" w:cs="宋体"/>
          <w:color w:val="auto"/>
          <w:sz w:val="21"/>
          <w:szCs w:val="28"/>
          <w:highlight w:val="none"/>
          <w:lang w:val="zh-CN"/>
        </w:rPr>
      </w:pPr>
    </w:p>
    <w:p w14:paraId="2A2EA0DB">
      <w:pPr>
        <w:pStyle w:val="91"/>
        <w:rPr>
          <w:rFonts w:hint="eastAsia" w:ascii="宋体" w:hAnsi="Times New Roman" w:eastAsia="宋体" w:cs="宋体"/>
          <w:color w:val="auto"/>
          <w:sz w:val="21"/>
          <w:szCs w:val="28"/>
          <w:highlight w:val="none"/>
          <w:lang w:val="zh-CN"/>
        </w:rPr>
      </w:pPr>
    </w:p>
    <w:p w14:paraId="706855FD">
      <w:pPr>
        <w:snapToGrid w:val="0"/>
        <w:spacing w:beforeLines="0" w:afterLines="0" w:line="360" w:lineRule="auto"/>
        <w:ind w:right="480"/>
        <w:jc w:val="both"/>
        <w:rPr>
          <w:rFonts w:hint="eastAsia" w:ascii="宋体" w:hAnsi="宋体" w:cs="宋体"/>
          <w:b/>
          <w:color w:val="auto"/>
          <w:sz w:val="32"/>
          <w:szCs w:val="32"/>
          <w:highlight w:val="none"/>
          <w:lang w:val="en-US" w:eastAsia="zh-CN"/>
        </w:rPr>
      </w:pPr>
    </w:p>
    <w:p w14:paraId="203E1DF5">
      <w:pPr>
        <w:snapToGrid w:val="0"/>
        <w:spacing w:beforeLines="0" w:afterLines="0" w:line="360" w:lineRule="auto"/>
        <w:ind w:right="48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 符合参加采购活动应当具备的一般条件的承诺函</w:t>
      </w:r>
    </w:p>
    <w:p w14:paraId="40CCA486">
      <w:pPr>
        <w:snapToGrid w:val="0"/>
        <w:spacing w:beforeLines="0" w:afterLines="0" w:line="360" w:lineRule="auto"/>
        <w:rPr>
          <w:rFonts w:hint="eastAsia" w:ascii="仿宋" w:hAnsi="仿宋" w:eastAsia="仿宋" w:cs="仿宋"/>
          <w:color w:val="auto"/>
          <w:sz w:val="24"/>
          <w:szCs w:val="24"/>
          <w:highlight w:val="none"/>
        </w:rPr>
      </w:pPr>
    </w:p>
    <w:p w14:paraId="7D84520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A0B8EAB">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【招标编号：（采购编号）】采购活动</w:t>
      </w:r>
      <w:r>
        <w:rPr>
          <w:rFonts w:hint="eastAsia" w:ascii="仿宋" w:hAnsi="仿宋" w:eastAsia="仿宋" w:cs="仿宋"/>
          <w:sz w:val="24"/>
        </w:rPr>
        <w:t>，郑重承诺：</w:t>
      </w:r>
    </w:p>
    <w:p w14:paraId="578A28F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FCA6B96">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 w:hAnsi="仿宋" w:eastAsia="仿宋" w:cs="仿宋"/>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1FD19AA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0D1D16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81181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BEF9D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5、参加采购活动前三年内，在经营活动中没有重大违法记录；</w:t>
      </w:r>
    </w:p>
    <w:p w14:paraId="690840C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3C5BD3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1EEE2D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DD3175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D065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F8AFE42">
      <w:pPr>
        <w:pStyle w:val="91"/>
        <w:rPr>
          <w:rFonts w:hint="eastAsia" w:ascii="仿宋" w:hAnsi="仿宋" w:eastAsia="仿宋" w:cs="仿宋"/>
          <w:sz w:val="24"/>
        </w:rPr>
      </w:pPr>
    </w:p>
    <w:p w14:paraId="3A0C33AC">
      <w:pPr>
        <w:pStyle w:val="92"/>
        <w:rPr>
          <w:rFonts w:hint="eastAsia" w:ascii="仿宋" w:hAnsi="仿宋" w:eastAsia="仿宋" w:cs="仿宋"/>
          <w:sz w:val="24"/>
        </w:rPr>
      </w:pPr>
    </w:p>
    <w:p w14:paraId="0C97494E">
      <w:pPr>
        <w:rPr>
          <w:rFonts w:hint="eastAsia" w:ascii="仿宋" w:hAnsi="仿宋" w:eastAsia="仿宋" w:cs="仿宋"/>
        </w:rPr>
      </w:pPr>
    </w:p>
    <w:p w14:paraId="1518878E">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627C64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7C5286A">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6E452BAF">
      <w:pPr>
        <w:snapToGrid w:val="0"/>
        <w:spacing w:line="360" w:lineRule="auto"/>
        <w:ind w:right="480"/>
        <w:jc w:val="center"/>
        <w:rPr>
          <w:rFonts w:hint="eastAsia" w:ascii="仿宋" w:hAnsi="仿宋" w:eastAsia="仿宋" w:cs="仿宋"/>
          <w:b/>
          <w:kern w:val="0"/>
          <w:sz w:val="32"/>
          <w:szCs w:val="32"/>
        </w:rPr>
      </w:pPr>
    </w:p>
    <w:p w14:paraId="07B3D04E">
      <w:pPr>
        <w:snapToGrid w:val="0"/>
        <w:spacing w:line="360" w:lineRule="auto"/>
        <w:ind w:right="480"/>
        <w:jc w:val="center"/>
        <w:rPr>
          <w:rFonts w:hint="default" w:ascii="仿宋" w:hAnsi="仿宋" w:eastAsia="仿宋" w:cs="仿宋"/>
          <w:b/>
          <w:strike w:val="0"/>
          <w:dstrike w:val="0"/>
          <w:kern w:val="0"/>
          <w:sz w:val="32"/>
          <w:szCs w:val="32"/>
          <w:lang w:val="en-US" w:eastAsia="zh-CN"/>
        </w:rPr>
      </w:pPr>
      <w:r>
        <w:rPr>
          <w:rFonts w:hint="eastAsia" w:ascii="仿宋" w:hAnsi="仿宋" w:eastAsia="仿宋" w:cs="仿宋"/>
          <w:b/>
          <w:strike w:val="0"/>
          <w:dstrike w:val="0"/>
          <w:kern w:val="0"/>
          <w:sz w:val="32"/>
          <w:szCs w:val="32"/>
          <w:lang w:val="en-US" w:eastAsia="zh-CN"/>
        </w:rPr>
        <w:t>二</w:t>
      </w:r>
      <w:r>
        <w:rPr>
          <w:rFonts w:hint="eastAsia" w:ascii="仿宋" w:hAnsi="仿宋" w:eastAsia="仿宋" w:cs="仿宋"/>
          <w:b/>
          <w:strike w:val="0"/>
          <w:dstrike w:val="0"/>
          <w:kern w:val="0"/>
          <w:sz w:val="32"/>
          <w:szCs w:val="32"/>
        </w:rPr>
        <w:t>、</w:t>
      </w:r>
      <w:r>
        <w:rPr>
          <w:rFonts w:hint="eastAsia" w:ascii="仿宋" w:hAnsi="仿宋" w:eastAsia="仿宋" w:cs="仿宋"/>
          <w:b/>
          <w:strike w:val="0"/>
          <w:dstrike w:val="0"/>
          <w:kern w:val="0"/>
          <w:sz w:val="32"/>
          <w:szCs w:val="32"/>
          <w:lang w:val="en-US" w:eastAsia="zh-CN"/>
        </w:rPr>
        <w:t>营业执照复印件</w:t>
      </w:r>
    </w:p>
    <w:p w14:paraId="1156610E">
      <w:pPr>
        <w:widowControl/>
        <w:spacing w:line="360" w:lineRule="auto"/>
        <w:ind w:left="150"/>
        <w:jc w:val="center"/>
        <w:rPr>
          <w:rFonts w:hint="eastAsia" w:ascii="仿宋" w:hAnsi="仿宋" w:eastAsia="仿宋" w:cs="仿宋"/>
          <w:b/>
          <w:color w:val="auto"/>
          <w:kern w:val="0"/>
          <w:sz w:val="32"/>
          <w:szCs w:val="32"/>
        </w:rPr>
      </w:pPr>
      <w:r>
        <w:rPr>
          <w:rFonts w:hint="eastAsia" w:ascii="仿宋" w:eastAsia="仿宋" w:cs="仿宋"/>
          <w:b w:val="0"/>
          <w:bCs w:val="0"/>
          <w:snapToGrid w:val="0"/>
          <w:color w:val="auto"/>
          <w:kern w:val="28"/>
          <w:sz w:val="24"/>
          <w:szCs w:val="20"/>
        </w:rPr>
        <w:t>（格式自拟）</w:t>
      </w:r>
    </w:p>
    <w:p w14:paraId="72B095A5">
      <w:pPr>
        <w:widowControl/>
        <w:spacing w:line="360" w:lineRule="auto"/>
        <w:ind w:left="150"/>
        <w:jc w:val="center"/>
        <w:rPr>
          <w:rFonts w:hint="eastAsia" w:ascii="仿宋" w:hAnsi="仿宋" w:eastAsia="仿宋" w:cs="仿宋"/>
          <w:b/>
          <w:kern w:val="0"/>
          <w:sz w:val="32"/>
          <w:szCs w:val="32"/>
        </w:rPr>
      </w:pPr>
    </w:p>
    <w:p w14:paraId="781CDE23">
      <w:pPr>
        <w:widowControl/>
        <w:spacing w:line="360" w:lineRule="auto"/>
        <w:ind w:left="150"/>
        <w:jc w:val="center"/>
        <w:rPr>
          <w:rFonts w:hint="eastAsia" w:ascii="仿宋" w:hAnsi="仿宋" w:eastAsia="仿宋" w:cs="仿宋"/>
          <w:b/>
          <w:kern w:val="0"/>
          <w:sz w:val="32"/>
          <w:szCs w:val="32"/>
          <w:lang w:eastAsia="zh-CN"/>
        </w:rPr>
      </w:pPr>
    </w:p>
    <w:p w14:paraId="3AF6BF6C">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、本项目的特定资格要求</w:t>
      </w:r>
    </w:p>
    <w:p w14:paraId="64FEF7F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2EA12B9">
      <w:pPr>
        <w:spacing w:beforeLines="0" w:afterLines="0" w:line="360" w:lineRule="auto"/>
        <w:ind w:right="420"/>
        <w:jc w:val="center"/>
        <w:rPr>
          <w:rFonts w:hint="eastAsia" w:ascii="宋体" w:hAnsi="宋体" w:eastAsia="宋体" w:cs="宋体"/>
          <w:b/>
          <w:color w:val="auto"/>
          <w:sz w:val="36"/>
          <w:szCs w:val="36"/>
          <w:highlight w:val="none"/>
        </w:rPr>
      </w:pPr>
    </w:p>
    <w:p w14:paraId="63A5C34E">
      <w:pPr>
        <w:spacing w:beforeLines="0" w:afterLines="0" w:line="360" w:lineRule="auto"/>
        <w:ind w:right="420"/>
        <w:jc w:val="center"/>
        <w:rPr>
          <w:rFonts w:hint="eastAsia" w:ascii="宋体" w:hAnsi="宋体" w:eastAsia="宋体" w:cs="宋体"/>
          <w:b/>
          <w:color w:val="auto"/>
          <w:sz w:val="36"/>
          <w:szCs w:val="36"/>
          <w:highlight w:val="none"/>
        </w:rPr>
      </w:pPr>
    </w:p>
    <w:p w14:paraId="29E809A6">
      <w:pPr>
        <w:pStyle w:val="91"/>
        <w:rPr>
          <w:rFonts w:hint="eastAsia"/>
        </w:rPr>
      </w:pPr>
    </w:p>
    <w:p w14:paraId="54C96ADF">
      <w:pPr>
        <w:spacing w:beforeLines="0" w:afterLines="0" w:line="360" w:lineRule="auto"/>
        <w:ind w:right="42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投标保证金（提供投标保证金缴纳凭证截图）</w:t>
      </w:r>
    </w:p>
    <w:p w14:paraId="5D9260A9">
      <w:pPr>
        <w:spacing w:beforeLines="0" w:afterLines="0" w:line="360" w:lineRule="auto"/>
        <w:ind w:right="420"/>
        <w:jc w:val="center"/>
        <w:rPr>
          <w:rFonts w:hint="eastAsia" w:ascii="宋体" w:hAnsi="宋体" w:eastAsia="宋体" w:cs="宋体"/>
          <w:b/>
          <w:color w:val="auto"/>
          <w:sz w:val="36"/>
          <w:szCs w:val="36"/>
          <w:highlight w:val="none"/>
        </w:rPr>
      </w:pPr>
    </w:p>
    <w:p w14:paraId="4ACE2C80">
      <w:pPr>
        <w:spacing w:beforeLines="0" w:afterLines="0" w:line="360" w:lineRule="auto"/>
        <w:ind w:right="420"/>
        <w:jc w:val="center"/>
        <w:rPr>
          <w:rFonts w:hint="eastAsia" w:ascii="宋体" w:hAnsi="宋体" w:eastAsia="宋体" w:cs="宋体"/>
          <w:b/>
          <w:color w:val="auto"/>
          <w:sz w:val="36"/>
          <w:szCs w:val="36"/>
          <w:highlight w:val="none"/>
        </w:rPr>
      </w:pPr>
    </w:p>
    <w:p w14:paraId="6B018B60">
      <w:pPr>
        <w:spacing w:beforeLines="0" w:afterLines="0" w:line="360" w:lineRule="auto"/>
        <w:ind w:right="420"/>
        <w:jc w:val="center"/>
        <w:rPr>
          <w:rFonts w:hint="eastAsia" w:ascii="宋体" w:hAnsi="宋体" w:eastAsia="宋体" w:cs="宋体"/>
          <w:b/>
          <w:color w:val="auto"/>
          <w:sz w:val="36"/>
          <w:szCs w:val="36"/>
          <w:highlight w:val="none"/>
        </w:rPr>
      </w:pPr>
    </w:p>
    <w:p w14:paraId="22CA12DF">
      <w:pPr>
        <w:spacing w:beforeLines="0" w:afterLines="0" w:line="360" w:lineRule="auto"/>
        <w:ind w:right="420"/>
        <w:jc w:val="center"/>
        <w:rPr>
          <w:rFonts w:hint="eastAsia" w:ascii="宋体" w:hAnsi="宋体" w:eastAsia="宋体" w:cs="宋体"/>
          <w:b/>
          <w:color w:val="auto"/>
          <w:sz w:val="36"/>
          <w:szCs w:val="36"/>
          <w:highlight w:val="none"/>
        </w:rPr>
      </w:pPr>
    </w:p>
    <w:p w14:paraId="35123E77">
      <w:pPr>
        <w:spacing w:beforeLines="0" w:afterLines="0" w:line="360" w:lineRule="auto"/>
        <w:ind w:right="420"/>
        <w:jc w:val="center"/>
        <w:rPr>
          <w:rFonts w:hint="eastAsia" w:ascii="宋体" w:hAnsi="宋体" w:eastAsia="宋体" w:cs="宋体"/>
          <w:b/>
          <w:color w:val="auto"/>
          <w:sz w:val="36"/>
          <w:szCs w:val="36"/>
          <w:highlight w:val="none"/>
        </w:rPr>
      </w:pPr>
    </w:p>
    <w:p w14:paraId="613D7DD0">
      <w:pPr>
        <w:spacing w:beforeLines="0" w:afterLines="0" w:line="360" w:lineRule="auto"/>
        <w:ind w:right="420"/>
        <w:jc w:val="center"/>
        <w:rPr>
          <w:rFonts w:hint="eastAsia" w:ascii="宋体" w:hAnsi="宋体" w:eastAsia="宋体" w:cs="宋体"/>
          <w:b/>
          <w:color w:val="auto"/>
          <w:sz w:val="36"/>
          <w:szCs w:val="36"/>
          <w:highlight w:val="none"/>
        </w:rPr>
      </w:pPr>
    </w:p>
    <w:p w14:paraId="755815A9">
      <w:pPr>
        <w:spacing w:beforeLines="0" w:afterLines="0" w:line="360" w:lineRule="auto"/>
        <w:ind w:right="420"/>
        <w:jc w:val="center"/>
        <w:rPr>
          <w:rFonts w:hint="eastAsia" w:ascii="宋体" w:hAnsi="宋体" w:eastAsia="宋体" w:cs="宋体"/>
          <w:b/>
          <w:color w:val="auto"/>
          <w:sz w:val="36"/>
          <w:szCs w:val="36"/>
          <w:highlight w:val="none"/>
        </w:rPr>
      </w:pPr>
    </w:p>
    <w:p w14:paraId="1F6CA64E">
      <w:pPr>
        <w:spacing w:beforeLines="0" w:afterLines="0" w:line="360" w:lineRule="auto"/>
        <w:ind w:right="420"/>
        <w:jc w:val="center"/>
        <w:rPr>
          <w:rFonts w:hint="eastAsia" w:ascii="宋体" w:hAnsi="宋体" w:eastAsia="宋体" w:cs="宋体"/>
          <w:b/>
          <w:color w:val="auto"/>
          <w:sz w:val="36"/>
          <w:szCs w:val="36"/>
          <w:highlight w:val="none"/>
        </w:rPr>
      </w:pPr>
    </w:p>
    <w:p w14:paraId="528BC664">
      <w:pPr>
        <w:spacing w:beforeLines="0" w:afterLines="0" w:line="360" w:lineRule="auto"/>
        <w:ind w:right="420"/>
        <w:jc w:val="center"/>
        <w:rPr>
          <w:rFonts w:hint="eastAsia" w:ascii="宋体" w:hAnsi="宋体" w:eastAsia="宋体" w:cs="宋体"/>
          <w:b/>
          <w:color w:val="auto"/>
          <w:sz w:val="36"/>
          <w:szCs w:val="36"/>
          <w:highlight w:val="none"/>
        </w:rPr>
      </w:pPr>
    </w:p>
    <w:p w14:paraId="71A97193">
      <w:pPr>
        <w:spacing w:beforeLines="0" w:afterLines="0" w:line="360" w:lineRule="auto"/>
        <w:ind w:right="420"/>
        <w:jc w:val="center"/>
        <w:rPr>
          <w:rFonts w:hint="eastAsia" w:ascii="宋体" w:hAnsi="宋体" w:eastAsia="宋体" w:cs="宋体"/>
          <w:b/>
          <w:color w:val="auto"/>
          <w:sz w:val="36"/>
          <w:szCs w:val="36"/>
          <w:highlight w:val="none"/>
        </w:rPr>
      </w:pPr>
    </w:p>
    <w:p w14:paraId="2EC5824E">
      <w:pPr>
        <w:spacing w:beforeLines="0" w:afterLines="0" w:line="360" w:lineRule="auto"/>
        <w:ind w:right="420"/>
        <w:jc w:val="center"/>
        <w:rPr>
          <w:rFonts w:hint="eastAsia" w:ascii="宋体" w:hAnsi="宋体" w:eastAsia="宋体" w:cs="宋体"/>
          <w:b/>
          <w:color w:val="auto"/>
          <w:sz w:val="36"/>
          <w:szCs w:val="36"/>
          <w:highlight w:val="none"/>
        </w:rPr>
      </w:pPr>
    </w:p>
    <w:p w14:paraId="427BADE2">
      <w:pPr>
        <w:spacing w:beforeLines="0" w:afterLines="0" w:line="360" w:lineRule="auto"/>
        <w:ind w:right="420"/>
        <w:jc w:val="center"/>
        <w:rPr>
          <w:rFonts w:hint="eastAsia" w:ascii="宋体" w:hAnsi="宋体" w:eastAsia="宋体" w:cs="宋体"/>
          <w:b/>
          <w:color w:val="auto"/>
          <w:sz w:val="36"/>
          <w:szCs w:val="36"/>
          <w:highlight w:val="none"/>
        </w:rPr>
      </w:pPr>
    </w:p>
    <w:p w14:paraId="02078BA8">
      <w:pPr>
        <w:spacing w:beforeLines="0" w:afterLines="0" w:line="360" w:lineRule="auto"/>
        <w:ind w:right="42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商务技术文件部分</w:t>
      </w:r>
    </w:p>
    <w:p w14:paraId="2E8C1381">
      <w:pPr>
        <w:spacing w:beforeLines="0" w:afterLines="0" w:line="360" w:lineRule="auto"/>
        <w:ind w:right="42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127B539E">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lang w:val="zh-CN"/>
        </w:rPr>
      </w:pPr>
    </w:p>
    <w:p w14:paraId="326803FD">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（1）投标函…………………………………………………………………………</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lang w:val="en-US" w:eastAsia="zh-CN" w:bidi="ar-SA"/>
        </w:rPr>
        <w:t>页码）</w:t>
      </w:r>
    </w:p>
    <w:p w14:paraId="4CFE6430">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（2）授权委托书或法定代表人（单位负责人、自然人本人）身份证明………（页码）</w:t>
      </w:r>
    </w:p>
    <w:p w14:paraId="4AEA66B4">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（3）商务技术偏离表………………………………………………………………（页码）</w:t>
      </w:r>
    </w:p>
    <w:p w14:paraId="34A0B62D">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zh-CN" w:eastAsia="zh-CN" w:bidi="ar-SA"/>
        </w:rPr>
        <w:t>采购供应商廉洁自律承诺书</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val="0"/>
          <w:bCs w:val="0"/>
          <w:color w:val="auto"/>
          <w:kern w:val="0"/>
          <w:sz w:val="24"/>
          <w:szCs w:val="24"/>
          <w:lang w:val="zh-CN" w:eastAsia="zh-CN" w:bidi="ar-SA"/>
        </w:rPr>
        <w:t>…</w:t>
      </w:r>
      <w:r>
        <w:rPr>
          <w:rFonts w:hint="eastAsia" w:ascii="仿宋" w:hAnsi="仿宋" w:eastAsia="仿宋" w:cs="仿宋"/>
          <w:b w:val="0"/>
          <w:bCs w:val="0"/>
          <w:color w:val="auto"/>
          <w:kern w:val="0"/>
          <w:sz w:val="24"/>
          <w:szCs w:val="24"/>
          <w:lang w:val="en-US" w:eastAsia="zh-CN" w:bidi="ar-SA"/>
        </w:rPr>
        <w:t>…（页码）</w:t>
      </w:r>
    </w:p>
    <w:p w14:paraId="43F9154E">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（5）同类似</w:t>
      </w:r>
      <w:r>
        <w:rPr>
          <w:rFonts w:hint="eastAsia" w:ascii="仿宋" w:hAnsi="仿宋" w:eastAsia="仿宋" w:cs="仿宋"/>
          <w:b w:val="0"/>
          <w:bCs w:val="0"/>
          <w:color w:val="auto"/>
          <w:kern w:val="0"/>
          <w:sz w:val="24"/>
          <w:szCs w:val="24"/>
          <w:lang w:val="zh-CN" w:eastAsia="zh-CN" w:bidi="ar-SA"/>
        </w:rPr>
        <w:t>业绩…………………………………………………</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val="0"/>
          <w:bCs w:val="0"/>
          <w:color w:val="auto"/>
          <w:kern w:val="0"/>
          <w:sz w:val="24"/>
          <w:szCs w:val="24"/>
          <w:lang w:val="zh-CN" w:eastAsia="zh-CN" w:bidi="ar-SA"/>
        </w:rPr>
        <w:t>…</w:t>
      </w:r>
      <w:r>
        <w:rPr>
          <w:rFonts w:hint="eastAsia" w:ascii="仿宋" w:hAnsi="仿宋" w:eastAsia="仿宋" w:cs="仿宋"/>
          <w:b w:val="0"/>
          <w:bCs w:val="0"/>
          <w:color w:val="auto"/>
          <w:kern w:val="0"/>
          <w:sz w:val="24"/>
          <w:szCs w:val="24"/>
          <w:lang w:val="en-US" w:eastAsia="zh-CN" w:bidi="ar-SA"/>
        </w:rPr>
        <w:t>…（页码）</w:t>
      </w:r>
    </w:p>
    <w:p w14:paraId="00026767">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（6）项目负责人情况表……………………………………………………………（页码）</w:t>
      </w:r>
    </w:p>
    <w:p w14:paraId="575923BC">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（7）本项目服务人员配备表………………………………………………………（页码）</w:t>
      </w:r>
    </w:p>
    <w:p w14:paraId="4D927DAF">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（8）运维组织架构体系……………………………………………………………（页码）</w:t>
      </w:r>
    </w:p>
    <w:p w14:paraId="1E19264B">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（9）运维目标和标准………………………………………………………………（页码）</w:t>
      </w:r>
    </w:p>
    <w:p w14:paraId="62DDFDAE">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（10）运维方案及重难点……………………………………………………………(页码）</w:t>
      </w:r>
    </w:p>
    <w:p w14:paraId="17AEF007">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（11）安全文明生产…………………………………………………………………(页码）</w:t>
      </w:r>
    </w:p>
    <w:p w14:paraId="03E44064">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（12）拟投入设备……………………………………………………………………(页码）</w:t>
      </w:r>
    </w:p>
    <w:p w14:paraId="4581CA47">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（13）档案资料整理归档……………………………………………………………(页码）</w:t>
      </w:r>
    </w:p>
    <w:p w14:paraId="4957F3EC">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（14）保密措施………………………………………………………………………(页码）</w:t>
      </w:r>
    </w:p>
    <w:p w14:paraId="33BE1446">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（15）培训计划………………………………………………………………………(页码）</w:t>
      </w:r>
    </w:p>
    <w:p w14:paraId="10DECD7B">
      <w:pPr>
        <w:pStyle w:val="246"/>
        <w:numPr>
          <w:ilvl w:val="0"/>
          <w:numId w:val="0"/>
        </w:numPr>
        <w:spacing w:line="336" w:lineRule="auto"/>
        <w:ind w:left="0" w:leftChars="0" w:firstLine="0" w:firstLineChars="0"/>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（16）防汛应急抢险预案……………………………………………………………(页码）</w:t>
      </w:r>
    </w:p>
    <w:p w14:paraId="24EAD8A5">
      <w:pPr>
        <w:pStyle w:val="246"/>
        <w:numPr>
          <w:ilvl w:val="0"/>
          <w:numId w:val="0"/>
        </w:numPr>
        <w:spacing w:line="336" w:lineRule="auto"/>
        <w:ind w:left="0" w:leftChars="0" w:firstLine="0" w:firstLineChars="0"/>
        <w:jc w:val="both"/>
        <w:rPr>
          <w:rFonts w:hint="default" w:ascii="宋体" w:hAnsi="宋体" w:eastAsia="宋体" w:cs="宋体"/>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（17）</w:t>
      </w:r>
      <w:r>
        <w:rPr>
          <w:rFonts w:hint="eastAsia" w:ascii="仿宋" w:hAnsi="仿宋" w:eastAsia="仿宋" w:cs="仿宋"/>
          <w:b w:val="0"/>
          <w:bCs w:val="0"/>
          <w:color w:val="auto"/>
          <w:kern w:val="0"/>
          <w:sz w:val="24"/>
          <w:szCs w:val="24"/>
          <w:lang w:val="zh-CN" w:eastAsia="zh-CN" w:bidi="ar-SA"/>
        </w:rPr>
        <w:t>认为需要的其他商务技术（资信）文件或说明…………</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val="0"/>
          <w:bCs w:val="0"/>
          <w:color w:val="auto"/>
          <w:kern w:val="0"/>
          <w:sz w:val="24"/>
          <w:szCs w:val="24"/>
          <w:lang w:val="zh-CN" w:eastAsia="zh-CN" w:bidi="ar-SA"/>
        </w:rPr>
        <w:t>…</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val="0"/>
          <w:bCs w:val="0"/>
          <w:color w:val="auto"/>
          <w:kern w:val="0"/>
          <w:sz w:val="24"/>
          <w:szCs w:val="24"/>
          <w:lang w:val="zh-CN" w:eastAsia="zh-CN" w:bidi="ar-SA"/>
        </w:rPr>
        <w:t>…</w:t>
      </w:r>
      <w:r>
        <w:rPr>
          <w:rFonts w:hint="eastAsia" w:ascii="仿宋" w:hAnsi="仿宋" w:eastAsia="仿宋" w:cs="仿宋"/>
          <w:b w:val="0"/>
          <w:bCs w:val="0"/>
          <w:color w:val="auto"/>
          <w:kern w:val="0"/>
          <w:sz w:val="24"/>
          <w:szCs w:val="24"/>
          <w:lang w:val="en-US" w:eastAsia="zh-CN" w:bidi="ar-SA"/>
        </w:rPr>
        <w:t>…(页码）</w:t>
      </w:r>
    </w:p>
    <w:p w14:paraId="17131E37">
      <w:pPr>
        <w:pStyle w:val="246"/>
        <w:numPr>
          <w:ilvl w:val="0"/>
          <w:numId w:val="0"/>
        </w:numPr>
        <w:spacing w:line="336" w:lineRule="auto"/>
        <w:ind w:left="0" w:leftChars="0" w:firstLine="0" w:firstLineChars="0"/>
        <w:jc w:val="both"/>
        <w:rPr>
          <w:rFonts w:hint="eastAsia" w:ascii="宋体" w:hAnsi="宋体" w:eastAsia="宋体" w:cs="宋体"/>
          <w:b w:val="0"/>
          <w:bCs w:val="0"/>
          <w:color w:val="auto"/>
          <w:kern w:val="0"/>
          <w:sz w:val="24"/>
          <w:szCs w:val="24"/>
          <w:lang w:val="zh-CN" w:eastAsia="zh-CN" w:bidi="ar-SA"/>
        </w:rPr>
      </w:pPr>
    </w:p>
    <w:p w14:paraId="65A434F2">
      <w:pPr>
        <w:spacing w:beforeLines="0" w:afterLines="0" w:line="360" w:lineRule="auto"/>
        <w:rPr>
          <w:rFonts w:hint="eastAsia" w:ascii="宋体" w:hAnsi="Times New Roman" w:eastAsia="宋体" w:cs="宋体"/>
          <w:color w:val="auto"/>
          <w:sz w:val="21"/>
          <w:szCs w:val="28"/>
          <w:highlight w:val="none"/>
          <w:lang w:val="zh-CN"/>
        </w:rPr>
      </w:pPr>
    </w:p>
    <w:p w14:paraId="19D9B155">
      <w:pPr>
        <w:spacing w:beforeLines="0" w:afterLines="0" w:line="360" w:lineRule="auto"/>
        <w:rPr>
          <w:rFonts w:hint="eastAsia" w:ascii="宋体" w:hAnsi="Times New Roman" w:eastAsia="宋体" w:cs="宋体"/>
          <w:color w:val="auto"/>
          <w:sz w:val="21"/>
          <w:szCs w:val="28"/>
          <w:highlight w:val="none"/>
          <w:lang w:val="zh-CN"/>
        </w:rPr>
      </w:pPr>
    </w:p>
    <w:p w14:paraId="52BAD18B">
      <w:pPr>
        <w:spacing w:beforeLines="0" w:afterLines="0" w:line="360" w:lineRule="auto"/>
        <w:rPr>
          <w:rFonts w:hint="eastAsia" w:ascii="宋体" w:hAnsi="Times New Roman" w:eastAsia="宋体" w:cs="宋体"/>
          <w:color w:val="auto"/>
          <w:sz w:val="21"/>
          <w:szCs w:val="28"/>
          <w:highlight w:val="none"/>
          <w:lang w:val="zh-CN"/>
        </w:rPr>
      </w:pPr>
    </w:p>
    <w:p w14:paraId="58B48A17">
      <w:pPr>
        <w:spacing w:beforeLines="0" w:afterLines="0" w:line="360" w:lineRule="auto"/>
        <w:rPr>
          <w:rFonts w:hint="eastAsia" w:ascii="宋体" w:hAnsi="Times New Roman" w:eastAsia="宋体" w:cs="宋体"/>
          <w:color w:val="auto"/>
          <w:sz w:val="21"/>
          <w:szCs w:val="28"/>
          <w:highlight w:val="none"/>
          <w:lang w:val="zh-CN"/>
        </w:rPr>
      </w:pPr>
    </w:p>
    <w:p w14:paraId="43C5D1EF">
      <w:pPr>
        <w:spacing w:beforeLines="0" w:afterLines="0" w:line="360" w:lineRule="auto"/>
        <w:rPr>
          <w:rFonts w:hint="eastAsia" w:ascii="宋体" w:hAnsi="Times New Roman" w:eastAsia="宋体" w:cs="宋体"/>
          <w:color w:val="auto"/>
          <w:sz w:val="21"/>
          <w:szCs w:val="28"/>
          <w:highlight w:val="none"/>
          <w:lang w:val="zh-CN"/>
        </w:rPr>
      </w:pPr>
    </w:p>
    <w:p w14:paraId="2DA8C8C5">
      <w:pPr>
        <w:jc w:val="center"/>
        <w:rPr>
          <w:rFonts w:hint="eastAsia" w:ascii="仿宋" w:hAnsi="仿宋" w:eastAsia="仿宋" w:cs="仿宋"/>
          <w:b/>
          <w:color w:val="auto"/>
          <w:sz w:val="32"/>
          <w:szCs w:val="32"/>
          <w:highlight w:val="none"/>
          <w:lang w:val="en-US" w:eastAsia="zh-CN"/>
        </w:rPr>
      </w:pPr>
    </w:p>
    <w:p w14:paraId="3C25E5C7">
      <w:pPr>
        <w:jc w:val="center"/>
        <w:rPr>
          <w:rFonts w:hint="eastAsia" w:ascii="仿宋" w:hAnsi="仿宋" w:eastAsia="仿宋" w:cs="仿宋"/>
          <w:b/>
          <w:color w:val="auto"/>
          <w:sz w:val="32"/>
          <w:szCs w:val="32"/>
          <w:highlight w:val="none"/>
          <w:lang w:val="en-US" w:eastAsia="zh-CN"/>
        </w:rPr>
      </w:pPr>
    </w:p>
    <w:p w14:paraId="585CCF3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、投标函</w:t>
      </w:r>
    </w:p>
    <w:p w14:paraId="1C41D585">
      <w:pPr>
        <w:pStyle w:val="107"/>
        <w:keepNext w:val="0"/>
        <w:keepLines w:val="0"/>
        <w:pageBreakBefore w:val="0"/>
        <w:kinsoku/>
        <w:wordWrap/>
        <w:overflowPunct/>
        <w:topLinePunct w:val="0"/>
        <w:autoSpaceDE/>
        <w:autoSpaceDN/>
        <w:bidi w:val="0"/>
        <w:adjustRightInd/>
        <w:spacing w:after="0" w:line="400" w:lineRule="exact"/>
        <w:ind w:firstLine="0" w:firstLineChars="0"/>
        <w:textAlignment w:val="auto"/>
        <w:rPr>
          <w:rFonts w:hint="eastAsia" w:ascii="仿宋" w:hAnsi="仿宋" w:eastAsia="仿宋" w:cs="仿宋"/>
          <w:sz w:val="24"/>
          <w:szCs w:val="24"/>
          <w:lang w:val="en-US" w:eastAsia="zh-CN"/>
        </w:rPr>
      </w:pPr>
      <w:bookmarkStart w:id="185" w:name="_Toc3197"/>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5BF0E43D">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6C528209">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57121712">
      <w:pPr>
        <w:pStyle w:val="14"/>
        <w:keepNext w:val="0"/>
        <w:keepLines w:val="0"/>
        <w:pageBreakBefore w:val="0"/>
        <w:numPr>
          <w:ilvl w:val="0"/>
          <w:numId w:val="0"/>
        </w:numPr>
        <w:kinsoku/>
        <w:wordWrap/>
        <w:overflowPunct/>
        <w:topLinePunct w:val="0"/>
        <w:autoSpaceDE/>
        <w:autoSpaceDN/>
        <w:bidi w:val="0"/>
        <w:adjustRightInd/>
        <w:spacing w:after="0" w:line="400" w:lineRule="exact"/>
        <w:ind w:left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25D1DF10">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2.我方承诺已经具备《中华人民共和国政府采购法》中规定的参加采购活动的供应商应当具备的条件。</w:t>
      </w:r>
    </w:p>
    <w:p w14:paraId="7F54D5A6">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0052CE78">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7B4D6F8B">
      <w:pPr>
        <w:pStyle w:val="14"/>
        <w:keepNext w:val="0"/>
        <w:keepLines w:val="0"/>
        <w:pageBreakBefore w:val="0"/>
        <w:numPr>
          <w:ilvl w:val="0"/>
          <w:numId w:val="0"/>
        </w:numPr>
        <w:kinsoku/>
        <w:wordWrap/>
        <w:overflowPunct/>
        <w:topLinePunct w:val="0"/>
        <w:autoSpaceDE/>
        <w:autoSpaceDN/>
        <w:bidi w:val="0"/>
        <w:adjustRightInd/>
        <w:spacing w:after="0" w:line="400" w:lineRule="exact"/>
        <w:ind w:left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67CB39E6">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7DFD30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5341FAD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399249A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025194D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6A8EF5E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5236194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62357A0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6EB37215">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37F18020">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3C86CE55">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250A7F6A">
      <w:pPr>
        <w:pStyle w:val="107"/>
        <w:keepNext w:val="0"/>
        <w:keepLines w:val="0"/>
        <w:pageBreakBefore w:val="0"/>
        <w:kinsoku/>
        <w:wordWrap/>
        <w:overflowPunct/>
        <w:topLinePunct w:val="0"/>
        <w:autoSpaceDE/>
        <w:autoSpaceDN/>
        <w:bidi w:val="0"/>
        <w:adjustRightInd/>
        <w:spacing w:after="0"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6FA34FF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sz w:val="24"/>
          <w:szCs w:val="24"/>
        </w:rPr>
      </w:pPr>
    </w:p>
    <w:p w14:paraId="1E3E990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b/>
          <w:kern w:val="0"/>
          <w:sz w:val="24"/>
          <w:szCs w:val="24"/>
        </w:rPr>
      </w:pPr>
      <w:r>
        <w:rPr>
          <w:rFonts w:hint="eastAsia" w:ascii="仿宋" w:hAnsi="仿宋" w:eastAsia="仿宋" w:cs="仿宋"/>
          <w:sz w:val="24"/>
          <w:szCs w:val="24"/>
        </w:rPr>
        <w:t xml:space="preserve">投标人(电子签章)：　　　　　　　　　日期：  </w:t>
      </w:r>
    </w:p>
    <w:p w14:paraId="6103E3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lang w:eastAsia="zh-CN"/>
        </w:rPr>
      </w:pPr>
      <w:r>
        <w:rPr>
          <w:rFonts w:hint="eastAsia" w:ascii="宋体" w:hAnsi="宋体" w:cs="宋体"/>
          <w:b/>
          <w:sz w:val="32"/>
          <w:szCs w:val="32"/>
          <w:lang w:val="en-US" w:eastAsia="zh-CN"/>
        </w:rPr>
        <w:t>二</w:t>
      </w:r>
      <w:r>
        <w:rPr>
          <w:rFonts w:hint="eastAsia" w:ascii="宋体" w:hAnsi="宋体" w:eastAsia="宋体" w:cs="宋体"/>
          <w:b/>
          <w:sz w:val="32"/>
          <w:szCs w:val="32"/>
        </w:rPr>
        <w:t>、</w:t>
      </w:r>
      <w:r>
        <w:rPr>
          <w:rFonts w:hint="eastAsia" w:ascii="仿宋" w:hAnsi="仿宋" w:eastAsia="仿宋" w:cs="仿宋"/>
          <w:b/>
          <w:bCs/>
          <w:color w:val="auto"/>
          <w:sz w:val="32"/>
          <w:szCs w:val="32"/>
          <w:highlight w:val="none"/>
          <w:lang w:val="zh-CN" w:eastAsia="zh-CN"/>
        </w:rPr>
        <w:t>授权委托书或法定代表人（单位负责人、自然人本人）身份证明</w:t>
      </w:r>
    </w:p>
    <w:p w14:paraId="3D24092E">
      <w:pPr>
        <w:spacing w:line="50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en-US" w:eastAsia="zh-CN"/>
        </w:rPr>
        <w:t>1.</w:t>
      </w:r>
      <w:r>
        <w:rPr>
          <w:rFonts w:hint="eastAsia" w:ascii="仿宋" w:hAnsi="仿宋" w:eastAsia="仿宋" w:cs="仿宋"/>
          <w:b/>
          <w:bCs/>
          <w:color w:val="auto"/>
          <w:kern w:val="0"/>
          <w:sz w:val="32"/>
          <w:szCs w:val="32"/>
          <w:highlight w:val="none"/>
        </w:rPr>
        <w:t>法定代表人身份证明</w:t>
      </w:r>
    </w:p>
    <w:p w14:paraId="27A34015">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14:paraId="2BB1AB1D">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3A1D528">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6CAF2A24">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7234415A">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4B519836">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7A989605">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2A76BCDD">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16CCBB08">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4C3F8BEF">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供应商名称）的法定代表人。</w:t>
      </w:r>
    </w:p>
    <w:p w14:paraId="29225D07">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4937F87">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328F227">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4AA8AFC">
      <w:pPr>
        <w:keepNext w:val="0"/>
        <w:keepLines w:val="0"/>
        <w:pageBreakBefore w:val="0"/>
        <w:widowControl/>
        <w:kinsoku/>
        <w:wordWrap/>
        <w:overflowPunct/>
        <w:topLinePunct w:val="0"/>
        <w:autoSpaceDE/>
        <w:autoSpaceDN/>
        <w:bidi w:val="0"/>
        <w:adjustRightInd/>
        <w:snapToGrid/>
        <w:spacing w:line="360" w:lineRule="auto"/>
        <w:ind w:right="0" w:firstLine="5308" w:firstLineChars="2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4C788D81">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u w:val="single"/>
        </w:rPr>
      </w:pPr>
    </w:p>
    <w:p w14:paraId="04572001">
      <w:pPr>
        <w:keepNext w:val="0"/>
        <w:keepLines w:val="0"/>
        <w:pageBreakBefore w:val="0"/>
        <w:widowControl/>
        <w:kinsoku/>
        <w:wordWrap/>
        <w:overflowPunct/>
        <w:topLinePunct w:val="0"/>
        <w:autoSpaceDE/>
        <w:autoSpaceDN/>
        <w:bidi w:val="0"/>
        <w:adjustRightInd/>
        <w:snapToGrid/>
        <w:spacing w:line="360" w:lineRule="auto"/>
        <w:ind w:right="0" w:firstLine="6120" w:firstLineChars="25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日 </w:t>
      </w:r>
    </w:p>
    <w:p w14:paraId="67DC24E1">
      <w:pPr>
        <w:pStyle w:val="41"/>
        <w:spacing w:line="440" w:lineRule="atLeast"/>
        <w:jc w:val="center"/>
        <w:rPr>
          <w:rFonts w:hint="eastAsia" w:ascii="仿宋" w:hAnsi="仿宋" w:eastAsia="仿宋" w:cs="仿宋"/>
          <w:b/>
          <w:color w:val="auto"/>
          <w:kern w:val="2"/>
          <w:sz w:val="24"/>
          <w:szCs w:val="24"/>
          <w:highlight w:val="none"/>
        </w:rPr>
      </w:pPr>
    </w:p>
    <w:p w14:paraId="2C9589CC">
      <w:pPr>
        <w:pStyle w:val="41"/>
        <w:spacing w:line="440" w:lineRule="atLeas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附：法定代表人身份证扫描件</w:t>
      </w:r>
    </w:p>
    <w:tbl>
      <w:tblPr>
        <w:tblStyle w:val="8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5A3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noWrap w:val="0"/>
            <w:vAlign w:val="top"/>
          </w:tcPr>
          <w:p w14:paraId="2104E6AC">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2D13D4C9">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6A0D6150">
      <w:pPr>
        <w:pStyle w:val="41"/>
        <w:spacing w:line="440" w:lineRule="atLeast"/>
        <w:jc w:val="left"/>
        <w:rPr>
          <w:rFonts w:hint="eastAsia" w:ascii="仿宋" w:hAnsi="仿宋" w:eastAsia="仿宋" w:cs="仿宋"/>
          <w:bCs/>
          <w:color w:val="auto"/>
          <w:kern w:val="2"/>
          <w:sz w:val="24"/>
          <w:szCs w:val="24"/>
          <w:highlight w:val="none"/>
          <w:lang w:val="en-US" w:eastAsia="zh-CN" w:bidi="ar-SA"/>
        </w:rPr>
      </w:pPr>
    </w:p>
    <w:p w14:paraId="2F772DE5">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kern w:val="2"/>
          <w:sz w:val="32"/>
          <w:szCs w:val="32"/>
          <w:highlight w:val="none"/>
        </w:rPr>
        <w:t>法定代表人授权委托书</w:t>
      </w:r>
    </w:p>
    <w:p w14:paraId="7CEEEA10">
      <w:pPr>
        <w:rPr>
          <w:rFonts w:hint="eastAsia" w:ascii="仿宋" w:hAnsi="仿宋" w:eastAsia="仿宋" w:cs="仿宋"/>
          <w:color w:val="auto"/>
          <w:sz w:val="24"/>
          <w:szCs w:val="24"/>
          <w:highlight w:val="none"/>
        </w:rPr>
      </w:pPr>
    </w:p>
    <w:p w14:paraId="48DCEEE5">
      <w:pPr>
        <w:keepNext w:val="0"/>
        <w:keepLines w:val="0"/>
        <w:pageBreakBefore w:val="0"/>
        <w:kinsoku/>
        <w:wordWrap/>
        <w:overflowPunct/>
        <w:topLinePunct w:val="0"/>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投标活动。授权代表在开标、评标、合同</w:t>
      </w:r>
      <w:r>
        <w:rPr>
          <w:rFonts w:hint="eastAsia" w:ascii="仿宋" w:hAnsi="仿宋" w:eastAsia="仿宋" w:cs="仿宋"/>
          <w:color w:val="auto"/>
          <w:sz w:val="24"/>
          <w:lang w:val="en-US" w:eastAsia="zh-CN"/>
        </w:rPr>
        <w:t>签订</w:t>
      </w:r>
      <w:r>
        <w:rPr>
          <w:rFonts w:hint="eastAsia" w:ascii="仿宋" w:hAnsi="仿宋" w:eastAsia="仿宋" w:cs="仿宋"/>
          <w:color w:val="auto"/>
          <w:sz w:val="24"/>
        </w:rPr>
        <w:t>过程中所签署的一切文件和处理与之有关的一切事务，我均予以承认。</w:t>
      </w:r>
    </w:p>
    <w:p w14:paraId="67DDCAF7">
      <w:pPr>
        <w:keepNext w:val="0"/>
        <w:keepLines w:val="0"/>
        <w:pageBreakBefore w:val="0"/>
        <w:kinsoku/>
        <w:wordWrap/>
        <w:overflowPunct/>
        <w:topLinePunct w:val="0"/>
        <w:bidi w:val="0"/>
        <w:adjustRightInd/>
        <w:snapToGrid w:val="0"/>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367E602">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3145A390">
      <w:pPr>
        <w:pStyle w:val="78"/>
        <w:keepNext w:val="0"/>
        <w:keepLines w:val="0"/>
        <w:pageBreakBefore w:val="0"/>
        <w:kinsoku/>
        <w:wordWrap/>
        <w:overflowPunct/>
        <w:topLinePunct w:val="0"/>
        <w:bidi w:val="0"/>
        <w:adjustRightInd/>
        <w:spacing w:line="400" w:lineRule="exact"/>
        <w:textAlignment w:val="auto"/>
        <w:rPr>
          <w:rFonts w:hint="eastAsia"/>
          <w:color w:val="auto"/>
        </w:rPr>
      </w:pPr>
    </w:p>
    <w:p w14:paraId="231D9A55">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授权代表姓名：              性别：               年龄：</w:t>
      </w:r>
    </w:p>
    <w:p w14:paraId="031C1A05">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单位：                      部门：               职务：</w:t>
      </w:r>
    </w:p>
    <w:p w14:paraId="733564EE">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14:paraId="00D53137">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投标人（电子签章）：</w:t>
      </w:r>
    </w:p>
    <w:p w14:paraId="4D61E11F">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45C2FF8B">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color w:val="auto"/>
          <w:sz w:val="24"/>
        </w:rPr>
      </w:pPr>
    </w:p>
    <w:p w14:paraId="4A83371C">
      <w:pPr>
        <w:keepNext w:val="0"/>
        <w:keepLines w:val="0"/>
        <w:pageBreakBefore w:val="0"/>
        <w:kinsoku/>
        <w:wordWrap/>
        <w:overflowPunct/>
        <w:topLinePunct w:val="0"/>
        <w:bidi w:val="0"/>
        <w:adjustRightInd/>
        <w:spacing w:line="400" w:lineRule="exact"/>
        <w:ind w:firstLine="5280" w:firstLineChars="2200"/>
        <w:jc w:val="left"/>
        <w:textAlignment w:val="auto"/>
        <w:rPr>
          <w:rFonts w:hint="eastAsia" w:ascii="仿宋" w:hAnsi="仿宋" w:eastAsia="仿宋" w:cs="仿宋"/>
          <w:color w:val="auto"/>
          <w:sz w:val="24"/>
        </w:rPr>
      </w:pPr>
      <w:r>
        <w:rPr>
          <w:rFonts w:hint="eastAsia" w:ascii="仿宋" w:hAnsi="仿宋" w:eastAsia="仿宋" w:cs="仿宋"/>
          <w:color w:val="auto"/>
          <w:sz w:val="24"/>
        </w:rPr>
        <w:t>日期：    年   月   日</w:t>
      </w:r>
    </w:p>
    <w:p w14:paraId="0B614941">
      <w:pPr>
        <w:keepNext w:val="0"/>
        <w:keepLines w:val="0"/>
        <w:pageBreakBefore w:val="0"/>
        <w:kinsoku/>
        <w:wordWrap/>
        <w:overflowPunct/>
        <w:topLinePunct w:val="0"/>
        <w:autoSpaceDE w:val="0"/>
        <w:autoSpaceDN w:val="0"/>
        <w:bidi w:val="0"/>
        <w:adjustRightInd/>
        <w:spacing w:line="400" w:lineRule="exact"/>
        <w:jc w:val="center"/>
        <w:textAlignment w:val="auto"/>
        <w:rPr>
          <w:rFonts w:hint="eastAsia" w:ascii="仿宋" w:hAnsi="仿宋" w:eastAsia="仿宋" w:cs="仿宋"/>
          <w:color w:val="auto"/>
          <w:sz w:val="24"/>
          <w:szCs w:val="24"/>
          <w:highlight w:val="none"/>
        </w:rPr>
      </w:pPr>
    </w:p>
    <w:p w14:paraId="435CF2DD">
      <w:pPr>
        <w:pStyle w:val="559"/>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附：</w:t>
      </w: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szCs w:val="24"/>
          <w:highlight w:val="none"/>
          <w:lang w:eastAsia="zh-CN"/>
        </w:rPr>
        <w:t>及</w:t>
      </w:r>
      <w:r>
        <w:rPr>
          <w:rFonts w:hint="eastAsia" w:ascii="仿宋" w:hAnsi="仿宋" w:eastAsia="仿宋" w:cs="仿宋"/>
          <w:bCs/>
          <w:color w:val="auto"/>
          <w:sz w:val="24"/>
          <w:szCs w:val="24"/>
          <w:highlight w:val="none"/>
        </w:rPr>
        <w:t>授权代表身份证件扫描件：</w:t>
      </w:r>
    </w:p>
    <w:tbl>
      <w:tblPr>
        <w:tblStyle w:val="8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6995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320" w:type="dxa"/>
            <w:noWrap w:val="0"/>
            <w:vAlign w:val="top"/>
          </w:tcPr>
          <w:p w14:paraId="67B91643">
            <w:pPr>
              <w:pStyle w:val="559"/>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3A84D45E">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c>
          <w:tcPr>
            <w:tcW w:w="4320" w:type="dxa"/>
            <w:noWrap w:val="0"/>
            <w:vAlign w:val="top"/>
          </w:tcPr>
          <w:p w14:paraId="5F81C405">
            <w:pPr>
              <w:pStyle w:val="559"/>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1AD8A5DE">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63CC5AC9">
      <w:pPr>
        <w:snapToGrid w:val="0"/>
        <w:spacing w:line="360" w:lineRule="auto"/>
        <w:ind w:firstLine="576"/>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p>
    <w:p w14:paraId="1E8CF7E1">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投标人名称(电子签名)：                              </w:t>
      </w:r>
    </w:p>
    <w:p w14:paraId="3F141F5E">
      <w:pPr>
        <w:pStyle w:val="41"/>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w:t>
      </w:r>
      <w:r>
        <w:rPr>
          <w:rFonts w:hint="eastAsia" w:ascii="仿宋" w:hAnsi="仿宋" w:eastAsia="仿宋" w:cs="仿宋"/>
          <w:color w:val="auto"/>
          <w:kern w:val="0"/>
          <w:sz w:val="24"/>
          <w:szCs w:val="24"/>
          <w:highlight w:val="none"/>
          <w:lang w:val="en-US" w:eastAsia="zh-CN"/>
        </w:rPr>
        <w:t xml:space="preserve">  日</w:t>
      </w:r>
    </w:p>
    <w:p w14:paraId="25F9A339">
      <w:pPr>
        <w:jc w:val="center"/>
        <w:rPr>
          <w:rFonts w:hint="eastAsia" w:ascii="宋体" w:hAnsi="宋体" w:eastAsia="宋体" w:cs="宋体"/>
          <w:b/>
          <w:kern w:val="0"/>
          <w:sz w:val="32"/>
          <w:szCs w:val="32"/>
          <w:lang w:eastAsia="zh-CN"/>
        </w:rPr>
      </w:pPr>
    </w:p>
    <w:p w14:paraId="4124A173">
      <w:pPr>
        <w:jc w:val="both"/>
        <w:rPr>
          <w:rFonts w:hint="eastAsia" w:ascii="宋体" w:hAnsi="宋体" w:eastAsia="宋体" w:cs="宋体"/>
          <w:b/>
          <w:kern w:val="0"/>
          <w:sz w:val="32"/>
          <w:szCs w:val="32"/>
          <w:lang w:eastAsia="zh-CN"/>
        </w:rPr>
      </w:pPr>
    </w:p>
    <w:p w14:paraId="2022EC91">
      <w:pPr>
        <w:jc w:val="center"/>
        <w:rPr>
          <w:rFonts w:hint="eastAsia" w:ascii="宋体" w:hAnsi="宋体" w:eastAsia="宋体" w:cs="宋体"/>
          <w:b/>
          <w:kern w:val="0"/>
          <w:sz w:val="32"/>
          <w:szCs w:val="32"/>
          <w:lang w:eastAsia="zh-CN"/>
        </w:rPr>
      </w:pPr>
    </w:p>
    <w:p w14:paraId="037E57E0">
      <w:pPr>
        <w:jc w:val="center"/>
        <w:rPr>
          <w:rFonts w:hint="eastAsia" w:ascii="宋体" w:hAnsi="宋体" w:eastAsia="宋体" w:cs="宋体"/>
          <w:b/>
          <w:kern w:val="0"/>
          <w:sz w:val="32"/>
          <w:szCs w:val="32"/>
        </w:rPr>
      </w:pPr>
      <w:r>
        <w:rPr>
          <w:rFonts w:hint="eastAsia" w:ascii="宋体" w:hAnsi="宋体" w:cs="宋体"/>
          <w:b/>
          <w:kern w:val="0"/>
          <w:sz w:val="32"/>
          <w:szCs w:val="32"/>
          <w:lang w:val="en-US" w:eastAsia="zh-CN"/>
        </w:rPr>
        <w:t>三</w:t>
      </w:r>
      <w:r>
        <w:rPr>
          <w:rFonts w:hint="eastAsia" w:ascii="宋体" w:hAnsi="宋体" w:eastAsia="宋体" w:cs="宋体"/>
          <w:b/>
          <w:kern w:val="0"/>
          <w:sz w:val="32"/>
          <w:szCs w:val="32"/>
        </w:rPr>
        <w:t>、商务技术偏离表</w:t>
      </w:r>
    </w:p>
    <w:tbl>
      <w:tblPr>
        <w:tblStyle w:val="8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41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5F1E8F">
            <w:pPr>
              <w:keepNext w:val="0"/>
              <w:keepLines w:val="0"/>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683" w:type="dxa"/>
          </w:tcPr>
          <w:p w14:paraId="13A9E873">
            <w:pPr>
              <w:keepNext w:val="0"/>
              <w:keepLines w:val="0"/>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招标文件章节及具体内容</w:t>
            </w:r>
          </w:p>
        </w:tc>
        <w:tc>
          <w:tcPr>
            <w:tcW w:w="3546" w:type="dxa"/>
          </w:tcPr>
          <w:p w14:paraId="07D1B9A2">
            <w:pPr>
              <w:keepNext w:val="0"/>
              <w:keepLines w:val="0"/>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投标文件章节及具体内容</w:t>
            </w:r>
          </w:p>
        </w:tc>
        <w:tc>
          <w:tcPr>
            <w:tcW w:w="1276" w:type="dxa"/>
          </w:tcPr>
          <w:p w14:paraId="3E901D64">
            <w:pPr>
              <w:keepNext w:val="0"/>
              <w:keepLines w:val="0"/>
              <w:suppressLineNumbers w:val="0"/>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0800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EC065">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683" w:type="dxa"/>
          </w:tcPr>
          <w:p w14:paraId="1D7F1B2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546" w:type="dxa"/>
          </w:tcPr>
          <w:p w14:paraId="029FEDC2">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276" w:type="dxa"/>
          </w:tcPr>
          <w:p w14:paraId="5627731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45B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FC875A">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683" w:type="dxa"/>
          </w:tcPr>
          <w:p w14:paraId="6BCFEFE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546" w:type="dxa"/>
          </w:tcPr>
          <w:p w14:paraId="71607C5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276" w:type="dxa"/>
          </w:tcPr>
          <w:p w14:paraId="2E44FFB9">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4657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8ADB38">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683" w:type="dxa"/>
          </w:tcPr>
          <w:p w14:paraId="213A307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546" w:type="dxa"/>
          </w:tcPr>
          <w:p w14:paraId="654275F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276" w:type="dxa"/>
          </w:tcPr>
          <w:p w14:paraId="64BF0883">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3F17CB9B">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558B43A6">
      <w:pPr>
        <w:jc w:val="center"/>
        <w:rPr>
          <w:rFonts w:hint="eastAsia" w:ascii="仿宋" w:hAnsi="仿宋" w:eastAsia="仿宋" w:cs="仿宋"/>
          <w:b/>
          <w:kern w:val="0"/>
          <w:sz w:val="32"/>
          <w:szCs w:val="32"/>
        </w:rPr>
      </w:pPr>
    </w:p>
    <w:p w14:paraId="50160E6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C3CBC91">
      <w:pPr>
        <w:pStyle w:val="91"/>
        <w:rPr>
          <w:rFonts w:hint="eastAsia" w:ascii="仿宋" w:hAnsi="仿宋" w:eastAsia="仿宋" w:cs="仿宋"/>
          <w:sz w:val="24"/>
        </w:rPr>
      </w:pPr>
    </w:p>
    <w:p w14:paraId="0A62E975">
      <w:pPr>
        <w:pStyle w:val="92"/>
        <w:rPr>
          <w:rFonts w:hint="eastAsia" w:ascii="仿宋" w:hAnsi="仿宋" w:eastAsia="仿宋" w:cs="仿宋"/>
          <w:sz w:val="24"/>
        </w:rPr>
      </w:pPr>
    </w:p>
    <w:p w14:paraId="7417DBB2">
      <w:pPr>
        <w:rPr>
          <w:rFonts w:hint="eastAsia" w:ascii="仿宋" w:hAnsi="仿宋" w:eastAsia="仿宋" w:cs="仿宋"/>
          <w:sz w:val="24"/>
        </w:rPr>
      </w:pPr>
    </w:p>
    <w:p w14:paraId="044B6C33">
      <w:pPr>
        <w:pStyle w:val="91"/>
        <w:rPr>
          <w:rFonts w:hint="eastAsia" w:ascii="仿宋" w:hAnsi="仿宋" w:eastAsia="仿宋" w:cs="仿宋"/>
          <w:sz w:val="24"/>
        </w:rPr>
      </w:pPr>
    </w:p>
    <w:p w14:paraId="7B0DC59B">
      <w:pPr>
        <w:pStyle w:val="92"/>
        <w:rPr>
          <w:rFonts w:hint="eastAsia" w:ascii="仿宋" w:hAnsi="仿宋" w:eastAsia="仿宋" w:cs="仿宋"/>
          <w:sz w:val="24"/>
        </w:rPr>
      </w:pPr>
    </w:p>
    <w:p w14:paraId="6D26633A">
      <w:pPr>
        <w:rPr>
          <w:rFonts w:hint="eastAsia" w:ascii="仿宋" w:hAnsi="仿宋" w:eastAsia="仿宋" w:cs="仿宋"/>
          <w:sz w:val="24"/>
        </w:rPr>
      </w:pPr>
    </w:p>
    <w:p w14:paraId="081AB335">
      <w:pPr>
        <w:pStyle w:val="91"/>
        <w:rPr>
          <w:rFonts w:hint="eastAsia" w:ascii="仿宋" w:hAnsi="仿宋" w:eastAsia="仿宋" w:cs="仿宋"/>
          <w:sz w:val="24"/>
        </w:rPr>
      </w:pPr>
    </w:p>
    <w:p w14:paraId="01F3A280">
      <w:pPr>
        <w:pStyle w:val="92"/>
        <w:rPr>
          <w:rFonts w:hint="eastAsia" w:ascii="仿宋" w:hAnsi="仿宋" w:eastAsia="仿宋" w:cs="仿宋"/>
          <w:sz w:val="24"/>
        </w:rPr>
      </w:pPr>
    </w:p>
    <w:p w14:paraId="3E45A161">
      <w:pPr>
        <w:rPr>
          <w:rFonts w:hint="eastAsia" w:ascii="仿宋" w:hAnsi="仿宋" w:eastAsia="仿宋" w:cs="仿宋"/>
          <w:sz w:val="24"/>
        </w:rPr>
      </w:pPr>
    </w:p>
    <w:p w14:paraId="0F041794">
      <w:pPr>
        <w:pStyle w:val="91"/>
        <w:rPr>
          <w:rFonts w:hint="eastAsia" w:ascii="仿宋" w:hAnsi="仿宋" w:eastAsia="仿宋" w:cs="仿宋"/>
          <w:sz w:val="24"/>
        </w:rPr>
      </w:pPr>
    </w:p>
    <w:p w14:paraId="41F5061A">
      <w:pPr>
        <w:pStyle w:val="92"/>
        <w:rPr>
          <w:rFonts w:hint="eastAsia" w:ascii="仿宋" w:hAnsi="仿宋" w:eastAsia="仿宋" w:cs="仿宋"/>
          <w:sz w:val="24"/>
        </w:rPr>
      </w:pPr>
    </w:p>
    <w:p w14:paraId="103AFC95">
      <w:pPr>
        <w:rPr>
          <w:rFonts w:hint="eastAsia" w:ascii="仿宋" w:hAnsi="仿宋" w:eastAsia="仿宋" w:cs="仿宋"/>
          <w:sz w:val="24"/>
        </w:rPr>
      </w:pPr>
    </w:p>
    <w:p w14:paraId="4766B86E">
      <w:pPr>
        <w:pStyle w:val="91"/>
        <w:rPr>
          <w:rFonts w:hint="eastAsia" w:ascii="仿宋" w:hAnsi="仿宋" w:eastAsia="仿宋" w:cs="仿宋"/>
          <w:sz w:val="24"/>
        </w:rPr>
      </w:pPr>
    </w:p>
    <w:p w14:paraId="4436F815">
      <w:pPr>
        <w:pStyle w:val="92"/>
        <w:rPr>
          <w:rFonts w:hint="eastAsia" w:ascii="仿宋" w:hAnsi="仿宋" w:eastAsia="仿宋" w:cs="仿宋"/>
          <w:sz w:val="24"/>
        </w:rPr>
      </w:pPr>
    </w:p>
    <w:p w14:paraId="7BBBE4DF">
      <w:pPr>
        <w:rPr>
          <w:rFonts w:hint="eastAsia" w:ascii="仿宋" w:hAnsi="仿宋" w:eastAsia="仿宋" w:cs="仿宋"/>
          <w:sz w:val="24"/>
        </w:rPr>
      </w:pPr>
    </w:p>
    <w:p w14:paraId="27225F9F">
      <w:pPr>
        <w:pStyle w:val="91"/>
        <w:rPr>
          <w:rFonts w:hint="eastAsia" w:ascii="仿宋" w:hAnsi="仿宋" w:eastAsia="仿宋" w:cs="仿宋"/>
          <w:sz w:val="24"/>
        </w:rPr>
      </w:pPr>
    </w:p>
    <w:p w14:paraId="7C346B3C">
      <w:pPr>
        <w:pStyle w:val="92"/>
        <w:rPr>
          <w:rFonts w:hint="eastAsia" w:ascii="仿宋" w:hAnsi="仿宋" w:eastAsia="仿宋" w:cs="仿宋"/>
          <w:sz w:val="24"/>
        </w:rPr>
      </w:pPr>
    </w:p>
    <w:p w14:paraId="10CAB817">
      <w:pPr>
        <w:rPr>
          <w:rFonts w:hint="eastAsia" w:ascii="仿宋" w:hAnsi="仿宋" w:eastAsia="仿宋" w:cs="仿宋"/>
          <w:sz w:val="24"/>
        </w:rPr>
      </w:pPr>
    </w:p>
    <w:p w14:paraId="50312B0D">
      <w:pPr>
        <w:pStyle w:val="91"/>
        <w:rPr>
          <w:rFonts w:hint="eastAsia" w:ascii="仿宋" w:hAnsi="仿宋" w:eastAsia="仿宋" w:cs="仿宋"/>
          <w:sz w:val="24"/>
        </w:rPr>
      </w:pPr>
    </w:p>
    <w:p w14:paraId="7E90B1CC">
      <w:pPr>
        <w:pStyle w:val="92"/>
        <w:rPr>
          <w:rFonts w:hint="eastAsia" w:ascii="仿宋" w:hAnsi="仿宋" w:eastAsia="仿宋" w:cs="仿宋"/>
          <w:sz w:val="24"/>
        </w:rPr>
      </w:pPr>
    </w:p>
    <w:p w14:paraId="5E3106F7">
      <w:pPr>
        <w:rPr>
          <w:rFonts w:hint="eastAsia" w:ascii="仿宋" w:hAnsi="仿宋" w:eastAsia="仿宋" w:cs="仿宋"/>
          <w:sz w:val="24"/>
        </w:rPr>
      </w:pPr>
    </w:p>
    <w:p w14:paraId="78EFD74A">
      <w:pPr>
        <w:pStyle w:val="91"/>
        <w:rPr>
          <w:rFonts w:hint="eastAsia" w:ascii="仿宋" w:hAnsi="仿宋" w:eastAsia="仿宋" w:cs="仿宋"/>
          <w:sz w:val="24"/>
        </w:rPr>
      </w:pPr>
    </w:p>
    <w:p w14:paraId="32245B4C">
      <w:pPr>
        <w:pStyle w:val="92"/>
        <w:rPr>
          <w:rFonts w:hint="eastAsia" w:ascii="仿宋" w:hAnsi="仿宋" w:eastAsia="仿宋" w:cs="仿宋"/>
          <w:sz w:val="24"/>
        </w:rPr>
      </w:pPr>
    </w:p>
    <w:p w14:paraId="699896F6">
      <w:pPr>
        <w:rPr>
          <w:rFonts w:hint="eastAsia" w:ascii="仿宋" w:hAnsi="仿宋" w:eastAsia="仿宋" w:cs="仿宋"/>
          <w:sz w:val="24"/>
        </w:rPr>
      </w:pPr>
    </w:p>
    <w:p w14:paraId="6FCA0757">
      <w:pPr>
        <w:pStyle w:val="91"/>
        <w:rPr>
          <w:rFonts w:hint="eastAsia" w:ascii="仿宋" w:hAnsi="仿宋" w:eastAsia="仿宋" w:cs="仿宋"/>
          <w:sz w:val="24"/>
        </w:rPr>
      </w:pPr>
    </w:p>
    <w:p w14:paraId="3DB755E6">
      <w:pPr>
        <w:pStyle w:val="92"/>
        <w:rPr>
          <w:rFonts w:hint="eastAsia" w:ascii="仿宋" w:hAnsi="仿宋" w:eastAsia="仿宋" w:cs="仿宋"/>
          <w:sz w:val="24"/>
        </w:rPr>
      </w:pPr>
    </w:p>
    <w:p w14:paraId="15741BF3">
      <w:pPr>
        <w:rPr>
          <w:rFonts w:hint="eastAsia" w:ascii="仿宋" w:hAnsi="仿宋" w:eastAsia="仿宋" w:cs="仿宋"/>
          <w:sz w:val="24"/>
        </w:rPr>
      </w:pPr>
    </w:p>
    <w:p w14:paraId="0384D612">
      <w:pPr>
        <w:pStyle w:val="91"/>
        <w:rPr>
          <w:rFonts w:hint="eastAsia" w:ascii="仿宋" w:hAnsi="仿宋" w:eastAsia="仿宋" w:cs="仿宋"/>
          <w:sz w:val="24"/>
        </w:rPr>
      </w:pPr>
    </w:p>
    <w:p w14:paraId="1DDE6F4B">
      <w:pPr>
        <w:pStyle w:val="92"/>
        <w:rPr>
          <w:rFonts w:hint="eastAsia" w:ascii="仿宋" w:hAnsi="仿宋" w:eastAsia="仿宋" w:cs="仿宋"/>
          <w:sz w:val="24"/>
        </w:rPr>
      </w:pPr>
    </w:p>
    <w:p w14:paraId="26F0EF26">
      <w:pPr>
        <w:rPr>
          <w:rFonts w:hint="eastAsia" w:ascii="仿宋" w:hAnsi="仿宋" w:eastAsia="仿宋" w:cs="仿宋"/>
          <w:sz w:val="24"/>
        </w:rPr>
      </w:pPr>
    </w:p>
    <w:p w14:paraId="32C83593">
      <w:pPr>
        <w:pStyle w:val="91"/>
        <w:rPr>
          <w:rFonts w:hint="eastAsia" w:ascii="仿宋" w:hAnsi="仿宋" w:eastAsia="仿宋" w:cs="仿宋"/>
          <w:sz w:val="24"/>
        </w:rPr>
      </w:pPr>
    </w:p>
    <w:p w14:paraId="083C7C63">
      <w:pPr>
        <w:pStyle w:val="92"/>
        <w:rPr>
          <w:rFonts w:hint="eastAsia" w:ascii="仿宋" w:hAnsi="仿宋" w:eastAsia="仿宋" w:cs="仿宋"/>
          <w:sz w:val="24"/>
        </w:rPr>
      </w:pPr>
    </w:p>
    <w:p w14:paraId="6BDFD254">
      <w:pPr>
        <w:rPr>
          <w:rFonts w:hint="eastAsia" w:ascii="仿宋" w:hAnsi="仿宋" w:eastAsia="仿宋" w:cs="仿宋"/>
          <w:sz w:val="24"/>
        </w:rPr>
      </w:pPr>
    </w:p>
    <w:p w14:paraId="255460BD">
      <w:pPr>
        <w:pStyle w:val="91"/>
        <w:rPr>
          <w:rFonts w:hint="eastAsia" w:ascii="仿宋" w:hAnsi="仿宋" w:eastAsia="仿宋" w:cs="仿宋"/>
          <w:sz w:val="24"/>
        </w:rPr>
      </w:pPr>
    </w:p>
    <w:p w14:paraId="543F1E78">
      <w:pPr>
        <w:pStyle w:val="92"/>
        <w:rPr>
          <w:rFonts w:hint="eastAsia"/>
        </w:rPr>
      </w:pPr>
    </w:p>
    <w:p w14:paraId="521151FE">
      <w:pPr>
        <w:widowControl/>
        <w:adjustRightInd/>
        <w:jc w:val="center"/>
        <w:rPr>
          <w:rFonts w:hint="eastAsia" w:ascii="宋体" w:hAnsi="宋体" w:eastAsia="宋体" w:cs="宋体"/>
          <w:b/>
          <w:kern w:val="0"/>
          <w:sz w:val="32"/>
          <w:szCs w:val="32"/>
        </w:rPr>
      </w:pPr>
      <w:r>
        <w:rPr>
          <w:rFonts w:hint="eastAsia" w:ascii="宋体" w:hAnsi="宋体" w:cs="宋体"/>
          <w:b/>
          <w:bCs/>
          <w:sz w:val="32"/>
          <w:szCs w:val="32"/>
          <w:lang w:val="en-US" w:eastAsia="zh-CN"/>
        </w:rPr>
        <w:t>四</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采购供应商廉洁自律承诺书</w:t>
      </w:r>
    </w:p>
    <w:p w14:paraId="3A30F664">
      <w:pPr>
        <w:snapToGrid w:val="0"/>
        <w:spacing w:line="360" w:lineRule="auto"/>
        <w:rPr>
          <w:rFonts w:hint="eastAsia" w:ascii="仿宋" w:hAnsi="仿宋" w:eastAsia="仿宋" w:cs="仿宋"/>
          <w:color w:val="auto"/>
          <w:sz w:val="24"/>
          <w:highlight w:val="none"/>
        </w:rPr>
      </w:pPr>
    </w:p>
    <w:p w14:paraId="7EBB8C77">
      <w:pPr>
        <w:snapToGrid w:val="0"/>
        <w:spacing w:line="360" w:lineRule="auto"/>
        <w:rPr>
          <w:rFonts w:hint="eastAsia" w:ascii="仿宋" w:hAnsi="仿宋" w:eastAsia="仿宋" w:cs="仿宋"/>
          <w:color w:val="auto"/>
          <w:sz w:val="24"/>
          <w:highlight w:val="none"/>
        </w:rPr>
      </w:pPr>
    </w:p>
    <w:p w14:paraId="121BC10E">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5F145F3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EB0C22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414020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3A24E1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733322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710A2B3">
      <w:pPr>
        <w:autoSpaceDE w:val="0"/>
        <w:autoSpaceDN w:val="0"/>
        <w:spacing w:line="360" w:lineRule="auto"/>
        <w:ind w:left="550"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7D9932">
      <w:pPr>
        <w:autoSpaceDE w:val="0"/>
        <w:autoSpaceDN w:val="0"/>
        <w:spacing w:line="360" w:lineRule="auto"/>
        <w:ind w:left="0" w:leftChars="0"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9DE674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D38C17E">
      <w:pPr>
        <w:autoSpaceDE w:val="0"/>
        <w:autoSpaceDN w:val="0"/>
        <w:spacing w:line="360" w:lineRule="auto"/>
        <w:ind w:left="2"/>
        <w:jc w:val="left"/>
        <w:rPr>
          <w:rFonts w:hint="eastAsia" w:ascii="仿宋" w:hAnsi="仿宋" w:eastAsia="仿宋" w:cs="仿宋"/>
          <w:kern w:val="0"/>
          <w:sz w:val="24"/>
          <w:lang w:val="zh-CN"/>
        </w:rPr>
      </w:pPr>
    </w:p>
    <w:p w14:paraId="2D1F7CCC">
      <w:pPr>
        <w:autoSpaceDE w:val="0"/>
        <w:autoSpaceDN w:val="0"/>
        <w:spacing w:line="360" w:lineRule="auto"/>
        <w:ind w:left="2"/>
        <w:jc w:val="left"/>
        <w:rPr>
          <w:rFonts w:hint="eastAsia" w:ascii="仿宋" w:hAnsi="仿宋" w:eastAsia="仿宋" w:cs="仿宋"/>
          <w:kern w:val="0"/>
          <w:sz w:val="24"/>
          <w:lang w:val="zh-CN"/>
        </w:rPr>
      </w:pPr>
    </w:p>
    <w:p w14:paraId="2D870ED8">
      <w:pPr>
        <w:autoSpaceDE w:val="0"/>
        <w:autoSpaceDN w:val="0"/>
        <w:spacing w:line="360" w:lineRule="auto"/>
        <w:ind w:left="2"/>
        <w:jc w:val="left"/>
        <w:rPr>
          <w:rFonts w:hint="eastAsia" w:ascii="仿宋" w:hAnsi="仿宋" w:eastAsia="仿宋" w:cs="仿宋"/>
          <w:kern w:val="0"/>
          <w:sz w:val="24"/>
          <w:lang w:val="zh-CN"/>
        </w:rPr>
      </w:pPr>
    </w:p>
    <w:p w14:paraId="781C0DF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04CB424">
      <w:pPr>
        <w:spacing w:line="360" w:lineRule="auto"/>
        <w:ind w:left="528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7ED25E8">
      <w:pPr>
        <w:spacing w:line="360" w:lineRule="auto"/>
        <w:jc w:val="center"/>
        <w:rPr>
          <w:rFonts w:hint="eastAsia" w:ascii="仿宋" w:hAnsi="仿宋" w:eastAsia="仿宋" w:cs="仿宋"/>
          <w:b/>
          <w:bCs/>
          <w:sz w:val="24"/>
        </w:rPr>
      </w:pPr>
    </w:p>
    <w:p w14:paraId="2A708A9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FFCCCEA">
      <w:pPr>
        <w:spacing w:line="360" w:lineRule="auto"/>
        <w:jc w:val="center"/>
        <w:rPr>
          <w:rFonts w:hint="eastAsia" w:ascii="仿宋" w:hAnsi="仿宋" w:eastAsia="仿宋" w:cs="仿宋"/>
          <w:b/>
          <w:bCs/>
          <w:sz w:val="24"/>
        </w:rPr>
      </w:pPr>
    </w:p>
    <w:p w14:paraId="1F5A7993">
      <w:pPr>
        <w:pStyle w:val="91"/>
        <w:jc w:val="center"/>
        <w:rPr>
          <w:rFonts w:hint="eastAsia" w:ascii="仿宋" w:hAnsi="仿宋" w:eastAsia="仿宋" w:cs="仿宋"/>
          <w:b/>
          <w:bCs/>
          <w:sz w:val="24"/>
        </w:rPr>
      </w:pPr>
    </w:p>
    <w:p w14:paraId="1DF76988">
      <w:pPr>
        <w:pStyle w:val="92"/>
        <w:rPr>
          <w:rFonts w:hint="eastAsia"/>
        </w:rPr>
      </w:pPr>
    </w:p>
    <w:p w14:paraId="6FDE9F5D">
      <w:pPr>
        <w:pStyle w:val="92"/>
        <w:rPr>
          <w:rFonts w:hint="eastAsia" w:ascii="仿宋" w:hAnsi="仿宋" w:eastAsia="仿宋" w:cs="仿宋"/>
          <w:b/>
          <w:bCs/>
          <w:sz w:val="24"/>
        </w:rPr>
      </w:pPr>
    </w:p>
    <w:p w14:paraId="75FAFD9B">
      <w:pPr>
        <w:rPr>
          <w:rFonts w:hint="eastAsia" w:ascii="仿宋" w:hAnsi="仿宋" w:eastAsia="仿宋" w:cs="仿宋"/>
          <w:b/>
          <w:bCs/>
          <w:sz w:val="24"/>
        </w:rPr>
      </w:pPr>
    </w:p>
    <w:p w14:paraId="3D2CB92C">
      <w:pPr>
        <w:pStyle w:val="91"/>
        <w:rPr>
          <w:rFonts w:hint="eastAsia" w:ascii="仿宋" w:hAnsi="仿宋" w:eastAsia="仿宋" w:cs="仿宋"/>
          <w:b/>
          <w:bCs/>
          <w:sz w:val="24"/>
        </w:rPr>
      </w:pPr>
    </w:p>
    <w:p w14:paraId="5B862AD9">
      <w:pPr>
        <w:pStyle w:val="92"/>
        <w:rPr>
          <w:rFonts w:hint="eastAsia" w:ascii="仿宋" w:hAnsi="仿宋" w:eastAsia="仿宋" w:cs="仿宋"/>
          <w:b/>
          <w:bCs/>
          <w:sz w:val="24"/>
        </w:rPr>
      </w:pPr>
    </w:p>
    <w:p w14:paraId="5491EF07">
      <w:pPr>
        <w:rPr>
          <w:rFonts w:hint="eastAsia"/>
        </w:rPr>
      </w:pPr>
    </w:p>
    <w:p w14:paraId="0F011FE8">
      <w:pPr>
        <w:spacing w:line="360" w:lineRule="auto"/>
        <w:jc w:val="center"/>
        <w:rPr>
          <w:rFonts w:hint="eastAsia" w:ascii="宋体" w:hAnsi="宋体" w:eastAsia="宋体" w:cs="宋体"/>
          <w:b/>
          <w:bCs/>
          <w:sz w:val="32"/>
          <w:szCs w:val="32"/>
        </w:rPr>
      </w:pPr>
      <w:r>
        <w:rPr>
          <w:rFonts w:hint="eastAsia" w:ascii="宋体" w:hAnsi="宋体" w:cs="宋体"/>
          <w:b/>
          <w:sz w:val="32"/>
          <w:szCs w:val="32"/>
          <w:lang w:val="en-US" w:eastAsia="zh-CN"/>
        </w:rPr>
        <w:t>五</w:t>
      </w:r>
      <w:r>
        <w:rPr>
          <w:rFonts w:hint="eastAsia" w:ascii="宋体" w:hAnsi="宋体" w:eastAsia="宋体" w:cs="宋体"/>
          <w:b/>
          <w:sz w:val="32"/>
          <w:szCs w:val="32"/>
        </w:rPr>
        <w:t>、</w:t>
      </w:r>
      <w:r>
        <w:rPr>
          <w:rFonts w:hint="eastAsia" w:ascii="宋体" w:hAnsi="宋体" w:cs="宋体"/>
          <w:b/>
          <w:kern w:val="0"/>
          <w:sz w:val="32"/>
          <w:szCs w:val="32"/>
          <w:lang w:val="en-US" w:eastAsia="zh-CN"/>
        </w:rPr>
        <w:t>同类似</w:t>
      </w:r>
      <w:r>
        <w:rPr>
          <w:rFonts w:hint="eastAsia" w:ascii="宋体" w:hAnsi="宋体" w:eastAsia="宋体" w:cs="宋体"/>
          <w:b/>
          <w:kern w:val="0"/>
          <w:sz w:val="32"/>
          <w:szCs w:val="32"/>
          <w:lang w:val="zh-CN"/>
        </w:rPr>
        <w:t>业绩</w:t>
      </w:r>
    </w:p>
    <w:p w14:paraId="0691CE68">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80"/>
        <w:tblW w:w="8863" w:type="dxa"/>
        <w:tblInd w:w="108" w:type="dxa"/>
        <w:tblLayout w:type="fixed"/>
        <w:tblCellMar>
          <w:top w:w="0" w:type="dxa"/>
          <w:left w:w="108" w:type="dxa"/>
          <w:bottom w:w="0" w:type="dxa"/>
          <w:right w:w="108" w:type="dxa"/>
        </w:tblCellMar>
      </w:tblPr>
      <w:tblGrid>
        <w:gridCol w:w="1800"/>
        <w:gridCol w:w="1258"/>
        <w:gridCol w:w="1230"/>
        <w:gridCol w:w="1440"/>
        <w:gridCol w:w="1965"/>
        <w:gridCol w:w="1170"/>
      </w:tblGrid>
      <w:tr w14:paraId="41C1A9E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4B600F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项目名称</w:t>
            </w:r>
          </w:p>
        </w:tc>
        <w:tc>
          <w:tcPr>
            <w:tcW w:w="1258" w:type="dxa"/>
            <w:tcBorders>
              <w:top w:val="single" w:color="auto" w:sz="6" w:space="0"/>
              <w:left w:val="single" w:color="auto" w:sz="6" w:space="0"/>
              <w:bottom w:val="single" w:color="auto" w:sz="6" w:space="0"/>
              <w:right w:val="single" w:color="auto" w:sz="6" w:space="0"/>
            </w:tcBorders>
            <w:vAlign w:val="center"/>
          </w:tcPr>
          <w:p w14:paraId="3D27400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项目类型</w:t>
            </w:r>
          </w:p>
        </w:tc>
        <w:tc>
          <w:tcPr>
            <w:tcW w:w="1230" w:type="dxa"/>
            <w:tcBorders>
              <w:top w:val="single" w:color="auto" w:sz="6" w:space="0"/>
              <w:left w:val="single" w:color="auto" w:sz="6" w:space="0"/>
              <w:bottom w:val="single" w:color="auto" w:sz="6" w:space="0"/>
              <w:right w:val="single" w:color="auto" w:sz="6" w:space="0"/>
            </w:tcBorders>
            <w:vAlign w:val="center"/>
          </w:tcPr>
          <w:p w14:paraId="59EE1C1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简要描述</w:t>
            </w:r>
          </w:p>
        </w:tc>
        <w:tc>
          <w:tcPr>
            <w:tcW w:w="1440" w:type="dxa"/>
            <w:tcBorders>
              <w:top w:val="single" w:color="auto" w:sz="6" w:space="0"/>
              <w:left w:val="single" w:color="auto" w:sz="6" w:space="0"/>
              <w:bottom w:val="single" w:color="auto" w:sz="6" w:space="0"/>
              <w:right w:val="single" w:color="auto" w:sz="6" w:space="0"/>
            </w:tcBorders>
            <w:vAlign w:val="center"/>
          </w:tcPr>
          <w:p w14:paraId="2CA199FE">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合同金额</w:t>
            </w:r>
          </w:p>
          <w:p w14:paraId="1E4173A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（万元）</w:t>
            </w:r>
          </w:p>
        </w:tc>
        <w:tc>
          <w:tcPr>
            <w:tcW w:w="1965" w:type="dxa"/>
            <w:tcBorders>
              <w:top w:val="single" w:color="auto" w:sz="6" w:space="0"/>
              <w:left w:val="single" w:color="auto" w:sz="6" w:space="0"/>
              <w:bottom w:val="single" w:color="auto" w:sz="6" w:space="0"/>
              <w:right w:val="single" w:color="auto" w:sz="6" w:space="0"/>
            </w:tcBorders>
            <w:vAlign w:val="center"/>
          </w:tcPr>
          <w:p w14:paraId="1DC6BCEE">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项目地址与采购单位联系电话</w:t>
            </w:r>
          </w:p>
        </w:tc>
        <w:tc>
          <w:tcPr>
            <w:tcW w:w="1170" w:type="dxa"/>
            <w:tcBorders>
              <w:top w:val="single" w:color="auto" w:sz="6" w:space="0"/>
              <w:left w:val="single" w:color="auto" w:sz="6" w:space="0"/>
              <w:bottom w:val="single" w:color="auto" w:sz="6" w:space="0"/>
              <w:right w:val="single" w:color="auto" w:sz="6" w:space="0"/>
            </w:tcBorders>
            <w:vAlign w:val="center"/>
          </w:tcPr>
          <w:p w14:paraId="46D6E512">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所在页码</w:t>
            </w:r>
          </w:p>
        </w:tc>
      </w:tr>
      <w:tr w14:paraId="2E5DDD5D">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4C90E7D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58" w:type="dxa"/>
            <w:tcBorders>
              <w:top w:val="single" w:color="auto" w:sz="6" w:space="0"/>
              <w:left w:val="single" w:color="auto" w:sz="6" w:space="0"/>
              <w:bottom w:val="single" w:color="auto" w:sz="6" w:space="0"/>
              <w:right w:val="single" w:color="auto" w:sz="6" w:space="0"/>
            </w:tcBorders>
          </w:tcPr>
          <w:p w14:paraId="0C7CFBA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30" w:type="dxa"/>
            <w:tcBorders>
              <w:top w:val="single" w:color="auto" w:sz="6" w:space="0"/>
              <w:left w:val="single" w:color="auto" w:sz="6" w:space="0"/>
              <w:bottom w:val="single" w:color="auto" w:sz="6" w:space="0"/>
              <w:right w:val="single" w:color="auto" w:sz="6" w:space="0"/>
            </w:tcBorders>
          </w:tcPr>
          <w:p w14:paraId="3677544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440" w:type="dxa"/>
            <w:tcBorders>
              <w:top w:val="single" w:color="auto" w:sz="6" w:space="0"/>
              <w:left w:val="single" w:color="auto" w:sz="6" w:space="0"/>
              <w:bottom w:val="single" w:color="auto" w:sz="6" w:space="0"/>
              <w:right w:val="single" w:color="auto" w:sz="6" w:space="0"/>
            </w:tcBorders>
          </w:tcPr>
          <w:p w14:paraId="629AA3F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965" w:type="dxa"/>
            <w:tcBorders>
              <w:top w:val="single" w:color="auto" w:sz="6" w:space="0"/>
              <w:left w:val="single" w:color="auto" w:sz="6" w:space="0"/>
              <w:bottom w:val="single" w:color="auto" w:sz="6" w:space="0"/>
              <w:right w:val="single" w:color="auto" w:sz="6" w:space="0"/>
            </w:tcBorders>
          </w:tcPr>
          <w:p w14:paraId="5D65E89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170" w:type="dxa"/>
            <w:tcBorders>
              <w:top w:val="single" w:color="auto" w:sz="6" w:space="0"/>
              <w:left w:val="single" w:color="auto" w:sz="6" w:space="0"/>
              <w:bottom w:val="single" w:color="auto" w:sz="6" w:space="0"/>
              <w:right w:val="single" w:color="auto" w:sz="6" w:space="0"/>
            </w:tcBorders>
          </w:tcPr>
          <w:p w14:paraId="247D414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r>
      <w:tr w14:paraId="4BD481CB">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7251B78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58" w:type="dxa"/>
            <w:tcBorders>
              <w:top w:val="single" w:color="auto" w:sz="6" w:space="0"/>
              <w:left w:val="single" w:color="auto" w:sz="6" w:space="0"/>
              <w:bottom w:val="single" w:color="auto" w:sz="6" w:space="0"/>
              <w:right w:val="single" w:color="auto" w:sz="6" w:space="0"/>
            </w:tcBorders>
          </w:tcPr>
          <w:p w14:paraId="73431C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30" w:type="dxa"/>
            <w:tcBorders>
              <w:top w:val="single" w:color="auto" w:sz="6" w:space="0"/>
              <w:left w:val="single" w:color="auto" w:sz="6" w:space="0"/>
              <w:bottom w:val="single" w:color="auto" w:sz="6" w:space="0"/>
              <w:right w:val="single" w:color="auto" w:sz="6" w:space="0"/>
            </w:tcBorders>
          </w:tcPr>
          <w:p w14:paraId="22571A4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440" w:type="dxa"/>
            <w:tcBorders>
              <w:top w:val="single" w:color="auto" w:sz="6" w:space="0"/>
              <w:left w:val="single" w:color="auto" w:sz="6" w:space="0"/>
              <w:bottom w:val="single" w:color="auto" w:sz="6" w:space="0"/>
              <w:right w:val="single" w:color="auto" w:sz="6" w:space="0"/>
            </w:tcBorders>
          </w:tcPr>
          <w:p w14:paraId="12EB0F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965" w:type="dxa"/>
            <w:tcBorders>
              <w:top w:val="single" w:color="auto" w:sz="6" w:space="0"/>
              <w:left w:val="single" w:color="auto" w:sz="6" w:space="0"/>
              <w:bottom w:val="single" w:color="auto" w:sz="6" w:space="0"/>
              <w:right w:val="single" w:color="auto" w:sz="6" w:space="0"/>
            </w:tcBorders>
          </w:tcPr>
          <w:p w14:paraId="11840FF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170" w:type="dxa"/>
            <w:tcBorders>
              <w:top w:val="single" w:color="auto" w:sz="6" w:space="0"/>
              <w:left w:val="single" w:color="auto" w:sz="6" w:space="0"/>
              <w:bottom w:val="single" w:color="auto" w:sz="6" w:space="0"/>
              <w:right w:val="single" w:color="auto" w:sz="6" w:space="0"/>
            </w:tcBorders>
          </w:tcPr>
          <w:p w14:paraId="015A692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r>
      <w:tr w14:paraId="128C7CEB">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7BA089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58" w:type="dxa"/>
            <w:tcBorders>
              <w:top w:val="single" w:color="auto" w:sz="6" w:space="0"/>
              <w:left w:val="single" w:color="auto" w:sz="6" w:space="0"/>
              <w:bottom w:val="single" w:color="auto" w:sz="6" w:space="0"/>
              <w:right w:val="single" w:color="auto" w:sz="6" w:space="0"/>
            </w:tcBorders>
          </w:tcPr>
          <w:p w14:paraId="0B42B2C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30" w:type="dxa"/>
            <w:tcBorders>
              <w:top w:val="single" w:color="auto" w:sz="6" w:space="0"/>
              <w:left w:val="single" w:color="auto" w:sz="6" w:space="0"/>
              <w:bottom w:val="single" w:color="auto" w:sz="6" w:space="0"/>
              <w:right w:val="single" w:color="auto" w:sz="6" w:space="0"/>
            </w:tcBorders>
          </w:tcPr>
          <w:p w14:paraId="7C3091A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440" w:type="dxa"/>
            <w:tcBorders>
              <w:top w:val="single" w:color="auto" w:sz="6" w:space="0"/>
              <w:left w:val="single" w:color="auto" w:sz="6" w:space="0"/>
              <w:bottom w:val="single" w:color="auto" w:sz="6" w:space="0"/>
              <w:right w:val="single" w:color="auto" w:sz="6" w:space="0"/>
            </w:tcBorders>
          </w:tcPr>
          <w:p w14:paraId="02DD30B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965" w:type="dxa"/>
            <w:tcBorders>
              <w:top w:val="single" w:color="auto" w:sz="6" w:space="0"/>
              <w:left w:val="single" w:color="auto" w:sz="6" w:space="0"/>
              <w:bottom w:val="single" w:color="auto" w:sz="6" w:space="0"/>
              <w:right w:val="single" w:color="auto" w:sz="6" w:space="0"/>
            </w:tcBorders>
          </w:tcPr>
          <w:p w14:paraId="2AB5CF1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170" w:type="dxa"/>
            <w:tcBorders>
              <w:top w:val="single" w:color="auto" w:sz="6" w:space="0"/>
              <w:left w:val="single" w:color="auto" w:sz="6" w:space="0"/>
              <w:bottom w:val="single" w:color="auto" w:sz="6" w:space="0"/>
              <w:right w:val="single" w:color="auto" w:sz="6" w:space="0"/>
            </w:tcBorders>
          </w:tcPr>
          <w:p w14:paraId="5DF53BB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r>
    </w:tbl>
    <w:p w14:paraId="2E90ADD7">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注：供应商可按上述的格式自行编制，须随表提交相应的合同复印件</w:t>
      </w:r>
      <w:r>
        <w:rPr>
          <w:rFonts w:hint="eastAsia" w:ascii="仿宋_GB2312" w:hAnsi="仿宋_GB2312" w:eastAsia="仿宋_GB2312" w:cs="仿宋_GB2312"/>
          <w:b/>
          <w:sz w:val="24"/>
          <w:lang w:val="en-US" w:eastAsia="zh-CN"/>
        </w:rPr>
        <w:t>等</w:t>
      </w:r>
      <w:r>
        <w:rPr>
          <w:rFonts w:hint="eastAsia" w:ascii="仿宋_GB2312" w:hAnsi="仿宋_GB2312" w:eastAsia="仿宋_GB2312" w:cs="仿宋_GB2312"/>
          <w:b/>
          <w:sz w:val="24"/>
        </w:rPr>
        <w:t>并注明页码。</w:t>
      </w:r>
    </w:p>
    <w:p w14:paraId="78E09AA2">
      <w:pPr>
        <w:autoSpaceDE w:val="0"/>
        <w:autoSpaceDN w:val="0"/>
        <w:spacing w:line="360" w:lineRule="auto"/>
        <w:rPr>
          <w:rFonts w:ascii="仿宋_GB2312" w:hAnsi="仿宋_GB2312" w:eastAsia="仿宋_GB2312" w:cs="仿宋_GB2312"/>
          <w:b/>
          <w:sz w:val="24"/>
        </w:rPr>
      </w:pPr>
    </w:p>
    <w:p w14:paraId="3901458C">
      <w:pPr>
        <w:autoSpaceDE w:val="0"/>
        <w:autoSpaceDN w:val="0"/>
        <w:spacing w:line="360" w:lineRule="auto"/>
        <w:rPr>
          <w:rFonts w:ascii="仿宋_GB2312" w:hAnsi="仿宋_GB2312" w:eastAsia="仿宋_GB2312" w:cs="仿宋_GB2312"/>
          <w:sz w:val="24"/>
        </w:rPr>
      </w:pPr>
    </w:p>
    <w:p w14:paraId="353F3FE6">
      <w:pPr>
        <w:spacing w:line="336" w:lineRule="auto"/>
        <w:ind w:firstLine="3600" w:firstLineChars="15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439D987">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4024C5E5">
      <w:pPr>
        <w:pStyle w:val="326"/>
        <w:ind w:firstLine="0"/>
        <w:jc w:val="both"/>
        <w:rPr>
          <w:rFonts w:hAnsi="仿宋_GB2312" w:cs="仿宋_GB2312"/>
        </w:rPr>
      </w:pPr>
    </w:p>
    <w:p w14:paraId="67318383">
      <w:pPr>
        <w:spacing w:beforeLines="0" w:afterLines="0"/>
        <w:jc w:val="both"/>
        <w:rPr>
          <w:rFonts w:hint="eastAsia" w:ascii="宋体" w:hAnsi="宋体" w:eastAsia="宋体" w:cs="宋体"/>
          <w:b/>
          <w:color w:val="auto"/>
          <w:sz w:val="32"/>
          <w:szCs w:val="32"/>
          <w:highlight w:val="none"/>
        </w:rPr>
      </w:pPr>
    </w:p>
    <w:p w14:paraId="62B36033">
      <w:pPr>
        <w:pStyle w:val="31"/>
        <w:rPr>
          <w:rFonts w:hint="eastAsia" w:ascii="宋体" w:hAnsi="宋体" w:eastAsia="宋体" w:cs="宋体"/>
          <w:b/>
          <w:color w:val="auto"/>
          <w:sz w:val="32"/>
          <w:szCs w:val="32"/>
          <w:highlight w:val="none"/>
        </w:rPr>
      </w:pPr>
    </w:p>
    <w:p w14:paraId="0605A214">
      <w:pPr>
        <w:rPr>
          <w:rFonts w:hint="eastAsia" w:ascii="宋体" w:hAnsi="宋体" w:eastAsia="宋体" w:cs="宋体"/>
          <w:b/>
          <w:color w:val="auto"/>
          <w:sz w:val="32"/>
          <w:szCs w:val="32"/>
          <w:highlight w:val="none"/>
        </w:rPr>
      </w:pPr>
    </w:p>
    <w:p w14:paraId="4E56A085">
      <w:pPr>
        <w:pStyle w:val="31"/>
        <w:rPr>
          <w:rFonts w:hint="eastAsia" w:ascii="宋体" w:hAnsi="宋体" w:eastAsia="宋体" w:cs="宋体"/>
          <w:b/>
          <w:color w:val="auto"/>
          <w:sz w:val="32"/>
          <w:szCs w:val="32"/>
          <w:highlight w:val="none"/>
        </w:rPr>
      </w:pPr>
    </w:p>
    <w:p w14:paraId="2C2FBDD5">
      <w:pPr>
        <w:rPr>
          <w:rFonts w:hint="eastAsia" w:ascii="宋体" w:hAnsi="宋体" w:eastAsia="宋体" w:cs="宋体"/>
          <w:b/>
          <w:color w:val="auto"/>
          <w:sz w:val="32"/>
          <w:szCs w:val="32"/>
          <w:highlight w:val="none"/>
        </w:rPr>
      </w:pPr>
    </w:p>
    <w:p w14:paraId="1C927E9F">
      <w:pPr>
        <w:pStyle w:val="31"/>
        <w:rPr>
          <w:rFonts w:hint="eastAsia" w:ascii="宋体" w:hAnsi="宋体" w:eastAsia="宋体" w:cs="宋体"/>
          <w:b/>
          <w:color w:val="auto"/>
          <w:sz w:val="32"/>
          <w:szCs w:val="32"/>
          <w:highlight w:val="none"/>
        </w:rPr>
      </w:pPr>
    </w:p>
    <w:p w14:paraId="2E405857">
      <w:pPr>
        <w:rPr>
          <w:rFonts w:hint="eastAsia" w:ascii="宋体" w:hAnsi="宋体" w:eastAsia="宋体" w:cs="宋体"/>
          <w:b/>
          <w:color w:val="auto"/>
          <w:sz w:val="32"/>
          <w:szCs w:val="32"/>
          <w:highlight w:val="none"/>
        </w:rPr>
      </w:pPr>
    </w:p>
    <w:p w14:paraId="19905E13">
      <w:pPr>
        <w:pStyle w:val="31"/>
        <w:rPr>
          <w:rFonts w:hint="eastAsia" w:ascii="宋体" w:hAnsi="宋体" w:eastAsia="宋体" w:cs="宋体"/>
          <w:b/>
          <w:color w:val="auto"/>
          <w:sz w:val="32"/>
          <w:szCs w:val="32"/>
          <w:highlight w:val="none"/>
        </w:rPr>
      </w:pPr>
    </w:p>
    <w:p w14:paraId="617FD4C1">
      <w:pPr>
        <w:rPr>
          <w:rFonts w:hint="eastAsia" w:ascii="宋体" w:hAnsi="宋体" w:eastAsia="宋体" w:cs="宋体"/>
          <w:b/>
          <w:color w:val="auto"/>
          <w:sz w:val="32"/>
          <w:szCs w:val="32"/>
          <w:highlight w:val="none"/>
        </w:rPr>
      </w:pPr>
    </w:p>
    <w:p w14:paraId="269C85AD">
      <w:pPr>
        <w:pStyle w:val="31"/>
        <w:rPr>
          <w:rFonts w:hint="eastAsia" w:ascii="宋体" w:hAnsi="宋体" w:eastAsia="宋体" w:cs="宋体"/>
          <w:b/>
          <w:color w:val="auto"/>
          <w:sz w:val="32"/>
          <w:szCs w:val="32"/>
          <w:highlight w:val="none"/>
        </w:rPr>
      </w:pPr>
    </w:p>
    <w:p w14:paraId="4F9E4F0B">
      <w:pPr>
        <w:rPr>
          <w:rFonts w:hint="eastAsia"/>
        </w:rPr>
      </w:pPr>
    </w:p>
    <w:p w14:paraId="021BD3C3">
      <w:pPr>
        <w:pStyle w:val="91"/>
        <w:rPr>
          <w:rFonts w:hint="eastAsia"/>
        </w:rPr>
      </w:pPr>
    </w:p>
    <w:p w14:paraId="34393629">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eastAsia="zh-CN"/>
        </w:rPr>
        <w:t>、</w:t>
      </w:r>
      <w:r>
        <w:rPr>
          <w:rFonts w:hint="eastAsia" w:ascii="宋体" w:hAnsi="宋体" w:eastAsia="宋体" w:cs="宋体"/>
          <w:b/>
          <w:color w:val="auto"/>
          <w:sz w:val="32"/>
          <w:szCs w:val="32"/>
          <w:highlight w:val="none"/>
        </w:rPr>
        <w:t>项目</w:t>
      </w:r>
      <w:r>
        <w:rPr>
          <w:rFonts w:hint="eastAsia" w:ascii="宋体" w:hAnsi="宋体" w:cs="宋体"/>
          <w:b/>
          <w:color w:val="auto"/>
          <w:sz w:val="32"/>
          <w:szCs w:val="32"/>
          <w:highlight w:val="none"/>
          <w:lang w:val="en-US" w:eastAsia="zh-CN"/>
        </w:rPr>
        <w:t>负责人</w:t>
      </w:r>
      <w:r>
        <w:rPr>
          <w:rFonts w:hint="eastAsia" w:ascii="宋体" w:hAnsi="宋体" w:eastAsia="宋体" w:cs="宋体"/>
          <w:b/>
          <w:color w:val="auto"/>
          <w:sz w:val="32"/>
          <w:szCs w:val="32"/>
          <w:highlight w:val="none"/>
        </w:rPr>
        <w:t>情况表</w:t>
      </w:r>
    </w:p>
    <w:p w14:paraId="1CD2BF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文件要求编制）</w:t>
      </w:r>
    </w:p>
    <w:p w14:paraId="20A5EBDC">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A：</w:t>
      </w:r>
      <w:r>
        <w:rPr>
          <w:rFonts w:hint="eastAsia" w:ascii="宋体" w:hAnsi="宋体" w:eastAsia="宋体" w:cs="宋体"/>
          <w:b/>
          <w:color w:val="auto"/>
          <w:sz w:val="24"/>
          <w:szCs w:val="24"/>
          <w:highlight w:val="none"/>
        </w:rPr>
        <w:t>本项目的项目</w:t>
      </w:r>
      <w:r>
        <w:rPr>
          <w:rFonts w:hint="eastAsia" w:ascii="宋体" w:hAnsi="宋体" w:cs="宋体"/>
          <w:b/>
          <w:color w:val="auto"/>
          <w:sz w:val="24"/>
          <w:szCs w:val="24"/>
          <w:highlight w:val="none"/>
          <w:lang w:val="en-US" w:eastAsia="zh-CN"/>
        </w:rPr>
        <w:t>负责人</w:t>
      </w:r>
      <w:r>
        <w:rPr>
          <w:rFonts w:hint="eastAsia" w:ascii="宋体" w:hAnsi="宋体" w:eastAsia="宋体" w:cs="宋体"/>
          <w:b/>
          <w:color w:val="auto"/>
          <w:sz w:val="24"/>
          <w:szCs w:val="24"/>
          <w:highlight w:val="none"/>
        </w:rPr>
        <w:t>情况表</w:t>
      </w:r>
    </w:p>
    <w:tbl>
      <w:tblPr>
        <w:tblStyle w:val="80"/>
        <w:tblW w:w="9181" w:type="dxa"/>
        <w:tblInd w:w="0" w:type="dxa"/>
        <w:tblLayout w:type="fixed"/>
        <w:tblCellMar>
          <w:top w:w="0" w:type="dxa"/>
          <w:left w:w="108" w:type="dxa"/>
          <w:bottom w:w="0" w:type="dxa"/>
          <w:right w:w="108" w:type="dxa"/>
        </w:tblCellMar>
      </w:tblPr>
      <w:tblGrid>
        <w:gridCol w:w="3271"/>
        <w:gridCol w:w="5910"/>
      </w:tblGrid>
      <w:tr w14:paraId="5944F7C2">
        <w:tblPrEx>
          <w:tblCellMar>
            <w:top w:w="0" w:type="dxa"/>
            <w:left w:w="108" w:type="dxa"/>
            <w:bottom w:w="0" w:type="dxa"/>
            <w:right w:w="108" w:type="dxa"/>
          </w:tblCellMar>
        </w:tblPrEx>
        <w:trPr>
          <w:trHeight w:val="733" w:hRule="atLeast"/>
        </w:trPr>
        <w:tc>
          <w:tcPr>
            <w:tcW w:w="327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DB584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910"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8BDEE0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auto"/>
                <w:sz w:val="24"/>
                <w:szCs w:val="24"/>
                <w:highlight w:val="none"/>
              </w:rPr>
            </w:pPr>
          </w:p>
        </w:tc>
      </w:tr>
      <w:tr w14:paraId="23D60ED7">
        <w:tblPrEx>
          <w:tblCellMar>
            <w:top w:w="0" w:type="dxa"/>
            <w:left w:w="108" w:type="dxa"/>
            <w:bottom w:w="0" w:type="dxa"/>
            <w:right w:w="108" w:type="dxa"/>
          </w:tblCellMar>
        </w:tblPrEx>
        <w:trPr>
          <w:cantSplit/>
          <w:trHeight w:val="498"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0D0AE1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77E9F3C7">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auto"/>
                <w:sz w:val="24"/>
                <w:szCs w:val="24"/>
                <w:highlight w:val="none"/>
              </w:rPr>
            </w:pPr>
          </w:p>
        </w:tc>
      </w:tr>
      <w:tr w14:paraId="311E6D1D">
        <w:tblPrEx>
          <w:tblCellMar>
            <w:top w:w="0" w:type="dxa"/>
            <w:left w:w="108" w:type="dxa"/>
            <w:bottom w:w="0" w:type="dxa"/>
            <w:right w:w="108" w:type="dxa"/>
          </w:tblCellMar>
        </w:tblPrEx>
        <w:trPr>
          <w:cantSplit/>
          <w:trHeight w:val="497"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577D53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3FF9709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0A8CF756">
        <w:tblPrEx>
          <w:tblCellMar>
            <w:top w:w="0" w:type="dxa"/>
            <w:left w:w="108" w:type="dxa"/>
            <w:bottom w:w="0" w:type="dxa"/>
            <w:right w:w="108" w:type="dxa"/>
          </w:tblCellMar>
        </w:tblPrEx>
        <w:trPr>
          <w:cantSplit/>
          <w:trHeight w:val="485"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16CA64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4689F5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50259850">
        <w:tblPrEx>
          <w:tblCellMar>
            <w:top w:w="0" w:type="dxa"/>
            <w:left w:w="108" w:type="dxa"/>
            <w:bottom w:w="0" w:type="dxa"/>
            <w:right w:w="108" w:type="dxa"/>
          </w:tblCellMar>
        </w:tblPrEx>
        <w:trPr>
          <w:cantSplit/>
          <w:trHeight w:val="519"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387718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1BC030C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00A2A0EC">
        <w:tblPrEx>
          <w:tblCellMar>
            <w:top w:w="0" w:type="dxa"/>
            <w:left w:w="108" w:type="dxa"/>
            <w:bottom w:w="0" w:type="dxa"/>
            <w:right w:w="108" w:type="dxa"/>
          </w:tblCellMar>
        </w:tblPrEx>
        <w:trPr>
          <w:cantSplit/>
          <w:trHeight w:val="517"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0DD1EC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45FDA64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00A809DF">
        <w:tblPrEx>
          <w:tblCellMar>
            <w:top w:w="0" w:type="dxa"/>
            <w:left w:w="108" w:type="dxa"/>
            <w:bottom w:w="0" w:type="dxa"/>
            <w:right w:w="108" w:type="dxa"/>
          </w:tblCellMar>
        </w:tblPrEx>
        <w:trPr>
          <w:cantSplit/>
          <w:trHeight w:val="488"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40D190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5FD19A4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7D68CC47">
        <w:tblPrEx>
          <w:tblCellMar>
            <w:top w:w="0" w:type="dxa"/>
            <w:left w:w="108" w:type="dxa"/>
            <w:bottom w:w="0" w:type="dxa"/>
            <w:right w:w="108" w:type="dxa"/>
          </w:tblCellMar>
        </w:tblPrEx>
        <w:trPr>
          <w:cantSplit/>
          <w:trHeight w:val="533"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4EB237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1B8875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3F32CF5B">
        <w:tblPrEx>
          <w:tblCellMar>
            <w:top w:w="0" w:type="dxa"/>
            <w:left w:w="108" w:type="dxa"/>
            <w:bottom w:w="0" w:type="dxa"/>
            <w:right w:w="108" w:type="dxa"/>
          </w:tblCellMar>
        </w:tblPrEx>
        <w:trPr>
          <w:cantSplit/>
          <w:trHeight w:val="520"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063116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38A8806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69DAF61D">
        <w:tblPrEx>
          <w:tblCellMar>
            <w:top w:w="0" w:type="dxa"/>
            <w:left w:w="108" w:type="dxa"/>
            <w:bottom w:w="0" w:type="dxa"/>
            <w:right w:w="108" w:type="dxa"/>
          </w:tblCellMar>
        </w:tblPrEx>
        <w:trPr>
          <w:cantSplit/>
          <w:trHeight w:val="560" w:hRule="atLeast"/>
        </w:trPr>
        <w:tc>
          <w:tcPr>
            <w:tcW w:w="3271" w:type="dxa"/>
            <w:tcBorders>
              <w:top w:val="single" w:color="auto" w:sz="6" w:space="0"/>
              <w:left w:val="single" w:color="auto" w:sz="6" w:space="0"/>
              <w:bottom w:val="single" w:color="auto" w:sz="6" w:space="0"/>
              <w:right w:val="single" w:color="auto" w:sz="6" w:space="0"/>
            </w:tcBorders>
            <w:noWrap w:val="0"/>
            <w:vAlign w:val="center"/>
          </w:tcPr>
          <w:p w14:paraId="6A48BB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910" w:type="dxa"/>
            <w:tcBorders>
              <w:top w:val="single" w:color="auto" w:sz="6" w:space="0"/>
              <w:left w:val="single" w:color="auto" w:sz="6" w:space="0"/>
              <w:bottom w:val="single" w:color="auto" w:sz="6" w:space="0"/>
              <w:right w:val="single" w:color="auto" w:sz="4" w:space="0"/>
            </w:tcBorders>
            <w:noWrap w:val="0"/>
            <w:vAlign w:val="center"/>
          </w:tcPr>
          <w:p w14:paraId="6C56B1B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bl>
    <w:p w14:paraId="762F4696">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注：须随表提交相应的证书复印件并注明所在投标技术文件页码。</w:t>
      </w:r>
    </w:p>
    <w:p w14:paraId="62473896">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b/>
          <w:color w:val="auto"/>
          <w:sz w:val="24"/>
          <w:szCs w:val="24"/>
          <w:highlight w:val="none"/>
        </w:rPr>
      </w:pPr>
    </w:p>
    <w:p w14:paraId="77CF198C">
      <w:pPr>
        <w:ind w:firstLine="2891" w:firstLineChars="900"/>
        <w:rPr>
          <w:rFonts w:hint="eastAsia" w:ascii="宋体" w:hAnsi="宋体" w:cs="宋体"/>
          <w:b/>
          <w:color w:val="auto"/>
          <w:kern w:val="2"/>
          <w:sz w:val="32"/>
          <w:szCs w:val="32"/>
          <w:lang w:val="en-US" w:eastAsia="zh-CN" w:bidi="ar-SA"/>
        </w:rPr>
      </w:pPr>
    </w:p>
    <w:p w14:paraId="0311FB75">
      <w:pPr>
        <w:keepNext w:val="0"/>
        <w:keepLines w:val="0"/>
        <w:pageBreakBefore w:val="0"/>
        <w:widowControl w:val="0"/>
        <w:kinsoku/>
        <w:wordWrap/>
        <w:overflowPunct/>
        <w:topLinePunct w:val="0"/>
        <w:autoSpaceDE w:val="0"/>
        <w:autoSpaceDN w:val="0"/>
        <w:bidi w:val="0"/>
        <w:adjustRightInd/>
        <w:snapToGrid/>
        <w:spacing w:line="240" w:lineRule="auto"/>
        <w:ind w:left="4560" w:leftChars="1900" w:right="0" w:firstLine="0" w:firstLineChars="0"/>
        <w:jc w:val="left"/>
        <w:textAlignment w:val="auto"/>
        <w:rPr>
          <w:rFonts w:hint="eastAsia" w:ascii="宋体" w:hAnsi="宋体" w:eastAsia="宋体" w:cs="宋体"/>
          <w:b w:val="0"/>
          <w:bCs/>
          <w:color w:val="auto"/>
          <w:sz w:val="32"/>
          <w:szCs w:val="28"/>
          <w:highlight w:val="none"/>
          <w:lang w:val="zh-CN"/>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名称（</w:t>
      </w:r>
      <w:r>
        <w:rPr>
          <w:rFonts w:hint="eastAsia" w:ascii="宋体" w:hAnsi="宋体" w:eastAsia="宋体" w:cs="宋体"/>
          <w:color w:val="auto"/>
          <w:sz w:val="24"/>
          <w:szCs w:val="24"/>
          <w:highlight w:val="none"/>
        </w:rPr>
        <w:t>电子签名</w:t>
      </w: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val="0"/>
          <w:bCs/>
          <w:color w:val="auto"/>
          <w:kern w:val="0"/>
          <w:sz w:val="24"/>
          <w:szCs w:val="24"/>
          <w:highlight w:val="none"/>
          <w:lang w:val="zh-CN"/>
        </w:rPr>
        <w:t>日期</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zh-CN"/>
        </w:rPr>
        <w:t xml:space="preserve">   年   月   日</w:t>
      </w:r>
    </w:p>
    <w:p w14:paraId="415BEF86">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b w:val="0"/>
          <w:bCs/>
          <w:color w:val="auto"/>
          <w:sz w:val="24"/>
          <w:szCs w:val="24"/>
          <w:highlight w:val="none"/>
        </w:rPr>
      </w:pPr>
    </w:p>
    <w:p w14:paraId="0080357B">
      <w:pPr>
        <w:pStyle w:val="31"/>
        <w:rPr>
          <w:rFonts w:hint="eastAsia" w:ascii="宋体" w:hAnsi="宋体" w:eastAsia="宋体" w:cs="宋体"/>
          <w:b w:val="0"/>
          <w:bCs/>
          <w:color w:val="auto"/>
          <w:sz w:val="24"/>
          <w:szCs w:val="24"/>
          <w:highlight w:val="none"/>
        </w:rPr>
      </w:pPr>
    </w:p>
    <w:p w14:paraId="179C5EB4">
      <w:pPr>
        <w:rPr>
          <w:rFonts w:hint="eastAsia" w:ascii="宋体" w:hAnsi="宋体" w:eastAsia="宋体" w:cs="宋体"/>
          <w:b w:val="0"/>
          <w:bCs/>
          <w:color w:val="auto"/>
          <w:sz w:val="24"/>
          <w:szCs w:val="24"/>
          <w:highlight w:val="none"/>
        </w:rPr>
      </w:pPr>
    </w:p>
    <w:p w14:paraId="22BE1ADE">
      <w:pPr>
        <w:pStyle w:val="31"/>
        <w:rPr>
          <w:rFonts w:hint="eastAsia" w:ascii="宋体" w:hAnsi="宋体" w:eastAsia="宋体" w:cs="宋体"/>
          <w:b w:val="0"/>
          <w:bCs/>
          <w:color w:val="auto"/>
          <w:sz w:val="24"/>
          <w:szCs w:val="24"/>
          <w:highlight w:val="none"/>
        </w:rPr>
      </w:pPr>
    </w:p>
    <w:p w14:paraId="3335747D">
      <w:pPr>
        <w:rPr>
          <w:rFonts w:hint="eastAsia" w:ascii="宋体" w:hAnsi="宋体" w:eastAsia="宋体" w:cs="宋体"/>
          <w:b w:val="0"/>
          <w:bCs/>
          <w:color w:val="auto"/>
          <w:sz w:val="24"/>
          <w:szCs w:val="24"/>
          <w:highlight w:val="none"/>
        </w:rPr>
      </w:pPr>
    </w:p>
    <w:p w14:paraId="26CD91B2">
      <w:pPr>
        <w:pStyle w:val="31"/>
        <w:rPr>
          <w:rFonts w:hint="eastAsia" w:ascii="宋体" w:hAnsi="宋体" w:eastAsia="宋体" w:cs="宋体"/>
          <w:b w:val="0"/>
          <w:bCs/>
          <w:color w:val="auto"/>
          <w:sz w:val="24"/>
          <w:szCs w:val="24"/>
          <w:highlight w:val="none"/>
        </w:rPr>
      </w:pPr>
    </w:p>
    <w:p w14:paraId="270A4DF4">
      <w:pPr>
        <w:rPr>
          <w:rFonts w:hint="eastAsia" w:ascii="宋体" w:hAnsi="宋体" w:eastAsia="宋体" w:cs="宋体"/>
          <w:b w:val="0"/>
          <w:bCs/>
          <w:color w:val="auto"/>
          <w:sz w:val="24"/>
          <w:szCs w:val="24"/>
          <w:highlight w:val="none"/>
        </w:rPr>
      </w:pPr>
    </w:p>
    <w:p w14:paraId="62F5BAA3">
      <w:pPr>
        <w:pStyle w:val="31"/>
        <w:rPr>
          <w:rFonts w:hint="eastAsia" w:ascii="宋体" w:hAnsi="宋体" w:eastAsia="宋体" w:cs="宋体"/>
          <w:b w:val="0"/>
          <w:bCs/>
          <w:color w:val="auto"/>
          <w:sz w:val="24"/>
          <w:szCs w:val="24"/>
          <w:highlight w:val="none"/>
        </w:rPr>
      </w:pPr>
    </w:p>
    <w:p w14:paraId="1B241355">
      <w:pPr>
        <w:rPr>
          <w:rFonts w:hint="eastAsia"/>
        </w:rPr>
      </w:pPr>
    </w:p>
    <w:p w14:paraId="308DE0E0">
      <w:pPr>
        <w:rPr>
          <w:rFonts w:hint="eastAsia" w:ascii="宋体" w:hAnsi="宋体" w:eastAsia="宋体" w:cs="宋体"/>
          <w:b w:val="0"/>
          <w:bCs/>
          <w:color w:val="auto"/>
          <w:sz w:val="24"/>
          <w:szCs w:val="24"/>
          <w:highlight w:val="none"/>
        </w:rPr>
      </w:pPr>
    </w:p>
    <w:p w14:paraId="7348F103">
      <w:pPr>
        <w:numPr>
          <w:ilvl w:val="0"/>
          <w:numId w:val="0"/>
        </w:numPr>
        <w:spacing w:line="360" w:lineRule="auto"/>
        <w:jc w:val="center"/>
        <w:rPr>
          <w:rFonts w:hint="eastAsia" w:ascii="宋体" w:hAnsi="宋体" w:cs="宋体"/>
          <w:b/>
          <w:color w:val="auto"/>
          <w:kern w:val="2"/>
          <w:sz w:val="32"/>
          <w:szCs w:val="32"/>
          <w:lang w:val="en-US" w:eastAsia="zh-CN" w:bidi="ar-SA"/>
        </w:rPr>
      </w:pPr>
    </w:p>
    <w:p w14:paraId="566395A1">
      <w:pPr>
        <w:numPr>
          <w:ilvl w:val="0"/>
          <w:numId w:val="0"/>
        </w:numPr>
        <w:spacing w:line="36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kern w:val="2"/>
          <w:sz w:val="32"/>
          <w:szCs w:val="32"/>
          <w:lang w:val="en-US" w:eastAsia="zh-CN" w:bidi="ar-SA"/>
        </w:rPr>
        <w:t>七</w:t>
      </w:r>
      <w:r>
        <w:rPr>
          <w:rFonts w:hint="eastAsia" w:ascii="宋体" w:hAnsi="宋体" w:eastAsia="宋体" w:cs="宋体"/>
          <w:b/>
          <w:color w:val="auto"/>
          <w:kern w:val="2"/>
          <w:sz w:val="32"/>
          <w:szCs w:val="32"/>
          <w:lang w:val="en-US" w:eastAsia="zh-CN" w:bidi="ar-SA"/>
        </w:rPr>
        <w:t>、</w:t>
      </w:r>
      <w:r>
        <w:rPr>
          <w:rFonts w:hint="eastAsia" w:ascii="宋体" w:hAnsi="宋体" w:eastAsia="宋体" w:cs="宋体"/>
          <w:b/>
          <w:color w:val="auto"/>
          <w:sz w:val="32"/>
          <w:szCs w:val="32"/>
          <w:highlight w:val="none"/>
          <w:lang w:val="en-US" w:eastAsia="zh-CN"/>
        </w:rPr>
        <w:t>本项目的人员配置情况表</w:t>
      </w:r>
    </w:p>
    <w:p w14:paraId="4F116176">
      <w:pPr>
        <w:numPr>
          <w:ilvl w:val="0"/>
          <w:numId w:val="0"/>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文件要求编制）</w:t>
      </w:r>
    </w:p>
    <w:p w14:paraId="3B0586B6">
      <w:pPr>
        <w:rPr>
          <w:rFonts w:hint="eastAsia"/>
        </w:rPr>
      </w:pPr>
    </w:p>
    <w:p w14:paraId="1ABD8285">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lang w:val="en-US" w:eastAsia="zh-CN"/>
        </w:rPr>
        <w:t>B：</w:t>
      </w:r>
      <w:r>
        <w:rPr>
          <w:rFonts w:hint="eastAsia" w:ascii="宋体" w:hAnsi="宋体" w:eastAsia="宋体" w:cs="宋体"/>
          <w:b/>
          <w:color w:val="auto"/>
          <w:sz w:val="24"/>
          <w:szCs w:val="24"/>
          <w:highlight w:val="none"/>
        </w:rPr>
        <w:t>本项目的</w:t>
      </w:r>
      <w:r>
        <w:rPr>
          <w:rFonts w:hint="eastAsia" w:ascii="宋体" w:hAnsi="宋体" w:cs="宋体"/>
          <w:b/>
          <w:color w:val="auto"/>
          <w:sz w:val="24"/>
          <w:szCs w:val="24"/>
          <w:highlight w:val="none"/>
          <w:lang w:val="en-US" w:eastAsia="zh-CN"/>
        </w:rPr>
        <w:t>人员配置</w:t>
      </w:r>
      <w:r>
        <w:rPr>
          <w:rFonts w:hint="eastAsia" w:ascii="宋体" w:hAnsi="宋体" w:eastAsia="宋体" w:cs="宋体"/>
          <w:b/>
          <w:color w:val="auto"/>
          <w:sz w:val="24"/>
          <w:szCs w:val="24"/>
          <w:highlight w:val="none"/>
        </w:rPr>
        <w:t>情况表</w:t>
      </w:r>
      <w:r>
        <w:rPr>
          <w:rFonts w:hint="eastAsia" w:ascii="宋体" w:hAnsi="宋体" w:eastAsia="宋体" w:cs="宋体"/>
          <w:color w:val="auto"/>
          <w:sz w:val="24"/>
          <w:szCs w:val="24"/>
          <w:highlight w:val="none"/>
        </w:rPr>
        <w:t>（按此格式自制）</w:t>
      </w:r>
    </w:p>
    <w:tbl>
      <w:tblPr>
        <w:tblStyle w:val="8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E6FA7E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EFCE1F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5B6AAD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2FD128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5C9B72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9BC744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学历</w:t>
            </w:r>
          </w:p>
          <w:p w14:paraId="3725FCDC">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D8B4FAC">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专业</w:t>
            </w:r>
          </w:p>
          <w:p w14:paraId="44CE35B2">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41616DC">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职称</w:t>
            </w:r>
          </w:p>
          <w:p w14:paraId="095BBDCF">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0F7343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DAC022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8901F03">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参与本项目的到位情况</w:t>
            </w:r>
          </w:p>
        </w:tc>
      </w:tr>
      <w:tr w14:paraId="586E5C2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B7E663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787" w:type="dxa"/>
            <w:tcBorders>
              <w:top w:val="single" w:color="auto" w:sz="6" w:space="0"/>
              <w:left w:val="single" w:color="auto" w:sz="6" w:space="0"/>
              <w:bottom w:val="single" w:color="auto" w:sz="6" w:space="0"/>
              <w:right w:val="single" w:color="auto" w:sz="6" w:space="0"/>
            </w:tcBorders>
          </w:tcPr>
          <w:p w14:paraId="7529FE9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412" w:type="dxa"/>
            <w:tcBorders>
              <w:top w:val="single" w:color="auto" w:sz="6" w:space="0"/>
              <w:left w:val="single" w:color="auto" w:sz="6" w:space="0"/>
              <w:bottom w:val="single" w:color="auto" w:sz="6" w:space="0"/>
              <w:right w:val="single" w:color="auto" w:sz="6" w:space="0"/>
            </w:tcBorders>
          </w:tcPr>
          <w:p w14:paraId="01F72EB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586" w:type="dxa"/>
            <w:tcBorders>
              <w:top w:val="single" w:color="auto" w:sz="6" w:space="0"/>
              <w:left w:val="single" w:color="auto" w:sz="6" w:space="0"/>
              <w:bottom w:val="single" w:color="auto" w:sz="6" w:space="0"/>
              <w:right w:val="single" w:color="auto" w:sz="6" w:space="0"/>
            </w:tcBorders>
          </w:tcPr>
          <w:p w14:paraId="68300D5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035" w:type="dxa"/>
            <w:tcBorders>
              <w:top w:val="single" w:color="auto" w:sz="6" w:space="0"/>
              <w:left w:val="single" w:color="auto" w:sz="6" w:space="0"/>
              <w:bottom w:val="single" w:color="auto" w:sz="6" w:space="0"/>
              <w:right w:val="single" w:color="auto" w:sz="6" w:space="0"/>
            </w:tcBorders>
          </w:tcPr>
          <w:p w14:paraId="61FA2E0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080" w:type="dxa"/>
            <w:tcBorders>
              <w:top w:val="single" w:color="auto" w:sz="6" w:space="0"/>
              <w:left w:val="single" w:color="auto" w:sz="6" w:space="0"/>
              <w:bottom w:val="single" w:color="auto" w:sz="6" w:space="0"/>
              <w:right w:val="single" w:color="auto" w:sz="6" w:space="0"/>
            </w:tcBorders>
          </w:tcPr>
          <w:p w14:paraId="1FF8C1D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080" w:type="dxa"/>
            <w:tcBorders>
              <w:top w:val="single" w:color="auto" w:sz="6" w:space="0"/>
              <w:left w:val="single" w:color="auto" w:sz="6" w:space="0"/>
              <w:bottom w:val="single" w:color="auto" w:sz="6" w:space="0"/>
              <w:right w:val="single" w:color="auto" w:sz="6" w:space="0"/>
            </w:tcBorders>
          </w:tcPr>
          <w:p w14:paraId="1C15311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60" w:type="dxa"/>
            <w:tcBorders>
              <w:top w:val="single" w:color="auto" w:sz="6" w:space="0"/>
              <w:left w:val="single" w:color="auto" w:sz="6" w:space="0"/>
              <w:bottom w:val="single" w:color="auto" w:sz="6" w:space="0"/>
              <w:right w:val="single" w:color="auto" w:sz="6" w:space="0"/>
            </w:tcBorders>
          </w:tcPr>
          <w:p w14:paraId="405CF46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900" w:type="dxa"/>
            <w:tcBorders>
              <w:top w:val="single" w:color="auto" w:sz="6" w:space="0"/>
              <w:left w:val="single" w:color="auto" w:sz="6" w:space="0"/>
              <w:bottom w:val="single" w:color="auto" w:sz="6" w:space="0"/>
              <w:right w:val="single" w:color="auto" w:sz="6" w:space="0"/>
            </w:tcBorders>
          </w:tcPr>
          <w:p w14:paraId="707AAE7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470" w:type="dxa"/>
            <w:tcBorders>
              <w:top w:val="single" w:color="auto" w:sz="6" w:space="0"/>
              <w:left w:val="single" w:color="auto" w:sz="6" w:space="0"/>
              <w:bottom w:val="single" w:color="auto" w:sz="6" w:space="0"/>
              <w:right w:val="single" w:color="auto" w:sz="6" w:space="0"/>
            </w:tcBorders>
          </w:tcPr>
          <w:p w14:paraId="7280BF2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r>
      <w:tr w14:paraId="673D1F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BCE041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787" w:type="dxa"/>
            <w:tcBorders>
              <w:top w:val="single" w:color="auto" w:sz="6" w:space="0"/>
              <w:left w:val="single" w:color="auto" w:sz="6" w:space="0"/>
              <w:bottom w:val="single" w:color="auto" w:sz="6" w:space="0"/>
              <w:right w:val="single" w:color="auto" w:sz="6" w:space="0"/>
            </w:tcBorders>
          </w:tcPr>
          <w:p w14:paraId="7CF1DFB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412" w:type="dxa"/>
            <w:tcBorders>
              <w:top w:val="single" w:color="auto" w:sz="6" w:space="0"/>
              <w:left w:val="single" w:color="auto" w:sz="6" w:space="0"/>
              <w:bottom w:val="single" w:color="auto" w:sz="6" w:space="0"/>
              <w:right w:val="single" w:color="auto" w:sz="6" w:space="0"/>
            </w:tcBorders>
          </w:tcPr>
          <w:p w14:paraId="6C04F89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586" w:type="dxa"/>
            <w:tcBorders>
              <w:top w:val="single" w:color="auto" w:sz="6" w:space="0"/>
              <w:left w:val="single" w:color="auto" w:sz="6" w:space="0"/>
              <w:bottom w:val="single" w:color="auto" w:sz="6" w:space="0"/>
              <w:right w:val="single" w:color="auto" w:sz="6" w:space="0"/>
            </w:tcBorders>
          </w:tcPr>
          <w:p w14:paraId="154C55C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035" w:type="dxa"/>
            <w:tcBorders>
              <w:top w:val="single" w:color="auto" w:sz="6" w:space="0"/>
              <w:left w:val="single" w:color="auto" w:sz="6" w:space="0"/>
              <w:bottom w:val="single" w:color="auto" w:sz="6" w:space="0"/>
              <w:right w:val="single" w:color="auto" w:sz="6" w:space="0"/>
            </w:tcBorders>
          </w:tcPr>
          <w:p w14:paraId="5779DCB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080" w:type="dxa"/>
            <w:tcBorders>
              <w:top w:val="single" w:color="auto" w:sz="6" w:space="0"/>
              <w:left w:val="single" w:color="auto" w:sz="6" w:space="0"/>
              <w:bottom w:val="single" w:color="auto" w:sz="6" w:space="0"/>
              <w:right w:val="single" w:color="auto" w:sz="6" w:space="0"/>
            </w:tcBorders>
          </w:tcPr>
          <w:p w14:paraId="1F105F1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080" w:type="dxa"/>
            <w:tcBorders>
              <w:top w:val="single" w:color="auto" w:sz="6" w:space="0"/>
              <w:left w:val="single" w:color="auto" w:sz="6" w:space="0"/>
              <w:bottom w:val="single" w:color="auto" w:sz="6" w:space="0"/>
              <w:right w:val="single" w:color="auto" w:sz="6" w:space="0"/>
            </w:tcBorders>
          </w:tcPr>
          <w:p w14:paraId="6D68548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260" w:type="dxa"/>
            <w:tcBorders>
              <w:top w:val="single" w:color="auto" w:sz="6" w:space="0"/>
              <w:left w:val="single" w:color="auto" w:sz="6" w:space="0"/>
              <w:bottom w:val="single" w:color="auto" w:sz="6" w:space="0"/>
              <w:right w:val="single" w:color="auto" w:sz="6" w:space="0"/>
            </w:tcBorders>
          </w:tcPr>
          <w:p w14:paraId="087367E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900" w:type="dxa"/>
            <w:tcBorders>
              <w:top w:val="single" w:color="auto" w:sz="6" w:space="0"/>
              <w:left w:val="single" w:color="auto" w:sz="6" w:space="0"/>
              <w:bottom w:val="single" w:color="auto" w:sz="6" w:space="0"/>
              <w:right w:val="single" w:color="auto" w:sz="6" w:space="0"/>
            </w:tcBorders>
          </w:tcPr>
          <w:p w14:paraId="1B677BD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c>
          <w:tcPr>
            <w:tcW w:w="1470" w:type="dxa"/>
            <w:tcBorders>
              <w:top w:val="single" w:color="auto" w:sz="6" w:space="0"/>
              <w:left w:val="single" w:color="auto" w:sz="6" w:space="0"/>
              <w:bottom w:val="single" w:color="auto" w:sz="6" w:space="0"/>
              <w:right w:val="single" w:color="auto" w:sz="6" w:space="0"/>
            </w:tcBorders>
          </w:tcPr>
          <w:p w14:paraId="1190EA8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2"/>
              </w:rPr>
            </w:pPr>
          </w:p>
        </w:tc>
      </w:tr>
    </w:tbl>
    <w:p w14:paraId="40E39040">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注：投标人可按上述的格式自行编制，须随表提交相应的证书复印件并注明所在投标技术文件页码。</w:t>
      </w:r>
    </w:p>
    <w:p w14:paraId="5880623A">
      <w:pPr>
        <w:pStyle w:val="31"/>
        <w:rPr>
          <w:rFonts w:hint="eastAsia"/>
          <w:lang w:eastAsia="zh-CN"/>
        </w:rPr>
      </w:pPr>
    </w:p>
    <w:p w14:paraId="34DC6E8F">
      <w:pPr>
        <w:ind w:firstLine="2891" w:firstLineChars="900"/>
        <w:rPr>
          <w:rFonts w:hint="eastAsia" w:ascii="宋体" w:hAnsi="宋体" w:cs="宋体"/>
          <w:b/>
          <w:color w:val="auto"/>
          <w:kern w:val="2"/>
          <w:sz w:val="32"/>
          <w:szCs w:val="32"/>
          <w:lang w:val="en-US" w:eastAsia="zh-CN" w:bidi="ar-SA"/>
        </w:rPr>
      </w:pPr>
    </w:p>
    <w:p w14:paraId="5412A8AA">
      <w:pPr>
        <w:pStyle w:val="31"/>
        <w:rPr>
          <w:rFonts w:hint="eastAsia" w:ascii="宋体" w:hAnsi="宋体" w:cs="宋体"/>
          <w:b/>
          <w:color w:val="auto"/>
          <w:kern w:val="2"/>
          <w:sz w:val="32"/>
          <w:szCs w:val="32"/>
          <w:lang w:val="en-US" w:eastAsia="zh-CN" w:bidi="ar-SA"/>
        </w:rPr>
      </w:pPr>
    </w:p>
    <w:p w14:paraId="0AA9F981">
      <w:pPr>
        <w:rPr>
          <w:rFonts w:hint="eastAsia"/>
          <w:lang w:val="en-US" w:eastAsia="zh-CN"/>
        </w:rPr>
      </w:pPr>
    </w:p>
    <w:p w14:paraId="67B03B5D">
      <w:pPr>
        <w:keepNext w:val="0"/>
        <w:keepLines w:val="0"/>
        <w:pageBreakBefore w:val="0"/>
        <w:widowControl w:val="0"/>
        <w:kinsoku/>
        <w:wordWrap/>
        <w:overflowPunct/>
        <w:topLinePunct w:val="0"/>
        <w:autoSpaceDE w:val="0"/>
        <w:autoSpaceDN w:val="0"/>
        <w:bidi w:val="0"/>
        <w:adjustRightInd/>
        <w:snapToGrid/>
        <w:spacing w:line="240" w:lineRule="auto"/>
        <w:ind w:left="4560" w:leftChars="1900" w:right="0" w:firstLine="0" w:firstLineChars="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名称（</w:t>
      </w:r>
      <w:r>
        <w:rPr>
          <w:rFonts w:hint="eastAsia" w:ascii="宋体" w:hAnsi="宋体" w:eastAsia="宋体" w:cs="宋体"/>
          <w:color w:val="auto"/>
          <w:sz w:val="24"/>
          <w:szCs w:val="24"/>
          <w:highlight w:val="none"/>
        </w:rPr>
        <w:t>电子签名</w:t>
      </w: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val="0"/>
          <w:bCs/>
          <w:color w:val="auto"/>
          <w:kern w:val="0"/>
          <w:sz w:val="24"/>
          <w:szCs w:val="24"/>
          <w:highlight w:val="none"/>
          <w:lang w:val="zh-CN"/>
        </w:rPr>
        <w:t>日期</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zh-CN"/>
        </w:rPr>
        <w:t xml:space="preserve">   年   月   日</w:t>
      </w:r>
    </w:p>
    <w:p w14:paraId="3BFEF8EC">
      <w:pPr>
        <w:spacing w:line="360" w:lineRule="auto"/>
        <w:jc w:val="center"/>
        <w:rPr>
          <w:rFonts w:hint="eastAsia" w:ascii="宋体" w:hAnsi="宋体" w:cs="宋体"/>
          <w:sz w:val="24"/>
          <w:lang w:val="en-US" w:eastAsia="zh-CN"/>
        </w:rPr>
      </w:pPr>
    </w:p>
    <w:p w14:paraId="363CB8C9">
      <w:pPr>
        <w:pStyle w:val="31"/>
        <w:rPr>
          <w:rFonts w:hint="eastAsia" w:ascii="宋体" w:hAnsi="宋体" w:cs="宋体"/>
          <w:sz w:val="24"/>
          <w:lang w:val="en-US" w:eastAsia="zh-CN"/>
        </w:rPr>
      </w:pPr>
    </w:p>
    <w:p w14:paraId="7B5DD583">
      <w:pPr>
        <w:rPr>
          <w:rFonts w:hint="eastAsia" w:ascii="宋体" w:hAnsi="宋体" w:cs="宋体"/>
          <w:sz w:val="24"/>
          <w:lang w:val="en-US" w:eastAsia="zh-CN"/>
        </w:rPr>
      </w:pPr>
    </w:p>
    <w:p w14:paraId="7F378682">
      <w:pPr>
        <w:pStyle w:val="31"/>
        <w:rPr>
          <w:rFonts w:hint="eastAsia" w:ascii="宋体" w:hAnsi="宋体" w:cs="宋体"/>
          <w:sz w:val="24"/>
          <w:lang w:val="en-US" w:eastAsia="zh-CN"/>
        </w:rPr>
      </w:pPr>
    </w:p>
    <w:p w14:paraId="45DF0CB7">
      <w:pPr>
        <w:rPr>
          <w:rFonts w:hint="eastAsia" w:ascii="宋体" w:hAnsi="宋体" w:cs="宋体"/>
          <w:sz w:val="24"/>
          <w:lang w:val="en-US" w:eastAsia="zh-CN"/>
        </w:rPr>
      </w:pPr>
    </w:p>
    <w:p w14:paraId="0B0B3F2F">
      <w:pPr>
        <w:pStyle w:val="31"/>
        <w:rPr>
          <w:rFonts w:hint="eastAsia" w:ascii="宋体" w:hAnsi="宋体" w:cs="宋体"/>
          <w:sz w:val="24"/>
          <w:lang w:val="en-US" w:eastAsia="zh-CN"/>
        </w:rPr>
      </w:pPr>
    </w:p>
    <w:p w14:paraId="441C04AC">
      <w:pPr>
        <w:rPr>
          <w:rFonts w:hint="eastAsia" w:ascii="宋体" w:hAnsi="宋体" w:cs="宋体"/>
          <w:sz w:val="24"/>
          <w:lang w:val="en-US" w:eastAsia="zh-CN"/>
        </w:rPr>
      </w:pPr>
    </w:p>
    <w:p w14:paraId="438E1CFF">
      <w:pPr>
        <w:pStyle w:val="31"/>
        <w:rPr>
          <w:rFonts w:hint="eastAsia" w:ascii="宋体" w:hAnsi="宋体" w:cs="宋体"/>
          <w:sz w:val="24"/>
          <w:lang w:val="en-US" w:eastAsia="zh-CN"/>
        </w:rPr>
      </w:pPr>
    </w:p>
    <w:p w14:paraId="53AFD97F">
      <w:pPr>
        <w:rPr>
          <w:rFonts w:hint="eastAsia" w:ascii="宋体" w:hAnsi="宋体" w:cs="宋体"/>
          <w:sz w:val="24"/>
          <w:lang w:val="en-US" w:eastAsia="zh-CN"/>
        </w:rPr>
      </w:pPr>
    </w:p>
    <w:p w14:paraId="5310603A">
      <w:pPr>
        <w:pStyle w:val="31"/>
        <w:rPr>
          <w:rFonts w:hint="eastAsia" w:ascii="宋体" w:hAnsi="宋体" w:cs="宋体"/>
          <w:sz w:val="24"/>
          <w:lang w:val="en-US" w:eastAsia="zh-CN"/>
        </w:rPr>
      </w:pPr>
    </w:p>
    <w:p w14:paraId="1DFBA6BA">
      <w:pPr>
        <w:rPr>
          <w:rFonts w:hint="eastAsia" w:ascii="宋体" w:hAnsi="宋体" w:cs="宋体"/>
          <w:sz w:val="24"/>
          <w:lang w:val="en-US" w:eastAsia="zh-CN"/>
        </w:rPr>
      </w:pPr>
    </w:p>
    <w:p w14:paraId="577CA3D2">
      <w:pPr>
        <w:pStyle w:val="31"/>
        <w:rPr>
          <w:rFonts w:hint="eastAsia" w:ascii="宋体" w:hAnsi="宋体" w:cs="宋体"/>
          <w:sz w:val="24"/>
          <w:lang w:val="en-US" w:eastAsia="zh-CN"/>
        </w:rPr>
      </w:pPr>
    </w:p>
    <w:p w14:paraId="1982C6AF">
      <w:pPr>
        <w:rPr>
          <w:rFonts w:hint="eastAsia"/>
          <w:lang w:val="en-US" w:eastAsia="zh-CN"/>
        </w:rPr>
      </w:pPr>
    </w:p>
    <w:p w14:paraId="197CCCFE">
      <w:pPr>
        <w:spacing w:line="360" w:lineRule="auto"/>
        <w:jc w:val="center"/>
        <w:rPr>
          <w:rFonts w:hint="eastAsia" w:ascii="宋体" w:hAnsi="宋体" w:cs="宋体"/>
          <w:sz w:val="24"/>
          <w:lang w:val="en-US" w:eastAsia="zh-CN"/>
        </w:rPr>
      </w:pPr>
    </w:p>
    <w:p w14:paraId="299B73B5">
      <w:pPr>
        <w:spacing w:line="360" w:lineRule="auto"/>
        <w:jc w:val="center"/>
        <w:rPr>
          <w:rFonts w:hint="eastAsia" w:ascii="宋体" w:hAnsi="宋体" w:cs="宋体"/>
          <w:sz w:val="24"/>
          <w:lang w:val="en-US" w:eastAsia="zh-CN"/>
        </w:rPr>
      </w:pPr>
    </w:p>
    <w:p w14:paraId="7E36FAD9">
      <w:pPr>
        <w:numPr>
          <w:ilvl w:val="0"/>
          <w:numId w:val="0"/>
        </w:numPr>
        <w:spacing w:line="36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kern w:val="2"/>
          <w:sz w:val="32"/>
          <w:szCs w:val="32"/>
          <w:lang w:val="en-US" w:eastAsia="zh-CN" w:bidi="ar-SA"/>
        </w:rPr>
        <w:t>八</w:t>
      </w:r>
      <w:r>
        <w:rPr>
          <w:rFonts w:hint="eastAsia" w:ascii="宋体" w:hAnsi="宋体" w:eastAsia="宋体" w:cs="宋体"/>
          <w:b/>
          <w:color w:val="auto"/>
          <w:kern w:val="2"/>
          <w:sz w:val="32"/>
          <w:szCs w:val="32"/>
          <w:lang w:val="en-US" w:eastAsia="zh-CN" w:bidi="ar-SA"/>
        </w:rPr>
        <w:t>、运维组织架构体系</w:t>
      </w:r>
    </w:p>
    <w:p w14:paraId="121AC10D">
      <w:pPr>
        <w:numPr>
          <w:ilvl w:val="0"/>
          <w:numId w:val="0"/>
        </w:numPr>
        <w:bidi w:val="0"/>
        <w:ind w:leftChars="0"/>
        <w:jc w:val="center"/>
        <w:rPr>
          <w:rFonts w:hint="eastAsia"/>
        </w:rPr>
      </w:pPr>
      <w:r>
        <w:rPr>
          <w:rFonts w:hint="eastAsia"/>
        </w:rPr>
        <w:t>（由投标人根据招标文件要求编制）</w:t>
      </w:r>
    </w:p>
    <w:p w14:paraId="473770D4">
      <w:pPr>
        <w:spacing w:line="360" w:lineRule="auto"/>
        <w:jc w:val="center"/>
        <w:rPr>
          <w:rFonts w:ascii="仿宋_GB2312" w:hAnsi="仿宋_GB2312" w:eastAsia="仿宋_GB2312" w:cs="仿宋_GB2312"/>
          <w:sz w:val="24"/>
        </w:rPr>
      </w:pPr>
    </w:p>
    <w:p w14:paraId="0A041E3B">
      <w:pPr>
        <w:pStyle w:val="91"/>
        <w:rPr>
          <w:rFonts w:ascii="仿宋_GB2312" w:hAnsi="仿宋_GB2312" w:eastAsia="仿宋_GB2312" w:cs="仿宋_GB2312"/>
          <w:sz w:val="24"/>
        </w:rPr>
      </w:pPr>
    </w:p>
    <w:p w14:paraId="43C32A13">
      <w:pPr>
        <w:pStyle w:val="92"/>
      </w:pPr>
    </w:p>
    <w:p w14:paraId="546C9E4A">
      <w:pPr>
        <w:pStyle w:val="92"/>
        <w:rPr>
          <w:rFonts w:ascii="仿宋_GB2312" w:hAnsi="仿宋_GB2312" w:eastAsia="仿宋_GB2312" w:cs="仿宋_GB2312"/>
          <w:sz w:val="24"/>
        </w:rPr>
      </w:pPr>
    </w:p>
    <w:p w14:paraId="26949944">
      <w:pPr>
        <w:spacing w:line="336" w:lineRule="auto"/>
        <w:ind w:firstLine="4867" w:firstLineChars="2028"/>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57FDD971">
      <w:pPr>
        <w:spacing w:line="336" w:lineRule="auto"/>
        <w:ind w:left="640" w:leftChars="0" w:firstLine="640" w:firstLineChars="0"/>
        <w:jc w:val="center"/>
        <w:rPr>
          <w:rFonts w:ascii="仿宋_GB2312" w:hAnsi="仿宋_GB2312" w:eastAsia="仿宋_GB2312" w:cs="仿宋_GB2312"/>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日期：  年   月   日</w:t>
      </w:r>
    </w:p>
    <w:p w14:paraId="33E7564E">
      <w:pPr>
        <w:pStyle w:val="91"/>
        <w:rPr>
          <w:rFonts w:ascii="仿宋_GB2312" w:hAnsi="仿宋_GB2312" w:eastAsia="仿宋_GB2312" w:cs="仿宋_GB2312"/>
          <w:sz w:val="24"/>
        </w:rPr>
      </w:pPr>
    </w:p>
    <w:p w14:paraId="6DE16779">
      <w:pPr>
        <w:pStyle w:val="92"/>
        <w:rPr>
          <w:rFonts w:ascii="仿宋_GB2312" w:hAnsi="仿宋_GB2312" w:eastAsia="仿宋_GB2312" w:cs="仿宋_GB2312"/>
          <w:sz w:val="24"/>
        </w:rPr>
      </w:pPr>
    </w:p>
    <w:p w14:paraId="31E03562">
      <w:pPr>
        <w:rPr>
          <w:rFonts w:ascii="仿宋_GB2312" w:hAnsi="仿宋_GB2312" w:eastAsia="仿宋_GB2312" w:cs="仿宋_GB2312"/>
          <w:sz w:val="24"/>
        </w:rPr>
      </w:pPr>
    </w:p>
    <w:p w14:paraId="32D524CD">
      <w:pPr>
        <w:pStyle w:val="91"/>
      </w:pPr>
    </w:p>
    <w:p w14:paraId="47D41F56">
      <w:pPr>
        <w:pStyle w:val="92"/>
      </w:pPr>
    </w:p>
    <w:p w14:paraId="46804E46"/>
    <w:p w14:paraId="7E8EB6CC">
      <w:pPr>
        <w:pStyle w:val="2"/>
      </w:pPr>
    </w:p>
    <w:p w14:paraId="1786794F"/>
    <w:p w14:paraId="03C49DB9">
      <w:pPr>
        <w:pStyle w:val="2"/>
      </w:pPr>
    </w:p>
    <w:p w14:paraId="20D04C01">
      <w:pPr>
        <w:pStyle w:val="92"/>
      </w:pPr>
    </w:p>
    <w:p w14:paraId="7B9AAB33">
      <w:pPr>
        <w:numPr>
          <w:ilvl w:val="0"/>
          <w:numId w:val="0"/>
        </w:numPr>
        <w:spacing w:line="36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kern w:val="2"/>
          <w:sz w:val="32"/>
          <w:szCs w:val="32"/>
          <w:lang w:val="en-US" w:eastAsia="zh-CN" w:bidi="ar-SA"/>
        </w:rPr>
        <w:t>九</w:t>
      </w:r>
      <w:r>
        <w:rPr>
          <w:rFonts w:hint="eastAsia" w:ascii="宋体" w:hAnsi="宋体" w:eastAsia="宋体" w:cs="宋体"/>
          <w:b/>
          <w:color w:val="auto"/>
          <w:kern w:val="2"/>
          <w:sz w:val="32"/>
          <w:szCs w:val="32"/>
          <w:lang w:val="en-US" w:eastAsia="zh-CN" w:bidi="ar-SA"/>
        </w:rPr>
        <w:t>、运维目标和标准</w:t>
      </w:r>
    </w:p>
    <w:p w14:paraId="37B438F5">
      <w:pPr>
        <w:numPr>
          <w:ilvl w:val="0"/>
          <w:numId w:val="0"/>
        </w:numPr>
        <w:bidi w:val="0"/>
        <w:ind w:leftChars="0"/>
        <w:jc w:val="center"/>
        <w:rPr>
          <w:rFonts w:hint="eastAsia"/>
        </w:rPr>
      </w:pPr>
      <w:r>
        <w:rPr>
          <w:rFonts w:hint="eastAsia"/>
        </w:rPr>
        <w:t>（由投标人根据招标文件要求编制）</w:t>
      </w:r>
    </w:p>
    <w:p w14:paraId="5FB0731B">
      <w:pPr>
        <w:spacing w:line="360" w:lineRule="auto"/>
        <w:jc w:val="center"/>
        <w:rPr>
          <w:rFonts w:ascii="仿宋_GB2312" w:hAnsi="仿宋_GB2312" w:eastAsia="仿宋_GB2312" w:cs="仿宋_GB2312"/>
          <w:sz w:val="24"/>
        </w:rPr>
      </w:pPr>
    </w:p>
    <w:p w14:paraId="3E1F2FD4">
      <w:pPr>
        <w:pStyle w:val="91"/>
        <w:rPr>
          <w:rFonts w:ascii="仿宋_GB2312" w:hAnsi="仿宋_GB2312" w:eastAsia="仿宋_GB2312" w:cs="仿宋_GB2312"/>
          <w:sz w:val="24"/>
        </w:rPr>
      </w:pPr>
    </w:p>
    <w:p w14:paraId="50E80CF1">
      <w:pPr>
        <w:pStyle w:val="92"/>
      </w:pPr>
    </w:p>
    <w:p w14:paraId="189F48D9">
      <w:pPr>
        <w:pStyle w:val="92"/>
        <w:rPr>
          <w:rFonts w:ascii="仿宋_GB2312" w:hAnsi="仿宋_GB2312" w:eastAsia="仿宋_GB2312" w:cs="仿宋_GB2312"/>
          <w:sz w:val="24"/>
        </w:rPr>
      </w:pPr>
    </w:p>
    <w:p w14:paraId="6A0A0A68">
      <w:pPr>
        <w:spacing w:line="336" w:lineRule="auto"/>
        <w:ind w:firstLine="4867" w:firstLineChars="2028"/>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01781925">
      <w:pPr>
        <w:spacing w:line="336" w:lineRule="auto"/>
        <w:ind w:left="640" w:leftChars="0" w:firstLine="640" w:firstLineChars="0"/>
        <w:jc w:val="center"/>
        <w:rPr>
          <w:rFonts w:ascii="仿宋_GB2312" w:hAnsi="仿宋_GB2312" w:eastAsia="仿宋_GB2312" w:cs="仿宋_GB2312"/>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日期：  年   月   日</w:t>
      </w:r>
    </w:p>
    <w:p w14:paraId="37CA6537">
      <w:pPr>
        <w:numPr>
          <w:ilvl w:val="0"/>
          <w:numId w:val="0"/>
        </w:numPr>
        <w:spacing w:line="360" w:lineRule="auto"/>
        <w:jc w:val="center"/>
        <w:rPr>
          <w:rFonts w:hint="eastAsia" w:ascii="宋体" w:hAnsi="宋体" w:cs="宋体"/>
          <w:b/>
          <w:color w:val="auto"/>
          <w:kern w:val="2"/>
          <w:sz w:val="32"/>
          <w:szCs w:val="32"/>
          <w:lang w:val="en-US" w:eastAsia="zh-CN" w:bidi="ar-SA"/>
        </w:rPr>
      </w:pPr>
    </w:p>
    <w:p w14:paraId="2C57D9A0">
      <w:pPr>
        <w:numPr>
          <w:ilvl w:val="0"/>
          <w:numId w:val="0"/>
        </w:numPr>
        <w:spacing w:line="360" w:lineRule="auto"/>
        <w:jc w:val="center"/>
        <w:rPr>
          <w:rFonts w:hint="eastAsia" w:ascii="宋体" w:hAnsi="宋体" w:cs="宋体"/>
          <w:b/>
          <w:color w:val="auto"/>
          <w:kern w:val="2"/>
          <w:sz w:val="32"/>
          <w:szCs w:val="32"/>
          <w:lang w:val="en-US" w:eastAsia="zh-CN" w:bidi="ar-SA"/>
        </w:rPr>
      </w:pPr>
    </w:p>
    <w:p w14:paraId="4E4A5324">
      <w:pPr>
        <w:numPr>
          <w:ilvl w:val="0"/>
          <w:numId w:val="0"/>
        </w:numPr>
        <w:spacing w:line="360" w:lineRule="auto"/>
        <w:jc w:val="center"/>
        <w:rPr>
          <w:rFonts w:hint="eastAsia" w:ascii="宋体" w:hAnsi="宋体" w:cs="宋体"/>
          <w:b/>
          <w:color w:val="auto"/>
          <w:kern w:val="2"/>
          <w:sz w:val="32"/>
          <w:szCs w:val="32"/>
          <w:lang w:val="en-US" w:eastAsia="zh-CN" w:bidi="ar-SA"/>
        </w:rPr>
      </w:pPr>
    </w:p>
    <w:p w14:paraId="2EDDB551">
      <w:pPr>
        <w:numPr>
          <w:ilvl w:val="0"/>
          <w:numId w:val="0"/>
        </w:numPr>
        <w:spacing w:line="360" w:lineRule="auto"/>
        <w:jc w:val="center"/>
        <w:rPr>
          <w:rFonts w:hint="eastAsia" w:ascii="宋体" w:hAnsi="宋体" w:cs="宋体"/>
          <w:b/>
          <w:color w:val="auto"/>
          <w:kern w:val="2"/>
          <w:sz w:val="32"/>
          <w:szCs w:val="32"/>
          <w:lang w:val="en-US" w:eastAsia="zh-CN" w:bidi="ar-SA"/>
        </w:rPr>
      </w:pPr>
    </w:p>
    <w:p w14:paraId="7030694A">
      <w:pPr>
        <w:numPr>
          <w:ilvl w:val="0"/>
          <w:numId w:val="0"/>
        </w:numPr>
        <w:spacing w:line="360" w:lineRule="auto"/>
        <w:jc w:val="center"/>
        <w:rPr>
          <w:rFonts w:hint="eastAsia" w:ascii="宋体" w:hAnsi="宋体" w:cs="宋体"/>
          <w:b/>
          <w:color w:val="auto"/>
          <w:kern w:val="2"/>
          <w:sz w:val="32"/>
          <w:szCs w:val="32"/>
          <w:lang w:val="en-US" w:eastAsia="zh-CN" w:bidi="ar-SA"/>
        </w:rPr>
      </w:pPr>
    </w:p>
    <w:p w14:paraId="4A8D1683">
      <w:pPr>
        <w:numPr>
          <w:ilvl w:val="0"/>
          <w:numId w:val="0"/>
        </w:numPr>
        <w:spacing w:line="360" w:lineRule="auto"/>
        <w:jc w:val="center"/>
        <w:rPr>
          <w:rFonts w:hint="eastAsia" w:ascii="宋体" w:hAnsi="宋体" w:cs="宋体"/>
          <w:b/>
          <w:color w:val="auto"/>
          <w:kern w:val="2"/>
          <w:sz w:val="32"/>
          <w:szCs w:val="32"/>
          <w:lang w:val="en-US" w:eastAsia="zh-CN" w:bidi="ar-SA"/>
        </w:rPr>
      </w:pPr>
    </w:p>
    <w:p w14:paraId="00F08FB7">
      <w:pPr>
        <w:numPr>
          <w:ilvl w:val="0"/>
          <w:numId w:val="0"/>
        </w:numPr>
        <w:spacing w:line="36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kern w:val="2"/>
          <w:sz w:val="32"/>
          <w:szCs w:val="32"/>
          <w:lang w:val="en-US" w:eastAsia="zh-CN" w:bidi="ar-SA"/>
        </w:rPr>
        <w:t>十</w:t>
      </w:r>
      <w:r>
        <w:rPr>
          <w:rFonts w:hint="eastAsia" w:ascii="宋体" w:hAnsi="宋体" w:eastAsia="宋体" w:cs="宋体"/>
          <w:b/>
          <w:color w:val="auto"/>
          <w:kern w:val="2"/>
          <w:sz w:val="32"/>
          <w:szCs w:val="32"/>
          <w:lang w:val="en-US" w:eastAsia="zh-CN" w:bidi="ar-SA"/>
        </w:rPr>
        <w:t>、运维方案及重难点</w:t>
      </w:r>
    </w:p>
    <w:p w14:paraId="1AD8852C">
      <w:pPr>
        <w:numPr>
          <w:ilvl w:val="0"/>
          <w:numId w:val="0"/>
        </w:numPr>
        <w:bidi w:val="0"/>
        <w:ind w:leftChars="0"/>
        <w:jc w:val="center"/>
        <w:rPr>
          <w:rFonts w:hint="eastAsia"/>
        </w:rPr>
      </w:pPr>
      <w:r>
        <w:rPr>
          <w:rFonts w:hint="eastAsia"/>
        </w:rPr>
        <w:t>（由投标人根据招标文件要求编制）</w:t>
      </w:r>
    </w:p>
    <w:p w14:paraId="08A59017">
      <w:pPr>
        <w:spacing w:line="360" w:lineRule="auto"/>
        <w:jc w:val="center"/>
        <w:rPr>
          <w:rFonts w:ascii="仿宋_GB2312" w:hAnsi="仿宋_GB2312" w:eastAsia="仿宋_GB2312" w:cs="仿宋_GB2312"/>
          <w:sz w:val="24"/>
        </w:rPr>
      </w:pPr>
    </w:p>
    <w:p w14:paraId="41648F22">
      <w:pPr>
        <w:pStyle w:val="91"/>
        <w:rPr>
          <w:rFonts w:ascii="仿宋_GB2312" w:hAnsi="仿宋_GB2312" w:eastAsia="仿宋_GB2312" w:cs="仿宋_GB2312"/>
          <w:sz w:val="24"/>
        </w:rPr>
      </w:pPr>
    </w:p>
    <w:p w14:paraId="178D3BB5">
      <w:pPr>
        <w:pStyle w:val="92"/>
      </w:pPr>
    </w:p>
    <w:p w14:paraId="1B16D12B">
      <w:pPr>
        <w:pStyle w:val="92"/>
        <w:rPr>
          <w:rFonts w:ascii="仿宋_GB2312" w:hAnsi="仿宋_GB2312" w:eastAsia="仿宋_GB2312" w:cs="仿宋_GB2312"/>
          <w:sz w:val="24"/>
        </w:rPr>
      </w:pPr>
    </w:p>
    <w:p w14:paraId="4E87F5A6">
      <w:pPr>
        <w:spacing w:line="336" w:lineRule="auto"/>
        <w:ind w:firstLine="4867" w:firstLineChars="2028"/>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0945F19">
      <w:pPr>
        <w:spacing w:line="336" w:lineRule="auto"/>
        <w:ind w:left="640" w:leftChars="0" w:firstLine="640" w:firstLineChars="0"/>
        <w:jc w:val="center"/>
        <w:rPr>
          <w:rFonts w:ascii="仿宋_GB2312" w:hAnsi="仿宋_GB2312" w:eastAsia="仿宋_GB2312" w:cs="仿宋_GB2312"/>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日期：  年   月   日</w:t>
      </w:r>
    </w:p>
    <w:p w14:paraId="7145F7E5">
      <w:pPr>
        <w:rPr>
          <w:rFonts w:hint="eastAsia"/>
          <w:lang w:val="en-US" w:eastAsia="zh-CN"/>
        </w:rPr>
      </w:pPr>
    </w:p>
    <w:p w14:paraId="33CBA1F6">
      <w:pPr>
        <w:numPr>
          <w:ilvl w:val="0"/>
          <w:numId w:val="0"/>
        </w:numPr>
        <w:spacing w:line="360" w:lineRule="auto"/>
        <w:jc w:val="center"/>
        <w:rPr>
          <w:rFonts w:hint="eastAsia" w:ascii="宋体" w:hAnsi="宋体" w:cs="宋体"/>
          <w:b/>
          <w:color w:val="auto"/>
          <w:kern w:val="2"/>
          <w:sz w:val="32"/>
          <w:szCs w:val="32"/>
          <w:lang w:val="en-US" w:eastAsia="zh-CN" w:bidi="ar-SA"/>
        </w:rPr>
      </w:pPr>
    </w:p>
    <w:p w14:paraId="7F7B09C2">
      <w:pPr>
        <w:numPr>
          <w:ilvl w:val="0"/>
          <w:numId w:val="0"/>
        </w:numPr>
        <w:spacing w:line="360" w:lineRule="auto"/>
        <w:jc w:val="center"/>
        <w:rPr>
          <w:rFonts w:hint="eastAsia" w:ascii="宋体" w:hAnsi="宋体" w:cs="宋体"/>
          <w:b/>
          <w:color w:val="auto"/>
          <w:kern w:val="2"/>
          <w:sz w:val="32"/>
          <w:szCs w:val="32"/>
          <w:lang w:val="en-US" w:eastAsia="zh-CN" w:bidi="ar-SA"/>
        </w:rPr>
      </w:pPr>
    </w:p>
    <w:p w14:paraId="70B8A46D">
      <w:pPr>
        <w:numPr>
          <w:ilvl w:val="0"/>
          <w:numId w:val="0"/>
        </w:numPr>
        <w:spacing w:line="360" w:lineRule="auto"/>
        <w:jc w:val="center"/>
        <w:rPr>
          <w:rFonts w:hint="eastAsia" w:ascii="宋体" w:hAnsi="宋体" w:cs="宋体"/>
          <w:b/>
          <w:color w:val="auto"/>
          <w:kern w:val="2"/>
          <w:sz w:val="32"/>
          <w:szCs w:val="32"/>
          <w:lang w:val="en-US" w:eastAsia="zh-CN" w:bidi="ar-SA"/>
        </w:rPr>
      </w:pPr>
    </w:p>
    <w:p w14:paraId="471F345A">
      <w:pPr>
        <w:numPr>
          <w:ilvl w:val="0"/>
          <w:numId w:val="0"/>
        </w:numPr>
        <w:spacing w:line="360" w:lineRule="auto"/>
        <w:jc w:val="center"/>
        <w:rPr>
          <w:rFonts w:hint="eastAsia" w:ascii="宋体" w:hAnsi="宋体" w:cs="宋体"/>
          <w:b/>
          <w:color w:val="auto"/>
          <w:kern w:val="2"/>
          <w:sz w:val="32"/>
          <w:szCs w:val="32"/>
          <w:lang w:val="en-US" w:eastAsia="zh-CN" w:bidi="ar-SA"/>
        </w:rPr>
      </w:pPr>
    </w:p>
    <w:p w14:paraId="087E40B7">
      <w:pPr>
        <w:numPr>
          <w:ilvl w:val="0"/>
          <w:numId w:val="0"/>
        </w:numPr>
        <w:spacing w:line="360" w:lineRule="auto"/>
        <w:jc w:val="center"/>
        <w:rPr>
          <w:rFonts w:hint="eastAsia" w:ascii="宋体" w:hAnsi="宋体" w:cs="宋体"/>
          <w:b/>
          <w:color w:val="auto"/>
          <w:kern w:val="2"/>
          <w:sz w:val="32"/>
          <w:szCs w:val="32"/>
          <w:lang w:val="en-US" w:eastAsia="zh-CN" w:bidi="ar-SA"/>
        </w:rPr>
      </w:pPr>
    </w:p>
    <w:p w14:paraId="769E99F1">
      <w:pPr>
        <w:numPr>
          <w:ilvl w:val="0"/>
          <w:numId w:val="0"/>
        </w:numPr>
        <w:spacing w:line="36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kern w:val="2"/>
          <w:sz w:val="32"/>
          <w:szCs w:val="32"/>
          <w:lang w:val="en-US" w:eastAsia="zh-CN" w:bidi="ar-SA"/>
        </w:rPr>
        <w:t>十一</w:t>
      </w:r>
      <w:r>
        <w:rPr>
          <w:rFonts w:hint="eastAsia" w:ascii="宋体" w:hAnsi="宋体" w:eastAsia="宋体" w:cs="宋体"/>
          <w:b/>
          <w:color w:val="auto"/>
          <w:kern w:val="2"/>
          <w:sz w:val="32"/>
          <w:szCs w:val="32"/>
          <w:lang w:val="en-US" w:eastAsia="zh-CN" w:bidi="ar-SA"/>
        </w:rPr>
        <w:t>、安全文明生产</w:t>
      </w:r>
    </w:p>
    <w:p w14:paraId="68D925B6">
      <w:pPr>
        <w:numPr>
          <w:ilvl w:val="0"/>
          <w:numId w:val="0"/>
        </w:numPr>
        <w:bidi w:val="0"/>
        <w:ind w:leftChars="0"/>
        <w:jc w:val="center"/>
        <w:rPr>
          <w:rFonts w:hint="eastAsia"/>
        </w:rPr>
      </w:pPr>
      <w:r>
        <w:rPr>
          <w:rFonts w:hint="eastAsia"/>
        </w:rPr>
        <w:t>（由投标人根据招标文件要求编制）</w:t>
      </w:r>
    </w:p>
    <w:p w14:paraId="264CDE83">
      <w:pPr>
        <w:spacing w:line="360" w:lineRule="auto"/>
        <w:jc w:val="center"/>
        <w:rPr>
          <w:rFonts w:ascii="仿宋_GB2312" w:hAnsi="仿宋_GB2312" w:eastAsia="仿宋_GB2312" w:cs="仿宋_GB2312"/>
          <w:sz w:val="24"/>
        </w:rPr>
      </w:pPr>
    </w:p>
    <w:p w14:paraId="5D944FEC">
      <w:pPr>
        <w:pStyle w:val="91"/>
        <w:rPr>
          <w:rFonts w:ascii="仿宋_GB2312" w:hAnsi="仿宋_GB2312" w:eastAsia="仿宋_GB2312" w:cs="仿宋_GB2312"/>
          <w:sz w:val="24"/>
        </w:rPr>
      </w:pPr>
    </w:p>
    <w:p w14:paraId="04C986D8">
      <w:pPr>
        <w:pStyle w:val="92"/>
      </w:pPr>
    </w:p>
    <w:p w14:paraId="66F25072">
      <w:pPr>
        <w:pStyle w:val="92"/>
        <w:rPr>
          <w:rFonts w:ascii="仿宋_GB2312" w:hAnsi="仿宋_GB2312" w:eastAsia="仿宋_GB2312" w:cs="仿宋_GB2312"/>
          <w:sz w:val="24"/>
        </w:rPr>
      </w:pPr>
    </w:p>
    <w:p w14:paraId="37358F80">
      <w:pPr>
        <w:spacing w:line="336" w:lineRule="auto"/>
        <w:ind w:firstLine="4867" w:firstLineChars="2028"/>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64BEFEB0">
      <w:pPr>
        <w:spacing w:line="336" w:lineRule="auto"/>
        <w:ind w:left="640" w:leftChars="0" w:firstLine="640" w:firstLineChars="0"/>
        <w:jc w:val="center"/>
        <w:rPr>
          <w:rFonts w:ascii="仿宋_GB2312" w:hAnsi="仿宋_GB2312" w:eastAsia="仿宋_GB2312" w:cs="仿宋_GB2312"/>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日期：  年   月   日</w:t>
      </w:r>
    </w:p>
    <w:p w14:paraId="1A7D39DD">
      <w:pPr>
        <w:snapToGrid w:val="0"/>
        <w:spacing w:line="360" w:lineRule="auto"/>
        <w:jc w:val="center"/>
        <w:rPr>
          <w:rFonts w:hint="eastAsia" w:ascii="宋体" w:hAnsi="宋体" w:cs="宋体"/>
          <w:b/>
          <w:sz w:val="32"/>
          <w:szCs w:val="32"/>
          <w:lang w:val="en-US" w:eastAsia="zh-CN"/>
        </w:rPr>
      </w:pPr>
    </w:p>
    <w:p w14:paraId="33182ED4">
      <w:pPr>
        <w:snapToGrid w:val="0"/>
        <w:spacing w:line="360" w:lineRule="auto"/>
        <w:jc w:val="center"/>
        <w:rPr>
          <w:rFonts w:hint="eastAsia" w:ascii="宋体" w:hAnsi="宋体" w:cs="宋体"/>
          <w:b/>
          <w:sz w:val="32"/>
          <w:szCs w:val="32"/>
          <w:lang w:val="en-US" w:eastAsia="zh-CN"/>
        </w:rPr>
      </w:pPr>
    </w:p>
    <w:p w14:paraId="09AE61CC">
      <w:pPr>
        <w:snapToGrid w:val="0"/>
        <w:spacing w:line="360" w:lineRule="auto"/>
        <w:jc w:val="center"/>
        <w:rPr>
          <w:rFonts w:hint="eastAsia" w:ascii="宋体" w:hAnsi="宋体" w:cs="宋体"/>
          <w:b/>
          <w:sz w:val="32"/>
          <w:szCs w:val="32"/>
          <w:lang w:val="en-US" w:eastAsia="zh-CN"/>
        </w:rPr>
      </w:pPr>
    </w:p>
    <w:p w14:paraId="41390D78">
      <w:pPr>
        <w:snapToGrid w:val="0"/>
        <w:spacing w:line="360" w:lineRule="auto"/>
        <w:jc w:val="center"/>
        <w:rPr>
          <w:rFonts w:hint="eastAsia" w:ascii="宋体" w:hAnsi="宋体" w:cs="宋体"/>
          <w:b/>
          <w:sz w:val="32"/>
          <w:szCs w:val="32"/>
          <w:lang w:val="en-US" w:eastAsia="zh-CN"/>
        </w:rPr>
      </w:pPr>
    </w:p>
    <w:p w14:paraId="6984F4F4">
      <w:pPr>
        <w:snapToGrid w:val="0"/>
        <w:spacing w:line="360" w:lineRule="auto"/>
        <w:jc w:val="center"/>
        <w:rPr>
          <w:rFonts w:hint="eastAsia" w:ascii="宋体" w:hAnsi="宋体" w:cs="宋体"/>
          <w:b/>
          <w:sz w:val="32"/>
          <w:szCs w:val="32"/>
          <w:lang w:val="en-US" w:eastAsia="zh-CN"/>
        </w:rPr>
      </w:pPr>
    </w:p>
    <w:p w14:paraId="3E5046F2">
      <w:pPr>
        <w:snapToGrid w:val="0"/>
        <w:spacing w:line="360" w:lineRule="auto"/>
        <w:jc w:val="center"/>
        <w:rPr>
          <w:rFonts w:hint="eastAsia" w:ascii="宋体" w:hAnsi="宋体" w:cs="宋体"/>
          <w:b/>
          <w:sz w:val="32"/>
          <w:szCs w:val="32"/>
          <w:lang w:val="en-US" w:eastAsia="zh-CN"/>
        </w:rPr>
      </w:pPr>
    </w:p>
    <w:p w14:paraId="130AAE01">
      <w:pPr>
        <w:snapToGrid w:val="0"/>
        <w:spacing w:line="360" w:lineRule="auto"/>
        <w:jc w:val="center"/>
        <w:rPr>
          <w:rFonts w:hint="eastAsia" w:ascii="宋体" w:hAnsi="宋体" w:cs="宋体"/>
          <w:b/>
          <w:sz w:val="32"/>
          <w:szCs w:val="32"/>
          <w:lang w:val="en-US" w:eastAsia="zh-CN"/>
        </w:rPr>
      </w:pPr>
    </w:p>
    <w:p w14:paraId="4A8586FB">
      <w:pPr>
        <w:snapToGrid w:val="0"/>
        <w:spacing w:line="360" w:lineRule="auto"/>
        <w:jc w:val="center"/>
        <w:rPr>
          <w:rFonts w:hint="eastAsia" w:ascii="宋体" w:hAnsi="宋体" w:eastAsia="宋体" w:cs="宋体"/>
          <w:b/>
          <w:sz w:val="32"/>
          <w:szCs w:val="32"/>
        </w:rPr>
      </w:pPr>
      <w:r>
        <w:rPr>
          <w:rFonts w:hint="eastAsia" w:ascii="宋体" w:hAnsi="宋体" w:cs="宋体"/>
          <w:b/>
          <w:sz w:val="32"/>
          <w:szCs w:val="32"/>
          <w:lang w:val="en-US" w:eastAsia="zh-CN"/>
        </w:rPr>
        <w:t>十二</w:t>
      </w:r>
      <w:r>
        <w:rPr>
          <w:rFonts w:hint="eastAsia" w:ascii="宋体" w:hAnsi="宋体" w:eastAsia="宋体" w:cs="宋体"/>
          <w:b/>
          <w:sz w:val="32"/>
          <w:szCs w:val="32"/>
          <w:lang w:val="en-US" w:eastAsia="zh-CN"/>
        </w:rPr>
        <w:t>、拟投入设备</w:t>
      </w:r>
    </w:p>
    <w:tbl>
      <w:tblPr>
        <w:tblStyle w:val="8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82A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8477868">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b/>
                <w:sz w:val="24"/>
                <w:szCs w:val="22"/>
              </w:rPr>
            </w:pPr>
            <w:r>
              <w:rPr>
                <w:rFonts w:hint="eastAsia" w:ascii="仿宋_GB2312" w:hAnsi="仿宋_GB2312" w:eastAsia="仿宋_GB2312" w:cs="仿宋_GB2312"/>
                <w:b/>
                <w:sz w:val="24"/>
                <w:szCs w:val="22"/>
              </w:rPr>
              <w:t>序号</w:t>
            </w:r>
          </w:p>
        </w:tc>
        <w:tc>
          <w:tcPr>
            <w:tcW w:w="1531" w:type="dxa"/>
            <w:vAlign w:val="center"/>
          </w:tcPr>
          <w:p w14:paraId="7BAA6963">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b/>
                <w:sz w:val="24"/>
                <w:szCs w:val="22"/>
              </w:rPr>
            </w:pPr>
            <w:r>
              <w:rPr>
                <w:rFonts w:hint="eastAsia" w:ascii="仿宋_GB2312" w:hAnsi="仿宋_GB2312" w:eastAsia="仿宋_GB2312" w:cs="仿宋_GB2312"/>
                <w:b/>
                <w:sz w:val="24"/>
                <w:szCs w:val="22"/>
              </w:rPr>
              <w:t>设备名称</w:t>
            </w:r>
          </w:p>
        </w:tc>
        <w:tc>
          <w:tcPr>
            <w:tcW w:w="2160" w:type="dxa"/>
            <w:vAlign w:val="center"/>
          </w:tcPr>
          <w:p w14:paraId="24FDCB79">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b/>
                <w:sz w:val="24"/>
                <w:szCs w:val="22"/>
              </w:rPr>
            </w:pPr>
            <w:r>
              <w:rPr>
                <w:rFonts w:hint="eastAsia" w:ascii="仿宋_GB2312" w:hAnsi="仿宋_GB2312" w:eastAsia="仿宋_GB2312" w:cs="仿宋_GB2312"/>
                <w:b/>
                <w:sz w:val="24"/>
                <w:szCs w:val="22"/>
              </w:rPr>
              <w:t>投标品牌及型号</w:t>
            </w:r>
          </w:p>
        </w:tc>
        <w:tc>
          <w:tcPr>
            <w:tcW w:w="2340" w:type="dxa"/>
            <w:vAlign w:val="center"/>
          </w:tcPr>
          <w:p w14:paraId="1FFBF415">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b/>
                <w:sz w:val="24"/>
                <w:szCs w:val="22"/>
              </w:rPr>
            </w:pPr>
            <w:r>
              <w:rPr>
                <w:rFonts w:hint="eastAsia" w:ascii="仿宋_GB2312" w:hAnsi="仿宋_GB2312" w:eastAsia="仿宋_GB2312" w:cs="仿宋_GB2312"/>
                <w:b/>
                <w:sz w:val="24"/>
                <w:szCs w:val="22"/>
              </w:rPr>
              <w:t>规格配置详细说明</w:t>
            </w:r>
          </w:p>
        </w:tc>
        <w:tc>
          <w:tcPr>
            <w:tcW w:w="1080" w:type="dxa"/>
            <w:vAlign w:val="center"/>
          </w:tcPr>
          <w:p w14:paraId="537DB514">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b/>
                <w:sz w:val="24"/>
                <w:szCs w:val="22"/>
              </w:rPr>
            </w:pPr>
            <w:r>
              <w:rPr>
                <w:rFonts w:hint="eastAsia" w:ascii="仿宋_GB2312" w:hAnsi="仿宋_GB2312" w:eastAsia="仿宋_GB2312" w:cs="仿宋_GB2312"/>
                <w:b/>
                <w:sz w:val="24"/>
                <w:szCs w:val="22"/>
              </w:rPr>
              <w:t>数量</w:t>
            </w:r>
          </w:p>
        </w:tc>
        <w:tc>
          <w:tcPr>
            <w:tcW w:w="1332" w:type="dxa"/>
            <w:vAlign w:val="center"/>
          </w:tcPr>
          <w:p w14:paraId="7E059B44">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b/>
                <w:sz w:val="24"/>
                <w:szCs w:val="22"/>
              </w:rPr>
            </w:pPr>
            <w:r>
              <w:rPr>
                <w:rFonts w:hint="eastAsia" w:ascii="仿宋_GB2312" w:hAnsi="仿宋_GB2312" w:eastAsia="仿宋_GB2312" w:cs="仿宋_GB2312"/>
                <w:b/>
                <w:sz w:val="24"/>
                <w:szCs w:val="22"/>
              </w:rPr>
              <w:t>备注</w:t>
            </w:r>
          </w:p>
        </w:tc>
      </w:tr>
      <w:tr w14:paraId="2B58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1E72F0C">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1531" w:type="dxa"/>
            <w:vAlign w:val="center"/>
          </w:tcPr>
          <w:p w14:paraId="0B7F3A24">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160" w:type="dxa"/>
            <w:vAlign w:val="center"/>
          </w:tcPr>
          <w:p w14:paraId="4AC91352">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340" w:type="dxa"/>
            <w:vAlign w:val="center"/>
          </w:tcPr>
          <w:p w14:paraId="6EE74088">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080" w:type="dxa"/>
            <w:vAlign w:val="center"/>
          </w:tcPr>
          <w:p w14:paraId="57FD7393">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332" w:type="dxa"/>
            <w:vAlign w:val="center"/>
          </w:tcPr>
          <w:p w14:paraId="361A988E">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r>
      <w:tr w14:paraId="01EE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CDF90BE">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1531" w:type="dxa"/>
            <w:vAlign w:val="center"/>
          </w:tcPr>
          <w:p w14:paraId="20522532">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160" w:type="dxa"/>
            <w:vAlign w:val="center"/>
          </w:tcPr>
          <w:p w14:paraId="5269AB67">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340" w:type="dxa"/>
            <w:vAlign w:val="center"/>
          </w:tcPr>
          <w:p w14:paraId="5536EFA2">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080" w:type="dxa"/>
            <w:vAlign w:val="center"/>
          </w:tcPr>
          <w:p w14:paraId="5AFC433E">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332" w:type="dxa"/>
            <w:vAlign w:val="center"/>
          </w:tcPr>
          <w:p w14:paraId="703F28EF">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r>
      <w:tr w14:paraId="2D66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5971C5">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1531" w:type="dxa"/>
            <w:vAlign w:val="center"/>
          </w:tcPr>
          <w:p w14:paraId="0E6CEB4A">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160" w:type="dxa"/>
            <w:vAlign w:val="center"/>
          </w:tcPr>
          <w:p w14:paraId="1ADAFCCD">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340" w:type="dxa"/>
            <w:vAlign w:val="center"/>
          </w:tcPr>
          <w:p w14:paraId="01DD7069">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080" w:type="dxa"/>
            <w:vAlign w:val="center"/>
          </w:tcPr>
          <w:p w14:paraId="14F58AD9">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332" w:type="dxa"/>
            <w:vAlign w:val="center"/>
          </w:tcPr>
          <w:p w14:paraId="292A90D2">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r>
      <w:tr w14:paraId="43FC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93D5240">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4</w:t>
            </w:r>
          </w:p>
        </w:tc>
        <w:tc>
          <w:tcPr>
            <w:tcW w:w="1531" w:type="dxa"/>
            <w:vAlign w:val="center"/>
          </w:tcPr>
          <w:p w14:paraId="6658146A">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160" w:type="dxa"/>
            <w:vAlign w:val="center"/>
          </w:tcPr>
          <w:p w14:paraId="056BCA6C">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340" w:type="dxa"/>
            <w:vAlign w:val="center"/>
          </w:tcPr>
          <w:p w14:paraId="1A12F9C0">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080" w:type="dxa"/>
            <w:vAlign w:val="center"/>
          </w:tcPr>
          <w:p w14:paraId="33E63975">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332" w:type="dxa"/>
            <w:vAlign w:val="center"/>
          </w:tcPr>
          <w:p w14:paraId="5B1652C8">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r>
      <w:tr w14:paraId="5E00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59EEF3">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1531" w:type="dxa"/>
            <w:vAlign w:val="center"/>
          </w:tcPr>
          <w:p w14:paraId="56D66CAE">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160" w:type="dxa"/>
            <w:vAlign w:val="center"/>
          </w:tcPr>
          <w:p w14:paraId="64FFFB55">
            <w:pPr>
              <w:keepNext w:val="0"/>
              <w:keepLines w:val="0"/>
              <w:suppressLineNumbers w:val="0"/>
              <w:snapToGrid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2340" w:type="dxa"/>
            <w:vAlign w:val="center"/>
          </w:tcPr>
          <w:p w14:paraId="62696F85">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080" w:type="dxa"/>
            <w:vAlign w:val="center"/>
          </w:tcPr>
          <w:p w14:paraId="02C2D63C">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c>
          <w:tcPr>
            <w:tcW w:w="1332" w:type="dxa"/>
            <w:vAlign w:val="center"/>
          </w:tcPr>
          <w:p w14:paraId="00E1D091">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szCs w:val="22"/>
              </w:rPr>
            </w:pPr>
          </w:p>
        </w:tc>
      </w:tr>
    </w:tbl>
    <w:p w14:paraId="0BF846A5">
      <w:pPr>
        <w:spacing w:line="360" w:lineRule="auto"/>
        <w:rPr>
          <w:rFonts w:hint="eastAsia" w:ascii="仿宋" w:hAnsi="仿宋" w:eastAsia="仿宋" w:cs="仿宋"/>
          <w:b/>
          <w:bCs/>
          <w:color w:val="auto"/>
          <w:sz w:val="24"/>
          <w:szCs w:val="24"/>
          <w:highlight w:val="none"/>
        </w:rPr>
      </w:pPr>
      <w:r>
        <w:rPr>
          <w:rFonts w:hint="eastAsia" w:ascii="宋体" w:hAnsi="宋体" w:eastAsia="宋体" w:cs="宋体"/>
          <w:b/>
          <w:bCs/>
          <w:color w:val="auto"/>
          <w:sz w:val="24"/>
          <w:szCs w:val="24"/>
          <w:highlight w:val="none"/>
        </w:rPr>
        <w:t>注：此表仅提供了表格形式，</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可按此表格格式进行扩展。</w:t>
      </w:r>
    </w:p>
    <w:p w14:paraId="24935B58">
      <w:pPr>
        <w:autoSpaceDE w:val="0"/>
        <w:autoSpaceDN w:val="0"/>
        <w:spacing w:line="360" w:lineRule="auto"/>
        <w:ind w:firstLine="4560" w:firstLineChars="1900"/>
        <w:rPr>
          <w:rFonts w:hint="eastAsia" w:ascii="宋体" w:hAnsi="宋体" w:eastAsia="宋体" w:cs="宋体"/>
          <w:kern w:val="0"/>
          <w:sz w:val="24"/>
        </w:rPr>
      </w:pPr>
    </w:p>
    <w:p w14:paraId="1FBA627F">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14CE46D">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7846A2C9">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lang w:val="zh-CN"/>
        </w:rPr>
        <w:tab/>
      </w:r>
      <w:r>
        <w:rPr>
          <w:rFonts w:hint="eastAsia" w:ascii="仿宋_GB2312" w:hAnsi="仿宋_GB2312" w:eastAsia="仿宋_GB2312" w:cs="仿宋_GB2312"/>
          <w:b/>
          <w:bCs/>
          <w:kern w:val="0"/>
          <w:sz w:val="24"/>
          <w:lang w:val="zh-CN"/>
        </w:rPr>
        <w:tab/>
      </w:r>
    </w:p>
    <w:p w14:paraId="30BB0221">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14:paraId="5E8C56E2">
      <w:pPr>
        <w:pageBreakBefore/>
        <w:tabs>
          <w:tab w:val="left" w:pos="2790"/>
          <w:tab w:val="left" w:pos="4230"/>
        </w:tabs>
        <w:autoSpaceDE w:val="0"/>
        <w:autoSpaceDN w:val="0"/>
        <w:spacing w:line="360" w:lineRule="auto"/>
        <w:ind w:right="1400"/>
        <w:jc w:val="center"/>
        <w:outlineLvl w:val="1"/>
        <w:rPr>
          <w:rFonts w:hint="default"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 xml:space="preserve">         </w:t>
      </w:r>
      <w:r>
        <w:rPr>
          <w:rFonts w:hint="eastAsia" w:ascii="宋体" w:hAnsi="宋体" w:eastAsia="宋体" w:cs="宋体"/>
          <w:b/>
          <w:bCs/>
          <w:kern w:val="0"/>
          <w:sz w:val="32"/>
          <w:szCs w:val="32"/>
          <w:lang w:val="en-US" w:eastAsia="zh-CN"/>
        </w:rPr>
        <w:t>十</w:t>
      </w:r>
      <w:r>
        <w:rPr>
          <w:rFonts w:hint="eastAsia" w:ascii="宋体" w:hAnsi="宋体" w:cs="宋体"/>
          <w:b/>
          <w:bCs/>
          <w:kern w:val="0"/>
          <w:sz w:val="32"/>
          <w:szCs w:val="32"/>
          <w:lang w:val="en-US" w:eastAsia="zh-CN"/>
        </w:rPr>
        <w:t>三</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档案资料整理归档</w:t>
      </w:r>
    </w:p>
    <w:p w14:paraId="261E7FCB">
      <w:pPr>
        <w:autoSpaceDE w:val="0"/>
        <w:autoSpaceDN w:val="0"/>
        <w:spacing w:line="360" w:lineRule="auto"/>
        <w:jc w:val="center"/>
        <w:rPr>
          <w:rFonts w:ascii="仿宋_GB2312" w:hAnsi="仿宋_GB2312" w:eastAsia="仿宋_GB2312" w:cs="仿宋_GB2312"/>
          <w:sz w:val="24"/>
        </w:rPr>
      </w:pPr>
      <w:r>
        <w:rPr>
          <w:rFonts w:hint="eastAsia"/>
        </w:rPr>
        <w:t>（由投标人根据招标文件要求编制）</w:t>
      </w:r>
    </w:p>
    <w:p w14:paraId="7F48BE01">
      <w:pPr>
        <w:spacing w:line="336" w:lineRule="auto"/>
        <w:rPr>
          <w:rFonts w:hint="eastAsia" w:ascii="仿宋" w:hAnsi="仿宋" w:eastAsia="仿宋" w:cs="仿宋"/>
          <w:sz w:val="24"/>
          <w:lang w:eastAsia="zh-CN"/>
        </w:rPr>
      </w:pPr>
    </w:p>
    <w:p w14:paraId="7ECC77CD">
      <w:pPr>
        <w:spacing w:line="336" w:lineRule="auto"/>
        <w:ind w:firstLine="3600" w:firstLineChars="1500"/>
        <w:rPr>
          <w:rFonts w:hint="eastAsia" w:ascii="仿宋" w:hAnsi="仿宋" w:eastAsia="仿宋" w:cs="仿宋"/>
          <w:sz w:val="24"/>
          <w:lang w:eastAsia="zh-CN"/>
        </w:rPr>
      </w:pPr>
    </w:p>
    <w:p w14:paraId="0B69C3D9">
      <w:pPr>
        <w:spacing w:line="336" w:lineRule="auto"/>
        <w:ind w:firstLine="3600" w:firstLineChars="1500"/>
        <w:rPr>
          <w:rFonts w:hint="eastAsia" w:ascii="仿宋" w:hAnsi="仿宋" w:eastAsia="仿宋" w:cs="仿宋"/>
          <w:sz w:val="24"/>
          <w:lang w:eastAsia="zh-CN"/>
        </w:rPr>
      </w:pPr>
    </w:p>
    <w:p w14:paraId="5197B7E2">
      <w:pPr>
        <w:spacing w:line="336" w:lineRule="auto"/>
        <w:ind w:firstLine="3600" w:firstLineChars="1500"/>
        <w:rPr>
          <w:rFonts w:hint="eastAsia" w:ascii="仿宋" w:hAnsi="仿宋" w:eastAsia="仿宋" w:cs="仿宋"/>
          <w:sz w:val="24"/>
          <w:lang w:eastAsia="zh-CN"/>
        </w:rPr>
      </w:pPr>
    </w:p>
    <w:p w14:paraId="7A60DE2E">
      <w:pPr>
        <w:spacing w:line="336" w:lineRule="auto"/>
        <w:ind w:firstLine="4320" w:firstLineChars="18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1FE2BBC2">
      <w:pPr>
        <w:spacing w:line="336" w:lineRule="auto"/>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1E488D2">
      <w:pPr>
        <w:spacing w:line="400" w:lineRule="exact"/>
        <w:rPr>
          <w:rFonts w:hint="eastAsia"/>
          <w:b/>
          <w:color w:val="auto"/>
        </w:rPr>
      </w:pPr>
    </w:p>
    <w:p w14:paraId="378EC1F4">
      <w:pPr>
        <w:spacing w:line="400" w:lineRule="exact"/>
        <w:rPr>
          <w:rFonts w:hint="eastAsia"/>
          <w:b/>
          <w:color w:val="auto"/>
        </w:rPr>
      </w:pPr>
    </w:p>
    <w:p w14:paraId="0A53F689">
      <w:pPr>
        <w:spacing w:line="400" w:lineRule="exact"/>
        <w:rPr>
          <w:rFonts w:hint="eastAsia"/>
          <w:b/>
          <w:color w:val="auto"/>
        </w:rPr>
      </w:pPr>
    </w:p>
    <w:p w14:paraId="2B66776A">
      <w:pPr>
        <w:spacing w:line="400" w:lineRule="exact"/>
        <w:rPr>
          <w:rFonts w:hint="eastAsia"/>
          <w:b/>
          <w:color w:val="auto"/>
        </w:rPr>
      </w:pPr>
    </w:p>
    <w:p w14:paraId="0C0129BC">
      <w:pPr>
        <w:spacing w:line="400" w:lineRule="exact"/>
        <w:rPr>
          <w:rFonts w:hint="eastAsia"/>
          <w:b/>
          <w:color w:val="auto"/>
        </w:rPr>
      </w:pPr>
    </w:p>
    <w:p w14:paraId="3B83B7B5">
      <w:pPr>
        <w:spacing w:line="400" w:lineRule="exact"/>
        <w:rPr>
          <w:rFonts w:hint="eastAsia"/>
          <w:b/>
          <w:color w:val="auto"/>
        </w:rPr>
      </w:pPr>
    </w:p>
    <w:p w14:paraId="2F330D87">
      <w:pPr>
        <w:spacing w:line="400" w:lineRule="exact"/>
        <w:rPr>
          <w:rFonts w:hint="eastAsia"/>
          <w:b/>
          <w:color w:val="auto"/>
        </w:rPr>
      </w:pPr>
    </w:p>
    <w:p w14:paraId="31B4AC8B">
      <w:pPr>
        <w:spacing w:line="400" w:lineRule="exact"/>
        <w:rPr>
          <w:rFonts w:hint="eastAsia"/>
          <w:b/>
          <w:color w:val="auto"/>
        </w:rPr>
      </w:pPr>
    </w:p>
    <w:p w14:paraId="63864236">
      <w:pPr>
        <w:spacing w:line="336" w:lineRule="auto"/>
        <w:jc w:val="center"/>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十</w:t>
      </w:r>
      <w:r>
        <w:rPr>
          <w:rFonts w:hint="eastAsia" w:ascii="宋体" w:hAnsi="宋体" w:cs="宋体"/>
          <w:b/>
          <w:bCs/>
          <w:kern w:val="0"/>
          <w:sz w:val="32"/>
          <w:szCs w:val="32"/>
          <w:lang w:val="en-US" w:eastAsia="zh-CN"/>
        </w:rPr>
        <w:t>四</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保密措施</w:t>
      </w:r>
    </w:p>
    <w:p w14:paraId="543FCCE2">
      <w:pPr>
        <w:autoSpaceDE w:val="0"/>
        <w:autoSpaceDN w:val="0"/>
        <w:spacing w:line="360" w:lineRule="auto"/>
        <w:jc w:val="center"/>
        <w:rPr>
          <w:rFonts w:hint="eastAsia"/>
          <w:lang w:eastAsia="zh-CN"/>
        </w:rPr>
      </w:pPr>
      <w:r>
        <w:rPr>
          <w:rFonts w:hint="eastAsia"/>
        </w:rPr>
        <w:t>（由投标人根据招标文件要求编制）</w:t>
      </w:r>
    </w:p>
    <w:p w14:paraId="4B25048E">
      <w:pPr>
        <w:spacing w:line="336" w:lineRule="auto"/>
        <w:ind w:firstLine="3600" w:firstLineChars="1500"/>
        <w:rPr>
          <w:rFonts w:hint="eastAsia" w:ascii="仿宋" w:hAnsi="仿宋" w:eastAsia="仿宋" w:cs="仿宋"/>
          <w:sz w:val="24"/>
          <w:lang w:eastAsia="zh-CN"/>
        </w:rPr>
      </w:pPr>
    </w:p>
    <w:p w14:paraId="23B10292">
      <w:pPr>
        <w:spacing w:line="336" w:lineRule="auto"/>
        <w:ind w:firstLine="3600" w:firstLineChars="1500"/>
        <w:rPr>
          <w:rFonts w:hint="eastAsia" w:ascii="仿宋" w:hAnsi="仿宋" w:eastAsia="仿宋" w:cs="仿宋"/>
          <w:sz w:val="24"/>
          <w:lang w:eastAsia="zh-CN"/>
        </w:rPr>
      </w:pPr>
    </w:p>
    <w:p w14:paraId="698ED923">
      <w:pPr>
        <w:spacing w:line="336" w:lineRule="auto"/>
        <w:ind w:firstLine="3600" w:firstLineChars="1500"/>
        <w:rPr>
          <w:rFonts w:hint="eastAsia" w:ascii="仿宋" w:hAnsi="仿宋" w:eastAsia="仿宋" w:cs="仿宋"/>
          <w:sz w:val="24"/>
          <w:lang w:eastAsia="zh-CN"/>
        </w:rPr>
      </w:pPr>
    </w:p>
    <w:p w14:paraId="4D80CB3B">
      <w:pPr>
        <w:spacing w:line="336" w:lineRule="auto"/>
        <w:ind w:firstLine="4560" w:firstLineChars="19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2CF98085">
      <w:pPr>
        <w:spacing w:line="336" w:lineRule="auto"/>
        <w:ind w:left="1280" w:leftChars="0" w:firstLine="640" w:firstLineChars="0"/>
        <w:jc w:val="center"/>
        <w:rPr>
          <w:rFonts w:hint="eastAsia" w:ascii="仿宋" w:hAnsi="仿宋" w:eastAsia="仿宋" w:cs="仿宋"/>
          <w:sz w:val="24"/>
        </w:rPr>
      </w:pPr>
      <w:r>
        <w:rPr>
          <w:rFonts w:hint="eastAsia" w:ascii="仿宋" w:hAnsi="仿宋" w:eastAsia="仿宋" w:cs="仿宋"/>
          <w:sz w:val="24"/>
        </w:rPr>
        <w:t xml:space="preserve">     日期：  年   月   日</w:t>
      </w:r>
    </w:p>
    <w:p w14:paraId="48C3DA61">
      <w:pPr>
        <w:spacing w:line="336" w:lineRule="auto"/>
        <w:jc w:val="center"/>
        <w:rPr>
          <w:rFonts w:hint="eastAsia" w:ascii="宋体" w:hAnsi="宋体" w:eastAsia="宋体" w:cs="宋体"/>
          <w:b/>
          <w:bCs/>
          <w:kern w:val="0"/>
          <w:sz w:val="32"/>
          <w:szCs w:val="32"/>
          <w:lang w:val="en-US" w:eastAsia="zh-CN"/>
        </w:rPr>
      </w:pPr>
    </w:p>
    <w:p w14:paraId="2D611B12">
      <w:pPr>
        <w:spacing w:line="336" w:lineRule="auto"/>
        <w:jc w:val="center"/>
        <w:rPr>
          <w:rFonts w:hint="eastAsia" w:ascii="宋体" w:hAnsi="宋体" w:eastAsia="宋体" w:cs="宋体"/>
          <w:b/>
          <w:bCs/>
          <w:kern w:val="0"/>
          <w:sz w:val="32"/>
          <w:szCs w:val="32"/>
          <w:lang w:val="en-US" w:eastAsia="zh-CN"/>
        </w:rPr>
      </w:pPr>
    </w:p>
    <w:p w14:paraId="62CA80BC">
      <w:pPr>
        <w:spacing w:line="336" w:lineRule="auto"/>
        <w:jc w:val="center"/>
        <w:rPr>
          <w:rFonts w:hint="eastAsia" w:ascii="宋体" w:hAnsi="宋体" w:eastAsia="宋体" w:cs="宋体"/>
          <w:b/>
          <w:bCs/>
          <w:kern w:val="0"/>
          <w:sz w:val="32"/>
          <w:szCs w:val="32"/>
          <w:lang w:val="en-US" w:eastAsia="zh-CN"/>
        </w:rPr>
      </w:pPr>
    </w:p>
    <w:p w14:paraId="62511984">
      <w:pPr>
        <w:spacing w:line="336" w:lineRule="auto"/>
        <w:jc w:val="center"/>
        <w:rPr>
          <w:rFonts w:hint="eastAsia" w:ascii="宋体" w:hAnsi="宋体" w:eastAsia="宋体" w:cs="宋体"/>
          <w:b/>
          <w:bCs/>
          <w:kern w:val="0"/>
          <w:sz w:val="32"/>
          <w:szCs w:val="32"/>
          <w:lang w:val="en-US" w:eastAsia="zh-CN"/>
        </w:rPr>
      </w:pPr>
    </w:p>
    <w:p w14:paraId="0CB76747">
      <w:pPr>
        <w:spacing w:line="336" w:lineRule="auto"/>
        <w:jc w:val="center"/>
        <w:rPr>
          <w:rFonts w:hint="eastAsia" w:ascii="宋体" w:hAnsi="宋体" w:eastAsia="宋体" w:cs="宋体"/>
          <w:b/>
          <w:bCs/>
          <w:kern w:val="0"/>
          <w:sz w:val="32"/>
          <w:szCs w:val="32"/>
          <w:lang w:val="en-US" w:eastAsia="zh-CN"/>
        </w:rPr>
      </w:pPr>
    </w:p>
    <w:p w14:paraId="1000FD53">
      <w:pPr>
        <w:spacing w:line="336" w:lineRule="auto"/>
        <w:jc w:val="center"/>
        <w:rPr>
          <w:rFonts w:hint="eastAsia" w:ascii="宋体" w:hAnsi="宋体" w:eastAsia="宋体" w:cs="宋体"/>
          <w:b/>
          <w:bCs/>
          <w:kern w:val="0"/>
          <w:sz w:val="32"/>
          <w:szCs w:val="32"/>
          <w:lang w:val="en-US" w:eastAsia="zh-CN"/>
        </w:rPr>
      </w:pPr>
    </w:p>
    <w:p w14:paraId="162D9E84">
      <w:pPr>
        <w:spacing w:line="336" w:lineRule="auto"/>
        <w:jc w:val="center"/>
        <w:rPr>
          <w:rFonts w:hint="eastAsia" w:ascii="宋体" w:hAnsi="宋体" w:eastAsia="宋体" w:cs="宋体"/>
          <w:b/>
          <w:bCs/>
          <w:kern w:val="0"/>
          <w:sz w:val="32"/>
          <w:szCs w:val="32"/>
          <w:lang w:val="en-US" w:eastAsia="zh-CN"/>
        </w:rPr>
      </w:pPr>
    </w:p>
    <w:p w14:paraId="3F5C7B9E">
      <w:pPr>
        <w:spacing w:line="336" w:lineRule="auto"/>
        <w:jc w:val="center"/>
        <w:rPr>
          <w:rFonts w:hint="eastAsia" w:ascii="宋体" w:hAnsi="宋体" w:eastAsia="宋体" w:cs="宋体"/>
          <w:b/>
          <w:bCs/>
          <w:kern w:val="0"/>
          <w:sz w:val="32"/>
          <w:szCs w:val="32"/>
          <w:lang w:val="en-US" w:eastAsia="zh-CN"/>
        </w:rPr>
      </w:pPr>
    </w:p>
    <w:p w14:paraId="1EA34834">
      <w:pPr>
        <w:spacing w:line="336" w:lineRule="auto"/>
        <w:jc w:val="center"/>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十</w:t>
      </w:r>
      <w:r>
        <w:rPr>
          <w:rFonts w:hint="eastAsia" w:ascii="宋体" w:hAnsi="宋体" w:cs="宋体"/>
          <w:b/>
          <w:bCs/>
          <w:kern w:val="0"/>
          <w:sz w:val="32"/>
          <w:szCs w:val="32"/>
          <w:lang w:val="en-US" w:eastAsia="zh-CN"/>
        </w:rPr>
        <w:t>五</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培训计划</w:t>
      </w:r>
    </w:p>
    <w:p w14:paraId="576EBA37">
      <w:pPr>
        <w:autoSpaceDE w:val="0"/>
        <w:autoSpaceDN w:val="0"/>
        <w:spacing w:line="360" w:lineRule="auto"/>
        <w:jc w:val="center"/>
        <w:rPr>
          <w:rFonts w:hint="eastAsia"/>
          <w:lang w:eastAsia="zh-CN"/>
        </w:rPr>
      </w:pPr>
      <w:r>
        <w:rPr>
          <w:rFonts w:hint="eastAsia"/>
        </w:rPr>
        <w:t>（由投标人根据招标文件要求编制）</w:t>
      </w:r>
    </w:p>
    <w:p w14:paraId="0EECCA1E">
      <w:pPr>
        <w:spacing w:line="336" w:lineRule="auto"/>
        <w:ind w:firstLine="3600" w:firstLineChars="1500"/>
        <w:rPr>
          <w:rFonts w:hint="eastAsia" w:ascii="仿宋" w:hAnsi="仿宋" w:eastAsia="仿宋" w:cs="仿宋"/>
          <w:sz w:val="24"/>
          <w:lang w:eastAsia="zh-CN"/>
        </w:rPr>
      </w:pPr>
    </w:p>
    <w:p w14:paraId="230B28E3">
      <w:pPr>
        <w:spacing w:line="336" w:lineRule="auto"/>
        <w:ind w:firstLine="3600" w:firstLineChars="1500"/>
        <w:rPr>
          <w:rFonts w:hint="eastAsia" w:ascii="仿宋" w:hAnsi="仿宋" w:eastAsia="仿宋" w:cs="仿宋"/>
          <w:sz w:val="24"/>
          <w:lang w:eastAsia="zh-CN"/>
        </w:rPr>
      </w:pPr>
    </w:p>
    <w:p w14:paraId="46DB9FB5">
      <w:pPr>
        <w:spacing w:line="336" w:lineRule="auto"/>
        <w:ind w:firstLine="4560" w:firstLineChars="19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2FA68FB9">
      <w:pPr>
        <w:spacing w:line="336" w:lineRule="auto"/>
        <w:ind w:left="1280" w:leftChars="0" w:firstLine="640" w:firstLineChars="0"/>
        <w:jc w:val="center"/>
        <w:rPr>
          <w:rFonts w:hint="eastAsia" w:ascii="仿宋" w:hAnsi="仿宋" w:eastAsia="仿宋" w:cs="仿宋"/>
          <w:sz w:val="24"/>
        </w:rPr>
      </w:pPr>
      <w:r>
        <w:rPr>
          <w:rFonts w:hint="eastAsia" w:ascii="仿宋" w:hAnsi="仿宋" w:eastAsia="仿宋" w:cs="仿宋"/>
          <w:sz w:val="24"/>
        </w:rPr>
        <w:t xml:space="preserve">     日期：  年   月   日</w:t>
      </w:r>
    </w:p>
    <w:p w14:paraId="43BBB847">
      <w:pPr>
        <w:pStyle w:val="31"/>
        <w:rPr>
          <w:rFonts w:hint="eastAsia" w:ascii="仿宋" w:hAnsi="仿宋" w:eastAsia="仿宋" w:cs="仿宋"/>
          <w:sz w:val="24"/>
        </w:rPr>
      </w:pPr>
    </w:p>
    <w:p w14:paraId="13F2B5EA">
      <w:pPr>
        <w:rPr>
          <w:rFonts w:hint="eastAsia" w:ascii="仿宋" w:hAnsi="仿宋" w:eastAsia="仿宋" w:cs="仿宋"/>
          <w:sz w:val="24"/>
        </w:rPr>
      </w:pPr>
    </w:p>
    <w:p w14:paraId="2359031F">
      <w:pPr>
        <w:pStyle w:val="31"/>
        <w:rPr>
          <w:rFonts w:hint="eastAsia"/>
        </w:rPr>
      </w:pPr>
    </w:p>
    <w:p w14:paraId="449C8956">
      <w:pPr>
        <w:rPr>
          <w:rFonts w:hint="eastAsia"/>
        </w:rPr>
      </w:pPr>
    </w:p>
    <w:p w14:paraId="49E1C36C">
      <w:pPr>
        <w:rPr>
          <w:rFonts w:hint="eastAsia"/>
        </w:rPr>
      </w:pPr>
    </w:p>
    <w:p w14:paraId="7462CB28">
      <w:pPr>
        <w:rPr>
          <w:rFonts w:hint="eastAsia"/>
        </w:rPr>
      </w:pPr>
    </w:p>
    <w:p w14:paraId="6B4D0E83">
      <w:pPr>
        <w:rPr>
          <w:rFonts w:hint="eastAsia"/>
        </w:rPr>
      </w:pPr>
    </w:p>
    <w:p w14:paraId="4B0C9466">
      <w:pPr>
        <w:rPr>
          <w:rFonts w:hint="eastAsia"/>
        </w:rPr>
      </w:pPr>
    </w:p>
    <w:p w14:paraId="7143E72D">
      <w:pPr>
        <w:rPr>
          <w:rFonts w:hint="eastAsia"/>
        </w:rPr>
      </w:pPr>
    </w:p>
    <w:p w14:paraId="33B9B6B7">
      <w:pPr>
        <w:rPr>
          <w:rFonts w:hint="eastAsia"/>
        </w:rPr>
      </w:pPr>
    </w:p>
    <w:p w14:paraId="4008F02A">
      <w:pPr>
        <w:rPr>
          <w:rFonts w:hint="eastAsia"/>
        </w:rPr>
      </w:pPr>
    </w:p>
    <w:p w14:paraId="6FB4B5C4">
      <w:pPr>
        <w:rPr>
          <w:rFonts w:hint="eastAsia"/>
        </w:rPr>
      </w:pPr>
    </w:p>
    <w:p w14:paraId="1134BF3F">
      <w:pPr>
        <w:spacing w:line="336" w:lineRule="auto"/>
        <w:jc w:val="center"/>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十</w:t>
      </w:r>
      <w:r>
        <w:rPr>
          <w:rFonts w:hint="eastAsia" w:ascii="宋体" w:hAnsi="宋体" w:cs="宋体"/>
          <w:b/>
          <w:bCs/>
          <w:kern w:val="0"/>
          <w:sz w:val="32"/>
          <w:szCs w:val="32"/>
          <w:lang w:val="en-US" w:eastAsia="zh-CN"/>
        </w:rPr>
        <w:t>六</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防汛应急抢险预案</w:t>
      </w:r>
    </w:p>
    <w:p w14:paraId="5AD7BCE2">
      <w:pPr>
        <w:autoSpaceDE w:val="0"/>
        <w:autoSpaceDN w:val="0"/>
        <w:spacing w:line="360" w:lineRule="auto"/>
        <w:jc w:val="center"/>
        <w:rPr>
          <w:rFonts w:hint="eastAsia"/>
          <w:lang w:eastAsia="zh-CN"/>
        </w:rPr>
      </w:pPr>
      <w:r>
        <w:rPr>
          <w:rFonts w:hint="eastAsia"/>
        </w:rPr>
        <w:t>（由投标人根据招标文件要求编制）</w:t>
      </w:r>
    </w:p>
    <w:p w14:paraId="1C5FB1E7">
      <w:pPr>
        <w:spacing w:line="336" w:lineRule="auto"/>
        <w:ind w:firstLine="3600" w:firstLineChars="1500"/>
        <w:rPr>
          <w:rFonts w:hint="eastAsia" w:ascii="仿宋" w:hAnsi="仿宋" w:eastAsia="仿宋" w:cs="仿宋"/>
          <w:sz w:val="24"/>
          <w:lang w:eastAsia="zh-CN"/>
        </w:rPr>
      </w:pPr>
    </w:p>
    <w:p w14:paraId="2AA238DD">
      <w:pPr>
        <w:pStyle w:val="31"/>
        <w:rPr>
          <w:rFonts w:hint="eastAsia"/>
          <w:lang w:eastAsia="zh-CN"/>
        </w:rPr>
      </w:pPr>
    </w:p>
    <w:p w14:paraId="4E25F30E">
      <w:pPr>
        <w:spacing w:line="336" w:lineRule="auto"/>
        <w:ind w:firstLine="4560" w:firstLineChars="19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77DE7AFB">
      <w:pPr>
        <w:spacing w:line="336" w:lineRule="auto"/>
        <w:ind w:left="1280" w:leftChars="0" w:firstLine="640" w:firstLineChars="0"/>
        <w:jc w:val="center"/>
        <w:rPr>
          <w:rFonts w:hint="eastAsia" w:ascii="仿宋" w:hAnsi="仿宋" w:eastAsia="仿宋" w:cs="仿宋"/>
          <w:sz w:val="24"/>
        </w:rPr>
      </w:pPr>
      <w:r>
        <w:rPr>
          <w:rFonts w:hint="eastAsia" w:ascii="仿宋" w:hAnsi="仿宋" w:eastAsia="仿宋" w:cs="仿宋"/>
          <w:sz w:val="24"/>
        </w:rPr>
        <w:t xml:space="preserve">     日期：  年   月   日</w:t>
      </w:r>
    </w:p>
    <w:p w14:paraId="2EB713C0">
      <w:pPr>
        <w:pStyle w:val="93"/>
        <w:ind w:left="0" w:leftChars="0" w:firstLine="0" w:firstLineChars="0"/>
        <w:rPr>
          <w:rFonts w:hint="eastAsia"/>
          <w:lang w:val="en-US" w:eastAsia="zh-CN"/>
        </w:rPr>
      </w:pPr>
    </w:p>
    <w:p w14:paraId="38C77570">
      <w:pPr>
        <w:pStyle w:val="93"/>
        <w:ind w:left="0" w:leftChars="0" w:firstLine="0" w:firstLineChars="0"/>
        <w:rPr>
          <w:rFonts w:hint="eastAsia"/>
          <w:lang w:val="en-US" w:eastAsia="zh-CN"/>
        </w:rPr>
      </w:pPr>
    </w:p>
    <w:p w14:paraId="42B05B3D">
      <w:pPr>
        <w:pStyle w:val="93"/>
        <w:ind w:left="0" w:leftChars="0" w:firstLine="0" w:firstLineChars="0"/>
        <w:rPr>
          <w:rFonts w:hint="eastAsia"/>
          <w:lang w:val="en-US" w:eastAsia="zh-CN"/>
        </w:rPr>
      </w:pPr>
    </w:p>
    <w:p w14:paraId="71E47752">
      <w:pPr>
        <w:pStyle w:val="93"/>
        <w:ind w:left="0" w:leftChars="0" w:firstLine="0" w:firstLineChars="0"/>
        <w:rPr>
          <w:rFonts w:hint="eastAsia"/>
          <w:lang w:val="en-US" w:eastAsia="zh-CN"/>
        </w:rPr>
      </w:pPr>
    </w:p>
    <w:p w14:paraId="3EE0475A">
      <w:pPr>
        <w:pStyle w:val="93"/>
        <w:ind w:left="0" w:leftChars="0" w:firstLine="0" w:firstLineChars="0"/>
        <w:rPr>
          <w:rFonts w:hint="eastAsia"/>
          <w:lang w:val="en-US" w:eastAsia="zh-CN"/>
        </w:rPr>
      </w:pPr>
    </w:p>
    <w:p w14:paraId="0B73293E">
      <w:pPr>
        <w:pStyle w:val="93"/>
        <w:ind w:left="0" w:leftChars="0" w:firstLine="0" w:firstLineChars="0"/>
        <w:rPr>
          <w:rFonts w:hint="eastAsia"/>
          <w:lang w:val="en-US" w:eastAsia="zh-CN"/>
        </w:rPr>
      </w:pPr>
    </w:p>
    <w:p w14:paraId="5FAC7243">
      <w:pPr>
        <w:pStyle w:val="93"/>
        <w:ind w:left="0" w:leftChars="0" w:firstLine="0" w:firstLineChars="0"/>
        <w:rPr>
          <w:rFonts w:hint="eastAsia"/>
          <w:lang w:val="en-US" w:eastAsia="zh-CN"/>
        </w:rPr>
      </w:pPr>
    </w:p>
    <w:p w14:paraId="240C70CD">
      <w:pPr>
        <w:pStyle w:val="93"/>
        <w:ind w:left="0" w:leftChars="0" w:firstLine="0" w:firstLineChars="0"/>
        <w:rPr>
          <w:rFonts w:hint="eastAsia"/>
          <w:lang w:val="en-US" w:eastAsia="zh-CN"/>
        </w:rPr>
      </w:pPr>
    </w:p>
    <w:p w14:paraId="6E4390E0">
      <w:pPr>
        <w:pStyle w:val="93"/>
        <w:ind w:left="0" w:leftChars="0" w:firstLine="0" w:firstLineChars="0"/>
        <w:rPr>
          <w:rFonts w:hint="eastAsia"/>
          <w:lang w:val="en-US" w:eastAsia="zh-CN"/>
        </w:rPr>
      </w:pPr>
    </w:p>
    <w:p w14:paraId="732577B3">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14:paraId="6534645E">
      <w:pPr>
        <w:autoSpaceDE w:val="0"/>
        <w:autoSpaceDN w:val="0"/>
        <w:spacing w:line="360" w:lineRule="auto"/>
        <w:jc w:val="center"/>
        <w:rPr>
          <w:rFonts w:hint="eastAsia"/>
        </w:rPr>
      </w:pPr>
      <w:r>
        <w:rPr>
          <w:rFonts w:hint="eastAsia"/>
        </w:rPr>
        <w:t>（由</w:t>
      </w:r>
      <w:r>
        <w:rPr>
          <w:rFonts w:hint="eastAsia"/>
          <w:lang w:eastAsia="zh-CN"/>
        </w:rPr>
        <w:t>投标人</w:t>
      </w:r>
      <w:r>
        <w:rPr>
          <w:rFonts w:hint="eastAsia"/>
        </w:rPr>
        <w:t>根据招标文件自行编制）</w:t>
      </w:r>
    </w:p>
    <w:p w14:paraId="20D4CD2F">
      <w:pPr>
        <w:rPr>
          <w:rFonts w:ascii="仿宋_GB2312" w:hAnsi="仿宋_GB2312" w:eastAsia="仿宋_GB2312" w:cs="仿宋_GB2312"/>
          <w:sz w:val="24"/>
        </w:rPr>
      </w:pPr>
    </w:p>
    <w:p w14:paraId="3EFE72E9">
      <w:pPr>
        <w:pStyle w:val="2"/>
      </w:pPr>
    </w:p>
    <w:p w14:paraId="624C5691">
      <w:pPr>
        <w:spacing w:line="336" w:lineRule="auto"/>
        <w:ind w:firstLine="3600" w:firstLineChars="15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68E7BE03">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613429DA">
      <w:pPr>
        <w:pStyle w:val="2"/>
        <w:rPr>
          <w:rFonts w:hint="eastAsia" w:ascii="宋体" w:hAnsi="宋体" w:eastAsia="宋体" w:cs="宋体"/>
        </w:rPr>
      </w:pPr>
    </w:p>
    <w:p w14:paraId="36D3155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400F0A8">
      <w:pPr>
        <w:spacing w:beforeLines="0" w:afterLines="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报价文件部分</w:t>
      </w:r>
    </w:p>
    <w:p w14:paraId="16C606E9">
      <w:pPr>
        <w:spacing w:beforeLines="0" w:afterLines="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6F39805B">
      <w:pPr>
        <w:spacing w:beforeLines="0" w:afterLines="0" w:line="360" w:lineRule="auto"/>
        <w:jc w:val="center"/>
        <w:outlineLvl w:val="0"/>
        <w:rPr>
          <w:rFonts w:hint="eastAsia" w:ascii="仿宋" w:hAnsi="仿宋" w:eastAsia="仿宋" w:cs="仿宋"/>
          <w:b/>
          <w:color w:val="auto"/>
          <w:sz w:val="36"/>
          <w:szCs w:val="36"/>
          <w:highlight w:val="none"/>
        </w:rPr>
      </w:pPr>
    </w:p>
    <w:p w14:paraId="01C9A8B7">
      <w:pPr>
        <w:numPr>
          <w:ilvl w:val="0"/>
          <w:numId w:val="16"/>
        </w:numPr>
        <w:snapToGrid w:val="0"/>
        <w:spacing w:beforeLines="0" w:after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开标一览表（</w:t>
      </w:r>
      <w:r>
        <w:rPr>
          <w:rFonts w:hint="eastAsia" w:ascii="仿宋" w:hAnsi="仿宋" w:eastAsia="仿宋" w:cs="仿宋"/>
          <w:color w:val="auto"/>
          <w:kern w:val="2"/>
          <w:sz w:val="24"/>
          <w:szCs w:val="24"/>
          <w:lang w:val="en-US" w:eastAsia="zh-CN" w:bidi="ar-SA"/>
        </w:rPr>
        <w:t>格式附后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p>
    <w:p w14:paraId="3D279F46">
      <w:pPr>
        <w:numPr>
          <w:ilvl w:val="0"/>
          <w:numId w:val="0"/>
        </w:numPr>
        <w:snapToGrid w:val="0"/>
        <w:spacing w:beforeLines="0" w:afterLines="0" w:line="360" w:lineRule="auto"/>
        <w:rPr>
          <w:rFonts w:hint="eastAsia"/>
          <w:lang w:val="en-US"/>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lang w:val="en-US" w:eastAsia="zh-CN"/>
        </w:rPr>
        <w:t>投标报价明细表</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lang w:val="en-US" w:eastAsia="zh-CN" w:bidi="ar-SA"/>
        </w:rPr>
        <w:t>格式附后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p>
    <w:p w14:paraId="1BA3ADAB">
      <w:pPr>
        <w:pStyle w:val="4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（3）投标人认为需要提供的其他文件或说明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p>
    <w:p w14:paraId="7CE3A8B0">
      <w:pPr>
        <w:pStyle w:val="93"/>
        <w:numPr>
          <w:ilvl w:val="0"/>
          <w:numId w:val="0"/>
        </w:numPr>
        <w:rPr>
          <w:rFonts w:hint="eastAsia"/>
        </w:rPr>
      </w:pPr>
    </w:p>
    <w:p w14:paraId="2C44B9B4">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6B00059E">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33EF3D69">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7BE8BBE1">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1CAF7EAB">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70291F37">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34C4B602">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597BB37B">
      <w:pPr>
        <w:snapToGrid w:val="0"/>
        <w:spacing w:beforeLines="0" w:afterLines="0" w:line="360" w:lineRule="auto"/>
        <w:ind w:right="480"/>
        <w:jc w:val="center"/>
        <w:rPr>
          <w:rFonts w:hint="eastAsia" w:ascii="宋体" w:hAnsi="宋体" w:eastAsia="宋体" w:cs="宋体"/>
          <w:b/>
          <w:color w:val="auto"/>
          <w:sz w:val="32"/>
          <w:szCs w:val="32"/>
          <w:highlight w:val="none"/>
        </w:rPr>
      </w:pPr>
    </w:p>
    <w:p w14:paraId="219DE63E">
      <w:pPr>
        <w:pStyle w:val="561"/>
        <w:keepNext w:val="0"/>
        <w:tabs>
          <w:tab w:val="clear" w:pos="720"/>
        </w:tabs>
        <w:snapToGrid w:val="0"/>
        <w:spacing w:before="120" w:beforeLines="0" w:after="120" w:afterLines="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offsetFrom="page">
            <w:top w:val="none" w:sz="0" w:space="0"/>
            <w:left w:val="none" w:sz="0" w:space="0"/>
            <w:bottom w:val="none" w:sz="0" w:space="0"/>
            <w:right w:val="none" w:sz="0" w:space="0"/>
          </w:pgBorders>
          <w:lnNumType w:countBy="0" w:distance="360"/>
          <w:pgNumType w:fmt="decimal"/>
          <w:cols w:space="720" w:num="1"/>
          <w:titlePg/>
          <w:docGrid w:linePitch="312" w:charSpace="0"/>
        </w:sectPr>
      </w:pPr>
    </w:p>
    <w:p w14:paraId="562BD443">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开标</w:t>
      </w:r>
      <w:r>
        <w:rPr>
          <w:rFonts w:hint="eastAsia" w:ascii="仿宋" w:hAnsi="仿宋" w:eastAsia="仿宋" w:cs="仿宋"/>
          <w:b/>
          <w:bCs/>
          <w:color w:val="auto"/>
          <w:sz w:val="32"/>
          <w:szCs w:val="32"/>
          <w:highlight w:val="none"/>
        </w:rPr>
        <w:t>一览表</w:t>
      </w:r>
    </w:p>
    <w:p w14:paraId="6DD50711">
      <w:pPr>
        <w:spacing w:line="360" w:lineRule="auto"/>
        <w:ind w:firstLine="480"/>
        <w:rPr>
          <w:rFonts w:hint="eastAsia" w:ascii="仿宋" w:hAnsi="仿宋" w:eastAsia="仿宋" w:cs="仿宋"/>
          <w:color w:val="auto"/>
          <w:sz w:val="24"/>
          <w:szCs w:val="24"/>
          <w:highlight w:val="none"/>
        </w:rPr>
      </w:pPr>
    </w:p>
    <w:p w14:paraId="30EE3CD3">
      <w:pPr>
        <w:numPr>
          <w:ilvl w:val="0"/>
          <w:numId w:val="0"/>
        </w:numPr>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35039133">
      <w:pPr>
        <w:numPr>
          <w:ilvl w:val="0"/>
          <w:numId w:val="0"/>
        </w:numPr>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14:paraId="0727B02B">
      <w:pPr>
        <w:numPr>
          <w:ilvl w:val="0"/>
          <w:numId w:val="0"/>
        </w:numPr>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价格单位：（人民币）元</w:t>
      </w:r>
    </w:p>
    <w:tbl>
      <w:tblPr>
        <w:tblStyle w:val="80"/>
        <w:tblW w:w="980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33"/>
        <w:gridCol w:w="959"/>
        <w:gridCol w:w="946"/>
        <w:gridCol w:w="1350"/>
        <w:gridCol w:w="1649"/>
        <w:gridCol w:w="1455"/>
      </w:tblGrid>
      <w:tr w14:paraId="1858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817" w:type="dxa"/>
            <w:noWrap w:val="0"/>
            <w:vAlign w:val="center"/>
          </w:tcPr>
          <w:p w14:paraId="0E658595">
            <w:pPr>
              <w:keepNext w:val="0"/>
              <w:keepLines w:val="0"/>
              <w:numPr>
                <w:ilvl w:val="0"/>
                <w:numId w:val="0"/>
              </w:numPr>
              <w:suppressLineNumbers w:val="0"/>
              <w:snapToGrid w:val="0"/>
              <w:spacing w:before="0" w:beforeLines="0" w:beforeAutospacing="0" w:after="0" w:afterLines="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2633" w:type="dxa"/>
            <w:noWrap w:val="0"/>
            <w:vAlign w:val="center"/>
          </w:tcPr>
          <w:p w14:paraId="5C740B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tc>
        <w:tc>
          <w:tcPr>
            <w:tcW w:w="959" w:type="dxa"/>
            <w:noWrap w:val="0"/>
            <w:vAlign w:val="center"/>
          </w:tcPr>
          <w:p w14:paraId="079456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946" w:type="dxa"/>
            <w:noWrap w:val="0"/>
            <w:vAlign w:val="center"/>
          </w:tcPr>
          <w:p w14:paraId="1FDF1B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1350" w:type="dxa"/>
            <w:noWrap w:val="0"/>
            <w:vAlign w:val="center"/>
          </w:tcPr>
          <w:p w14:paraId="12840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单价</w:t>
            </w:r>
          </w:p>
        </w:tc>
        <w:tc>
          <w:tcPr>
            <w:tcW w:w="1649" w:type="dxa"/>
            <w:noWrap w:val="0"/>
            <w:vAlign w:val="center"/>
          </w:tcPr>
          <w:p w14:paraId="4520E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总价</w:t>
            </w:r>
          </w:p>
        </w:tc>
        <w:tc>
          <w:tcPr>
            <w:tcW w:w="1455" w:type="dxa"/>
            <w:noWrap w:val="0"/>
            <w:vAlign w:val="center"/>
          </w:tcPr>
          <w:p w14:paraId="5082C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备注</w:t>
            </w:r>
          </w:p>
        </w:tc>
      </w:tr>
      <w:tr w14:paraId="6664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trPr>
        <w:tc>
          <w:tcPr>
            <w:tcW w:w="817" w:type="dxa"/>
            <w:shd w:val="clear" w:color="auto" w:fill="auto"/>
            <w:noWrap w:val="0"/>
            <w:vAlign w:val="center"/>
          </w:tcPr>
          <w:p w14:paraId="085F2C4F">
            <w:pPr>
              <w:keepNext w:val="0"/>
              <w:keepLines w:val="0"/>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633" w:type="dxa"/>
            <w:shd w:val="clear" w:color="auto" w:fill="auto"/>
            <w:noWrap w:val="0"/>
            <w:vAlign w:val="center"/>
          </w:tcPr>
          <w:p w14:paraId="6FD2DAF7">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szCs w:val="24"/>
                <w:highlight w:val="none"/>
                <w:lang w:val="en-US" w:eastAsia="zh-CN"/>
              </w:rPr>
              <w:t>嵊州市艇湖枢纽开发有限公司物业化运行管理服务项目</w:t>
            </w:r>
          </w:p>
          <w:p w14:paraId="3EE4BD10">
            <w:pPr>
              <w:keepNext w:val="0"/>
              <w:keepLines w:val="0"/>
              <w:numPr>
                <w:ilvl w:val="0"/>
                <w:numId w:val="0"/>
              </w:numPr>
              <w:suppressLineNumbers w:val="0"/>
              <w:snapToGrid w:val="0"/>
              <w:spacing w:before="0" w:beforeLines="0" w:beforeAutospacing="0" w:after="0" w:afterLines="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p>
        </w:tc>
        <w:tc>
          <w:tcPr>
            <w:tcW w:w="959" w:type="dxa"/>
            <w:shd w:val="clear" w:color="auto" w:fill="auto"/>
            <w:noWrap w:val="0"/>
            <w:vAlign w:val="center"/>
          </w:tcPr>
          <w:p w14:paraId="4D13CC41">
            <w:pPr>
              <w:keepNext w:val="0"/>
              <w:keepLines w:val="0"/>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w:t>
            </w:r>
          </w:p>
        </w:tc>
        <w:tc>
          <w:tcPr>
            <w:tcW w:w="946" w:type="dxa"/>
            <w:shd w:val="clear" w:color="auto" w:fill="auto"/>
            <w:noWrap w:val="0"/>
            <w:vAlign w:val="center"/>
          </w:tcPr>
          <w:p w14:paraId="6B42CE7C">
            <w:pPr>
              <w:keepNext w:val="0"/>
              <w:keepLines w:val="0"/>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p>
        </w:tc>
        <w:tc>
          <w:tcPr>
            <w:tcW w:w="1350" w:type="dxa"/>
            <w:shd w:val="clear" w:color="auto" w:fill="auto"/>
            <w:noWrap w:val="0"/>
            <w:vAlign w:val="center"/>
          </w:tcPr>
          <w:p w14:paraId="1C1EBCDE">
            <w:pPr>
              <w:keepNext w:val="0"/>
              <w:keepLines w:val="0"/>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p>
        </w:tc>
        <w:tc>
          <w:tcPr>
            <w:tcW w:w="1649" w:type="dxa"/>
            <w:shd w:val="clear" w:color="auto" w:fill="auto"/>
            <w:noWrap w:val="0"/>
            <w:vAlign w:val="center"/>
          </w:tcPr>
          <w:p w14:paraId="13769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p>
        </w:tc>
        <w:tc>
          <w:tcPr>
            <w:tcW w:w="1455" w:type="dxa"/>
            <w:shd w:val="clear" w:color="auto" w:fill="auto"/>
            <w:noWrap w:val="0"/>
            <w:vAlign w:val="center"/>
          </w:tcPr>
          <w:p w14:paraId="086F8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p>
        </w:tc>
      </w:tr>
      <w:tr w14:paraId="71BF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9809" w:type="dxa"/>
            <w:gridSpan w:val="7"/>
            <w:noWrap w:val="0"/>
            <w:vAlign w:val="center"/>
          </w:tcPr>
          <w:p w14:paraId="60A5D74E">
            <w:pPr>
              <w:keepNext w:val="0"/>
              <w:keepLines w:val="0"/>
              <w:numPr>
                <w:ilvl w:val="0"/>
                <w:numId w:val="0"/>
              </w:numPr>
              <w:suppressLineNumbers w:val="0"/>
              <w:snapToGrid w:val="0"/>
              <w:spacing w:before="0" w:beforeLines="0" w:beforeAutospacing="0" w:after="0" w:afterLines="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投标报价（大写）：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元整</w:t>
            </w:r>
          </w:p>
        </w:tc>
      </w:tr>
    </w:tbl>
    <w:p w14:paraId="1877E997">
      <w:pPr>
        <w:numPr>
          <w:ilvl w:val="0"/>
          <w:numId w:val="0"/>
        </w:numPr>
        <w:snapToGrid w:val="0"/>
        <w:spacing w:beforeLines="0" w:afterLines="0" w:line="360" w:lineRule="auto"/>
        <w:rPr>
          <w:rFonts w:hint="eastAsia" w:ascii="宋体" w:hAnsi="宋体" w:eastAsia="宋体" w:cs="宋体"/>
          <w:color w:val="auto"/>
          <w:sz w:val="24"/>
          <w:szCs w:val="24"/>
          <w:highlight w:val="none"/>
        </w:rPr>
      </w:pPr>
    </w:p>
    <w:p w14:paraId="5D40805A">
      <w:pPr>
        <w:adjustRightInd w:val="0"/>
        <w:snapToGrid w:val="0"/>
        <w:spacing w:line="360" w:lineRule="auto"/>
        <w:ind w:left="0" w:leftChars="0"/>
        <w:jc w:val="left"/>
        <w:rPr>
          <w:rFonts w:ascii="宋体" w:hAnsi="宋体" w:cs="宋体"/>
          <w:bCs/>
          <w:color w:val="auto"/>
          <w:kern w:val="1"/>
          <w:sz w:val="24"/>
          <w:highlight w:val="none"/>
        </w:rPr>
      </w:pPr>
      <w:r>
        <w:rPr>
          <w:rFonts w:hint="eastAsia" w:ascii="宋体" w:hAnsi="宋体" w:eastAsia="宋体" w:cs="宋体"/>
          <w:color w:val="auto"/>
          <w:sz w:val="24"/>
          <w:szCs w:val="24"/>
          <w:highlight w:val="none"/>
        </w:rPr>
        <w:t>注：</w:t>
      </w:r>
      <w:r>
        <w:rPr>
          <w:rFonts w:ascii="宋体" w:hAnsi="宋体" w:cs="宋体"/>
          <w:bCs/>
          <w:color w:val="auto"/>
          <w:kern w:val="1"/>
          <w:sz w:val="24"/>
          <w:highlight w:val="none"/>
        </w:rPr>
        <w:t>1</w:t>
      </w:r>
      <w:r>
        <w:rPr>
          <w:rFonts w:hint="eastAsia" w:ascii="宋体" w:hAnsi="宋体" w:cs="宋体"/>
          <w:bCs/>
          <w:color w:val="auto"/>
          <w:kern w:val="1"/>
          <w:sz w:val="24"/>
          <w:highlight w:val="none"/>
        </w:rPr>
        <w:t>.报价一经涂改，应在涂改处加盖单位公章或者由法定代表人或授权委托人签字或盖章，否则其投标作无效标处理。</w:t>
      </w:r>
    </w:p>
    <w:p w14:paraId="74FC9568">
      <w:pPr>
        <w:spacing w:line="360" w:lineRule="auto"/>
        <w:ind w:left="-2" w:leftChars="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zh-CN"/>
        </w:rPr>
        <w:t>投标人需按本表格式填写，否则视为投标文件含有采购人不能接受的附加条件，投标无效。</w:t>
      </w:r>
    </w:p>
    <w:p w14:paraId="5BB5A374">
      <w:pPr>
        <w:spacing w:line="360" w:lineRule="auto"/>
        <w:ind w:left="-2" w:leftChars="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有关本项目实施所涉及的一切费用均计入报价（包括人员工资、奖金、社保、福利、意外伤害保险、培训费、高温费、加班费等）、管理费、税金和政策性文件规定及合同包含的所有风险、责任等各项应有费用。除非因特殊原因并经双方协商同意，乙方不得再要求追加任何费用</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zh-CN"/>
        </w:rPr>
        <w:t>。</w:t>
      </w:r>
    </w:p>
    <w:p w14:paraId="0F977BE4">
      <w:pPr>
        <w:tabs>
          <w:tab w:val="left" w:pos="9180"/>
        </w:tabs>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.以上报价应与“投标报价明细表”中的“投标总价”相一致。</w:t>
      </w:r>
    </w:p>
    <w:p w14:paraId="5BD98E4E">
      <w:pPr>
        <w:spacing w:line="400" w:lineRule="exact"/>
        <w:ind w:firstLine="482" w:firstLineChars="200"/>
        <w:rPr>
          <w:rFonts w:hint="eastAsia" w:ascii="宋体" w:hAnsi="宋体" w:eastAsia="宋体" w:cs="宋体"/>
          <w:b/>
          <w:color w:val="auto"/>
          <w:sz w:val="24"/>
          <w:highlight w:val="none"/>
        </w:rPr>
      </w:pPr>
    </w:p>
    <w:p w14:paraId="7DC6C788">
      <w:pPr>
        <w:numPr>
          <w:ilvl w:val="0"/>
          <w:numId w:val="0"/>
        </w:numPr>
        <w:snapToGrid w:val="0"/>
        <w:spacing w:beforeLines="0" w:afterLines="0" w:line="360" w:lineRule="auto"/>
        <w:ind w:firstLine="480" w:firstLineChars="200"/>
        <w:rPr>
          <w:rFonts w:hint="eastAsia" w:ascii="宋体" w:hAnsi="宋体" w:eastAsia="宋体" w:cs="宋体"/>
          <w:color w:val="auto"/>
          <w:sz w:val="24"/>
          <w:szCs w:val="24"/>
          <w:highlight w:val="none"/>
        </w:rPr>
      </w:pPr>
    </w:p>
    <w:p w14:paraId="42E98999">
      <w:pPr>
        <w:numPr>
          <w:ilvl w:val="0"/>
          <w:numId w:val="0"/>
        </w:numPr>
        <w:snapToGrid w:val="0"/>
        <w:spacing w:beforeLines="0" w:afterLines="0" w:line="360" w:lineRule="auto"/>
        <w:jc w:val="both"/>
        <w:rPr>
          <w:rFonts w:hint="eastAsia" w:ascii="宋体" w:hAnsi="宋体" w:eastAsia="宋体" w:cs="宋体"/>
          <w:color w:val="auto"/>
          <w:sz w:val="24"/>
          <w:szCs w:val="24"/>
          <w:highlight w:val="none"/>
          <w:lang w:eastAsia="zh-CN"/>
        </w:rPr>
      </w:pPr>
    </w:p>
    <w:p w14:paraId="5AEF6DCB">
      <w:pPr>
        <w:numPr>
          <w:ilvl w:val="0"/>
          <w:numId w:val="0"/>
        </w:numPr>
        <w:snapToGrid w:val="0"/>
        <w:spacing w:beforeLines="0" w:afterLines="0"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rPr>
        <w:t>电子签名</w:t>
      </w:r>
      <w:r>
        <w:rPr>
          <w:rFonts w:hint="eastAsia" w:ascii="宋体" w:hAnsi="宋体" w:eastAsia="宋体" w:cs="宋体"/>
          <w:color w:val="auto"/>
          <w:sz w:val="24"/>
          <w:szCs w:val="24"/>
          <w:highlight w:val="none"/>
          <w:lang w:val="zh-CN"/>
        </w:rPr>
        <w:t xml:space="preserve">）：                </w:t>
      </w:r>
    </w:p>
    <w:p w14:paraId="18A34AA8">
      <w:pPr>
        <w:numPr>
          <w:ilvl w:val="0"/>
          <w:numId w:val="0"/>
        </w:numPr>
        <w:snapToGrid w:val="0"/>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   年   月   日</w:t>
      </w:r>
    </w:p>
    <w:p w14:paraId="15C6DEEE">
      <w:pPr>
        <w:snapToGrid w:val="0"/>
        <w:spacing w:line="400" w:lineRule="exact"/>
        <w:jc w:val="center"/>
        <w:rPr>
          <w:rFonts w:hint="eastAsia" w:ascii="宋体" w:hAnsi="宋体" w:eastAsia="宋体" w:cs="宋体"/>
          <w:b/>
          <w:bCs/>
          <w:color w:val="auto"/>
          <w:kern w:val="2"/>
          <w:sz w:val="21"/>
          <w:szCs w:val="21"/>
          <w:highlight w:val="none"/>
          <w:lang w:val="en-US" w:eastAsia="zh-CN" w:bidi="ar-SA"/>
        </w:rPr>
      </w:pPr>
    </w:p>
    <w:p w14:paraId="50656783">
      <w:pPr>
        <w:snapToGrid w:val="0"/>
        <w:spacing w:line="400" w:lineRule="exact"/>
        <w:jc w:val="both"/>
        <w:rPr>
          <w:rFonts w:hint="eastAsia" w:ascii="宋体" w:hAnsi="宋体" w:eastAsia="宋体" w:cs="宋体"/>
          <w:b/>
          <w:bCs/>
          <w:color w:val="auto"/>
          <w:kern w:val="2"/>
          <w:sz w:val="21"/>
          <w:szCs w:val="21"/>
          <w:highlight w:val="none"/>
          <w:lang w:val="en-US" w:eastAsia="zh-CN" w:bidi="ar-SA"/>
        </w:rPr>
      </w:pPr>
    </w:p>
    <w:p w14:paraId="3A52FF9E">
      <w:pPr>
        <w:spacing w:line="560" w:lineRule="exact"/>
        <w:rPr>
          <w:rFonts w:hint="eastAsia" w:ascii="宋体" w:hAnsi="宋体" w:cs="宋体"/>
          <w:b/>
          <w:bCs/>
          <w:color w:val="auto"/>
          <w:sz w:val="21"/>
          <w:szCs w:val="21"/>
          <w:highlight w:val="none"/>
        </w:rPr>
      </w:pPr>
    </w:p>
    <w:p w14:paraId="41B3A229">
      <w:pPr>
        <w:spacing w:line="360" w:lineRule="auto"/>
        <w:jc w:val="center"/>
        <w:rPr>
          <w:rFonts w:hint="eastAsia" w:ascii="宋体" w:hAnsi="宋体" w:cs="宋体"/>
          <w:b/>
          <w:bCs/>
          <w:color w:val="auto"/>
          <w:sz w:val="21"/>
          <w:szCs w:val="21"/>
          <w:highlight w:val="none"/>
          <w:lang w:eastAsia="zh-CN"/>
        </w:rPr>
      </w:pPr>
    </w:p>
    <w:p w14:paraId="47E8E34C">
      <w:pPr>
        <w:spacing w:line="360" w:lineRule="auto"/>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（2）投标报价明细表</w:t>
      </w:r>
    </w:p>
    <w:p w14:paraId="6AC03303">
      <w:pPr>
        <w:numPr>
          <w:ilvl w:val="0"/>
          <w:numId w:val="0"/>
        </w:numPr>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708574E7">
      <w:pPr>
        <w:numPr>
          <w:ilvl w:val="0"/>
          <w:numId w:val="0"/>
        </w:numPr>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14:paraId="46897DC6">
      <w:pPr>
        <w:numPr>
          <w:ilvl w:val="0"/>
          <w:numId w:val="0"/>
        </w:numPr>
        <w:snapToGrid w:val="0"/>
        <w:spacing w:beforeLines="0" w:afterLines="0" w:line="360" w:lineRule="auto"/>
        <w:rPr>
          <w:rFonts w:hint="eastAsia" w:ascii="宋体" w:hAnsi="宋体" w:cs="宋体"/>
          <w:bCs/>
          <w:color w:val="auto"/>
          <w:sz w:val="21"/>
          <w:szCs w:val="21"/>
          <w:highlight w:val="none"/>
        </w:rPr>
      </w:pPr>
      <w:r>
        <w:rPr>
          <w:rFonts w:hint="eastAsia" w:ascii="宋体" w:hAnsi="宋体" w:eastAsia="宋体" w:cs="宋体"/>
          <w:color w:val="auto"/>
          <w:sz w:val="24"/>
          <w:szCs w:val="24"/>
          <w:highlight w:val="none"/>
        </w:rPr>
        <w:t>价格单位：（人民币）元</w:t>
      </w:r>
    </w:p>
    <w:tbl>
      <w:tblPr>
        <w:tblStyle w:val="80"/>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4"/>
        <w:gridCol w:w="2833"/>
        <w:gridCol w:w="709"/>
        <w:gridCol w:w="1136"/>
        <w:gridCol w:w="1276"/>
        <w:gridCol w:w="1134"/>
        <w:gridCol w:w="1273"/>
      </w:tblGrid>
      <w:tr w14:paraId="552E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0B3949D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序号</w:t>
            </w:r>
          </w:p>
        </w:tc>
        <w:tc>
          <w:tcPr>
            <w:tcW w:w="2833" w:type="dxa"/>
            <w:noWrap w:val="0"/>
            <w:vAlign w:val="center"/>
          </w:tcPr>
          <w:p w14:paraId="78FF43DE">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w:t>
            </w:r>
          </w:p>
        </w:tc>
        <w:tc>
          <w:tcPr>
            <w:tcW w:w="709" w:type="dxa"/>
            <w:noWrap w:val="0"/>
            <w:vAlign w:val="center"/>
          </w:tcPr>
          <w:p w14:paraId="4CE9ADCE">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1136" w:type="dxa"/>
            <w:noWrap w:val="0"/>
            <w:vAlign w:val="center"/>
          </w:tcPr>
          <w:p w14:paraId="6A2F32FE">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1276" w:type="dxa"/>
            <w:noWrap w:val="0"/>
            <w:vAlign w:val="center"/>
          </w:tcPr>
          <w:p w14:paraId="7FE0369B">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单价（元）</w:t>
            </w:r>
          </w:p>
        </w:tc>
        <w:tc>
          <w:tcPr>
            <w:tcW w:w="1134" w:type="dxa"/>
            <w:noWrap w:val="0"/>
            <w:vAlign w:val="center"/>
          </w:tcPr>
          <w:p w14:paraId="469D0861">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合价（元）</w:t>
            </w:r>
          </w:p>
        </w:tc>
        <w:tc>
          <w:tcPr>
            <w:tcW w:w="1273" w:type="dxa"/>
            <w:noWrap w:val="0"/>
            <w:vAlign w:val="center"/>
          </w:tcPr>
          <w:p w14:paraId="3AED4555">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14:paraId="390D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1ADA1287">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p>
        </w:tc>
        <w:tc>
          <w:tcPr>
            <w:tcW w:w="2833" w:type="dxa"/>
            <w:noWrap w:val="0"/>
            <w:vAlign w:val="center"/>
          </w:tcPr>
          <w:p w14:paraId="34AFEDE0">
            <w:pPr>
              <w:keepNext w:val="0"/>
              <w:keepLines w:val="0"/>
              <w:widowControl/>
              <w:suppressLineNumbers w:val="0"/>
              <w:snapToGrid w:val="0"/>
              <w:spacing w:before="0" w:beforeAutospacing="0" w:after="0" w:afterAutospacing="0" w:line="276" w:lineRule="auto"/>
              <w:ind w:left="0" w:right="0"/>
              <w:textAlignment w:val="center"/>
              <w:rPr>
                <w:rFonts w:hint="eastAsia" w:ascii="宋体" w:hAnsi="宋体" w:eastAsia="宋体" w:cs="宋体"/>
                <w:color w:val="auto"/>
                <w:sz w:val="24"/>
                <w:szCs w:val="24"/>
                <w:highlight w:val="none"/>
              </w:rPr>
            </w:pPr>
          </w:p>
        </w:tc>
        <w:tc>
          <w:tcPr>
            <w:tcW w:w="709" w:type="dxa"/>
            <w:noWrap w:val="0"/>
            <w:vAlign w:val="center"/>
          </w:tcPr>
          <w:p w14:paraId="6889AEB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6" w:type="dxa"/>
            <w:noWrap w:val="0"/>
            <w:vAlign w:val="center"/>
          </w:tcPr>
          <w:p w14:paraId="3FDA769E">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6" w:type="dxa"/>
            <w:noWrap w:val="0"/>
            <w:vAlign w:val="center"/>
          </w:tcPr>
          <w:p w14:paraId="57F2563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4" w:type="dxa"/>
            <w:noWrap w:val="0"/>
            <w:vAlign w:val="center"/>
          </w:tcPr>
          <w:p w14:paraId="7313FF18">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3" w:type="dxa"/>
            <w:noWrap w:val="0"/>
            <w:vAlign w:val="center"/>
          </w:tcPr>
          <w:p w14:paraId="38149A34">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r>
      <w:tr w14:paraId="32CC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3E53C8BA">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p>
        </w:tc>
        <w:tc>
          <w:tcPr>
            <w:tcW w:w="2833" w:type="dxa"/>
            <w:noWrap w:val="0"/>
            <w:vAlign w:val="center"/>
          </w:tcPr>
          <w:p w14:paraId="6A8BC45B">
            <w:pPr>
              <w:keepNext w:val="0"/>
              <w:keepLines w:val="0"/>
              <w:widowControl/>
              <w:suppressLineNumbers w:val="0"/>
              <w:snapToGrid w:val="0"/>
              <w:spacing w:before="0" w:beforeAutospacing="0" w:after="0" w:afterAutospacing="0" w:line="276" w:lineRule="auto"/>
              <w:ind w:left="0" w:right="0"/>
              <w:textAlignment w:val="center"/>
              <w:rPr>
                <w:rFonts w:hint="eastAsia" w:ascii="宋体" w:hAnsi="宋体" w:eastAsia="宋体" w:cs="宋体"/>
                <w:color w:val="auto"/>
                <w:sz w:val="24"/>
                <w:szCs w:val="24"/>
                <w:highlight w:val="none"/>
              </w:rPr>
            </w:pPr>
          </w:p>
        </w:tc>
        <w:tc>
          <w:tcPr>
            <w:tcW w:w="709" w:type="dxa"/>
            <w:noWrap w:val="0"/>
            <w:vAlign w:val="center"/>
          </w:tcPr>
          <w:p w14:paraId="2EFA3DF3">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p>
        </w:tc>
        <w:tc>
          <w:tcPr>
            <w:tcW w:w="1136" w:type="dxa"/>
            <w:noWrap w:val="0"/>
            <w:vAlign w:val="center"/>
          </w:tcPr>
          <w:p w14:paraId="1696F4B3">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p>
        </w:tc>
        <w:tc>
          <w:tcPr>
            <w:tcW w:w="1276" w:type="dxa"/>
            <w:noWrap w:val="0"/>
            <w:vAlign w:val="center"/>
          </w:tcPr>
          <w:p w14:paraId="7B638C75">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4" w:type="dxa"/>
            <w:noWrap w:val="0"/>
            <w:vAlign w:val="center"/>
          </w:tcPr>
          <w:p w14:paraId="2104C69A">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3" w:type="dxa"/>
            <w:noWrap w:val="0"/>
            <w:vAlign w:val="center"/>
          </w:tcPr>
          <w:p w14:paraId="438237F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r>
      <w:tr w14:paraId="4130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47714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highlight w:val="none"/>
              </w:rPr>
            </w:pPr>
          </w:p>
        </w:tc>
        <w:tc>
          <w:tcPr>
            <w:tcW w:w="2833" w:type="dxa"/>
            <w:noWrap w:val="0"/>
            <w:vAlign w:val="center"/>
          </w:tcPr>
          <w:p w14:paraId="33C6AA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rPr>
            </w:pPr>
          </w:p>
        </w:tc>
        <w:tc>
          <w:tcPr>
            <w:tcW w:w="709" w:type="dxa"/>
            <w:noWrap w:val="0"/>
            <w:vAlign w:val="center"/>
          </w:tcPr>
          <w:p w14:paraId="6F704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p>
        </w:tc>
        <w:tc>
          <w:tcPr>
            <w:tcW w:w="1136" w:type="dxa"/>
            <w:noWrap w:val="0"/>
            <w:vAlign w:val="center"/>
          </w:tcPr>
          <w:p w14:paraId="43E6C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p>
        </w:tc>
        <w:tc>
          <w:tcPr>
            <w:tcW w:w="1276" w:type="dxa"/>
            <w:noWrap w:val="0"/>
            <w:vAlign w:val="center"/>
          </w:tcPr>
          <w:p w14:paraId="5B84389A">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4" w:type="dxa"/>
            <w:noWrap w:val="0"/>
            <w:vAlign w:val="center"/>
          </w:tcPr>
          <w:p w14:paraId="7CCCFE7E">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3" w:type="dxa"/>
            <w:noWrap w:val="0"/>
            <w:vAlign w:val="center"/>
          </w:tcPr>
          <w:p w14:paraId="34168D41">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r>
      <w:tr w14:paraId="5746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4978D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highlight w:val="none"/>
              </w:rPr>
            </w:pPr>
          </w:p>
        </w:tc>
        <w:tc>
          <w:tcPr>
            <w:tcW w:w="2833" w:type="dxa"/>
            <w:noWrap w:val="0"/>
            <w:vAlign w:val="center"/>
          </w:tcPr>
          <w:p w14:paraId="666638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rPr>
            </w:pPr>
          </w:p>
        </w:tc>
        <w:tc>
          <w:tcPr>
            <w:tcW w:w="709" w:type="dxa"/>
            <w:noWrap w:val="0"/>
            <w:vAlign w:val="center"/>
          </w:tcPr>
          <w:p w14:paraId="78CB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p>
        </w:tc>
        <w:tc>
          <w:tcPr>
            <w:tcW w:w="1136" w:type="dxa"/>
            <w:noWrap w:val="0"/>
            <w:vAlign w:val="center"/>
          </w:tcPr>
          <w:p w14:paraId="4FA8F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p>
        </w:tc>
        <w:tc>
          <w:tcPr>
            <w:tcW w:w="1276" w:type="dxa"/>
            <w:noWrap w:val="0"/>
            <w:vAlign w:val="center"/>
          </w:tcPr>
          <w:p w14:paraId="655EF0DB">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4" w:type="dxa"/>
            <w:noWrap w:val="0"/>
            <w:vAlign w:val="center"/>
          </w:tcPr>
          <w:p w14:paraId="0B63C927">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3" w:type="dxa"/>
            <w:noWrap w:val="0"/>
            <w:vAlign w:val="center"/>
          </w:tcPr>
          <w:p w14:paraId="5BB77FB0">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r>
      <w:tr w14:paraId="181A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602B6880">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2833" w:type="dxa"/>
            <w:noWrap w:val="0"/>
            <w:vAlign w:val="center"/>
          </w:tcPr>
          <w:p w14:paraId="5B6B271B">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709" w:type="dxa"/>
            <w:noWrap w:val="0"/>
            <w:vAlign w:val="center"/>
          </w:tcPr>
          <w:p w14:paraId="2C73330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6" w:type="dxa"/>
            <w:noWrap w:val="0"/>
            <w:vAlign w:val="center"/>
          </w:tcPr>
          <w:p w14:paraId="6C5004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76" w:type="dxa"/>
            <w:noWrap w:val="0"/>
            <w:vAlign w:val="center"/>
          </w:tcPr>
          <w:p w14:paraId="6D555F88">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4" w:type="dxa"/>
            <w:noWrap w:val="0"/>
            <w:vAlign w:val="center"/>
          </w:tcPr>
          <w:p w14:paraId="4F29CC4A">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3" w:type="dxa"/>
            <w:noWrap w:val="0"/>
            <w:vAlign w:val="center"/>
          </w:tcPr>
          <w:p w14:paraId="633A714D">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r>
      <w:tr w14:paraId="05D8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1AFA7BD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2833" w:type="dxa"/>
            <w:noWrap w:val="0"/>
            <w:vAlign w:val="center"/>
          </w:tcPr>
          <w:p w14:paraId="06C1E1F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709" w:type="dxa"/>
            <w:noWrap w:val="0"/>
            <w:vAlign w:val="center"/>
          </w:tcPr>
          <w:p w14:paraId="0B873B5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6" w:type="dxa"/>
            <w:noWrap w:val="0"/>
            <w:vAlign w:val="center"/>
          </w:tcPr>
          <w:p w14:paraId="3615A73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76" w:type="dxa"/>
            <w:noWrap w:val="0"/>
            <w:vAlign w:val="center"/>
          </w:tcPr>
          <w:p w14:paraId="5CF2662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4" w:type="dxa"/>
            <w:noWrap w:val="0"/>
            <w:vAlign w:val="center"/>
          </w:tcPr>
          <w:p w14:paraId="2423BEC3">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3" w:type="dxa"/>
            <w:noWrap w:val="0"/>
            <w:vAlign w:val="center"/>
          </w:tcPr>
          <w:p w14:paraId="59D8BC34">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r>
      <w:tr w14:paraId="5436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724" w:type="dxa"/>
            <w:noWrap w:val="0"/>
            <w:vAlign w:val="center"/>
          </w:tcPr>
          <w:p w14:paraId="3C242C6A">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2833" w:type="dxa"/>
            <w:noWrap w:val="0"/>
            <w:vAlign w:val="center"/>
          </w:tcPr>
          <w:p w14:paraId="1E59A47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709" w:type="dxa"/>
            <w:noWrap w:val="0"/>
            <w:vAlign w:val="center"/>
          </w:tcPr>
          <w:p w14:paraId="011FB74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6" w:type="dxa"/>
            <w:noWrap w:val="0"/>
            <w:vAlign w:val="center"/>
          </w:tcPr>
          <w:p w14:paraId="6FE22C6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76" w:type="dxa"/>
            <w:noWrap w:val="0"/>
            <w:vAlign w:val="center"/>
          </w:tcPr>
          <w:p w14:paraId="62D40F9E">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134" w:type="dxa"/>
            <w:noWrap w:val="0"/>
            <w:vAlign w:val="center"/>
          </w:tcPr>
          <w:p w14:paraId="4ECD4B4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c>
          <w:tcPr>
            <w:tcW w:w="1273" w:type="dxa"/>
            <w:noWrap w:val="0"/>
            <w:vAlign w:val="center"/>
          </w:tcPr>
          <w:p w14:paraId="3870A094">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kern w:val="0"/>
                <w:sz w:val="24"/>
                <w:szCs w:val="24"/>
                <w:highlight w:val="none"/>
              </w:rPr>
            </w:pPr>
          </w:p>
        </w:tc>
      </w:tr>
      <w:tr w14:paraId="0AE0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trPr>
        <w:tc>
          <w:tcPr>
            <w:tcW w:w="5402" w:type="dxa"/>
            <w:gridSpan w:val="4"/>
            <w:noWrap w:val="0"/>
            <w:vAlign w:val="center"/>
          </w:tcPr>
          <w:p w14:paraId="2DE109E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投标总报价</w:t>
            </w:r>
          </w:p>
        </w:tc>
        <w:tc>
          <w:tcPr>
            <w:tcW w:w="2410" w:type="dxa"/>
            <w:gridSpan w:val="2"/>
            <w:noWrap w:val="0"/>
            <w:vAlign w:val="center"/>
          </w:tcPr>
          <w:p w14:paraId="73FDF9B8">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p>
        </w:tc>
        <w:tc>
          <w:tcPr>
            <w:tcW w:w="1273" w:type="dxa"/>
            <w:noWrap w:val="0"/>
            <w:vAlign w:val="center"/>
          </w:tcPr>
          <w:p w14:paraId="155FDBFC">
            <w:pPr>
              <w:keepNext w:val="0"/>
              <w:keepLines w:val="0"/>
              <w:widowControl/>
              <w:suppressLineNumbers w:val="0"/>
              <w:snapToGrid w:val="0"/>
              <w:spacing w:before="0" w:beforeAutospacing="0" w:after="0" w:afterAutospacing="0" w:line="276" w:lineRule="auto"/>
              <w:ind w:left="0" w:right="0"/>
              <w:jc w:val="center"/>
              <w:textAlignment w:val="center"/>
              <w:rPr>
                <w:rFonts w:hint="eastAsia" w:ascii="宋体" w:hAnsi="宋体" w:eastAsia="宋体" w:cs="宋体"/>
                <w:color w:val="auto"/>
                <w:sz w:val="24"/>
                <w:szCs w:val="24"/>
                <w:highlight w:val="none"/>
              </w:rPr>
            </w:pPr>
          </w:p>
        </w:tc>
      </w:tr>
    </w:tbl>
    <w:p w14:paraId="1843D1C8">
      <w:pPr>
        <w:adjustRightInd w:val="0"/>
        <w:snapToGrid w:val="0"/>
        <w:spacing w:line="288" w:lineRule="auto"/>
        <w:ind w:right="2"/>
        <w:rPr>
          <w:rFonts w:hint="eastAsia" w:ascii="宋体" w:hAnsi="宋体" w:eastAsia="宋体" w:cs="宋体"/>
          <w:b/>
          <w:bCs/>
          <w:color w:val="auto"/>
          <w:spacing w:val="-6"/>
          <w:sz w:val="24"/>
          <w:szCs w:val="24"/>
          <w:highlight w:val="none"/>
        </w:rPr>
      </w:pPr>
    </w:p>
    <w:p w14:paraId="13F07BED">
      <w:pPr>
        <w:adjustRightInd w:val="0"/>
        <w:snapToGrid w:val="0"/>
        <w:spacing w:line="288" w:lineRule="auto"/>
        <w:ind w:right="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注：</w:t>
      </w:r>
      <w:r>
        <w:rPr>
          <w:rFonts w:hint="eastAsia" w:ascii="宋体" w:hAnsi="宋体" w:eastAsia="宋体" w:cs="宋体"/>
          <w:color w:val="auto"/>
          <w:sz w:val="24"/>
          <w:szCs w:val="24"/>
          <w:highlight w:val="none"/>
        </w:rPr>
        <w:t>1.报价一经涂改，应在涂改处加盖单位公章或者由法定代表人或授权委托人签字或盖章，否则其投标作无效标处理。</w:t>
      </w:r>
    </w:p>
    <w:p w14:paraId="498A21FB">
      <w:pPr>
        <w:adjustRightInd w:val="0"/>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2.投标报价须包括完成本项目技术要求所需的全部费用；如有漏项，视同已包含在其项目中，合同总价和单价不做调整。</w:t>
      </w:r>
    </w:p>
    <w:p w14:paraId="733A85C5">
      <w:pPr>
        <w:adjustRightInd w:val="0"/>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.以上报价应与“开标一览表”总额相一致。</w:t>
      </w:r>
    </w:p>
    <w:p w14:paraId="69C86C34">
      <w:pPr>
        <w:snapToGrid w:val="0"/>
        <w:spacing w:line="400" w:lineRule="exact"/>
        <w:ind w:firstLine="480"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.此表此表仅提供了表格形式，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可根据实际自行扩展。</w:t>
      </w:r>
    </w:p>
    <w:p w14:paraId="504F26E9">
      <w:pPr>
        <w:numPr>
          <w:ilvl w:val="0"/>
          <w:numId w:val="0"/>
        </w:numPr>
        <w:snapToGrid w:val="0"/>
        <w:spacing w:beforeLines="0" w:afterLines="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9CA97C6">
      <w:pPr>
        <w:numPr>
          <w:ilvl w:val="0"/>
          <w:numId w:val="0"/>
        </w:numPr>
        <w:snapToGrid w:val="0"/>
        <w:spacing w:beforeLines="0" w:afterLines="0" w:line="360" w:lineRule="auto"/>
        <w:jc w:val="center"/>
        <w:rPr>
          <w:rFonts w:hint="eastAsia" w:ascii="宋体" w:hAnsi="宋体" w:eastAsia="宋体" w:cs="宋体"/>
          <w:color w:val="auto"/>
          <w:sz w:val="24"/>
          <w:szCs w:val="24"/>
          <w:highlight w:val="none"/>
          <w:lang w:val="en-US" w:eastAsia="zh-CN"/>
        </w:rPr>
      </w:pPr>
    </w:p>
    <w:p w14:paraId="4CDEF6AB">
      <w:pPr>
        <w:numPr>
          <w:ilvl w:val="0"/>
          <w:numId w:val="0"/>
        </w:numPr>
        <w:snapToGrid w:val="0"/>
        <w:spacing w:beforeLines="0" w:afterLines="0" w:line="360" w:lineRule="auto"/>
        <w:jc w:val="center"/>
        <w:rPr>
          <w:rFonts w:hint="eastAsia" w:ascii="宋体" w:hAnsi="宋体" w:eastAsia="宋体" w:cs="宋体"/>
          <w:color w:val="auto"/>
          <w:sz w:val="24"/>
          <w:szCs w:val="24"/>
          <w:highlight w:val="none"/>
          <w:lang w:val="en-US" w:eastAsia="zh-CN"/>
        </w:rPr>
      </w:pPr>
    </w:p>
    <w:p w14:paraId="092B4DAF">
      <w:pPr>
        <w:numPr>
          <w:ilvl w:val="0"/>
          <w:numId w:val="0"/>
        </w:numPr>
        <w:snapToGrid w:val="0"/>
        <w:spacing w:beforeLines="0" w:afterLines="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rPr>
        <w:t>电子签名</w:t>
      </w:r>
      <w:r>
        <w:rPr>
          <w:rFonts w:hint="eastAsia" w:ascii="宋体" w:hAnsi="宋体" w:eastAsia="宋体" w:cs="宋体"/>
          <w:color w:val="auto"/>
          <w:sz w:val="24"/>
          <w:szCs w:val="24"/>
          <w:highlight w:val="none"/>
          <w:lang w:val="zh-CN"/>
        </w:rPr>
        <w:t xml:space="preserve">）：                </w:t>
      </w:r>
    </w:p>
    <w:p w14:paraId="099EFA67">
      <w:pPr>
        <w:numPr>
          <w:ilvl w:val="0"/>
          <w:numId w:val="0"/>
        </w:numPr>
        <w:snapToGrid w:val="0"/>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   年   月   日</w:t>
      </w:r>
    </w:p>
    <w:p w14:paraId="748AC6C1">
      <w:pPr>
        <w:spacing w:beforeLines="0" w:afterLines="0" w:line="360" w:lineRule="auto"/>
        <w:ind w:left="0" w:leftChars="0" w:firstLine="1000" w:firstLineChars="300"/>
        <w:jc w:val="both"/>
        <w:rPr>
          <w:rFonts w:hint="eastAsia" w:ascii="宋体" w:hAnsi="宋体" w:eastAsia="宋体" w:cs="宋体"/>
          <w:b/>
          <w:color w:val="auto"/>
          <w:spacing w:val="6"/>
          <w:sz w:val="32"/>
          <w:szCs w:val="32"/>
          <w:highlight w:val="none"/>
          <w:lang w:val="en-US" w:eastAsia="zh-CN"/>
        </w:rPr>
      </w:pPr>
    </w:p>
    <w:p w14:paraId="3608E897">
      <w:pPr>
        <w:spacing w:beforeLines="0" w:afterLines="0" w:line="360" w:lineRule="auto"/>
        <w:ind w:left="0" w:leftChars="0" w:firstLine="1000" w:firstLineChars="300"/>
        <w:jc w:val="both"/>
        <w:rPr>
          <w:rFonts w:hint="eastAsia" w:ascii="宋体" w:hAnsi="宋体" w:eastAsia="宋体" w:cs="宋体"/>
          <w:b/>
          <w:color w:val="auto"/>
          <w:spacing w:val="6"/>
          <w:sz w:val="32"/>
          <w:szCs w:val="32"/>
          <w:highlight w:val="none"/>
          <w:lang w:val="en-US" w:eastAsia="zh-CN"/>
        </w:rPr>
      </w:pPr>
    </w:p>
    <w:p w14:paraId="2ACE4A59">
      <w:pPr>
        <w:spacing w:beforeLines="0" w:afterLines="0" w:line="360" w:lineRule="auto"/>
        <w:ind w:left="0" w:leftChars="0" w:firstLine="1000" w:firstLineChars="300"/>
        <w:jc w:val="both"/>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val="en-US" w:eastAsia="zh-CN"/>
        </w:rPr>
        <w:t>（2）投标人认为需要提供的其他文件或说明</w:t>
      </w:r>
    </w:p>
    <w:p w14:paraId="1246598D">
      <w:pPr>
        <w:snapToGrid w:val="0"/>
        <w:spacing w:line="400" w:lineRule="exact"/>
        <w:jc w:val="both"/>
        <w:rPr>
          <w:rFonts w:hint="eastAsia" w:ascii="宋体" w:hAnsi="宋体" w:eastAsia="宋体" w:cs="宋体"/>
          <w:b/>
          <w:bCs/>
          <w:color w:val="auto"/>
          <w:kern w:val="2"/>
          <w:sz w:val="21"/>
          <w:szCs w:val="21"/>
          <w:highlight w:val="none"/>
          <w:lang w:val="en-US" w:eastAsia="zh-CN" w:bidi="ar-SA"/>
        </w:rPr>
      </w:pPr>
    </w:p>
    <w:p w14:paraId="25E9BB77">
      <w:pP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br w:type="page"/>
      </w:r>
    </w:p>
    <w:p w14:paraId="3E14CDC1">
      <w:pPr>
        <w:spacing w:beforeLines="0" w:afterLines="0" w:line="360" w:lineRule="auto"/>
        <w:ind w:left="0" w:leftChars="0"/>
        <w:jc w:val="both"/>
        <w:rPr>
          <w:rFonts w:hint="eastAsia" w:ascii="宋体" w:hAnsi="宋体" w:eastAsia="宋体" w:cs="宋体"/>
          <w:b/>
          <w:color w:val="auto"/>
          <w:spacing w:val="6"/>
          <w:sz w:val="32"/>
          <w:szCs w:val="32"/>
          <w:highlight w:val="none"/>
        </w:rPr>
      </w:pPr>
      <w:r>
        <w:rPr>
          <w:rFonts w:hint="eastAsia" w:ascii="宋体" w:hAnsi="宋体" w:eastAsia="宋体" w:cs="宋体"/>
          <w:b/>
          <w:color w:val="auto"/>
          <w:kern w:val="2"/>
          <w:sz w:val="32"/>
          <w:szCs w:val="32"/>
          <w:highlight w:val="none"/>
          <w:lang w:val="en-US" w:eastAsia="zh-CN" w:bidi="ar-SA"/>
        </w:rPr>
        <w:t xml:space="preserve"> </w:t>
      </w: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14:paraId="1752A109">
      <w:pPr>
        <w:spacing w:beforeLines="0" w:afterLines="0" w:line="360" w:lineRule="auto"/>
        <w:ind w:left="0" w:lef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19F5E74">
      <w:pPr>
        <w:snapToGrid w:val="0"/>
        <w:spacing w:before="240" w:beforeLines="10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一、质疑供应商基本信息</w:t>
      </w:r>
    </w:p>
    <w:p w14:paraId="6259B2BD">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7C6B03A">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C17074">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CAA30B1">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59702E8">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F5480E7">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B6B08DA">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二、质疑项目基本情况</w:t>
      </w:r>
    </w:p>
    <w:p w14:paraId="287FEA7C">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07B38DAD">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37D5838">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11B24755">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17152E97">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三、质疑事项具体内容</w:t>
      </w:r>
    </w:p>
    <w:p w14:paraId="5FFF5DD3">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E91EB4E">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785560C">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670CF30A">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8EE5A1A">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F63FAC6">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78A306D1">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01BDB65">
      <w:pPr>
        <w:snapToGrid w:val="0"/>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4DD57CBF">
      <w:pPr>
        <w:snapToGrid w:val="0"/>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3B7B486F">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4FDE459">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7C62834">
      <w:pPr>
        <w:spacing w:beforeLines="0" w:afterLines="0" w:line="360" w:lineRule="auto"/>
        <w:ind w:left="0" w:leftChars="0"/>
        <w:jc w:val="center"/>
        <w:rPr>
          <w:rFonts w:hint="eastAsia" w:ascii="宋体" w:hAnsi="宋体" w:eastAsia="宋体" w:cs="宋体"/>
          <w:b/>
          <w:color w:val="auto"/>
          <w:sz w:val="24"/>
          <w:szCs w:val="24"/>
          <w:highlight w:val="none"/>
        </w:rPr>
      </w:pPr>
    </w:p>
    <w:p w14:paraId="15671EB9">
      <w:pPr>
        <w:spacing w:beforeLines="0" w:afterLines="0" w:line="360" w:lineRule="auto"/>
        <w:ind w:left="0" w:leftChars="0"/>
        <w:rPr>
          <w:rFonts w:hint="eastAsia" w:ascii="宋体" w:hAnsi="宋体" w:eastAsia="宋体" w:cs="宋体"/>
          <w:b/>
          <w:color w:val="auto"/>
          <w:sz w:val="24"/>
          <w:szCs w:val="24"/>
          <w:highlight w:val="none"/>
        </w:rPr>
      </w:pPr>
    </w:p>
    <w:p w14:paraId="07E50907">
      <w:pPr>
        <w:spacing w:beforeLines="0" w:afterLines="0" w:line="360" w:lineRule="auto"/>
        <w:ind w:left="0" w:leftChars="0"/>
        <w:rPr>
          <w:rFonts w:hint="eastAsia" w:ascii="宋体" w:hAnsi="宋体" w:eastAsia="宋体" w:cs="宋体"/>
          <w:b/>
          <w:color w:val="auto"/>
          <w:sz w:val="24"/>
          <w:szCs w:val="24"/>
          <w:highlight w:val="none"/>
        </w:rPr>
      </w:pPr>
    </w:p>
    <w:p w14:paraId="4EEDC84B">
      <w:pPr>
        <w:spacing w:beforeLines="0" w:afterLines="0" w:line="360" w:lineRule="auto"/>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2E868E93">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6066F129">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3090F79">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72FDFFFE">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08B5B94A">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1F384D6E">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6061047">
      <w:pPr>
        <w:widowControl/>
        <w:spacing w:beforeLines="0" w:afterLines="0" w:line="360" w:lineRule="auto"/>
        <w:ind w:left="0" w:leftChars="0" w:firstLine="600" w:firstLineChars="200"/>
        <w:jc w:val="left"/>
        <w:rPr>
          <w:rFonts w:hint="eastAsia" w:ascii="宋体" w:hAnsi="宋体" w:eastAsia="宋体" w:cs="宋体"/>
          <w:color w:val="auto"/>
          <w:sz w:val="30"/>
          <w:szCs w:val="30"/>
          <w:highlight w:val="none"/>
        </w:rPr>
      </w:pPr>
    </w:p>
    <w:p w14:paraId="75E1072A">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39EE9B41">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00AF71C4">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2FC30634">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056CA356">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0A011BE7">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229A9B82">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1DBFCCAB">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536EAE09">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613D7870">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472D0E6B">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43DCF530">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03E7ABCC">
      <w:pPr>
        <w:spacing w:beforeLines="0" w:afterLines="0" w:line="360" w:lineRule="auto"/>
        <w:ind w:left="0" w:leftChars="0"/>
        <w:jc w:val="center"/>
        <w:rPr>
          <w:rFonts w:hint="eastAsia" w:ascii="宋体" w:hAnsi="宋体" w:eastAsia="宋体" w:cs="宋体"/>
          <w:b/>
          <w:color w:val="auto"/>
          <w:spacing w:val="6"/>
          <w:sz w:val="32"/>
          <w:szCs w:val="32"/>
          <w:highlight w:val="none"/>
        </w:rPr>
      </w:pPr>
    </w:p>
    <w:p w14:paraId="204C3A73">
      <w:pPr>
        <w:spacing w:beforeLines="0" w:afterLines="0" w:line="360" w:lineRule="auto"/>
        <w:ind w:left="0" w:leftChars="0"/>
        <w:jc w:val="left"/>
        <w:rPr>
          <w:rFonts w:hint="eastAsia" w:ascii="宋体" w:hAnsi="宋体" w:eastAsia="宋体" w:cs="宋体"/>
          <w:b/>
          <w:color w:val="auto"/>
          <w:spacing w:val="6"/>
          <w:sz w:val="32"/>
          <w:szCs w:val="32"/>
          <w:highlight w:val="none"/>
        </w:rPr>
      </w:pPr>
    </w:p>
    <w:p w14:paraId="477804A2">
      <w:pPr>
        <w:spacing w:beforeLines="0" w:afterLines="0" w:line="360" w:lineRule="auto"/>
        <w:ind w:left="0" w:leftChars="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78E41205">
      <w:pPr>
        <w:spacing w:beforeLines="0" w:afterLines="0" w:line="360" w:lineRule="auto"/>
        <w:ind w:left="0" w:leftChars="0"/>
        <w:jc w:val="center"/>
        <w:rPr>
          <w:rFonts w:hint="eastAsia" w:ascii="宋体" w:hAnsi="宋体" w:eastAsia="宋体" w:cs="宋体"/>
          <w:b/>
          <w:color w:val="auto"/>
          <w:sz w:val="24"/>
          <w:szCs w:val="24"/>
          <w:highlight w:val="none"/>
        </w:rPr>
      </w:pPr>
    </w:p>
    <w:p w14:paraId="5916CAAC">
      <w:pPr>
        <w:spacing w:beforeLines="0" w:afterLines="0" w:line="360" w:lineRule="auto"/>
        <w:ind w:left="0" w:lef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A9A9710">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78F00F8A">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08CAC5FB">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24B1B6E">
      <w:pPr>
        <w:tabs>
          <w:tab w:val="left" w:pos="6510"/>
        </w:tabs>
        <w:spacing w:beforeLines="0" w:afterLines="0"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BA993B8">
      <w:pPr>
        <w:tabs>
          <w:tab w:val="left" w:pos="6510"/>
        </w:tabs>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CC3B5E6">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521CBCD">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5268DEA8">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2DEC526A">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3AB45DA8">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3ABBBD12">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640FCA88">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1D080B3D">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8209015">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DB0E625">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42C70CD">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1CDF786F">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p>
    <w:p w14:paraId="6495CC9A">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BA8C9BB">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498E50B">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0A8925F8">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7CFE3FB6">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3CDA3F1">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7907027F">
      <w:pPr>
        <w:spacing w:beforeLines="0" w:afterLines="0" w:line="360" w:lineRule="auto"/>
        <w:ind w:left="0" w:lef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8E15EC5">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4593E4C">
      <w:pPr>
        <w:spacing w:beforeLines="0" w:afterLines="0" w:line="360" w:lineRule="auto"/>
        <w:ind w:left="0" w:leftChars="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667F88B1">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F7E1AFE">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276E0D5F">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5EC3A7F">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B11240B">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BB39B9D">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A941C3F">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3E0B31F">
      <w:pPr>
        <w:spacing w:beforeLines="0" w:afterLines="0" w:line="360" w:lineRule="auto"/>
        <w:ind w:left="0" w:leftChars="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65053F71">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E50BFBC">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7C60B6B5">
      <w:pPr>
        <w:spacing w:beforeLines="0" w:afterLines="0" w:line="360" w:lineRule="auto"/>
        <w:ind w:left="0" w:lef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1B561BC4">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7BC5202">
      <w:pPr>
        <w:spacing w:beforeLines="0" w:afterLines="0"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C620FD7">
      <w:pPr>
        <w:spacing w:beforeLines="0" w:afterLines="0" w:line="360" w:lineRule="auto"/>
        <w:ind w:left="0" w:leftChars="0"/>
        <w:rPr>
          <w:rFonts w:hint="eastAsia" w:ascii="宋体" w:hAnsi="宋体" w:eastAsia="宋体" w:cs="宋体"/>
          <w:b/>
          <w:color w:val="auto"/>
          <w:sz w:val="24"/>
          <w:szCs w:val="24"/>
          <w:highlight w:val="none"/>
        </w:rPr>
      </w:pPr>
    </w:p>
    <w:p w14:paraId="160BD44F">
      <w:pPr>
        <w:spacing w:beforeLines="0" w:afterLines="0" w:line="360" w:lineRule="auto"/>
        <w:ind w:left="0" w:leftChars="0"/>
        <w:rPr>
          <w:rFonts w:hint="eastAsia" w:ascii="宋体" w:hAnsi="宋体" w:eastAsia="宋体" w:cs="宋体"/>
          <w:b/>
          <w:color w:val="auto"/>
          <w:sz w:val="24"/>
          <w:szCs w:val="24"/>
          <w:highlight w:val="none"/>
        </w:rPr>
      </w:pPr>
    </w:p>
    <w:p w14:paraId="247D684D">
      <w:pPr>
        <w:spacing w:beforeLines="0" w:afterLines="0" w:line="360" w:lineRule="auto"/>
        <w:ind w:left="0" w:leftChars="0"/>
        <w:rPr>
          <w:rFonts w:hint="eastAsia" w:ascii="宋体" w:hAnsi="宋体" w:eastAsia="宋体" w:cs="宋体"/>
          <w:b/>
          <w:color w:val="auto"/>
          <w:sz w:val="24"/>
          <w:szCs w:val="24"/>
          <w:highlight w:val="none"/>
        </w:rPr>
      </w:pPr>
    </w:p>
    <w:p w14:paraId="4A441199">
      <w:pPr>
        <w:spacing w:beforeLines="0" w:afterLines="0" w:line="360" w:lineRule="auto"/>
        <w:ind w:left="0" w:leftChars="0"/>
        <w:rPr>
          <w:rFonts w:hint="eastAsia" w:ascii="宋体" w:hAnsi="宋体" w:eastAsia="宋体" w:cs="宋体"/>
          <w:b/>
          <w:color w:val="auto"/>
          <w:sz w:val="24"/>
          <w:szCs w:val="24"/>
          <w:highlight w:val="none"/>
        </w:rPr>
      </w:pPr>
    </w:p>
    <w:p w14:paraId="050E1644">
      <w:pPr>
        <w:spacing w:beforeLines="0" w:afterLines="0" w:line="360" w:lineRule="auto"/>
        <w:ind w:left="0" w:leftChars="0"/>
        <w:rPr>
          <w:rFonts w:hint="eastAsia" w:ascii="宋体" w:hAnsi="宋体" w:eastAsia="宋体" w:cs="宋体"/>
          <w:b/>
          <w:color w:val="auto"/>
          <w:sz w:val="24"/>
          <w:szCs w:val="24"/>
          <w:highlight w:val="none"/>
        </w:rPr>
      </w:pPr>
    </w:p>
    <w:p w14:paraId="0FCDE448">
      <w:pPr>
        <w:spacing w:beforeLines="0" w:afterLines="0" w:line="360" w:lineRule="auto"/>
        <w:ind w:left="0" w:leftChars="0"/>
        <w:rPr>
          <w:rFonts w:hint="eastAsia" w:ascii="宋体" w:hAnsi="宋体" w:eastAsia="宋体" w:cs="宋体"/>
          <w:b/>
          <w:color w:val="auto"/>
          <w:sz w:val="24"/>
          <w:szCs w:val="24"/>
          <w:highlight w:val="none"/>
        </w:rPr>
      </w:pPr>
    </w:p>
    <w:p w14:paraId="31ADE63C">
      <w:pPr>
        <w:spacing w:beforeLines="0" w:afterLines="0" w:line="360" w:lineRule="auto"/>
        <w:ind w:left="0" w:leftChars="0"/>
        <w:rPr>
          <w:rFonts w:hint="eastAsia" w:ascii="宋体" w:hAnsi="宋体" w:eastAsia="宋体" w:cs="宋体"/>
          <w:b/>
          <w:color w:val="auto"/>
          <w:sz w:val="24"/>
          <w:szCs w:val="24"/>
          <w:highlight w:val="none"/>
        </w:rPr>
      </w:pPr>
    </w:p>
    <w:p w14:paraId="44145CED">
      <w:pPr>
        <w:spacing w:beforeLines="0" w:afterLines="0" w:line="360" w:lineRule="auto"/>
        <w:ind w:left="0" w:leftChars="0"/>
        <w:rPr>
          <w:rFonts w:hint="eastAsia" w:ascii="宋体" w:hAnsi="宋体" w:eastAsia="宋体" w:cs="宋体"/>
          <w:b/>
          <w:color w:val="auto"/>
          <w:sz w:val="24"/>
          <w:szCs w:val="24"/>
          <w:highlight w:val="none"/>
        </w:rPr>
      </w:pPr>
    </w:p>
    <w:p w14:paraId="75B16B57">
      <w:pPr>
        <w:spacing w:beforeLines="0" w:afterLines="0" w:line="360" w:lineRule="auto"/>
        <w:ind w:left="0" w:leftChars="0"/>
        <w:rPr>
          <w:rFonts w:hint="eastAsia" w:ascii="宋体" w:hAnsi="宋体" w:eastAsia="宋体" w:cs="宋体"/>
          <w:b/>
          <w:color w:val="auto"/>
          <w:sz w:val="24"/>
          <w:szCs w:val="24"/>
          <w:highlight w:val="none"/>
        </w:rPr>
      </w:pPr>
    </w:p>
    <w:p w14:paraId="354CBB8A">
      <w:pPr>
        <w:spacing w:beforeLines="0" w:afterLines="0" w:line="360" w:lineRule="auto"/>
        <w:ind w:left="0" w:leftChars="0"/>
        <w:rPr>
          <w:rFonts w:hint="eastAsia" w:ascii="宋体" w:hAnsi="宋体" w:eastAsia="宋体" w:cs="宋体"/>
          <w:b/>
          <w:color w:val="auto"/>
          <w:sz w:val="24"/>
          <w:szCs w:val="24"/>
          <w:highlight w:val="none"/>
        </w:rPr>
      </w:pPr>
    </w:p>
    <w:p w14:paraId="47FB30E1">
      <w:pPr>
        <w:spacing w:beforeLines="0" w:afterLines="0" w:line="360" w:lineRule="auto"/>
        <w:ind w:left="0" w:leftChars="0"/>
        <w:rPr>
          <w:rFonts w:hint="eastAsia" w:ascii="宋体" w:hAnsi="宋体" w:eastAsia="宋体" w:cs="宋体"/>
          <w:b/>
          <w:color w:val="auto"/>
          <w:sz w:val="24"/>
          <w:szCs w:val="24"/>
          <w:highlight w:val="none"/>
        </w:rPr>
      </w:pPr>
    </w:p>
    <w:p w14:paraId="3D25233F">
      <w:pPr>
        <w:spacing w:beforeLines="0" w:afterLines="0" w:line="360" w:lineRule="auto"/>
        <w:ind w:left="0" w:leftChars="0"/>
        <w:rPr>
          <w:rFonts w:hint="eastAsia" w:ascii="宋体" w:hAnsi="宋体" w:eastAsia="宋体" w:cs="宋体"/>
          <w:b/>
          <w:color w:val="auto"/>
          <w:sz w:val="24"/>
          <w:szCs w:val="24"/>
          <w:highlight w:val="none"/>
        </w:rPr>
      </w:pPr>
    </w:p>
    <w:p w14:paraId="2A6EE9BA">
      <w:pPr>
        <w:spacing w:beforeLines="0" w:afterLines="0" w:line="360" w:lineRule="auto"/>
        <w:ind w:left="0" w:leftChars="0"/>
        <w:rPr>
          <w:rFonts w:hint="eastAsia" w:ascii="宋体" w:hAnsi="宋体" w:eastAsia="宋体" w:cs="宋体"/>
          <w:b/>
          <w:color w:val="auto"/>
          <w:sz w:val="24"/>
          <w:szCs w:val="24"/>
          <w:highlight w:val="none"/>
        </w:rPr>
      </w:pPr>
    </w:p>
    <w:p w14:paraId="7601C3CD">
      <w:pPr>
        <w:spacing w:beforeLines="0" w:afterLines="0" w:line="360" w:lineRule="auto"/>
        <w:ind w:left="0" w:leftChars="0"/>
        <w:rPr>
          <w:rFonts w:hint="eastAsia" w:ascii="宋体" w:hAnsi="宋体" w:eastAsia="宋体" w:cs="宋体"/>
          <w:b/>
          <w:color w:val="auto"/>
          <w:sz w:val="24"/>
          <w:szCs w:val="24"/>
          <w:highlight w:val="none"/>
        </w:rPr>
      </w:pPr>
    </w:p>
    <w:p w14:paraId="734CB4B5">
      <w:pPr>
        <w:spacing w:beforeLines="0" w:afterLines="0" w:line="360" w:lineRule="auto"/>
        <w:ind w:left="0" w:leftChars="0"/>
        <w:rPr>
          <w:rFonts w:hint="eastAsia" w:ascii="宋体" w:hAnsi="宋体" w:eastAsia="宋体" w:cs="宋体"/>
          <w:b/>
          <w:color w:val="auto"/>
          <w:sz w:val="24"/>
          <w:szCs w:val="24"/>
          <w:highlight w:val="none"/>
        </w:rPr>
      </w:pPr>
    </w:p>
    <w:p w14:paraId="023ADBD1">
      <w:pPr>
        <w:spacing w:beforeLines="0" w:afterLines="0" w:line="360" w:lineRule="auto"/>
        <w:ind w:left="0" w:leftChars="0"/>
        <w:rPr>
          <w:rFonts w:hint="eastAsia" w:ascii="宋体" w:hAnsi="宋体" w:eastAsia="宋体" w:cs="宋体"/>
          <w:b/>
          <w:color w:val="auto"/>
          <w:sz w:val="24"/>
          <w:szCs w:val="24"/>
          <w:highlight w:val="none"/>
        </w:rPr>
      </w:pPr>
    </w:p>
    <w:p w14:paraId="2CDD26E7">
      <w:pPr>
        <w:spacing w:beforeLines="0" w:afterLines="0" w:line="360" w:lineRule="auto"/>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3CAD4622">
      <w:pPr>
        <w:widowControl/>
        <w:spacing w:beforeLines="0" w:afterLines="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5225A503">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ED52F74">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03376868">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6B54854D">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12862711">
      <w:pPr>
        <w:widowControl/>
        <w:spacing w:beforeLines="0" w:afterLines="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5D05B204">
      <w:pP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r>
        <w:rPr>
          <w:rFonts w:hint="eastAsia" w:ascii="宋体" w:hAnsi="宋体" w:eastAsia="宋体" w:cs="宋体"/>
          <w:b/>
          <w:color w:val="auto"/>
          <w:kern w:val="2"/>
          <w:sz w:val="32"/>
          <w:szCs w:val="32"/>
          <w:highlight w:val="none"/>
          <w:lang w:val="en-US" w:eastAsia="zh-CN" w:bidi="ar-SA"/>
        </w:rPr>
        <w:br w:type="page"/>
      </w:r>
    </w:p>
    <w:p w14:paraId="643DC7CD">
      <w:pPr>
        <w:pStyle w:val="34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left"/>
        <w:textAlignment w:val="auto"/>
        <w:rPr>
          <w:rFonts w:hint="eastAsia"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附件3:</w:t>
      </w:r>
    </w:p>
    <w:p w14:paraId="42425857">
      <w:pPr>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采购活动现场确认声明书</w:t>
      </w:r>
    </w:p>
    <w:bookmarkEnd w:id="185"/>
    <w:p w14:paraId="3B6D0019">
      <w:pPr>
        <w:pStyle w:val="34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both"/>
        <w:textAlignment w:val="auto"/>
        <w:rPr>
          <w:rFonts w:hint="eastAsia" w:hAnsi="宋体" w:cs="宋体"/>
          <w:color w:val="auto"/>
          <w:kern w:val="0"/>
          <w:sz w:val="24"/>
          <w:szCs w:val="24"/>
          <w:highlight w:val="none"/>
          <w:lang w:val="en-US" w:eastAsia="zh-CN"/>
        </w:rPr>
      </w:pPr>
    </w:p>
    <w:p w14:paraId="78F20903">
      <w:pPr>
        <w:pStyle w:val="34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both"/>
        <w:textAlignment w:val="auto"/>
        <w:rPr>
          <w:rFonts w:hint="eastAsia" w:ascii="宋体" w:hAnsi="宋体" w:eastAsia="宋体" w:cs="宋体"/>
          <w:b/>
          <w:color w:val="auto"/>
          <w:sz w:val="24"/>
          <w:szCs w:val="24"/>
        </w:rPr>
      </w:pPr>
      <w:r>
        <w:rPr>
          <w:rFonts w:hint="eastAsia" w:hAnsi="宋体" w:cs="宋体"/>
          <w:color w:val="auto"/>
          <w:kern w:val="0"/>
          <w:sz w:val="24"/>
          <w:szCs w:val="24"/>
          <w:highlight w:val="none"/>
          <w:lang w:val="en-US" w:eastAsia="zh-CN"/>
        </w:rPr>
        <w:t>浙江中瑞工程管理有限公司</w:t>
      </w:r>
      <w:r>
        <w:rPr>
          <w:rFonts w:hint="eastAsia" w:ascii="宋体" w:hAnsi="宋体" w:eastAsia="宋体" w:cs="宋体"/>
          <w:color w:val="auto"/>
          <w:kern w:val="0"/>
          <w:sz w:val="24"/>
          <w:szCs w:val="24"/>
          <w:highlight w:val="none"/>
        </w:rPr>
        <w:t>：</w:t>
      </w:r>
    </w:p>
    <w:p w14:paraId="3A47A392">
      <w:pPr>
        <w:pStyle w:val="340"/>
        <w:numPr>
          <w:ilvl w:val="0"/>
          <w:numId w:val="0"/>
        </w:numPr>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w:t>
      </w:r>
      <w:r>
        <w:rPr>
          <w:rFonts w:hint="eastAsia" w:ascii="宋体" w:hAnsi="宋体" w:eastAsia="宋体" w:cs="宋体"/>
          <w:color w:val="auto"/>
          <w:spacing w:val="6"/>
          <w:sz w:val="24"/>
          <w:szCs w:val="24"/>
          <w:u w:val="single"/>
        </w:rPr>
        <w:t xml:space="preserve">   </w:t>
      </w:r>
      <w:r>
        <w:rPr>
          <w:rFonts w:hint="eastAsia" w:hAnsi="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（授权代表姓名），经由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负责人</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（法定代表人）合法授权参加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）采购活动，经与本单位法人代表（负责人）联系确认，现就有关公平竞争事项郑重声明如下： </w:t>
      </w:r>
    </w:p>
    <w:p w14:paraId="290BFF0C">
      <w:pPr>
        <w:pStyle w:val="141"/>
        <w:widowControl/>
        <w:numPr>
          <w:ilvl w:val="0"/>
          <w:numId w:val="17"/>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160920B">
      <w:pPr>
        <w:pStyle w:val="141"/>
        <w:widowControl/>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0DC0FF04">
      <w:pPr>
        <w:pStyle w:val="141"/>
        <w:widowControl/>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63ACA856">
      <w:pPr>
        <w:pStyle w:val="141"/>
        <w:widowControl/>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10FFDE4E">
      <w:pPr>
        <w:pStyle w:val="340"/>
        <w:numPr>
          <w:ilvl w:val="0"/>
          <w:numId w:val="0"/>
        </w:num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A.法定代表人或负责人或实际控制人是同一人</w:t>
      </w:r>
    </w:p>
    <w:p w14:paraId="209D8D47">
      <w:pPr>
        <w:pStyle w:val="340"/>
        <w:numPr>
          <w:ilvl w:val="0"/>
          <w:numId w:val="0"/>
        </w:numPr>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B.法定代表人或负责人或实际控制人是夫妻关系</w:t>
      </w:r>
    </w:p>
    <w:p w14:paraId="05311AB5">
      <w:pPr>
        <w:pStyle w:val="340"/>
        <w:numPr>
          <w:ilvl w:val="0"/>
          <w:numId w:val="0"/>
        </w:numPr>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C.法定代表人或负责人或实际控制人是直系血亲关系</w:t>
      </w:r>
    </w:p>
    <w:p w14:paraId="330F6A29">
      <w:pPr>
        <w:pStyle w:val="340"/>
        <w:numPr>
          <w:ilvl w:val="0"/>
          <w:numId w:val="0"/>
        </w:numPr>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D.法定代表人或负责人或实际控制人存在三代以内旁系血亲关系</w:t>
      </w:r>
    </w:p>
    <w:p w14:paraId="65DD1D12">
      <w:pPr>
        <w:pStyle w:val="340"/>
        <w:numPr>
          <w:ilvl w:val="0"/>
          <w:numId w:val="0"/>
        </w:num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E.法定代表人或负责人或实际控制人存在近姻亲关系</w:t>
      </w:r>
    </w:p>
    <w:p w14:paraId="0F0A798E">
      <w:pPr>
        <w:pStyle w:val="340"/>
        <w:numPr>
          <w:ilvl w:val="0"/>
          <w:numId w:val="0"/>
        </w:num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F.法定代表人或负责人或实际控制人存在股份控制或实际控制关系</w:t>
      </w:r>
    </w:p>
    <w:p w14:paraId="502C88B3">
      <w:pPr>
        <w:pStyle w:val="340"/>
        <w:numPr>
          <w:ilvl w:val="0"/>
          <w:numId w:val="0"/>
        </w:num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G.存在共同直接或间接投资设立子公司、联营企业和合营企业情况</w:t>
      </w:r>
    </w:p>
    <w:p w14:paraId="4C964DDA">
      <w:pPr>
        <w:pStyle w:val="340"/>
        <w:numPr>
          <w:ilvl w:val="0"/>
          <w:numId w:val="0"/>
        </w:num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H.存在分级代理或代销关系、同一生产制造商关系、管理关系、重要业务（占主营业务收入50%以上）或重要财务往来关系（如融资）等其他实质性控制关系</w:t>
      </w:r>
    </w:p>
    <w:p w14:paraId="103C9EF5">
      <w:pPr>
        <w:pStyle w:val="340"/>
        <w:numPr>
          <w:ilvl w:val="0"/>
          <w:numId w:val="0"/>
        </w:numPr>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7FADCB2">
      <w:pPr>
        <w:pStyle w:val="141"/>
        <w:widowControl/>
        <w:numPr>
          <w:ilvl w:val="0"/>
          <w:numId w:val="18"/>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严格遵守采购法律法规和现场纪律。</w:t>
      </w:r>
    </w:p>
    <w:p w14:paraId="40BD024D">
      <w:pPr>
        <w:pStyle w:val="141"/>
        <w:widowControl/>
        <w:numPr>
          <w:ilvl w:val="0"/>
          <w:numId w:val="18"/>
        </w:numPr>
        <w:snapToGrid w:val="0"/>
        <w:spacing w:line="400" w:lineRule="exact"/>
        <w:ind w:firstLine="453" w:firstLineChars="189"/>
        <w:rPr>
          <w:rFonts w:hint="eastAsia" w:ascii="宋体" w:hAnsi="宋体" w:eastAsia="宋体" w:cs="宋体"/>
          <w:color w:val="auto"/>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r>
        <w:rPr>
          <w:rFonts w:hint="eastAsia" w:ascii="宋体" w:hAnsi="宋体" w:eastAsia="宋体" w:cs="宋体"/>
          <w:color w:val="auto"/>
          <w:sz w:val="24"/>
          <w:szCs w:val="24"/>
        </w:rPr>
        <w:t xml:space="preserve">                         </w:t>
      </w:r>
    </w:p>
    <w:p w14:paraId="773D0223">
      <w:pPr>
        <w:pStyle w:val="340"/>
        <w:numPr>
          <w:ilvl w:val="0"/>
          <w:numId w:val="0"/>
        </w:numPr>
        <w:snapToGrid w:val="0"/>
        <w:spacing w:line="400" w:lineRule="exact"/>
        <w:ind w:left="5040" w:leftChars="2100"/>
        <w:rPr>
          <w:rFonts w:hint="eastAsia" w:ascii="宋体" w:hAnsi="宋体" w:eastAsia="宋体" w:cs="宋体"/>
          <w:color w:val="auto"/>
          <w:sz w:val="24"/>
          <w:szCs w:val="24"/>
        </w:rPr>
      </w:pPr>
    </w:p>
    <w:p w14:paraId="2C199167">
      <w:pPr>
        <w:pStyle w:val="340"/>
        <w:numPr>
          <w:ilvl w:val="0"/>
          <w:numId w:val="0"/>
        </w:numPr>
        <w:snapToGrid w:val="0"/>
        <w:spacing w:line="400" w:lineRule="exact"/>
        <w:ind w:left="5040" w:leftChars="2100"/>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w:t>
      </w:r>
    </w:p>
    <w:p w14:paraId="7CFAB74C">
      <w:pPr>
        <w:pStyle w:val="340"/>
        <w:numPr>
          <w:ilvl w:val="0"/>
          <w:numId w:val="0"/>
        </w:numPr>
        <w:snapToGrid w:val="0"/>
        <w:spacing w:line="400" w:lineRule="exact"/>
        <w:ind w:left="5040" w:leftChars="21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hAnsi="宋体" w:cs="宋体"/>
          <w:color w:val="auto"/>
          <w:sz w:val="24"/>
          <w:szCs w:val="24"/>
          <w:lang w:val="en-US" w:eastAsia="zh-CN"/>
        </w:rPr>
        <w:t>5</w:t>
      </w:r>
      <w:r>
        <w:rPr>
          <w:rFonts w:hint="eastAsia" w:ascii="宋体" w:hAnsi="宋体" w:eastAsia="宋体" w:cs="宋体"/>
          <w:color w:val="auto"/>
          <w:sz w:val="24"/>
          <w:szCs w:val="24"/>
        </w:rPr>
        <w:t>年   月   日</w:t>
      </w:r>
    </w:p>
    <w:p w14:paraId="43B4B0E2">
      <w:pPr>
        <w:pStyle w:val="32"/>
        <w:spacing w:line="400" w:lineRule="exact"/>
        <w:rPr>
          <w:rFonts w:hint="eastAsia" w:ascii="宋体" w:hAnsi="宋体" w:eastAsia="宋体" w:cs="宋体"/>
          <w:b/>
          <w:bCs/>
          <w:color w:val="auto"/>
          <w:sz w:val="24"/>
          <w:szCs w:val="24"/>
        </w:rPr>
      </w:pPr>
    </w:p>
    <w:p w14:paraId="072CB90E">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文件解密结束后，各供应商签署《</w:t>
      </w:r>
      <w:r>
        <w:rPr>
          <w:rFonts w:hint="eastAsia" w:ascii="宋体" w:hAnsi="宋体" w:eastAsia="宋体" w:cs="宋体"/>
          <w:b/>
          <w:bCs/>
          <w:color w:val="auto"/>
          <w:sz w:val="24"/>
          <w:szCs w:val="24"/>
          <w:lang w:eastAsia="zh-CN"/>
        </w:rPr>
        <w:t>政企</w:t>
      </w:r>
      <w:r>
        <w:rPr>
          <w:rFonts w:hint="eastAsia" w:ascii="宋体" w:hAnsi="宋体" w:eastAsia="宋体" w:cs="宋体"/>
          <w:b/>
          <w:bCs/>
          <w:color w:val="auto"/>
          <w:sz w:val="24"/>
          <w:szCs w:val="24"/>
        </w:rPr>
        <w:t>采购活动现场确认声明书》，并在规定时间内通过邮件形式发送至采购代理机构邮箱：</w:t>
      </w:r>
      <w:r>
        <w:rPr>
          <w:rFonts w:hint="eastAsia" w:ascii="宋体" w:hAnsi="宋体" w:eastAsia="宋体" w:cs="宋体"/>
          <w:b/>
          <w:bCs/>
          <w:color w:val="auto"/>
          <w:sz w:val="24"/>
          <w:szCs w:val="24"/>
          <w:u w:val="none"/>
        </w:rPr>
        <w:fldChar w:fldCharType="begin"/>
      </w:r>
      <w:r>
        <w:rPr>
          <w:rFonts w:hint="eastAsia" w:ascii="宋体" w:hAnsi="宋体" w:eastAsia="宋体" w:cs="宋体"/>
          <w:b/>
          <w:bCs/>
          <w:color w:val="auto"/>
          <w:sz w:val="24"/>
          <w:szCs w:val="24"/>
          <w:u w:val="none"/>
        </w:rPr>
        <w:instrText xml:space="preserve"> HYPERLINK "mailto:815743236@qq.com" </w:instrText>
      </w:r>
      <w:r>
        <w:rPr>
          <w:rFonts w:hint="eastAsia" w:ascii="宋体" w:hAnsi="宋体" w:eastAsia="宋体" w:cs="宋体"/>
          <w:b/>
          <w:bCs/>
          <w:color w:val="auto"/>
          <w:sz w:val="24"/>
          <w:szCs w:val="24"/>
          <w:u w:val="none"/>
        </w:rPr>
        <w:fldChar w:fldCharType="separate"/>
      </w:r>
      <w:r>
        <w:rPr>
          <w:rFonts w:hint="eastAsia" w:ascii="宋体" w:hAnsi="宋体" w:cs="宋体"/>
          <w:b/>
          <w:bCs/>
          <w:color w:val="auto"/>
          <w:sz w:val="24"/>
          <w:szCs w:val="24"/>
          <w:u w:val="none"/>
          <w:lang w:val="en-US" w:eastAsia="zh-CN"/>
        </w:rPr>
        <w:t>669562541</w:t>
      </w:r>
      <w:r>
        <w:rPr>
          <w:rFonts w:hint="eastAsia" w:ascii="宋体" w:hAnsi="宋体" w:eastAsia="宋体" w:cs="宋体"/>
          <w:b/>
          <w:bCs/>
          <w:color w:val="auto"/>
          <w:sz w:val="24"/>
          <w:szCs w:val="24"/>
          <w:u w:val="none"/>
        </w:rPr>
        <w:t>@q</w:t>
      </w:r>
      <w:r>
        <w:rPr>
          <w:rStyle w:val="88"/>
          <w:rFonts w:hint="eastAsia" w:ascii="宋体" w:hAnsi="宋体" w:eastAsia="宋体" w:cs="宋体"/>
          <w:b/>
          <w:bCs/>
          <w:color w:val="auto"/>
          <w:sz w:val="24"/>
          <w:szCs w:val="24"/>
          <w:u w:val="none"/>
        </w:rPr>
        <w:t>q.com</w:t>
      </w:r>
      <w:r>
        <w:rPr>
          <w:rFonts w:hint="eastAsia" w:ascii="宋体" w:hAnsi="宋体" w:eastAsia="宋体" w:cs="宋体"/>
          <w:b/>
          <w:bCs/>
          <w:color w:val="auto"/>
          <w:sz w:val="24"/>
          <w:szCs w:val="24"/>
          <w:u w:val="none"/>
        </w:rPr>
        <w:fldChar w:fldCharType="end"/>
      </w:r>
      <w:r>
        <w:rPr>
          <w:rFonts w:hint="eastAsia" w:ascii="宋体" w:hAnsi="宋体" w:eastAsia="宋体" w:cs="宋体"/>
          <w:b/>
          <w:bCs/>
          <w:color w:val="auto"/>
          <w:sz w:val="24"/>
          <w:szCs w:val="24"/>
          <w:u w:val="none"/>
        </w:rPr>
        <w:t>，</w:t>
      </w:r>
      <w:r>
        <w:rPr>
          <w:rFonts w:hint="eastAsia" w:ascii="宋体" w:hAnsi="宋体" w:eastAsia="宋体" w:cs="宋体"/>
          <w:b/>
          <w:bCs/>
          <w:color w:val="auto"/>
          <w:sz w:val="24"/>
          <w:szCs w:val="24"/>
        </w:rPr>
        <w:t>如未如实填写，将有可能影响你的投标文件评审。</w:t>
      </w:r>
    </w:p>
    <w:p w14:paraId="087A4BEC">
      <w:pPr>
        <w:keepNext w:val="0"/>
        <w:keepLines w:val="0"/>
        <w:pageBreakBefore w:val="0"/>
        <w:kinsoku/>
        <w:wordWrap/>
        <w:overflowPunct/>
        <w:topLinePunct w:val="0"/>
        <w:autoSpaceDE/>
        <w:autoSpaceDN/>
        <w:bidi w:val="0"/>
        <w:adjustRightInd w:val="0"/>
        <w:spacing w:line="380" w:lineRule="exact"/>
        <w:ind w:right="0"/>
        <w:textAlignment w:val="auto"/>
        <w:rPr>
          <w:rFonts w:hint="eastAsia"/>
          <w:lang w:val="en-US" w:eastAsia="zh-CN"/>
        </w:rPr>
      </w:pPr>
    </w:p>
    <w:sectPr>
      <w:headerReference r:id="rId20" w:type="default"/>
      <w:footerReference r:id="rId21" w:type="default"/>
      <w:pgSz w:w="11906" w:h="16838"/>
      <w:pgMar w:top="1474" w:right="1287" w:bottom="1304" w:left="1570" w:header="1020"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sө_x0002_">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95BB">
    <w:pPr>
      <w:pStyle w:val="49"/>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4DB3">
    <w:pPr>
      <w:pStyle w:val="49"/>
      <w:tabs>
        <w:tab w:val="center" w:pos="6979"/>
        <w:tab w:val="clear" w:pos="4153"/>
      </w:tabs>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2855A">
                          <w:pPr>
                            <w:pStyle w:val="4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1102855A">
                    <w:pPr>
                      <w:pStyle w:val="49"/>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07F39">
                          <w:pPr>
                            <w:pStyle w:val="49"/>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E07F39">
                    <w:pPr>
                      <w:pStyle w:val="49"/>
                      <w:rPr>
                        <w:rFonts w:hint="default" w:eastAsia="宋体"/>
                        <w:lang w:val="en-US"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E8B5">
    <w:pPr>
      <w:pStyle w:val="49"/>
      <w:tabs>
        <w:tab w:val="center" w:pos="6979"/>
        <w:tab w:val="clear" w:pos="4153"/>
      </w:tabs>
      <w:rPr>
        <w:rFonts w:hint="eastAsia"/>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9563D">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50C9563D">
                    <w:pPr>
                      <w:pStyle w:val="4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20E646">
                          <w:pPr>
                            <w:pStyle w:val="49"/>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5tk8gBAACb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tF5T4rjFiV9+fL/8/H359Y2g&#10;DwUaAjSYdx8wM41v/Yhrs/gBnZn3qKLNX2REMI7ynq/yyjERkR/V67q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o+bZPIAQAAmwMAAA4AAAAAAAAAAQAgAAAAHgEAAGRycy9lMm9Eb2Mu&#10;eG1sUEsFBgAAAAAGAAYAWQEAAFgFAAAAAA==&#10;">
              <v:fill on="f" focussize="0,0"/>
              <v:stroke on="f"/>
              <v:imagedata o:title=""/>
              <o:lock v:ext="edit" aspectratio="f"/>
              <v:textbox inset="0mm,0mm,0mm,0mm" style="mso-fit-shape-to-text:t;">
                <w:txbxContent>
                  <w:p w14:paraId="5E20E646">
                    <w:pPr>
                      <w:pStyle w:val="49"/>
                      <w:rPr>
                        <w:rFonts w:hint="default" w:eastAsia="宋体"/>
                        <w:lang w:val="en-US"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43F7">
    <w:pPr>
      <w:pStyle w:val="49"/>
      <w:spacing w:beforeLines="0" w:afterLines="0"/>
      <w:jc w:val="center"/>
      <w:rPr>
        <w:rFonts w:hint="eastAsia" w:ascii="仿宋_GB2312" w:eastAsia="仿宋_GB2312"/>
        <w:sz w:val="18"/>
        <w:szCs w:val="24"/>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D2F62">
                          <w:pPr>
                            <w:pStyle w:val="4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35D2F62">
                    <w:pPr>
                      <w:pStyle w:val="49"/>
                    </w:pPr>
                    <w:r>
                      <w:fldChar w:fldCharType="begin"/>
                    </w:r>
                    <w:r>
                      <w:instrText xml:space="preserve"> PAGE  \* MERGEFORMAT </w:instrText>
                    </w:r>
                    <w:r>
                      <w:fldChar w:fldCharType="separate"/>
                    </w:r>
                    <w:r>
                      <w:t>68</w:t>
                    </w:r>
                    <w:r>
                      <w:fldChar w:fldCharType="end"/>
                    </w:r>
                  </w:p>
                </w:txbxContent>
              </v:textbox>
            </v:shape>
          </w:pict>
        </mc:Fallback>
      </mc:AlternateContent>
    </w:r>
  </w:p>
  <w:p w14:paraId="68ADE0E6">
    <w:pPr>
      <w:spacing w:beforeLines="0" w:afterLines="0"/>
      <w:rPr>
        <w:rFonts w:hint="eastAsia" w:ascii="仿宋_GB2312" w:hAnsi="Times New Roman" w:eastAsia="仿宋_GB2312"/>
        <w:sz w:val="21"/>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A2DFB">
    <w:pPr>
      <w:pStyle w:val="49"/>
      <w:spacing w:beforeLines="0" w:afterLines="0"/>
      <w:jc w:val="center"/>
      <w:rPr>
        <w:rFonts w:hint="eastAsia" w:ascii="仿宋_GB2312" w:eastAsia="仿宋_GB2312"/>
        <w:sz w:val="18"/>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D2242">
                          <w:pPr>
                            <w:pStyle w:val="4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661D2242">
                    <w:pPr>
                      <w:pStyle w:val="49"/>
                    </w:pPr>
                    <w:r>
                      <w:fldChar w:fldCharType="begin"/>
                    </w:r>
                    <w:r>
                      <w:instrText xml:space="preserve"> PAGE  \* MERGEFORMAT </w:instrText>
                    </w:r>
                    <w:r>
                      <w:fldChar w:fldCharType="separate"/>
                    </w:r>
                    <w:r>
                      <w:t>67</w:t>
                    </w:r>
                    <w:r>
                      <w:fldChar w:fldCharType="end"/>
                    </w:r>
                  </w:p>
                </w:txbxContent>
              </v:textbox>
            </v:shape>
          </w:pict>
        </mc:Fallback>
      </mc:AlternateContent>
    </w:r>
  </w:p>
  <w:p w14:paraId="3FFF6907">
    <w:pPr>
      <w:spacing w:beforeLines="0" w:afterLines="0"/>
      <w:rPr>
        <w:rFonts w:hint="eastAsia" w:ascii="仿宋_GB2312" w:hAnsi="Times New Roman" w:eastAsia="仿宋_GB2312"/>
        <w:sz w:val="21"/>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9771">
    <w:pPr>
      <w:pStyle w:val="4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1E32">
                          <w:pPr>
                            <w:pStyle w:val="4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320E1E32">
                    <w:pPr>
                      <w:pStyle w:val="4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6211">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C13A">
    <w:pPr>
      <w:pStyle w:val="49"/>
      <w:tabs>
        <w:tab w:val="clear" w:pos="4153"/>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611C9">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0C611C9">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CE2BF">
    <w:pPr>
      <w:pStyle w:val="4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00362">
                          <w:pPr>
                            <w:pStyle w:val="4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D00362">
                    <w:pPr>
                      <w:pStyle w:val="4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0C8E">
    <w:pPr>
      <w:pStyle w:val="49"/>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73C1B">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1F73C1B">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CBAD">
    <w:pPr>
      <w:pStyle w:val="4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C9E7">
                          <w:pPr>
                            <w:pStyle w:val="4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D96C9E7">
                    <w:pPr>
                      <w:pStyle w:val="4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D36D">
    <w:pPr>
      <w:pStyle w:val="49"/>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87DCE">
                          <w:pPr>
                            <w:pStyle w:val="4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187DCE">
                    <w:pPr>
                      <w:pStyle w:val="4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B740">
    <w:pPr>
      <w:pStyle w:val="4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D360F">
                          <w:pPr>
                            <w:pStyle w:val="4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68D360F">
                    <w:pPr>
                      <w:pStyle w:val="4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40D5">
    <w:pPr>
      <w:pStyle w:val="4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8112E">
                          <w:pPr>
                            <w:pStyle w:val="4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048112E">
                    <w:pPr>
                      <w:pStyle w:val="4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98D1">
    <w:pPr>
      <w:widowControl/>
      <w:pBdr>
        <w:bottom w:val="none" w:color="auto" w:sz="0" w:space="1"/>
      </w:pBdr>
      <w:tabs>
        <w:tab w:val="center" w:pos="4535"/>
        <w:tab w:val="right" w:pos="9070"/>
      </w:tabs>
      <w:overflowPunct w:val="0"/>
      <w:autoSpaceDE w:val="0"/>
      <w:autoSpaceDN w:val="0"/>
      <w:jc w:val="left"/>
      <w:textAlignment w:val="baseline"/>
      <w:rPr>
        <w:rFonts w:hint="default" w:ascii="仿宋" w:hAnsi="仿宋" w:eastAsia="仿宋"/>
        <w:sz w:val="18"/>
        <w:szCs w:val="18"/>
        <w:u w:val="none"/>
        <w:lang w:val="en-US"/>
      </w:rPr>
    </w:pPr>
    <w:r>
      <w:rPr>
        <w:rFonts w:hint="eastAsia" w:ascii="宋体" w:hAnsi="宋体" w:cs="宋体"/>
        <w:b/>
        <w:color w:val="auto"/>
        <w:kern w:val="1"/>
        <w:sz w:val="18"/>
        <w:szCs w:val="18"/>
        <w:highlight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3ED7">
    <w:pPr>
      <w:pStyle w:val="51"/>
      <w:pBdr>
        <w:bottom w:val="none" w:color="auto" w:sz="0" w:space="1"/>
      </w:pBdr>
      <w:jc w:val="left"/>
      <w:rPr>
        <w:rFonts w:hint="default"/>
        <w:lang w:val="en-US"/>
      </w:rPr>
    </w:pPr>
    <w:r>
      <w:rPr>
        <w:rFonts w:hint="eastAsia" w:ascii="宋体" w:hAnsi="宋体" w:cs="宋体"/>
        <w:b/>
        <w:color w:val="auto"/>
        <w:kern w:val="1"/>
        <w:sz w:val="18"/>
        <w:szCs w:val="18"/>
        <w:highlight w:val="non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60A1">
    <w:pPr>
      <w:pBdr>
        <w:bottom w:val="none" w:color="auto" w:sz="0" w:space="0"/>
      </w:pBdr>
      <w:tabs>
        <w:tab w:val="left" w:pos="1701"/>
      </w:tabs>
      <w:spacing w:line="240" w:lineRule="auto"/>
      <w:rPr>
        <w:rFonts w:hint="eastAsia" w:ascii="仿宋_GB2312" w:hAnsi="Times New Roman" w:eastAsia="仿宋_GB2312"/>
        <w:b/>
        <w:i/>
        <w:sz w:val="18"/>
        <w:szCs w:val="24"/>
        <w:u w:val="single"/>
      </w:rPr>
    </w:pPr>
    <w:r>
      <w:rPr>
        <w:rFonts w:hint="eastAsia" w:ascii="宋体" w:hAnsi="宋体" w:eastAsia="宋体" w:cs="宋体"/>
        <w:b/>
        <w:color w:val="auto"/>
        <w:kern w:val="1"/>
        <w:sz w:val="18"/>
        <w:szCs w:val="18"/>
        <w:highlight w:val="none"/>
        <w:lang w:val="en-US" w:eastAsia="zh-CN"/>
      </w:rPr>
      <w:t xml:space="preserve">                            </w:t>
    </w:r>
    <w:r>
      <w:rPr>
        <w:rFonts w:hint="eastAsia"/>
        <w:sz w:val="18"/>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BF89">
    <w:pPr>
      <w:spacing w:line="380" w:lineRule="exact"/>
      <w:jc w:val="left"/>
      <w:rPr>
        <w:rFonts w:hint="default"/>
        <w:sz w:val="18"/>
        <w:szCs w:val="24"/>
      </w:rPr>
    </w:pPr>
    <w:r>
      <w:rPr>
        <w:rFonts w:hint="eastAsia" w:ascii="宋体" w:hAnsi="宋体" w:eastAsia="宋体" w:cs="宋体"/>
        <w:b/>
        <w:color w:val="auto"/>
        <w:kern w:val="1"/>
        <w:sz w:val="18"/>
        <w:szCs w:val="18"/>
        <w:highlight w:val="none"/>
        <w:lang w:val="en-US" w:eastAsia="zh-CN"/>
      </w:rPr>
      <w:t xml:space="preserve">                                          </w:t>
    </w:r>
    <w:r>
      <w:rPr>
        <w:rFonts w:hint="eastAsia"/>
        <w:sz w:val="18"/>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DD4A">
    <w:pPr>
      <w:pStyle w:val="51"/>
      <w:pBdr>
        <w:bottom w:val="none" w:color="auto" w:sz="0" w:space="1"/>
      </w:pBdr>
      <w:jc w:val="both"/>
      <w:rPr>
        <w:rFonts w:hint="eastAsia"/>
      </w:rPr>
    </w:pPr>
    <w:r>
      <w:rPr>
        <w:rFonts w:hint="eastAsia" w:ascii="宋体" w:hAnsi="宋体" w:eastAsia="宋体" w:cs="宋体"/>
        <w:b/>
        <w:color w:val="auto"/>
        <w:kern w:val="1"/>
        <w:sz w:val="18"/>
        <w:szCs w:val="18"/>
        <w:highlight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ECB8"/>
    <w:multiLevelType w:val="singleLevel"/>
    <w:tmpl w:val="8723ECB8"/>
    <w:lvl w:ilvl="0" w:tentative="0">
      <w:start w:val="3"/>
      <w:numFmt w:val="decimal"/>
      <w:lvlText w:val="%1."/>
      <w:lvlJc w:val="left"/>
      <w:pPr>
        <w:tabs>
          <w:tab w:val="left" w:pos="312"/>
        </w:tabs>
      </w:pPr>
    </w:lvl>
  </w:abstractNum>
  <w:abstractNum w:abstractNumId="1">
    <w:nsid w:val="9D4AB024"/>
    <w:multiLevelType w:val="singleLevel"/>
    <w:tmpl w:val="9D4AB024"/>
    <w:lvl w:ilvl="0" w:tentative="0">
      <w:start w:val="1"/>
      <w:numFmt w:val="decimal"/>
      <w:suff w:val="nothing"/>
      <w:lvlText w:val="（%1）"/>
      <w:lvlJc w:val="left"/>
    </w:lvl>
  </w:abstractNum>
  <w:abstractNum w:abstractNumId="2">
    <w:nsid w:val="00000001"/>
    <w:multiLevelType w:val="multilevel"/>
    <w:tmpl w:val="00000001"/>
    <w:lvl w:ilvl="0" w:tentative="0">
      <w:start w:val="1"/>
      <w:numFmt w:val="none"/>
      <w:pStyle w:val="133"/>
      <w:suff w:val="nothing"/>
      <w:lvlText w:val="%1"/>
      <w:lvlJc w:val="left"/>
      <w:pPr>
        <w:ind w:left="0" w:firstLine="0"/>
      </w:pPr>
      <w:rPr>
        <w:rFonts w:hint="default" w:ascii="Times New Roman" w:hAnsi="Times New Roman"/>
        <w:b/>
        <w:i w:val="0"/>
        <w:sz w:val="21"/>
      </w:rPr>
    </w:lvl>
    <w:lvl w:ilvl="1" w:tentative="0">
      <w:start w:val="1"/>
      <w:numFmt w:val="decimal"/>
      <w:pStyle w:val="209"/>
      <w:suff w:val="nothing"/>
      <w:lvlText w:val="%1%2　"/>
      <w:lvlJc w:val="left"/>
      <w:pPr>
        <w:ind w:left="0" w:firstLine="0"/>
      </w:pPr>
      <w:rPr>
        <w:rFonts w:hint="eastAsia" w:ascii="黑体" w:hAnsi="Times New Roman" w:eastAsia="黑体"/>
        <w:b w:val="0"/>
        <w:i w:val="0"/>
        <w:sz w:val="21"/>
      </w:rPr>
    </w:lvl>
    <w:lvl w:ilvl="2" w:tentative="0">
      <w:start w:val="1"/>
      <w:numFmt w:val="decimal"/>
      <w:pStyle w:val="198"/>
      <w:suff w:val="nothing"/>
      <w:lvlText w:val="%1%2.%3　"/>
      <w:lvlJc w:val="left"/>
      <w:pPr>
        <w:ind w:left="3675" w:firstLine="0"/>
      </w:pPr>
      <w:rPr>
        <w:rFonts w:hint="eastAsia" w:ascii="黑体" w:hAnsi="Times New Roman" w:eastAsia="黑体"/>
        <w:b w:val="0"/>
        <w:i w:val="0"/>
        <w:sz w:val="21"/>
      </w:rPr>
    </w:lvl>
    <w:lvl w:ilvl="3" w:tentative="0">
      <w:start w:val="1"/>
      <w:numFmt w:val="decimal"/>
      <w:pStyle w:val="197"/>
      <w:suff w:val="nothing"/>
      <w:lvlText w:val="%1%2.%3.%4　"/>
      <w:lvlJc w:val="left"/>
      <w:pPr>
        <w:ind w:left="0" w:firstLine="0"/>
      </w:pPr>
      <w:rPr>
        <w:rFonts w:hint="eastAsia" w:ascii="黑体" w:hAnsi="Times New Roman" w:eastAsia="黑体"/>
        <w:b w:val="0"/>
        <w:i w:val="0"/>
        <w:sz w:val="21"/>
      </w:rPr>
    </w:lvl>
    <w:lvl w:ilvl="4" w:tentative="0">
      <w:start w:val="1"/>
      <w:numFmt w:val="decimal"/>
      <w:pStyle w:val="196"/>
      <w:suff w:val="nothing"/>
      <w:lvlText w:val="%1%2.%3.%4.%5　"/>
      <w:lvlJc w:val="left"/>
      <w:pPr>
        <w:ind w:left="0" w:firstLine="0"/>
      </w:pPr>
      <w:rPr>
        <w:rFonts w:hint="eastAsia" w:ascii="黑体" w:hAnsi="Times New Roman" w:eastAsia="黑体"/>
        <w:b w:val="0"/>
        <w:i w:val="0"/>
        <w:sz w:val="21"/>
      </w:rPr>
    </w:lvl>
    <w:lvl w:ilvl="5" w:tentative="0">
      <w:start w:val="1"/>
      <w:numFmt w:val="decimal"/>
      <w:pStyle w:val="195"/>
      <w:suff w:val="nothing"/>
      <w:lvlText w:val="%1%2.%3.%4.%5.%6　"/>
      <w:lvlJc w:val="left"/>
      <w:pPr>
        <w:ind w:left="0" w:firstLine="0"/>
      </w:pPr>
      <w:rPr>
        <w:rFonts w:hint="eastAsia" w:ascii="黑体" w:hAnsi="Times New Roman" w:eastAsia="黑体"/>
        <w:b w:val="0"/>
        <w:i w:val="0"/>
        <w:sz w:val="21"/>
      </w:rPr>
    </w:lvl>
    <w:lvl w:ilvl="6" w:tentative="0">
      <w:start w:val="1"/>
      <w:numFmt w:val="decimal"/>
      <w:pStyle w:val="1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2"/>
    <w:multiLevelType w:val="multilevel"/>
    <w:tmpl w:val="00000002"/>
    <w:lvl w:ilvl="0" w:tentative="0">
      <w:start w:val="1"/>
      <w:numFmt w:val="decimal"/>
      <w:pStyle w:val="18"/>
      <w:lvlText w:val="%1)"/>
      <w:lvlJc w:val="left"/>
      <w:pPr>
        <w:tabs>
          <w:tab w:val="left" w:pos="900"/>
        </w:tabs>
        <w:ind w:left="900" w:hanging="420"/>
      </w:pPr>
    </w:lvl>
    <w:lvl w:ilvl="1" w:tentative="0">
      <w:start w:val="1"/>
      <w:numFmt w:val="lowerLetter"/>
      <w:pStyle w:val="115"/>
      <w:lvlText w:val="%2)"/>
      <w:lvlJc w:val="left"/>
      <w:pPr>
        <w:tabs>
          <w:tab w:val="left" w:pos="1320"/>
        </w:tabs>
        <w:ind w:left="1320" w:hanging="420"/>
      </w:pPr>
    </w:lvl>
    <w:lvl w:ilvl="2" w:tentative="0">
      <w:start w:val="1"/>
      <w:numFmt w:val="lowerRoman"/>
      <w:pStyle w:val="116"/>
      <w:lvlText w:val="%3."/>
      <w:lvlJc w:val="right"/>
      <w:pPr>
        <w:tabs>
          <w:tab w:val="left" w:pos="1740"/>
        </w:tabs>
        <w:ind w:left="1740" w:hanging="420"/>
      </w:pPr>
    </w:lvl>
    <w:lvl w:ilvl="3" w:tentative="0">
      <w:start w:val="1"/>
      <w:numFmt w:val="decimal"/>
      <w:pStyle w:val="144"/>
      <w:lvlText w:val="%4."/>
      <w:lvlJc w:val="left"/>
      <w:pPr>
        <w:tabs>
          <w:tab w:val="left" w:pos="2160"/>
        </w:tabs>
        <w:ind w:left="2160" w:hanging="420"/>
      </w:pPr>
    </w:lvl>
    <w:lvl w:ilvl="4" w:tentative="0">
      <w:start w:val="1"/>
      <w:numFmt w:val="lowerLetter"/>
      <w:pStyle w:val="170"/>
      <w:lvlText w:val="%5)"/>
      <w:lvlJc w:val="left"/>
      <w:pPr>
        <w:tabs>
          <w:tab w:val="left" w:pos="2580"/>
        </w:tabs>
        <w:ind w:left="2580" w:hanging="420"/>
      </w:pPr>
    </w:lvl>
    <w:lvl w:ilvl="5" w:tentative="0">
      <w:start w:val="1"/>
      <w:numFmt w:val="lowerRoman"/>
      <w:pStyle w:val="238"/>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10"/>
    <w:multiLevelType w:val="singleLevel"/>
    <w:tmpl w:val="00000010"/>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5">
    <w:nsid w:val="00000011"/>
    <w:multiLevelType w:val="multilevel"/>
    <w:tmpl w:val="00000011"/>
    <w:lvl w:ilvl="0" w:tentative="0">
      <w:start w:val="1"/>
      <w:numFmt w:val="japaneseCounting"/>
      <w:pStyle w:val="390"/>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6">
    <w:nsid w:val="00000012"/>
    <w:multiLevelType w:val="multilevel"/>
    <w:tmpl w:val="00000012"/>
    <w:lvl w:ilvl="0" w:tentative="0">
      <w:start w:val="1"/>
      <w:numFmt w:val="decimal"/>
      <w:pStyle w:val="14"/>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5"/>
    <w:multiLevelType w:val="singleLevel"/>
    <w:tmpl w:val="00000015"/>
    <w:lvl w:ilvl="0" w:tentative="0">
      <w:start w:val="1"/>
      <w:numFmt w:val="bullet"/>
      <w:pStyle w:val="30"/>
      <w:lvlText w:val=""/>
      <w:lvlJc w:val="left"/>
      <w:pPr>
        <w:tabs>
          <w:tab w:val="left" w:pos="360"/>
        </w:tabs>
        <w:ind w:left="360" w:hanging="360"/>
      </w:pPr>
      <w:rPr>
        <w:rFonts w:hint="default" w:ascii="Wingdings" w:hAnsi="Wingdings"/>
      </w:rPr>
    </w:lvl>
  </w:abstractNum>
  <w:abstractNum w:abstractNumId="8">
    <w:nsid w:val="00000017"/>
    <w:multiLevelType w:val="singleLevel"/>
    <w:tmpl w:val="00000017"/>
    <w:lvl w:ilvl="0" w:tentative="0">
      <w:start w:val="1"/>
      <w:numFmt w:val="decimal"/>
      <w:pStyle w:val="43"/>
      <w:lvlText w:val="%1."/>
      <w:lvlJc w:val="left"/>
      <w:pPr>
        <w:tabs>
          <w:tab w:val="left" w:pos="780"/>
        </w:tabs>
        <w:ind w:left="780" w:hanging="360"/>
      </w:pPr>
    </w:lvl>
  </w:abstractNum>
  <w:abstractNum w:abstractNumId="9">
    <w:nsid w:val="00000019"/>
    <w:multiLevelType w:val="multilevel"/>
    <w:tmpl w:val="00000019"/>
    <w:lvl w:ilvl="0" w:tentative="0">
      <w:start w:val="1"/>
      <w:numFmt w:val="decimal"/>
      <w:pStyle w:val="281"/>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B"/>
    <w:multiLevelType w:val="singleLevel"/>
    <w:tmpl w:val="0000001B"/>
    <w:lvl w:ilvl="0" w:tentative="0">
      <w:start w:val="1"/>
      <w:numFmt w:val="decimal"/>
      <w:pStyle w:val="33"/>
      <w:lvlText w:val="%1."/>
      <w:lvlJc w:val="left"/>
      <w:pPr>
        <w:tabs>
          <w:tab w:val="left" w:pos="1200"/>
        </w:tabs>
        <w:ind w:left="1200" w:hanging="360"/>
      </w:pPr>
    </w:lvl>
  </w:abstractNum>
  <w:abstractNum w:abstractNumId="11">
    <w:nsid w:val="11EF01F3"/>
    <w:multiLevelType w:val="singleLevel"/>
    <w:tmpl w:val="11EF01F3"/>
    <w:lvl w:ilvl="0" w:tentative="0">
      <w:start w:val="1"/>
      <w:numFmt w:val="decimal"/>
      <w:suff w:val="nothing"/>
      <w:lvlText w:val="（%1）"/>
      <w:lvlJc w:val="left"/>
    </w:lvl>
  </w:abstractNum>
  <w:abstractNum w:abstractNumId="12">
    <w:nsid w:val="13ED3F2A"/>
    <w:multiLevelType w:val="singleLevel"/>
    <w:tmpl w:val="13ED3F2A"/>
    <w:lvl w:ilvl="0" w:tentative="0">
      <w:start w:val="1"/>
      <w:numFmt w:val="decimal"/>
      <w:suff w:val="nothing"/>
      <w:lvlText w:val="%1）"/>
      <w:lvlJc w:val="left"/>
    </w:lvl>
  </w:abstractNum>
  <w:abstractNum w:abstractNumId="13">
    <w:nsid w:val="4146DFCB"/>
    <w:multiLevelType w:val="singleLevel"/>
    <w:tmpl w:val="4146DFCB"/>
    <w:lvl w:ilvl="0" w:tentative="0">
      <w:start w:val="1"/>
      <w:numFmt w:val="decimal"/>
      <w:suff w:val="nothing"/>
      <w:lvlText w:val="（%1）"/>
      <w:lvlJc w:val="left"/>
    </w:lvl>
  </w:abstractNum>
  <w:abstractNum w:abstractNumId="14">
    <w:nsid w:val="42B1883A"/>
    <w:multiLevelType w:val="singleLevel"/>
    <w:tmpl w:val="42B1883A"/>
    <w:lvl w:ilvl="0" w:tentative="0">
      <w:start w:val="1"/>
      <w:numFmt w:val="decimal"/>
      <w:suff w:val="nothing"/>
      <w:lvlText w:val="（%1）"/>
      <w:lvlJc w:val="left"/>
    </w:lvl>
  </w:abstractNum>
  <w:abstractNum w:abstractNumId="15">
    <w:nsid w:val="545A512C"/>
    <w:multiLevelType w:val="multilevel"/>
    <w:tmpl w:val="545A512C"/>
    <w:lvl w:ilvl="0" w:tentative="0">
      <w:start w:val="1"/>
      <w:numFmt w:val="chineseCountingThousand"/>
      <w:pStyle w:val="340"/>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num w:numId="1">
    <w:abstractNumId w:val="6"/>
  </w:num>
  <w:num w:numId="2">
    <w:abstractNumId w:val="4"/>
  </w:num>
  <w:num w:numId="3">
    <w:abstractNumId w:val="3"/>
  </w:num>
  <w:num w:numId="4">
    <w:abstractNumId w:val="7"/>
  </w:num>
  <w:num w:numId="5">
    <w:abstractNumId w:val="10"/>
  </w:num>
  <w:num w:numId="6">
    <w:abstractNumId w:val="8"/>
  </w:num>
  <w:num w:numId="7">
    <w:abstractNumId w:val="2"/>
  </w:num>
  <w:num w:numId="8">
    <w:abstractNumId w:val="9"/>
  </w:num>
  <w:num w:numId="9">
    <w:abstractNumId w:val="15"/>
  </w:num>
  <w:num w:numId="10">
    <w:abstractNumId w:val="5"/>
  </w:num>
  <w:num w:numId="11">
    <w:abstractNumId w:val="12"/>
  </w:num>
  <w:num w:numId="12">
    <w:abstractNumId w:val="0"/>
  </w:num>
  <w:num w:numId="13">
    <w:abstractNumId w:val="1"/>
  </w:num>
  <w:num w:numId="14">
    <w:abstractNumId w:val="14"/>
  </w:num>
  <w:num w:numId="15">
    <w:abstractNumId w:val="13"/>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64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NWNjNjU0ZTA4ZjU1MDFiMzY2MTIwOGNhNWEwOTg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619"/>
    <w:rsid w:val="00046AF7"/>
    <w:rsid w:val="0004719A"/>
    <w:rsid w:val="000473FE"/>
    <w:rsid w:val="000477A8"/>
    <w:rsid w:val="000477E8"/>
    <w:rsid w:val="00050EBB"/>
    <w:rsid w:val="000515D7"/>
    <w:rsid w:val="0005333E"/>
    <w:rsid w:val="00054C6B"/>
    <w:rsid w:val="00055B3E"/>
    <w:rsid w:val="00056EDE"/>
    <w:rsid w:val="00057CB7"/>
    <w:rsid w:val="000601E0"/>
    <w:rsid w:val="000623C3"/>
    <w:rsid w:val="000625F9"/>
    <w:rsid w:val="00062AA4"/>
    <w:rsid w:val="00062D91"/>
    <w:rsid w:val="000636CB"/>
    <w:rsid w:val="0006375F"/>
    <w:rsid w:val="00063CAF"/>
    <w:rsid w:val="000648A4"/>
    <w:rsid w:val="00066B9C"/>
    <w:rsid w:val="00066C8A"/>
    <w:rsid w:val="000671FA"/>
    <w:rsid w:val="000673B7"/>
    <w:rsid w:val="00070C28"/>
    <w:rsid w:val="00070FC7"/>
    <w:rsid w:val="00071323"/>
    <w:rsid w:val="0007139C"/>
    <w:rsid w:val="00072390"/>
    <w:rsid w:val="00072E44"/>
    <w:rsid w:val="0007303E"/>
    <w:rsid w:val="000731D7"/>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3D9D"/>
    <w:rsid w:val="00173E08"/>
    <w:rsid w:val="00175E7D"/>
    <w:rsid w:val="00176734"/>
    <w:rsid w:val="00176A3F"/>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DE7"/>
    <w:rsid w:val="0038208E"/>
    <w:rsid w:val="003828BE"/>
    <w:rsid w:val="00382B34"/>
    <w:rsid w:val="00382C71"/>
    <w:rsid w:val="00384936"/>
    <w:rsid w:val="00385357"/>
    <w:rsid w:val="003853B7"/>
    <w:rsid w:val="00385C56"/>
    <w:rsid w:val="00385C7B"/>
    <w:rsid w:val="003860D0"/>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3BF"/>
    <w:rsid w:val="004E4600"/>
    <w:rsid w:val="004E55A6"/>
    <w:rsid w:val="004E68AF"/>
    <w:rsid w:val="004E798F"/>
    <w:rsid w:val="004E7B75"/>
    <w:rsid w:val="004E7D85"/>
    <w:rsid w:val="004F016F"/>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759"/>
    <w:rsid w:val="0088586D"/>
    <w:rsid w:val="00887387"/>
    <w:rsid w:val="00887F28"/>
    <w:rsid w:val="00890466"/>
    <w:rsid w:val="008929E7"/>
    <w:rsid w:val="00893597"/>
    <w:rsid w:val="008939AC"/>
    <w:rsid w:val="008939D5"/>
    <w:rsid w:val="00893A51"/>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7512"/>
    <w:rsid w:val="0094795D"/>
    <w:rsid w:val="009503FB"/>
    <w:rsid w:val="00950ECE"/>
    <w:rsid w:val="009526CD"/>
    <w:rsid w:val="00953DAB"/>
    <w:rsid w:val="009543AA"/>
    <w:rsid w:val="009543F9"/>
    <w:rsid w:val="00954430"/>
    <w:rsid w:val="009602F9"/>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C8"/>
    <w:rsid w:val="009C7576"/>
    <w:rsid w:val="009D0966"/>
    <w:rsid w:val="009D0A36"/>
    <w:rsid w:val="009D0EDD"/>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A01E91"/>
    <w:rsid w:val="00A02D5E"/>
    <w:rsid w:val="00A038C4"/>
    <w:rsid w:val="00A03B20"/>
    <w:rsid w:val="00A0430D"/>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4E3D"/>
    <w:rsid w:val="00A1537F"/>
    <w:rsid w:val="00A15DB6"/>
    <w:rsid w:val="00A15E22"/>
    <w:rsid w:val="00A16224"/>
    <w:rsid w:val="00A163BB"/>
    <w:rsid w:val="00A17113"/>
    <w:rsid w:val="00A17EED"/>
    <w:rsid w:val="00A20052"/>
    <w:rsid w:val="00A20EFE"/>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D60"/>
    <w:rsid w:val="00B06FAA"/>
    <w:rsid w:val="00B1121F"/>
    <w:rsid w:val="00B11549"/>
    <w:rsid w:val="00B11E28"/>
    <w:rsid w:val="00B12428"/>
    <w:rsid w:val="00B125C0"/>
    <w:rsid w:val="00B127F3"/>
    <w:rsid w:val="00B12A09"/>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86"/>
    <w:rsid w:val="00DA34B5"/>
    <w:rsid w:val="00DA3622"/>
    <w:rsid w:val="00DA3906"/>
    <w:rsid w:val="00DA3C7B"/>
    <w:rsid w:val="00DA3F5D"/>
    <w:rsid w:val="00DA3F61"/>
    <w:rsid w:val="00DA4A68"/>
    <w:rsid w:val="00DA5492"/>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0A9C"/>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1E2A"/>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7367"/>
    <w:rsid w:val="00F77855"/>
    <w:rsid w:val="00F7790A"/>
    <w:rsid w:val="00F80415"/>
    <w:rsid w:val="00F80B60"/>
    <w:rsid w:val="00F81480"/>
    <w:rsid w:val="00F82F90"/>
    <w:rsid w:val="00F83057"/>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42CD0"/>
    <w:rsid w:val="010A36F1"/>
    <w:rsid w:val="010C6C69"/>
    <w:rsid w:val="01105806"/>
    <w:rsid w:val="0118255D"/>
    <w:rsid w:val="01190211"/>
    <w:rsid w:val="011D6AD3"/>
    <w:rsid w:val="012252B6"/>
    <w:rsid w:val="012500D2"/>
    <w:rsid w:val="012525B3"/>
    <w:rsid w:val="0128050D"/>
    <w:rsid w:val="01285D05"/>
    <w:rsid w:val="012B4701"/>
    <w:rsid w:val="012E2904"/>
    <w:rsid w:val="01370B6B"/>
    <w:rsid w:val="0137481C"/>
    <w:rsid w:val="013A3FF4"/>
    <w:rsid w:val="013E3309"/>
    <w:rsid w:val="01457BF5"/>
    <w:rsid w:val="014C6D06"/>
    <w:rsid w:val="01536131"/>
    <w:rsid w:val="01561864"/>
    <w:rsid w:val="015B03D1"/>
    <w:rsid w:val="015F6937"/>
    <w:rsid w:val="0165138A"/>
    <w:rsid w:val="016961D6"/>
    <w:rsid w:val="01741941"/>
    <w:rsid w:val="0177496C"/>
    <w:rsid w:val="017E2E02"/>
    <w:rsid w:val="018124EE"/>
    <w:rsid w:val="018362EB"/>
    <w:rsid w:val="01875DDB"/>
    <w:rsid w:val="01914DAF"/>
    <w:rsid w:val="0194620D"/>
    <w:rsid w:val="019F45E6"/>
    <w:rsid w:val="01A01F9E"/>
    <w:rsid w:val="01A85D51"/>
    <w:rsid w:val="01AD4A29"/>
    <w:rsid w:val="01AD510B"/>
    <w:rsid w:val="01AD616D"/>
    <w:rsid w:val="01B11F13"/>
    <w:rsid w:val="01B17842"/>
    <w:rsid w:val="01B322C9"/>
    <w:rsid w:val="01B42948"/>
    <w:rsid w:val="01B77312"/>
    <w:rsid w:val="01B91D0C"/>
    <w:rsid w:val="01B975AE"/>
    <w:rsid w:val="01C042DF"/>
    <w:rsid w:val="01C26E13"/>
    <w:rsid w:val="01C8198D"/>
    <w:rsid w:val="01CF7EB6"/>
    <w:rsid w:val="01D10A08"/>
    <w:rsid w:val="01D63F6D"/>
    <w:rsid w:val="01D7163E"/>
    <w:rsid w:val="01D73692"/>
    <w:rsid w:val="01D97F84"/>
    <w:rsid w:val="01E213E8"/>
    <w:rsid w:val="01E36CCB"/>
    <w:rsid w:val="01E461FC"/>
    <w:rsid w:val="01E51F0E"/>
    <w:rsid w:val="01F06FC1"/>
    <w:rsid w:val="01F423BB"/>
    <w:rsid w:val="01F76AB4"/>
    <w:rsid w:val="01F805D0"/>
    <w:rsid w:val="01F857E9"/>
    <w:rsid w:val="01F90448"/>
    <w:rsid w:val="01FB2BD9"/>
    <w:rsid w:val="01FB7CF1"/>
    <w:rsid w:val="02017D52"/>
    <w:rsid w:val="02085DF6"/>
    <w:rsid w:val="02086D07"/>
    <w:rsid w:val="020F5456"/>
    <w:rsid w:val="02110929"/>
    <w:rsid w:val="02112EE9"/>
    <w:rsid w:val="021655D4"/>
    <w:rsid w:val="021F64C7"/>
    <w:rsid w:val="022C1C30"/>
    <w:rsid w:val="02304D83"/>
    <w:rsid w:val="02372E07"/>
    <w:rsid w:val="02455351"/>
    <w:rsid w:val="0247556A"/>
    <w:rsid w:val="024F2EBE"/>
    <w:rsid w:val="02512B3D"/>
    <w:rsid w:val="0254378E"/>
    <w:rsid w:val="02551245"/>
    <w:rsid w:val="02551A35"/>
    <w:rsid w:val="025542E2"/>
    <w:rsid w:val="025B138E"/>
    <w:rsid w:val="02667143"/>
    <w:rsid w:val="02680422"/>
    <w:rsid w:val="026D72E4"/>
    <w:rsid w:val="026E13C2"/>
    <w:rsid w:val="027176AF"/>
    <w:rsid w:val="027507D1"/>
    <w:rsid w:val="027E24CC"/>
    <w:rsid w:val="0281190E"/>
    <w:rsid w:val="028351F5"/>
    <w:rsid w:val="028D7F83"/>
    <w:rsid w:val="02902745"/>
    <w:rsid w:val="02944F71"/>
    <w:rsid w:val="029472A1"/>
    <w:rsid w:val="029953E5"/>
    <w:rsid w:val="029A445E"/>
    <w:rsid w:val="02A12ECC"/>
    <w:rsid w:val="02A977DD"/>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80AFB"/>
    <w:rsid w:val="02EF4763"/>
    <w:rsid w:val="02F01AFE"/>
    <w:rsid w:val="02FD2B61"/>
    <w:rsid w:val="02FE0ADD"/>
    <w:rsid w:val="02FF1FF3"/>
    <w:rsid w:val="03071B18"/>
    <w:rsid w:val="03083632"/>
    <w:rsid w:val="03086AA8"/>
    <w:rsid w:val="030B2FCE"/>
    <w:rsid w:val="030E517A"/>
    <w:rsid w:val="030F5D29"/>
    <w:rsid w:val="030F611F"/>
    <w:rsid w:val="031417A6"/>
    <w:rsid w:val="03166610"/>
    <w:rsid w:val="03176E78"/>
    <w:rsid w:val="032415BF"/>
    <w:rsid w:val="032547D2"/>
    <w:rsid w:val="0328539C"/>
    <w:rsid w:val="03286E86"/>
    <w:rsid w:val="032A0209"/>
    <w:rsid w:val="032F26D5"/>
    <w:rsid w:val="03311CDF"/>
    <w:rsid w:val="03316B04"/>
    <w:rsid w:val="0332621A"/>
    <w:rsid w:val="03380D2C"/>
    <w:rsid w:val="033D6B03"/>
    <w:rsid w:val="033E3D2A"/>
    <w:rsid w:val="03412791"/>
    <w:rsid w:val="03531FA9"/>
    <w:rsid w:val="03600F2A"/>
    <w:rsid w:val="03601A3C"/>
    <w:rsid w:val="03631431"/>
    <w:rsid w:val="03650C43"/>
    <w:rsid w:val="03654458"/>
    <w:rsid w:val="0367320E"/>
    <w:rsid w:val="036D6444"/>
    <w:rsid w:val="036E79D4"/>
    <w:rsid w:val="036F71A6"/>
    <w:rsid w:val="03710419"/>
    <w:rsid w:val="03737054"/>
    <w:rsid w:val="037D62AE"/>
    <w:rsid w:val="038460A9"/>
    <w:rsid w:val="03884104"/>
    <w:rsid w:val="038C1B54"/>
    <w:rsid w:val="038F5D33"/>
    <w:rsid w:val="03953302"/>
    <w:rsid w:val="039A3853"/>
    <w:rsid w:val="039A3F6B"/>
    <w:rsid w:val="039D4EBE"/>
    <w:rsid w:val="039E4A38"/>
    <w:rsid w:val="03A24BCC"/>
    <w:rsid w:val="03A403E0"/>
    <w:rsid w:val="03A87BDF"/>
    <w:rsid w:val="03AB6D71"/>
    <w:rsid w:val="03AF1065"/>
    <w:rsid w:val="03B247D8"/>
    <w:rsid w:val="03B2655D"/>
    <w:rsid w:val="03B30181"/>
    <w:rsid w:val="03B96334"/>
    <w:rsid w:val="03BE2EEC"/>
    <w:rsid w:val="03C06302"/>
    <w:rsid w:val="03C331DA"/>
    <w:rsid w:val="03C52362"/>
    <w:rsid w:val="03CE126E"/>
    <w:rsid w:val="03D14C3B"/>
    <w:rsid w:val="03D74EC5"/>
    <w:rsid w:val="03D765B7"/>
    <w:rsid w:val="03DB106D"/>
    <w:rsid w:val="03E55F65"/>
    <w:rsid w:val="03E75CD1"/>
    <w:rsid w:val="03EA2651"/>
    <w:rsid w:val="03EB162E"/>
    <w:rsid w:val="03EC516F"/>
    <w:rsid w:val="03F37758"/>
    <w:rsid w:val="03F87CBB"/>
    <w:rsid w:val="04023B22"/>
    <w:rsid w:val="04045AC2"/>
    <w:rsid w:val="04062F54"/>
    <w:rsid w:val="04093187"/>
    <w:rsid w:val="040B5B81"/>
    <w:rsid w:val="040F324D"/>
    <w:rsid w:val="040F70E5"/>
    <w:rsid w:val="041476CE"/>
    <w:rsid w:val="04194FFB"/>
    <w:rsid w:val="042042C5"/>
    <w:rsid w:val="04211A74"/>
    <w:rsid w:val="04222F96"/>
    <w:rsid w:val="042708EF"/>
    <w:rsid w:val="042925FA"/>
    <w:rsid w:val="0430275A"/>
    <w:rsid w:val="04322B0F"/>
    <w:rsid w:val="04346027"/>
    <w:rsid w:val="04347116"/>
    <w:rsid w:val="04347ECF"/>
    <w:rsid w:val="0439387C"/>
    <w:rsid w:val="043A146D"/>
    <w:rsid w:val="043F1716"/>
    <w:rsid w:val="043F7ED1"/>
    <w:rsid w:val="04410396"/>
    <w:rsid w:val="0442423B"/>
    <w:rsid w:val="04427B97"/>
    <w:rsid w:val="04471852"/>
    <w:rsid w:val="044A1A90"/>
    <w:rsid w:val="04520673"/>
    <w:rsid w:val="04530DD2"/>
    <w:rsid w:val="045C1E01"/>
    <w:rsid w:val="045D2FC4"/>
    <w:rsid w:val="04636119"/>
    <w:rsid w:val="046E0986"/>
    <w:rsid w:val="04701466"/>
    <w:rsid w:val="04726F99"/>
    <w:rsid w:val="04742319"/>
    <w:rsid w:val="04762F3E"/>
    <w:rsid w:val="04784D20"/>
    <w:rsid w:val="047C35A8"/>
    <w:rsid w:val="048374D1"/>
    <w:rsid w:val="04930183"/>
    <w:rsid w:val="04945DB3"/>
    <w:rsid w:val="049832CF"/>
    <w:rsid w:val="04983E5B"/>
    <w:rsid w:val="04A008CA"/>
    <w:rsid w:val="04A0094E"/>
    <w:rsid w:val="04A26007"/>
    <w:rsid w:val="04A27C97"/>
    <w:rsid w:val="04A43675"/>
    <w:rsid w:val="04A83AFA"/>
    <w:rsid w:val="04AA680E"/>
    <w:rsid w:val="04AB08B4"/>
    <w:rsid w:val="04B008C2"/>
    <w:rsid w:val="04B2297D"/>
    <w:rsid w:val="04B41DE0"/>
    <w:rsid w:val="04BA339A"/>
    <w:rsid w:val="04BA600F"/>
    <w:rsid w:val="04C21781"/>
    <w:rsid w:val="04C85153"/>
    <w:rsid w:val="04D56E5D"/>
    <w:rsid w:val="04D80F0D"/>
    <w:rsid w:val="04DA4D49"/>
    <w:rsid w:val="04DB4D8E"/>
    <w:rsid w:val="04DF74A2"/>
    <w:rsid w:val="04E871CE"/>
    <w:rsid w:val="04E94D00"/>
    <w:rsid w:val="04F27750"/>
    <w:rsid w:val="04F27A0F"/>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901D4"/>
    <w:rsid w:val="052027CE"/>
    <w:rsid w:val="05203EC4"/>
    <w:rsid w:val="05244195"/>
    <w:rsid w:val="052524F4"/>
    <w:rsid w:val="05257B97"/>
    <w:rsid w:val="05270F0E"/>
    <w:rsid w:val="052936D7"/>
    <w:rsid w:val="052A39C8"/>
    <w:rsid w:val="052C2F46"/>
    <w:rsid w:val="052D4EEB"/>
    <w:rsid w:val="053105F8"/>
    <w:rsid w:val="053E6949"/>
    <w:rsid w:val="053F2808"/>
    <w:rsid w:val="05471829"/>
    <w:rsid w:val="05491B12"/>
    <w:rsid w:val="055173F0"/>
    <w:rsid w:val="05590539"/>
    <w:rsid w:val="055F04E1"/>
    <w:rsid w:val="055F3CB7"/>
    <w:rsid w:val="056038B6"/>
    <w:rsid w:val="05607F55"/>
    <w:rsid w:val="05611C9E"/>
    <w:rsid w:val="05653644"/>
    <w:rsid w:val="0565786B"/>
    <w:rsid w:val="056B1570"/>
    <w:rsid w:val="05745274"/>
    <w:rsid w:val="05780B42"/>
    <w:rsid w:val="05815F49"/>
    <w:rsid w:val="05824329"/>
    <w:rsid w:val="05843E37"/>
    <w:rsid w:val="0589022E"/>
    <w:rsid w:val="05954431"/>
    <w:rsid w:val="059741AA"/>
    <w:rsid w:val="0599476D"/>
    <w:rsid w:val="05A37E2F"/>
    <w:rsid w:val="05AD5FBF"/>
    <w:rsid w:val="05B253F0"/>
    <w:rsid w:val="05B41169"/>
    <w:rsid w:val="05B42F17"/>
    <w:rsid w:val="05B5360C"/>
    <w:rsid w:val="05B56C25"/>
    <w:rsid w:val="05B63F69"/>
    <w:rsid w:val="05C32ED3"/>
    <w:rsid w:val="05C73E6F"/>
    <w:rsid w:val="05CC4704"/>
    <w:rsid w:val="05D22159"/>
    <w:rsid w:val="05D435E1"/>
    <w:rsid w:val="05DF3D52"/>
    <w:rsid w:val="05E621C3"/>
    <w:rsid w:val="05EF42E4"/>
    <w:rsid w:val="05F11A75"/>
    <w:rsid w:val="05F54E35"/>
    <w:rsid w:val="05FA43CF"/>
    <w:rsid w:val="05FB2BC7"/>
    <w:rsid w:val="06047F54"/>
    <w:rsid w:val="060632A7"/>
    <w:rsid w:val="0609615B"/>
    <w:rsid w:val="06136D9F"/>
    <w:rsid w:val="06137119"/>
    <w:rsid w:val="061944F4"/>
    <w:rsid w:val="061A2ED9"/>
    <w:rsid w:val="062210A9"/>
    <w:rsid w:val="06243F9A"/>
    <w:rsid w:val="062475F7"/>
    <w:rsid w:val="062A31F6"/>
    <w:rsid w:val="06320AE6"/>
    <w:rsid w:val="063B2D93"/>
    <w:rsid w:val="063C0382"/>
    <w:rsid w:val="063E3598"/>
    <w:rsid w:val="063E540D"/>
    <w:rsid w:val="064743B9"/>
    <w:rsid w:val="064B3BC7"/>
    <w:rsid w:val="064E36D5"/>
    <w:rsid w:val="0653527E"/>
    <w:rsid w:val="065B7DA4"/>
    <w:rsid w:val="065E40E8"/>
    <w:rsid w:val="06664D78"/>
    <w:rsid w:val="066865C2"/>
    <w:rsid w:val="0669544E"/>
    <w:rsid w:val="066C6426"/>
    <w:rsid w:val="066D7521"/>
    <w:rsid w:val="0670204C"/>
    <w:rsid w:val="06707752"/>
    <w:rsid w:val="06773557"/>
    <w:rsid w:val="067B1C53"/>
    <w:rsid w:val="067C4D3D"/>
    <w:rsid w:val="067D016F"/>
    <w:rsid w:val="067D3B9A"/>
    <w:rsid w:val="06845D7A"/>
    <w:rsid w:val="06855EC0"/>
    <w:rsid w:val="06870BF3"/>
    <w:rsid w:val="06877E31"/>
    <w:rsid w:val="068B6E72"/>
    <w:rsid w:val="068C2D31"/>
    <w:rsid w:val="068E6B25"/>
    <w:rsid w:val="06922FA4"/>
    <w:rsid w:val="06A67D3A"/>
    <w:rsid w:val="06A836AA"/>
    <w:rsid w:val="06B267A6"/>
    <w:rsid w:val="06B32751"/>
    <w:rsid w:val="06B50A99"/>
    <w:rsid w:val="06B807E5"/>
    <w:rsid w:val="06B86C28"/>
    <w:rsid w:val="06BD7621"/>
    <w:rsid w:val="06BF030D"/>
    <w:rsid w:val="06C132F8"/>
    <w:rsid w:val="06C2183E"/>
    <w:rsid w:val="06C36C54"/>
    <w:rsid w:val="06D25374"/>
    <w:rsid w:val="06DF297C"/>
    <w:rsid w:val="06E44DE8"/>
    <w:rsid w:val="06EA0AE6"/>
    <w:rsid w:val="06F30FD5"/>
    <w:rsid w:val="06F65779"/>
    <w:rsid w:val="06FD42EA"/>
    <w:rsid w:val="07027CB2"/>
    <w:rsid w:val="070359A0"/>
    <w:rsid w:val="0705063B"/>
    <w:rsid w:val="070A0F55"/>
    <w:rsid w:val="070A77F4"/>
    <w:rsid w:val="07122432"/>
    <w:rsid w:val="07133D9F"/>
    <w:rsid w:val="071B7B40"/>
    <w:rsid w:val="07221F9F"/>
    <w:rsid w:val="07231C0E"/>
    <w:rsid w:val="07237F66"/>
    <w:rsid w:val="07253016"/>
    <w:rsid w:val="07280E81"/>
    <w:rsid w:val="072A7465"/>
    <w:rsid w:val="072C2170"/>
    <w:rsid w:val="072D074B"/>
    <w:rsid w:val="07336E46"/>
    <w:rsid w:val="07350BBA"/>
    <w:rsid w:val="07356920"/>
    <w:rsid w:val="073B162A"/>
    <w:rsid w:val="073D6116"/>
    <w:rsid w:val="073E6F3C"/>
    <w:rsid w:val="074067F4"/>
    <w:rsid w:val="07416A2C"/>
    <w:rsid w:val="07520C39"/>
    <w:rsid w:val="07556A22"/>
    <w:rsid w:val="07571DAC"/>
    <w:rsid w:val="075A03EF"/>
    <w:rsid w:val="075A6E77"/>
    <w:rsid w:val="075B6A18"/>
    <w:rsid w:val="0766242C"/>
    <w:rsid w:val="07675843"/>
    <w:rsid w:val="07744E5C"/>
    <w:rsid w:val="077540B7"/>
    <w:rsid w:val="077947FF"/>
    <w:rsid w:val="07837D71"/>
    <w:rsid w:val="07854B87"/>
    <w:rsid w:val="078564AD"/>
    <w:rsid w:val="07886872"/>
    <w:rsid w:val="0788733F"/>
    <w:rsid w:val="078A2181"/>
    <w:rsid w:val="078F1D07"/>
    <w:rsid w:val="07983134"/>
    <w:rsid w:val="07983F1F"/>
    <w:rsid w:val="079A1B2D"/>
    <w:rsid w:val="079A1C0F"/>
    <w:rsid w:val="079B05D9"/>
    <w:rsid w:val="079C1B35"/>
    <w:rsid w:val="079C4EB2"/>
    <w:rsid w:val="07A25163"/>
    <w:rsid w:val="07A5330F"/>
    <w:rsid w:val="07A86AAB"/>
    <w:rsid w:val="07AB36BB"/>
    <w:rsid w:val="07AD5E6F"/>
    <w:rsid w:val="07AF1602"/>
    <w:rsid w:val="07AF55A6"/>
    <w:rsid w:val="07B80AC0"/>
    <w:rsid w:val="07BA45BD"/>
    <w:rsid w:val="07C05E24"/>
    <w:rsid w:val="07C55AF8"/>
    <w:rsid w:val="07C6632A"/>
    <w:rsid w:val="07C7765D"/>
    <w:rsid w:val="07C824BF"/>
    <w:rsid w:val="07C84A57"/>
    <w:rsid w:val="07C91479"/>
    <w:rsid w:val="07C92B05"/>
    <w:rsid w:val="07CA7201"/>
    <w:rsid w:val="07D433FC"/>
    <w:rsid w:val="07D77390"/>
    <w:rsid w:val="07D826A0"/>
    <w:rsid w:val="07DC3D2D"/>
    <w:rsid w:val="07E45910"/>
    <w:rsid w:val="07F32076"/>
    <w:rsid w:val="08057A19"/>
    <w:rsid w:val="08057FCF"/>
    <w:rsid w:val="080B5BA7"/>
    <w:rsid w:val="080C7184"/>
    <w:rsid w:val="081240A1"/>
    <w:rsid w:val="08144141"/>
    <w:rsid w:val="081606E4"/>
    <w:rsid w:val="081D240C"/>
    <w:rsid w:val="08214D92"/>
    <w:rsid w:val="0822060B"/>
    <w:rsid w:val="08236869"/>
    <w:rsid w:val="08255D27"/>
    <w:rsid w:val="08266FCF"/>
    <w:rsid w:val="082D3F4A"/>
    <w:rsid w:val="08316225"/>
    <w:rsid w:val="08397703"/>
    <w:rsid w:val="083E42DE"/>
    <w:rsid w:val="083F29B0"/>
    <w:rsid w:val="084164B4"/>
    <w:rsid w:val="08430111"/>
    <w:rsid w:val="0846476D"/>
    <w:rsid w:val="084840F7"/>
    <w:rsid w:val="08585E1F"/>
    <w:rsid w:val="085F5F90"/>
    <w:rsid w:val="08657ACE"/>
    <w:rsid w:val="086E62CF"/>
    <w:rsid w:val="087064FA"/>
    <w:rsid w:val="08793101"/>
    <w:rsid w:val="087F7BA3"/>
    <w:rsid w:val="08800AC9"/>
    <w:rsid w:val="088258B4"/>
    <w:rsid w:val="08891DC5"/>
    <w:rsid w:val="088A5D5A"/>
    <w:rsid w:val="088E2FE6"/>
    <w:rsid w:val="0890309D"/>
    <w:rsid w:val="089756E7"/>
    <w:rsid w:val="08991641"/>
    <w:rsid w:val="08A30510"/>
    <w:rsid w:val="08A92C8E"/>
    <w:rsid w:val="08A970B1"/>
    <w:rsid w:val="08AD3A18"/>
    <w:rsid w:val="08AE449E"/>
    <w:rsid w:val="08AE5D15"/>
    <w:rsid w:val="08AE74E3"/>
    <w:rsid w:val="08B05C49"/>
    <w:rsid w:val="08B1198F"/>
    <w:rsid w:val="08B60B0C"/>
    <w:rsid w:val="08B80F70"/>
    <w:rsid w:val="08B83A84"/>
    <w:rsid w:val="08BB49DB"/>
    <w:rsid w:val="08BF2E10"/>
    <w:rsid w:val="08BF343B"/>
    <w:rsid w:val="08C66B0A"/>
    <w:rsid w:val="08C71B2A"/>
    <w:rsid w:val="08CA0085"/>
    <w:rsid w:val="08CA64F5"/>
    <w:rsid w:val="08CB65E7"/>
    <w:rsid w:val="08CE410F"/>
    <w:rsid w:val="08DD0FEC"/>
    <w:rsid w:val="08DE150D"/>
    <w:rsid w:val="08ED70A2"/>
    <w:rsid w:val="08EE04EE"/>
    <w:rsid w:val="08EE3AF4"/>
    <w:rsid w:val="08EF501B"/>
    <w:rsid w:val="08F27CFF"/>
    <w:rsid w:val="08F31FA8"/>
    <w:rsid w:val="08F6589F"/>
    <w:rsid w:val="08F66C43"/>
    <w:rsid w:val="08FB720C"/>
    <w:rsid w:val="090075D2"/>
    <w:rsid w:val="09076668"/>
    <w:rsid w:val="09095B18"/>
    <w:rsid w:val="090E57E5"/>
    <w:rsid w:val="09122B13"/>
    <w:rsid w:val="09127290"/>
    <w:rsid w:val="09175D78"/>
    <w:rsid w:val="09184BD9"/>
    <w:rsid w:val="09193CBE"/>
    <w:rsid w:val="092320F5"/>
    <w:rsid w:val="09241BF0"/>
    <w:rsid w:val="09252687"/>
    <w:rsid w:val="09255438"/>
    <w:rsid w:val="09295669"/>
    <w:rsid w:val="092A74E6"/>
    <w:rsid w:val="092C7268"/>
    <w:rsid w:val="092C783B"/>
    <w:rsid w:val="092F38E5"/>
    <w:rsid w:val="09314393"/>
    <w:rsid w:val="09326A22"/>
    <w:rsid w:val="09346CEB"/>
    <w:rsid w:val="093A2790"/>
    <w:rsid w:val="093E23CF"/>
    <w:rsid w:val="093F0717"/>
    <w:rsid w:val="093F0D49"/>
    <w:rsid w:val="094300C9"/>
    <w:rsid w:val="094E1598"/>
    <w:rsid w:val="09525512"/>
    <w:rsid w:val="09562505"/>
    <w:rsid w:val="095C6D46"/>
    <w:rsid w:val="095D48D9"/>
    <w:rsid w:val="09627899"/>
    <w:rsid w:val="096A0964"/>
    <w:rsid w:val="097D1872"/>
    <w:rsid w:val="09876078"/>
    <w:rsid w:val="09895F17"/>
    <w:rsid w:val="098A290C"/>
    <w:rsid w:val="098A3838"/>
    <w:rsid w:val="098B21E0"/>
    <w:rsid w:val="098C3D2F"/>
    <w:rsid w:val="098C7E25"/>
    <w:rsid w:val="098D41AA"/>
    <w:rsid w:val="09A0390E"/>
    <w:rsid w:val="09A6526C"/>
    <w:rsid w:val="09B3537E"/>
    <w:rsid w:val="09BB2098"/>
    <w:rsid w:val="09BC6CD5"/>
    <w:rsid w:val="09C1256C"/>
    <w:rsid w:val="09C30BF2"/>
    <w:rsid w:val="09C36A8E"/>
    <w:rsid w:val="09C74A0C"/>
    <w:rsid w:val="09C80929"/>
    <w:rsid w:val="09C9435D"/>
    <w:rsid w:val="09CB6C44"/>
    <w:rsid w:val="09CD4330"/>
    <w:rsid w:val="09CF0C00"/>
    <w:rsid w:val="09D4008F"/>
    <w:rsid w:val="09D55FFC"/>
    <w:rsid w:val="09DC0469"/>
    <w:rsid w:val="09DC4F52"/>
    <w:rsid w:val="09E15ECC"/>
    <w:rsid w:val="09E340E0"/>
    <w:rsid w:val="09EE4894"/>
    <w:rsid w:val="09F02BA8"/>
    <w:rsid w:val="09FE2C83"/>
    <w:rsid w:val="09FE6E56"/>
    <w:rsid w:val="0A022A40"/>
    <w:rsid w:val="0A0265DB"/>
    <w:rsid w:val="0A0521F5"/>
    <w:rsid w:val="0A0F439A"/>
    <w:rsid w:val="0A12678D"/>
    <w:rsid w:val="0A127EDC"/>
    <w:rsid w:val="0A171E8E"/>
    <w:rsid w:val="0A1E0785"/>
    <w:rsid w:val="0A237807"/>
    <w:rsid w:val="0A252635"/>
    <w:rsid w:val="0A27015B"/>
    <w:rsid w:val="0A2A7C4B"/>
    <w:rsid w:val="0A3000FF"/>
    <w:rsid w:val="0A397DFC"/>
    <w:rsid w:val="0A430D0D"/>
    <w:rsid w:val="0A4F1E2F"/>
    <w:rsid w:val="0A514861"/>
    <w:rsid w:val="0A522703"/>
    <w:rsid w:val="0A5A2B97"/>
    <w:rsid w:val="0A5B68B4"/>
    <w:rsid w:val="0A5F5842"/>
    <w:rsid w:val="0A6320CF"/>
    <w:rsid w:val="0A6770EC"/>
    <w:rsid w:val="0A6C45A2"/>
    <w:rsid w:val="0A6E5396"/>
    <w:rsid w:val="0A755FCE"/>
    <w:rsid w:val="0A78417D"/>
    <w:rsid w:val="0A7E2714"/>
    <w:rsid w:val="0A801BC2"/>
    <w:rsid w:val="0A8A693C"/>
    <w:rsid w:val="0A8B62DE"/>
    <w:rsid w:val="0A8C0E31"/>
    <w:rsid w:val="0A984455"/>
    <w:rsid w:val="0A9D6F76"/>
    <w:rsid w:val="0A9F7096"/>
    <w:rsid w:val="0AA417AC"/>
    <w:rsid w:val="0AA5743C"/>
    <w:rsid w:val="0AA70EF2"/>
    <w:rsid w:val="0AA94751"/>
    <w:rsid w:val="0AA974C2"/>
    <w:rsid w:val="0AAE0E6D"/>
    <w:rsid w:val="0AB11F14"/>
    <w:rsid w:val="0AB17EFF"/>
    <w:rsid w:val="0AB31B5D"/>
    <w:rsid w:val="0AB5012A"/>
    <w:rsid w:val="0AB66BB6"/>
    <w:rsid w:val="0AB83822"/>
    <w:rsid w:val="0ABC455A"/>
    <w:rsid w:val="0ABE638C"/>
    <w:rsid w:val="0AC05ED5"/>
    <w:rsid w:val="0AC53A44"/>
    <w:rsid w:val="0AD007F3"/>
    <w:rsid w:val="0AD369EF"/>
    <w:rsid w:val="0AD56915"/>
    <w:rsid w:val="0AD970EE"/>
    <w:rsid w:val="0ADA7603"/>
    <w:rsid w:val="0ADB4DB1"/>
    <w:rsid w:val="0ADB7C37"/>
    <w:rsid w:val="0AE20145"/>
    <w:rsid w:val="0AE92E13"/>
    <w:rsid w:val="0AF2551F"/>
    <w:rsid w:val="0AFA287C"/>
    <w:rsid w:val="0B0667C0"/>
    <w:rsid w:val="0B0A64FA"/>
    <w:rsid w:val="0B0C292D"/>
    <w:rsid w:val="0B0D7F04"/>
    <w:rsid w:val="0B124CC5"/>
    <w:rsid w:val="0B201170"/>
    <w:rsid w:val="0B2366D2"/>
    <w:rsid w:val="0B27543E"/>
    <w:rsid w:val="0B293B8C"/>
    <w:rsid w:val="0B2F2519"/>
    <w:rsid w:val="0B32198C"/>
    <w:rsid w:val="0B334392"/>
    <w:rsid w:val="0B361549"/>
    <w:rsid w:val="0B366B23"/>
    <w:rsid w:val="0B3F7384"/>
    <w:rsid w:val="0B473487"/>
    <w:rsid w:val="0B4F2B4D"/>
    <w:rsid w:val="0B51659A"/>
    <w:rsid w:val="0B556AB6"/>
    <w:rsid w:val="0B582C41"/>
    <w:rsid w:val="0B5D14A6"/>
    <w:rsid w:val="0B60716C"/>
    <w:rsid w:val="0B625334"/>
    <w:rsid w:val="0B65753B"/>
    <w:rsid w:val="0B663FDF"/>
    <w:rsid w:val="0B6651D6"/>
    <w:rsid w:val="0B674587"/>
    <w:rsid w:val="0B6A5DB9"/>
    <w:rsid w:val="0B6B40B0"/>
    <w:rsid w:val="0B6E7A64"/>
    <w:rsid w:val="0B713B68"/>
    <w:rsid w:val="0B736F62"/>
    <w:rsid w:val="0B7A075E"/>
    <w:rsid w:val="0B7A5E96"/>
    <w:rsid w:val="0B7C7285"/>
    <w:rsid w:val="0B7F6951"/>
    <w:rsid w:val="0B835D45"/>
    <w:rsid w:val="0B837613"/>
    <w:rsid w:val="0B860064"/>
    <w:rsid w:val="0B8B400A"/>
    <w:rsid w:val="0B8B414A"/>
    <w:rsid w:val="0B9432B1"/>
    <w:rsid w:val="0B9E2561"/>
    <w:rsid w:val="0BA35DBC"/>
    <w:rsid w:val="0BA554A4"/>
    <w:rsid w:val="0BAB6404"/>
    <w:rsid w:val="0BB3123F"/>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54C02"/>
    <w:rsid w:val="0C060BFC"/>
    <w:rsid w:val="0C065CC3"/>
    <w:rsid w:val="0C0806E7"/>
    <w:rsid w:val="0C080F02"/>
    <w:rsid w:val="0C146769"/>
    <w:rsid w:val="0C1D0DB0"/>
    <w:rsid w:val="0C1E6605"/>
    <w:rsid w:val="0C227E00"/>
    <w:rsid w:val="0C245728"/>
    <w:rsid w:val="0C302557"/>
    <w:rsid w:val="0C3A3A7B"/>
    <w:rsid w:val="0C402FC7"/>
    <w:rsid w:val="0C427C40"/>
    <w:rsid w:val="0C473778"/>
    <w:rsid w:val="0C480454"/>
    <w:rsid w:val="0C4A6D32"/>
    <w:rsid w:val="0C4C5381"/>
    <w:rsid w:val="0C4D7AEB"/>
    <w:rsid w:val="0C5C38FD"/>
    <w:rsid w:val="0C5D1E4B"/>
    <w:rsid w:val="0C5F1480"/>
    <w:rsid w:val="0C684328"/>
    <w:rsid w:val="0C6B3DF2"/>
    <w:rsid w:val="0C6E2480"/>
    <w:rsid w:val="0C784387"/>
    <w:rsid w:val="0C784502"/>
    <w:rsid w:val="0C795A09"/>
    <w:rsid w:val="0C7B58AD"/>
    <w:rsid w:val="0C806EAB"/>
    <w:rsid w:val="0C807E76"/>
    <w:rsid w:val="0C895863"/>
    <w:rsid w:val="0C94460F"/>
    <w:rsid w:val="0C9C64B3"/>
    <w:rsid w:val="0C9D0879"/>
    <w:rsid w:val="0CA72E90"/>
    <w:rsid w:val="0CB82705"/>
    <w:rsid w:val="0CBC7CD5"/>
    <w:rsid w:val="0CBF56CB"/>
    <w:rsid w:val="0CC27235"/>
    <w:rsid w:val="0CC73B24"/>
    <w:rsid w:val="0CC87BFE"/>
    <w:rsid w:val="0CCF1CCF"/>
    <w:rsid w:val="0CD013AF"/>
    <w:rsid w:val="0CDA51C7"/>
    <w:rsid w:val="0CDA71EC"/>
    <w:rsid w:val="0CDB2C06"/>
    <w:rsid w:val="0CDB347F"/>
    <w:rsid w:val="0CDC31B3"/>
    <w:rsid w:val="0CE36E39"/>
    <w:rsid w:val="0CE75980"/>
    <w:rsid w:val="0CEA5470"/>
    <w:rsid w:val="0CF53316"/>
    <w:rsid w:val="0CF67085"/>
    <w:rsid w:val="0CF8260A"/>
    <w:rsid w:val="0CFA5631"/>
    <w:rsid w:val="0CFB767D"/>
    <w:rsid w:val="0CFC1264"/>
    <w:rsid w:val="0CFC519D"/>
    <w:rsid w:val="0D00219D"/>
    <w:rsid w:val="0D006A41"/>
    <w:rsid w:val="0D027371"/>
    <w:rsid w:val="0D054058"/>
    <w:rsid w:val="0D062890"/>
    <w:rsid w:val="0D0856E8"/>
    <w:rsid w:val="0D0E1471"/>
    <w:rsid w:val="0D166E84"/>
    <w:rsid w:val="0D172A1D"/>
    <w:rsid w:val="0D19318C"/>
    <w:rsid w:val="0D1A4BA1"/>
    <w:rsid w:val="0D1A524F"/>
    <w:rsid w:val="0D1A5D55"/>
    <w:rsid w:val="0D1C7266"/>
    <w:rsid w:val="0D1D3662"/>
    <w:rsid w:val="0D1D3A97"/>
    <w:rsid w:val="0D1E6EE6"/>
    <w:rsid w:val="0D237BBD"/>
    <w:rsid w:val="0D254BE8"/>
    <w:rsid w:val="0D2571D0"/>
    <w:rsid w:val="0D293161"/>
    <w:rsid w:val="0D2D34F1"/>
    <w:rsid w:val="0D313C31"/>
    <w:rsid w:val="0D3926FF"/>
    <w:rsid w:val="0D4030C9"/>
    <w:rsid w:val="0D40776D"/>
    <w:rsid w:val="0D450FB6"/>
    <w:rsid w:val="0D461B3E"/>
    <w:rsid w:val="0D507873"/>
    <w:rsid w:val="0D5579A4"/>
    <w:rsid w:val="0D5B6219"/>
    <w:rsid w:val="0D624C38"/>
    <w:rsid w:val="0D63174A"/>
    <w:rsid w:val="0D785F02"/>
    <w:rsid w:val="0D7A4A46"/>
    <w:rsid w:val="0D7E2B70"/>
    <w:rsid w:val="0D824108"/>
    <w:rsid w:val="0D85034C"/>
    <w:rsid w:val="0D876A5A"/>
    <w:rsid w:val="0D882F99"/>
    <w:rsid w:val="0D891097"/>
    <w:rsid w:val="0D8977B0"/>
    <w:rsid w:val="0D8A4E4C"/>
    <w:rsid w:val="0D902D83"/>
    <w:rsid w:val="0D917179"/>
    <w:rsid w:val="0D962483"/>
    <w:rsid w:val="0D9715F3"/>
    <w:rsid w:val="0D9C2C84"/>
    <w:rsid w:val="0DAB2E51"/>
    <w:rsid w:val="0DAE2C9A"/>
    <w:rsid w:val="0DB0595F"/>
    <w:rsid w:val="0DBC1ACE"/>
    <w:rsid w:val="0DBF6263"/>
    <w:rsid w:val="0DCE08EE"/>
    <w:rsid w:val="0DCE6AFF"/>
    <w:rsid w:val="0DCF02E4"/>
    <w:rsid w:val="0DD62705"/>
    <w:rsid w:val="0DD70911"/>
    <w:rsid w:val="0DDB47E8"/>
    <w:rsid w:val="0DEA4319"/>
    <w:rsid w:val="0DF040EC"/>
    <w:rsid w:val="0DF96CF4"/>
    <w:rsid w:val="0DFB48CB"/>
    <w:rsid w:val="0E035AF6"/>
    <w:rsid w:val="0E041652"/>
    <w:rsid w:val="0E04380F"/>
    <w:rsid w:val="0E0672AD"/>
    <w:rsid w:val="0E0A33D1"/>
    <w:rsid w:val="0E1632F8"/>
    <w:rsid w:val="0E185D43"/>
    <w:rsid w:val="0E19425F"/>
    <w:rsid w:val="0E1A0F19"/>
    <w:rsid w:val="0E1D58F3"/>
    <w:rsid w:val="0E283C6C"/>
    <w:rsid w:val="0E2A68D3"/>
    <w:rsid w:val="0E2B30FB"/>
    <w:rsid w:val="0E336584"/>
    <w:rsid w:val="0E346BDA"/>
    <w:rsid w:val="0E385BC8"/>
    <w:rsid w:val="0E3D6975"/>
    <w:rsid w:val="0E407D57"/>
    <w:rsid w:val="0E4107CB"/>
    <w:rsid w:val="0E434A84"/>
    <w:rsid w:val="0E44378C"/>
    <w:rsid w:val="0E487C96"/>
    <w:rsid w:val="0E49681C"/>
    <w:rsid w:val="0E4E7770"/>
    <w:rsid w:val="0E50535B"/>
    <w:rsid w:val="0E506063"/>
    <w:rsid w:val="0E51538E"/>
    <w:rsid w:val="0E5377AA"/>
    <w:rsid w:val="0E55138B"/>
    <w:rsid w:val="0E613949"/>
    <w:rsid w:val="0E616D2A"/>
    <w:rsid w:val="0E6170B3"/>
    <w:rsid w:val="0E6211F6"/>
    <w:rsid w:val="0E625048"/>
    <w:rsid w:val="0E631330"/>
    <w:rsid w:val="0E634069"/>
    <w:rsid w:val="0E677751"/>
    <w:rsid w:val="0E786AD5"/>
    <w:rsid w:val="0E7B180B"/>
    <w:rsid w:val="0E7C3C91"/>
    <w:rsid w:val="0E81394B"/>
    <w:rsid w:val="0E82150E"/>
    <w:rsid w:val="0E861EFB"/>
    <w:rsid w:val="0E864F87"/>
    <w:rsid w:val="0E8B7EEA"/>
    <w:rsid w:val="0E900680"/>
    <w:rsid w:val="0E975183"/>
    <w:rsid w:val="0E983080"/>
    <w:rsid w:val="0E9911EA"/>
    <w:rsid w:val="0E9D1BA9"/>
    <w:rsid w:val="0E9F6BF1"/>
    <w:rsid w:val="0E9F7964"/>
    <w:rsid w:val="0EA061B7"/>
    <w:rsid w:val="0EA30CCB"/>
    <w:rsid w:val="0EA453C7"/>
    <w:rsid w:val="0EA45EBC"/>
    <w:rsid w:val="0EAB0FE3"/>
    <w:rsid w:val="0EAB4C10"/>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EFE3455"/>
    <w:rsid w:val="0F0871B0"/>
    <w:rsid w:val="0F0A0B6F"/>
    <w:rsid w:val="0F0B0AC0"/>
    <w:rsid w:val="0F0C4C91"/>
    <w:rsid w:val="0F0E4EA9"/>
    <w:rsid w:val="0F0F2497"/>
    <w:rsid w:val="0F0F4080"/>
    <w:rsid w:val="0F1C3E86"/>
    <w:rsid w:val="0F1F6C07"/>
    <w:rsid w:val="0F212A4F"/>
    <w:rsid w:val="0F2314EA"/>
    <w:rsid w:val="0F272D3A"/>
    <w:rsid w:val="0F2B31AB"/>
    <w:rsid w:val="0F2B6F9C"/>
    <w:rsid w:val="0F2C3C75"/>
    <w:rsid w:val="0F317386"/>
    <w:rsid w:val="0F3F7CF5"/>
    <w:rsid w:val="0F44355D"/>
    <w:rsid w:val="0F4F3C62"/>
    <w:rsid w:val="0F51392B"/>
    <w:rsid w:val="0F552E5F"/>
    <w:rsid w:val="0F5F3E47"/>
    <w:rsid w:val="0F607C6B"/>
    <w:rsid w:val="0F614600"/>
    <w:rsid w:val="0F6548BA"/>
    <w:rsid w:val="0F6A3BCD"/>
    <w:rsid w:val="0F700073"/>
    <w:rsid w:val="0F757ACD"/>
    <w:rsid w:val="0F85548E"/>
    <w:rsid w:val="0F8E3109"/>
    <w:rsid w:val="0F8F4834"/>
    <w:rsid w:val="0F946DB7"/>
    <w:rsid w:val="0F95299D"/>
    <w:rsid w:val="0FA31182"/>
    <w:rsid w:val="0FA85F16"/>
    <w:rsid w:val="0FB00BF3"/>
    <w:rsid w:val="0FB66CCE"/>
    <w:rsid w:val="0FBE2677"/>
    <w:rsid w:val="0FCD02FC"/>
    <w:rsid w:val="0FCE7C8D"/>
    <w:rsid w:val="0FCF1B1E"/>
    <w:rsid w:val="0FCF62F8"/>
    <w:rsid w:val="0FD05442"/>
    <w:rsid w:val="0FD43D62"/>
    <w:rsid w:val="0FD74F1E"/>
    <w:rsid w:val="0FD85F90"/>
    <w:rsid w:val="0FDC371E"/>
    <w:rsid w:val="0FDE4FE7"/>
    <w:rsid w:val="0FE068EC"/>
    <w:rsid w:val="0FF04837"/>
    <w:rsid w:val="0FF12F44"/>
    <w:rsid w:val="0FF56606"/>
    <w:rsid w:val="0FF5790F"/>
    <w:rsid w:val="0FF860F6"/>
    <w:rsid w:val="0FFF7C9F"/>
    <w:rsid w:val="10010759"/>
    <w:rsid w:val="10022D54"/>
    <w:rsid w:val="10076E23"/>
    <w:rsid w:val="100C77CE"/>
    <w:rsid w:val="100F3816"/>
    <w:rsid w:val="1013643B"/>
    <w:rsid w:val="10190546"/>
    <w:rsid w:val="101D0DF9"/>
    <w:rsid w:val="10203719"/>
    <w:rsid w:val="10241C43"/>
    <w:rsid w:val="10260B7E"/>
    <w:rsid w:val="10263E37"/>
    <w:rsid w:val="10312C8C"/>
    <w:rsid w:val="103706EF"/>
    <w:rsid w:val="10381C5A"/>
    <w:rsid w:val="10391E6D"/>
    <w:rsid w:val="103A4854"/>
    <w:rsid w:val="1043673F"/>
    <w:rsid w:val="10443A70"/>
    <w:rsid w:val="10481CCB"/>
    <w:rsid w:val="10482BD9"/>
    <w:rsid w:val="104977D9"/>
    <w:rsid w:val="104D05B6"/>
    <w:rsid w:val="10534C64"/>
    <w:rsid w:val="105746D9"/>
    <w:rsid w:val="105A3B37"/>
    <w:rsid w:val="105C2E30"/>
    <w:rsid w:val="105C4E0B"/>
    <w:rsid w:val="10672B39"/>
    <w:rsid w:val="10697FED"/>
    <w:rsid w:val="106D692F"/>
    <w:rsid w:val="10780B4D"/>
    <w:rsid w:val="10782AA9"/>
    <w:rsid w:val="107916F7"/>
    <w:rsid w:val="107B06E2"/>
    <w:rsid w:val="10855E74"/>
    <w:rsid w:val="10857318"/>
    <w:rsid w:val="108A2F1D"/>
    <w:rsid w:val="108B34AD"/>
    <w:rsid w:val="108F6F52"/>
    <w:rsid w:val="10916B27"/>
    <w:rsid w:val="1093299E"/>
    <w:rsid w:val="109929F2"/>
    <w:rsid w:val="109971E7"/>
    <w:rsid w:val="109A1807"/>
    <w:rsid w:val="109C1BCB"/>
    <w:rsid w:val="109C5AF5"/>
    <w:rsid w:val="109E66F5"/>
    <w:rsid w:val="109E69E7"/>
    <w:rsid w:val="10A2377A"/>
    <w:rsid w:val="10A43082"/>
    <w:rsid w:val="10AA73F0"/>
    <w:rsid w:val="10AB3BE0"/>
    <w:rsid w:val="10B05A10"/>
    <w:rsid w:val="10B4026F"/>
    <w:rsid w:val="10BE10ED"/>
    <w:rsid w:val="10BF4C81"/>
    <w:rsid w:val="10C17A94"/>
    <w:rsid w:val="10C636EF"/>
    <w:rsid w:val="10C72389"/>
    <w:rsid w:val="10CD7214"/>
    <w:rsid w:val="10D40D6D"/>
    <w:rsid w:val="10D65E04"/>
    <w:rsid w:val="10D900F9"/>
    <w:rsid w:val="10D95417"/>
    <w:rsid w:val="10DC5510"/>
    <w:rsid w:val="10DD6BE9"/>
    <w:rsid w:val="10E03311"/>
    <w:rsid w:val="10E04313"/>
    <w:rsid w:val="10E367C5"/>
    <w:rsid w:val="10E67D0F"/>
    <w:rsid w:val="10F10A29"/>
    <w:rsid w:val="10FB2AF7"/>
    <w:rsid w:val="10FC03BD"/>
    <w:rsid w:val="10FD210B"/>
    <w:rsid w:val="1109308D"/>
    <w:rsid w:val="110D4A70"/>
    <w:rsid w:val="11182F80"/>
    <w:rsid w:val="11251AF7"/>
    <w:rsid w:val="112A1F76"/>
    <w:rsid w:val="11327AE3"/>
    <w:rsid w:val="113A1401"/>
    <w:rsid w:val="114723E8"/>
    <w:rsid w:val="114C103C"/>
    <w:rsid w:val="11515ABE"/>
    <w:rsid w:val="115A0DDF"/>
    <w:rsid w:val="1164099A"/>
    <w:rsid w:val="1164141F"/>
    <w:rsid w:val="116E313B"/>
    <w:rsid w:val="117079B7"/>
    <w:rsid w:val="11733D65"/>
    <w:rsid w:val="117A0A1C"/>
    <w:rsid w:val="117B6FDE"/>
    <w:rsid w:val="1183141E"/>
    <w:rsid w:val="11872DAE"/>
    <w:rsid w:val="118A5052"/>
    <w:rsid w:val="118B63F9"/>
    <w:rsid w:val="118D7B43"/>
    <w:rsid w:val="118E7C72"/>
    <w:rsid w:val="11914E2C"/>
    <w:rsid w:val="119231A0"/>
    <w:rsid w:val="11977A78"/>
    <w:rsid w:val="11991213"/>
    <w:rsid w:val="119A3A64"/>
    <w:rsid w:val="119B3F92"/>
    <w:rsid w:val="119B5DDA"/>
    <w:rsid w:val="11A0387D"/>
    <w:rsid w:val="11A07623"/>
    <w:rsid w:val="11A143AB"/>
    <w:rsid w:val="11A93351"/>
    <w:rsid w:val="11AE5AE4"/>
    <w:rsid w:val="11B248F1"/>
    <w:rsid w:val="11B474FF"/>
    <w:rsid w:val="11BA4E90"/>
    <w:rsid w:val="11BF541C"/>
    <w:rsid w:val="11C133E6"/>
    <w:rsid w:val="11D3293B"/>
    <w:rsid w:val="11DC3064"/>
    <w:rsid w:val="11E46932"/>
    <w:rsid w:val="11E555E4"/>
    <w:rsid w:val="11E74C0F"/>
    <w:rsid w:val="11E86328"/>
    <w:rsid w:val="11ED1B1E"/>
    <w:rsid w:val="11F367F6"/>
    <w:rsid w:val="11F77D54"/>
    <w:rsid w:val="11FB709A"/>
    <w:rsid w:val="11FD6F6D"/>
    <w:rsid w:val="11FF2C94"/>
    <w:rsid w:val="12002EE0"/>
    <w:rsid w:val="12043E75"/>
    <w:rsid w:val="1205712C"/>
    <w:rsid w:val="12071881"/>
    <w:rsid w:val="1212400D"/>
    <w:rsid w:val="121A092D"/>
    <w:rsid w:val="121A74A0"/>
    <w:rsid w:val="12200542"/>
    <w:rsid w:val="122136E2"/>
    <w:rsid w:val="122345BF"/>
    <w:rsid w:val="1226519C"/>
    <w:rsid w:val="122D2087"/>
    <w:rsid w:val="12342962"/>
    <w:rsid w:val="123511DC"/>
    <w:rsid w:val="123962D9"/>
    <w:rsid w:val="123D7CB4"/>
    <w:rsid w:val="12447690"/>
    <w:rsid w:val="12465F37"/>
    <w:rsid w:val="12474EEC"/>
    <w:rsid w:val="124F3D6A"/>
    <w:rsid w:val="125138D3"/>
    <w:rsid w:val="125A1202"/>
    <w:rsid w:val="126153A9"/>
    <w:rsid w:val="12621B35"/>
    <w:rsid w:val="1264373A"/>
    <w:rsid w:val="127559BD"/>
    <w:rsid w:val="12767ED2"/>
    <w:rsid w:val="127717E9"/>
    <w:rsid w:val="127844D1"/>
    <w:rsid w:val="12791770"/>
    <w:rsid w:val="127B2F1C"/>
    <w:rsid w:val="127C300E"/>
    <w:rsid w:val="127F5B3A"/>
    <w:rsid w:val="128119A8"/>
    <w:rsid w:val="12837389"/>
    <w:rsid w:val="12843C5A"/>
    <w:rsid w:val="12844A19"/>
    <w:rsid w:val="12846B63"/>
    <w:rsid w:val="12857CC4"/>
    <w:rsid w:val="128A1818"/>
    <w:rsid w:val="128C07ED"/>
    <w:rsid w:val="128E7EA4"/>
    <w:rsid w:val="128F4AEF"/>
    <w:rsid w:val="129B2CA7"/>
    <w:rsid w:val="12A1017B"/>
    <w:rsid w:val="12A173AA"/>
    <w:rsid w:val="12A85BB1"/>
    <w:rsid w:val="12BC340B"/>
    <w:rsid w:val="12BD69EA"/>
    <w:rsid w:val="12C10A5C"/>
    <w:rsid w:val="12C258B9"/>
    <w:rsid w:val="12C65934"/>
    <w:rsid w:val="12D1263F"/>
    <w:rsid w:val="12D34931"/>
    <w:rsid w:val="12DA1F2D"/>
    <w:rsid w:val="12E02936"/>
    <w:rsid w:val="12E43009"/>
    <w:rsid w:val="12E7195C"/>
    <w:rsid w:val="12EF7CAE"/>
    <w:rsid w:val="12F13165"/>
    <w:rsid w:val="12F72695"/>
    <w:rsid w:val="12FB044F"/>
    <w:rsid w:val="12FD6EEE"/>
    <w:rsid w:val="130522D0"/>
    <w:rsid w:val="130A3070"/>
    <w:rsid w:val="130D4A5A"/>
    <w:rsid w:val="130F2D5F"/>
    <w:rsid w:val="13183252"/>
    <w:rsid w:val="131A7044"/>
    <w:rsid w:val="131F4D63"/>
    <w:rsid w:val="13230804"/>
    <w:rsid w:val="13254AFA"/>
    <w:rsid w:val="13255454"/>
    <w:rsid w:val="13260B8C"/>
    <w:rsid w:val="132643B0"/>
    <w:rsid w:val="13280AA0"/>
    <w:rsid w:val="132A133C"/>
    <w:rsid w:val="132F373D"/>
    <w:rsid w:val="13344B23"/>
    <w:rsid w:val="13412CDF"/>
    <w:rsid w:val="134213EA"/>
    <w:rsid w:val="13450486"/>
    <w:rsid w:val="13452E1C"/>
    <w:rsid w:val="13454AA3"/>
    <w:rsid w:val="13472D91"/>
    <w:rsid w:val="134C5DD0"/>
    <w:rsid w:val="135C19F2"/>
    <w:rsid w:val="135C4761"/>
    <w:rsid w:val="13600267"/>
    <w:rsid w:val="136046DE"/>
    <w:rsid w:val="13623FB2"/>
    <w:rsid w:val="136700DF"/>
    <w:rsid w:val="13743603"/>
    <w:rsid w:val="13774B97"/>
    <w:rsid w:val="137C0DE8"/>
    <w:rsid w:val="137C3849"/>
    <w:rsid w:val="13800070"/>
    <w:rsid w:val="13806B2E"/>
    <w:rsid w:val="13822977"/>
    <w:rsid w:val="13857CA0"/>
    <w:rsid w:val="13863C70"/>
    <w:rsid w:val="13867147"/>
    <w:rsid w:val="13880FE5"/>
    <w:rsid w:val="138A6F97"/>
    <w:rsid w:val="138E1AC0"/>
    <w:rsid w:val="139B31F8"/>
    <w:rsid w:val="13AA62A7"/>
    <w:rsid w:val="13AE2E8D"/>
    <w:rsid w:val="13AF1F18"/>
    <w:rsid w:val="13AF5266"/>
    <w:rsid w:val="13B638B0"/>
    <w:rsid w:val="13B64644"/>
    <w:rsid w:val="13B660AC"/>
    <w:rsid w:val="13B67D2A"/>
    <w:rsid w:val="13B72CBA"/>
    <w:rsid w:val="13C36545"/>
    <w:rsid w:val="13C473B6"/>
    <w:rsid w:val="13C92B52"/>
    <w:rsid w:val="13CD381F"/>
    <w:rsid w:val="13CE0A43"/>
    <w:rsid w:val="13D252F3"/>
    <w:rsid w:val="13D63CCA"/>
    <w:rsid w:val="13E22FA8"/>
    <w:rsid w:val="13E54DF9"/>
    <w:rsid w:val="13E916E0"/>
    <w:rsid w:val="14022DB5"/>
    <w:rsid w:val="14065209"/>
    <w:rsid w:val="14074B59"/>
    <w:rsid w:val="1408588E"/>
    <w:rsid w:val="140940DE"/>
    <w:rsid w:val="140A5287"/>
    <w:rsid w:val="14125AB5"/>
    <w:rsid w:val="141279BB"/>
    <w:rsid w:val="14136D68"/>
    <w:rsid w:val="14177091"/>
    <w:rsid w:val="141B46D9"/>
    <w:rsid w:val="14297F6E"/>
    <w:rsid w:val="14305B3A"/>
    <w:rsid w:val="14316D2A"/>
    <w:rsid w:val="14364274"/>
    <w:rsid w:val="1439131C"/>
    <w:rsid w:val="143D057B"/>
    <w:rsid w:val="143D5C7E"/>
    <w:rsid w:val="14404441"/>
    <w:rsid w:val="1441463A"/>
    <w:rsid w:val="144A4E61"/>
    <w:rsid w:val="144B0D09"/>
    <w:rsid w:val="144E3B70"/>
    <w:rsid w:val="144F3BD8"/>
    <w:rsid w:val="145536A4"/>
    <w:rsid w:val="14574302"/>
    <w:rsid w:val="14593607"/>
    <w:rsid w:val="14633568"/>
    <w:rsid w:val="146335E2"/>
    <w:rsid w:val="14644436"/>
    <w:rsid w:val="146471AA"/>
    <w:rsid w:val="146B333A"/>
    <w:rsid w:val="14725739"/>
    <w:rsid w:val="14751383"/>
    <w:rsid w:val="147820CC"/>
    <w:rsid w:val="14795A6B"/>
    <w:rsid w:val="14836DCD"/>
    <w:rsid w:val="148A26A1"/>
    <w:rsid w:val="148C414D"/>
    <w:rsid w:val="1490027D"/>
    <w:rsid w:val="149364EB"/>
    <w:rsid w:val="14936C14"/>
    <w:rsid w:val="14983517"/>
    <w:rsid w:val="1499369D"/>
    <w:rsid w:val="149D274C"/>
    <w:rsid w:val="149F2FE4"/>
    <w:rsid w:val="14A14832"/>
    <w:rsid w:val="14A26682"/>
    <w:rsid w:val="14AD7C20"/>
    <w:rsid w:val="14AE1677"/>
    <w:rsid w:val="14B07240"/>
    <w:rsid w:val="14B3050F"/>
    <w:rsid w:val="14B40174"/>
    <w:rsid w:val="14B4078A"/>
    <w:rsid w:val="14B6087B"/>
    <w:rsid w:val="14BE3AA2"/>
    <w:rsid w:val="14C249B0"/>
    <w:rsid w:val="14C451FD"/>
    <w:rsid w:val="14CB3A17"/>
    <w:rsid w:val="14CB6D59"/>
    <w:rsid w:val="14D04C68"/>
    <w:rsid w:val="14D052C2"/>
    <w:rsid w:val="14D23500"/>
    <w:rsid w:val="14DE3B0C"/>
    <w:rsid w:val="14DF4121"/>
    <w:rsid w:val="14E22AC7"/>
    <w:rsid w:val="14E54999"/>
    <w:rsid w:val="14EA425F"/>
    <w:rsid w:val="14EB5E93"/>
    <w:rsid w:val="14ED18B1"/>
    <w:rsid w:val="14F73646"/>
    <w:rsid w:val="14F76EC1"/>
    <w:rsid w:val="14FA555C"/>
    <w:rsid w:val="1500249A"/>
    <w:rsid w:val="150316D2"/>
    <w:rsid w:val="15106444"/>
    <w:rsid w:val="15122280"/>
    <w:rsid w:val="151829E6"/>
    <w:rsid w:val="15196CBB"/>
    <w:rsid w:val="151B3E8D"/>
    <w:rsid w:val="1520325E"/>
    <w:rsid w:val="15266667"/>
    <w:rsid w:val="15267227"/>
    <w:rsid w:val="152E1008"/>
    <w:rsid w:val="152F62DE"/>
    <w:rsid w:val="15354A6C"/>
    <w:rsid w:val="1536748E"/>
    <w:rsid w:val="15380673"/>
    <w:rsid w:val="15391EB7"/>
    <w:rsid w:val="153A1E02"/>
    <w:rsid w:val="153B6B47"/>
    <w:rsid w:val="154171DC"/>
    <w:rsid w:val="15422252"/>
    <w:rsid w:val="15460244"/>
    <w:rsid w:val="154A472D"/>
    <w:rsid w:val="154B1D09"/>
    <w:rsid w:val="154D37A3"/>
    <w:rsid w:val="154D6D50"/>
    <w:rsid w:val="155139E2"/>
    <w:rsid w:val="15524865"/>
    <w:rsid w:val="155420CC"/>
    <w:rsid w:val="15587604"/>
    <w:rsid w:val="155C2C83"/>
    <w:rsid w:val="15676159"/>
    <w:rsid w:val="156A53A0"/>
    <w:rsid w:val="156D072A"/>
    <w:rsid w:val="1572500A"/>
    <w:rsid w:val="15764F39"/>
    <w:rsid w:val="157934AF"/>
    <w:rsid w:val="157B43F0"/>
    <w:rsid w:val="158226E9"/>
    <w:rsid w:val="15893110"/>
    <w:rsid w:val="15960D8B"/>
    <w:rsid w:val="15961A62"/>
    <w:rsid w:val="15973CD3"/>
    <w:rsid w:val="159913E2"/>
    <w:rsid w:val="159F0758"/>
    <w:rsid w:val="15A11605"/>
    <w:rsid w:val="15A51684"/>
    <w:rsid w:val="15AE23A7"/>
    <w:rsid w:val="15AE5A2A"/>
    <w:rsid w:val="15B11221"/>
    <w:rsid w:val="15B2391F"/>
    <w:rsid w:val="15B36D47"/>
    <w:rsid w:val="15B57024"/>
    <w:rsid w:val="15B8186D"/>
    <w:rsid w:val="15BD4BC7"/>
    <w:rsid w:val="15BF393E"/>
    <w:rsid w:val="15D01D2E"/>
    <w:rsid w:val="15D12EEA"/>
    <w:rsid w:val="15D53223"/>
    <w:rsid w:val="15D93973"/>
    <w:rsid w:val="15DB6BA7"/>
    <w:rsid w:val="15E225AB"/>
    <w:rsid w:val="15E64B1E"/>
    <w:rsid w:val="15E77A08"/>
    <w:rsid w:val="15E80D2A"/>
    <w:rsid w:val="15EC072E"/>
    <w:rsid w:val="15ED5A4B"/>
    <w:rsid w:val="15FC2C1D"/>
    <w:rsid w:val="160173A4"/>
    <w:rsid w:val="16023110"/>
    <w:rsid w:val="160231E4"/>
    <w:rsid w:val="16034249"/>
    <w:rsid w:val="16036B03"/>
    <w:rsid w:val="16043418"/>
    <w:rsid w:val="1607182E"/>
    <w:rsid w:val="160918FD"/>
    <w:rsid w:val="160A26DF"/>
    <w:rsid w:val="160A5A43"/>
    <w:rsid w:val="16112098"/>
    <w:rsid w:val="16190606"/>
    <w:rsid w:val="16194E7D"/>
    <w:rsid w:val="161A778D"/>
    <w:rsid w:val="161E69A3"/>
    <w:rsid w:val="16203EC4"/>
    <w:rsid w:val="162053F8"/>
    <w:rsid w:val="16213A7F"/>
    <w:rsid w:val="16221031"/>
    <w:rsid w:val="162259A3"/>
    <w:rsid w:val="16232CFD"/>
    <w:rsid w:val="1625617C"/>
    <w:rsid w:val="162B362B"/>
    <w:rsid w:val="162D080B"/>
    <w:rsid w:val="16347615"/>
    <w:rsid w:val="16351982"/>
    <w:rsid w:val="16351E52"/>
    <w:rsid w:val="163B674D"/>
    <w:rsid w:val="1641619A"/>
    <w:rsid w:val="164237EF"/>
    <w:rsid w:val="164B5794"/>
    <w:rsid w:val="164E2858"/>
    <w:rsid w:val="16530063"/>
    <w:rsid w:val="16534BCF"/>
    <w:rsid w:val="16556050"/>
    <w:rsid w:val="16563EB0"/>
    <w:rsid w:val="165847E0"/>
    <w:rsid w:val="165C36C0"/>
    <w:rsid w:val="165F1030"/>
    <w:rsid w:val="166C5388"/>
    <w:rsid w:val="1673311A"/>
    <w:rsid w:val="16743249"/>
    <w:rsid w:val="167741E6"/>
    <w:rsid w:val="16776C7C"/>
    <w:rsid w:val="168040E8"/>
    <w:rsid w:val="1688017D"/>
    <w:rsid w:val="168B4715"/>
    <w:rsid w:val="168E23A9"/>
    <w:rsid w:val="169E17A5"/>
    <w:rsid w:val="16A663EC"/>
    <w:rsid w:val="16A95CC6"/>
    <w:rsid w:val="16B76558"/>
    <w:rsid w:val="16BB623C"/>
    <w:rsid w:val="16BD0BEB"/>
    <w:rsid w:val="16C040BD"/>
    <w:rsid w:val="16C25222"/>
    <w:rsid w:val="16C84A44"/>
    <w:rsid w:val="16CB436E"/>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06D9"/>
    <w:rsid w:val="170D7EBF"/>
    <w:rsid w:val="170F05E2"/>
    <w:rsid w:val="170F4DE9"/>
    <w:rsid w:val="17141A67"/>
    <w:rsid w:val="171F369C"/>
    <w:rsid w:val="172726B1"/>
    <w:rsid w:val="172A4525"/>
    <w:rsid w:val="172D7FBA"/>
    <w:rsid w:val="173100A2"/>
    <w:rsid w:val="173201E7"/>
    <w:rsid w:val="17371721"/>
    <w:rsid w:val="173B2A93"/>
    <w:rsid w:val="173C3268"/>
    <w:rsid w:val="17413469"/>
    <w:rsid w:val="174719FA"/>
    <w:rsid w:val="1747470D"/>
    <w:rsid w:val="17484970"/>
    <w:rsid w:val="17496CE7"/>
    <w:rsid w:val="174F0CF1"/>
    <w:rsid w:val="17513663"/>
    <w:rsid w:val="1754296F"/>
    <w:rsid w:val="175927D4"/>
    <w:rsid w:val="175B3221"/>
    <w:rsid w:val="175C6FCF"/>
    <w:rsid w:val="17621497"/>
    <w:rsid w:val="176A0009"/>
    <w:rsid w:val="176D7F28"/>
    <w:rsid w:val="17747661"/>
    <w:rsid w:val="177E656B"/>
    <w:rsid w:val="17810618"/>
    <w:rsid w:val="17852D5E"/>
    <w:rsid w:val="178A0D72"/>
    <w:rsid w:val="178D7B30"/>
    <w:rsid w:val="178F00B5"/>
    <w:rsid w:val="179B27E2"/>
    <w:rsid w:val="17A33720"/>
    <w:rsid w:val="17A44F3D"/>
    <w:rsid w:val="17A7396B"/>
    <w:rsid w:val="17AA44B3"/>
    <w:rsid w:val="17AF1790"/>
    <w:rsid w:val="17B10281"/>
    <w:rsid w:val="17B224BB"/>
    <w:rsid w:val="17BB6763"/>
    <w:rsid w:val="17BE7C25"/>
    <w:rsid w:val="17C84600"/>
    <w:rsid w:val="17C92CD3"/>
    <w:rsid w:val="17CB3D41"/>
    <w:rsid w:val="17D463A1"/>
    <w:rsid w:val="17D92D6F"/>
    <w:rsid w:val="17DA2322"/>
    <w:rsid w:val="17E2320F"/>
    <w:rsid w:val="17E56FCB"/>
    <w:rsid w:val="17E92EF4"/>
    <w:rsid w:val="17F035C1"/>
    <w:rsid w:val="17F3078A"/>
    <w:rsid w:val="17F30D69"/>
    <w:rsid w:val="17F31453"/>
    <w:rsid w:val="17F91B6A"/>
    <w:rsid w:val="1800360E"/>
    <w:rsid w:val="1801741B"/>
    <w:rsid w:val="180567C5"/>
    <w:rsid w:val="180B5EBB"/>
    <w:rsid w:val="1812061F"/>
    <w:rsid w:val="181B0BD3"/>
    <w:rsid w:val="181B3E53"/>
    <w:rsid w:val="181B4217"/>
    <w:rsid w:val="181D3CED"/>
    <w:rsid w:val="18224BCD"/>
    <w:rsid w:val="18251B7B"/>
    <w:rsid w:val="18270857"/>
    <w:rsid w:val="182C643A"/>
    <w:rsid w:val="182C7ACB"/>
    <w:rsid w:val="182D7189"/>
    <w:rsid w:val="183143F2"/>
    <w:rsid w:val="18315C71"/>
    <w:rsid w:val="18363C5F"/>
    <w:rsid w:val="18372271"/>
    <w:rsid w:val="183D34E2"/>
    <w:rsid w:val="183F50CF"/>
    <w:rsid w:val="18552079"/>
    <w:rsid w:val="185D08B6"/>
    <w:rsid w:val="185E7E63"/>
    <w:rsid w:val="1865226A"/>
    <w:rsid w:val="18686458"/>
    <w:rsid w:val="1869295F"/>
    <w:rsid w:val="186C5590"/>
    <w:rsid w:val="186D58D3"/>
    <w:rsid w:val="18772B90"/>
    <w:rsid w:val="187757C3"/>
    <w:rsid w:val="187E6D43"/>
    <w:rsid w:val="188A61A6"/>
    <w:rsid w:val="188D2D4C"/>
    <w:rsid w:val="188F2A34"/>
    <w:rsid w:val="1891695B"/>
    <w:rsid w:val="18925339"/>
    <w:rsid w:val="189A11A7"/>
    <w:rsid w:val="18A55602"/>
    <w:rsid w:val="18A63B1B"/>
    <w:rsid w:val="18A73CB7"/>
    <w:rsid w:val="18AB6ED4"/>
    <w:rsid w:val="18B269E3"/>
    <w:rsid w:val="18B46C94"/>
    <w:rsid w:val="18BD07B3"/>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3E0E"/>
    <w:rsid w:val="18F05786"/>
    <w:rsid w:val="18F10D76"/>
    <w:rsid w:val="18F31039"/>
    <w:rsid w:val="18F67451"/>
    <w:rsid w:val="18F72732"/>
    <w:rsid w:val="19030A48"/>
    <w:rsid w:val="19093F9D"/>
    <w:rsid w:val="190D6869"/>
    <w:rsid w:val="191A20F8"/>
    <w:rsid w:val="191B54A3"/>
    <w:rsid w:val="192F05BC"/>
    <w:rsid w:val="19310BFF"/>
    <w:rsid w:val="1934341E"/>
    <w:rsid w:val="19380FFA"/>
    <w:rsid w:val="193A0FEF"/>
    <w:rsid w:val="193D3923"/>
    <w:rsid w:val="193E3016"/>
    <w:rsid w:val="193F113F"/>
    <w:rsid w:val="19453326"/>
    <w:rsid w:val="1946675B"/>
    <w:rsid w:val="194A6474"/>
    <w:rsid w:val="194E5531"/>
    <w:rsid w:val="19520625"/>
    <w:rsid w:val="1952287E"/>
    <w:rsid w:val="19545179"/>
    <w:rsid w:val="195F7593"/>
    <w:rsid w:val="19622704"/>
    <w:rsid w:val="19627512"/>
    <w:rsid w:val="19687A86"/>
    <w:rsid w:val="196D15A2"/>
    <w:rsid w:val="19754F1F"/>
    <w:rsid w:val="1977008B"/>
    <w:rsid w:val="197767BE"/>
    <w:rsid w:val="198E2F12"/>
    <w:rsid w:val="1991796E"/>
    <w:rsid w:val="19957C30"/>
    <w:rsid w:val="19962DC6"/>
    <w:rsid w:val="199A3C19"/>
    <w:rsid w:val="199E386A"/>
    <w:rsid w:val="19A115C3"/>
    <w:rsid w:val="19A669C5"/>
    <w:rsid w:val="19A823AD"/>
    <w:rsid w:val="19B00101"/>
    <w:rsid w:val="19B70356"/>
    <w:rsid w:val="19BA400D"/>
    <w:rsid w:val="19BB4A16"/>
    <w:rsid w:val="19C305FD"/>
    <w:rsid w:val="19C45ED3"/>
    <w:rsid w:val="19C5080C"/>
    <w:rsid w:val="19C67F5E"/>
    <w:rsid w:val="19CF3BF0"/>
    <w:rsid w:val="19D66D6A"/>
    <w:rsid w:val="19D90B53"/>
    <w:rsid w:val="19DF4B45"/>
    <w:rsid w:val="19E569C0"/>
    <w:rsid w:val="19EA6C77"/>
    <w:rsid w:val="19F66BED"/>
    <w:rsid w:val="19FD114C"/>
    <w:rsid w:val="19FD4AD2"/>
    <w:rsid w:val="19FE6544"/>
    <w:rsid w:val="1A007445"/>
    <w:rsid w:val="1A0538E9"/>
    <w:rsid w:val="1A10460D"/>
    <w:rsid w:val="1A2417BC"/>
    <w:rsid w:val="1A2E1080"/>
    <w:rsid w:val="1A2E496A"/>
    <w:rsid w:val="1A3429B2"/>
    <w:rsid w:val="1A3E5828"/>
    <w:rsid w:val="1A3F6DFB"/>
    <w:rsid w:val="1A412C66"/>
    <w:rsid w:val="1A4607AD"/>
    <w:rsid w:val="1A483803"/>
    <w:rsid w:val="1A49083D"/>
    <w:rsid w:val="1A4A31EE"/>
    <w:rsid w:val="1A4A4F5E"/>
    <w:rsid w:val="1A4E251D"/>
    <w:rsid w:val="1A4E75DC"/>
    <w:rsid w:val="1A4F0D0E"/>
    <w:rsid w:val="1A4F6E9B"/>
    <w:rsid w:val="1A5846FD"/>
    <w:rsid w:val="1A5B4572"/>
    <w:rsid w:val="1A5D69BE"/>
    <w:rsid w:val="1A5F32B0"/>
    <w:rsid w:val="1A5F66DA"/>
    <w:rsid w:val="1A644F00"/>
    <w:rsid w:val="1A6718E2"/>
    <w:rsid w:val="1A6A35B3"/>
    <w:rsid w:val="1A6C7461"/>
    <w:rsid w:val="1A6F56C6"/>
    <w:rsid w:val="1A715A68"/>
    <w:rsid w:val="1A795610"/>
    <w:rsid w:val="1A7E0B1D"/>
    <w:rsid w:val="1A83640C"/>
    <w:rsid w:val="1A852F95"/>
    <w:rsid w:val="1A8B0292"/>
    <w:rsid w:val="1A8D2305"/>
    <w:rsid w:val="1A8F121D"/>
    <w:rsid w:val="1A944281"/>
    <w:rsid w:val="1A976C37"/>
    <w:rsid w:val="1A9772D1"/>
    <w:rsid w:val="1A9B7BF0"/>
    <w:rsid w:val="1AA53750"/>
    <w:rsid w:val="1AA650CC"/>
    <w:rsid w:val="1AAB0107"/>
    <w:rsid w:val="1AB34EE9"/>
    <w:rsid w:val="1AB55270"/>
    <w:rsid w:val="1ABD4834"/>
    <w:rsid w:val="1AC82407"/>
    <w:rsid w:val="1ACA6D52"/>
    <w:rsid w:val="1ACB68E1"/>
    <w:rsid w:val="1AD06A20"/>
    <w:rsid w:val="1ADA1A31"/>
    <w:rsid w:val="1AE152DF"/>
    <w:rsid w:val="1AE23F35"/>
    <w:rsid w:val="1AE4362D"/>
    <w:rsid w:val="1AE62C02"/>
    <w:rsid w:val="1AEE0821"/>
    <w:rsid w:val="1AEE322F"/>
    <w:rsid w:val="1AF17105"/>
    <w:rsid w:val="1AF24FA9"/>
    <w:rsid w:val="1AF26C51"/>
    <w:rsid w:val="1B026A6B"/>
    <w:rsid w:val="1B03074C"/>
    <w:rsid w:val="1B0420E3"/>
    <w:rsid w:val="1B080C9C"/>
    <w:rsid w:val="1B092C3C"/>
    <w:rsid w:val="1B110610"/>
    <w:rsid w:val="1B116344"/>
    <w:rsid w:val="1B121564"/>
    <w:rsid w:val="1B126D5F"/>
    <w:rsid w:val="1B216EA3"/>
    <w:rsid w:val="1B263F79"/>
    <w:rsid w:val="1B290064"/>
    <w:rsid w:val="1B2D762D"/>
    <w:rsid w:val="1B2E6E70"/>
    <w:rsid w:val="1B303A2F"/>
    <w:rsid w:val="1B3703AA"/>
    <w:rsid w:val="1B392E25"/>
    <w:rsid w:val="1B3E47EC"/>
    <w:rsid w:val="1B411FF1"/>
    <w:rsid w:val="1B4346C9"/>
    <w:rsid w:val="1B511030"/>
    <w:rsid w:val="1B521D20"/>
    <w:rsid w:val="1B595142"/>
    <w:rsid w:val="1B5A2D6C"/>
    <w:rsid w:val="1B5E2232"/>
    <w:rsid w:val="1B5F5C3F"/>
    <w:rsid w:val="1B654C77"/>
    <w:rsid w:val="1B707054"/>
    <w:rsid w:val="1B746CC9"/>
    <w:rsid w:val="1B7844F1"/>
    <w:rsid w:val="1B7C3B9A"/>
    <w:rsid w:val="1B7F1479"/>
    <w:rsid w:val="1B837461"/>
    <w:rsid w:val="1B9263BB"/>
    <w:rsid w:val="1B942014"/>
    <w:rsid w:val="1BA263B5"/>
    <w:rsid w:val="1BA611B3"/>
    <w:rsid w:val="1BA63671"/>
    <w:rsid w:val="1BA63A99"/>
    <w:rsid w:val="1BAC2EB7"/>
    <w:rsid w:val="1BAC6712"/>
    <w:rsid w:val="1BAE7405"/>
    <w:rsid w:val="1BB31012"/>
    <w:rsid w:val="1BB866E5"/>
    <w:rsid w:val="1BBE01B7"/>
    <w:rsid w:val="1BC20968"/>
    <w:rsid w:val="1BC81809"/>
    <w:rsid w:val="1BCC438B"/>
    <w:rsid w:val="1BCD3A0C"/>
    <w:rsid w:val="1BCF48AD"/>
    <w:rsid w:val="1BCF7509"/>
    <w:rsid w:val="1BD0068D"/>
    <w:rsid w:val="1BD04F6A"/>
    <w:rsid w:val="1BD43D6F"/>
    <w:rsid w:val="1BD640AB"/>
    <w:rsid w:val="1BD80767"/>
    <w:rsid w:val="1BDA6798"/>
    <w:rsid w:val="1BDD4B1E"/>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16256"/>
    <w:rsid w:val="1C36152F"/>
    <w:rsid w:val="1C452F11"/>
    <w:rsid w:val="1C454FEB"/>
    <w:rsid w:val="1C4921B3"/>
    <w:rsid w:val="1C4B1161"/>
    <w:rsid w:val="1C4B7F03"/>
    <w:rsid w:val="1C4D661D"/>
    <w:rsid w:val="1C4E0439"/>
    <w:rsid w:val="1C4E1767"/>
    <w:rsid w:val="1C566963"/>
    <w:rsid w:val="1C5A1415"/>
    <w:rsid w:val="1C5D1E98"/>
    <w:rsid w:val="1C613365"/>
    <w:rsid w:val="1C615B56"/>
    <w:rsid w:val="1C627F90"/>
    <w:rsid w:val="1C68289B"/>
    <w:rsid w:val="1C7F4074"/>
    <w:rsid w:val="1C8E6BB2"/>
    <w:rsid w:val="1C901FF7"/>
    <w:rsid w:val="1C93489E"/>
    <w:rsid w:val="1C9B0535"/>
    <w:rsid w:val="1CA4007E"/>
    <w:rsid w:val="1CA74DBD"/>
    <w:rsid w:val="1CA83A22"/>
    <w:rsid w:val="1CA963D0"/>
    <w:rsid w:val="1CB47592"/>
    <w:rsid w:val="1CBA1AB0"/>
    <w:rsid w:val="1CC13810"/>
    <w:rsid w:val="1CC25AC1"/>
    <w:rsid w:val="1CC41FB4"/>
    <w:rsid w:val="1CE30F3F"/>
    <w:rsid w:val="1CE42C15"/>
    <w:rsid w:val="1CE434AC"/>
    <w:rsid w:val="1CE532F1"/>
    <w:rsid w:val="1CE81C8B"/>
    <w:rsid w:val="1CEB4179"/>
    <w:rsid w:val="1CEF112C"/>
    <w:rsid w:val="1CF2284B"/>
    <w:rsid w:val="1CF3481A"/>
    <w:rsid w:val="1CF66A9B"/>
    <w:rsid w:val="1CF7495E"/>
    <w:rsid w:val="1D03270B"/>
    <w:rsid w:val="1D0702DD"/>
    <w:rsid w:val="1D0A1B9E"/>
    <w:rsid w:val="1D0B1F78"/>
    <w:rsid w:val="1D0D48FC"/>
    <w:rsid w:val="1D112AF3"/>
    <w:rsid w:val="1D183933"/>
    <w:rsid w:val="1D1A06C8"/>
    <w:rsid w:val="1D1A579C"/>
    <w:rsid w:val="1D31174A"/>
    <w:rsid w:val="1D372040"/>
    <w:rsid w:val="1D3745A1"/>
    <w:rsid w:val="1D384BE7"/>
    <w:rsid w:val="1D3C792F"/>
    <w:rsid w:val="1D501ED4"/>
    <w:rsid w:val="1D532BBD"/>
    <w:rsid w:val="1D6209BA"/>
    <w:rsid w:val="1D6372A4"/>
    <w:rsid w:val="1D670B11"/>
    <w:rsid w:val="1D674387"/>
    <w:rsid w:val="1D691F1B"/>
    <w:rsid w:val="1D6928C0"/>
    <w:rsid w:val="1D6B25A8"/>
    <w:rsid w:val="1D6C6DDD"/>
    <w:rsid w:val="1D7136CB"/>
    <w:rsid w:val="1D741834"/>
    <w:rsid w:val="1D77409C"/>
    <w:rsid w:val="1D7E12B4"/>
    <w:rsid w:val="1D823D48"/>
    <w:rsid w:val="1D837FA1"/>
    <w:rsid w:val="1D8430A8"/>
    <w:rsid w:val="1D853633"/>
    <w:rsid w:val="1D8B0823"/>
    <w:rsid w:val="1D8B47EF"/>
    <w:rsid w:val="1D8D5E5F"/>
    <w:rsid w:val="1D904ED7"/>
    <w:rsid w:val="1D907F18"/>
    <w:rsid w:val="1D947CB0"/>
    <w:rsid w:val="1D9749D4"/>
    <w:rsid w:val="1D987C4F"/>
    <w:rsid w:val="1D9D69E2"/>
    <w:rsid w:val="1DA80D08"/>
    <w:rsid w:val="1DA80D48"/>
    <w:rsid w:val="1DA86E84"/>
    <w:rsid w:val="1DAC61B3"/>
    <w:rsid w:val="1DAD0B65"/>
    <w:rsid w:val="1DAF6046"/>
    <w:rsid w:val="1DB67C31"/>
    <w:rsid w:val="1DB86EF4"/>
    <w:rsid w:val="1DB938E7"/>
    <w:rsid w:val="1DC07D0E"/>
    <w:rsid w:val="1DC67833"/>
    <w:rsid w:val="1DD221BC"/>
    <w:rsid w:val="1DD31FB4"/>
    <w:rsid w:val="1DD72058"/>
    <w:rsid w:val="1DDD022F"/>
    <w:rsid w:val="1DE72BC8"/>
    <w:rsid w:val="1DE7676B"/>
    <w:rsid w:val="1DEC24A8"/>
    <w:rsid w:val="1DED6EE8"/>
    <w:rsid w:val="1DF5255F"/>
    <w:rsid w:val="1DF87FAF"/>
    <w:rsid w:val="1DFC7AF4"/>
    <w:rsid w:val="1DFD4A3C"/>
    <w:rsid w:val="1DFE7F2A"/>
    <w:rsid w:val="1E0078CB"/>
    <w:rsid w:val="1E0A2DBB"/>
    <w:rsid w:val="1E0B4EFF"/>
    <w:rsid w:val="1E11411D"/>
    <w:rsid w:val="1E116D00"/>
    <w:rsid w:val="1E122264"/>
    <w:rsid w:val="1E1265D5"/>
    <w:rsid w:val="1E17741C"/>
    <w:rsid w:val="1E195BBA"/>
    <w:rsid w:val="1E1E62AB"/>
    <w:rsid w:val="1E256393"/>
    <w:rsid w:val="1E29138B"/>
    <w:rsid w:val="1E2C6393"/>
    <w:rsid w:val="1E2F376C"/>
    <w:rsid w:val="1E31444D"/>
    <w:rsid w:val="1E346479"/>
    <w:rsid w:val="1E3C7335"/>
    <w:rsid w:val="1E3E2A0F"/>
    <w:rsid w:val="1E3F0CDB"/>
    <w:rsid w:val="1E494AE4"/>
    <w:rsid w:val="1E4B7669"/>
    <w:rsid w:val="1E4E1FF4"/>
    <w:rsid w:val="1E5064A0"/>
    <w:rsid w:val="1E511ADF"/>
    <w:rsid w:val="1E575635"/>
    <w:rsid w:val="1E60793C"/>
    <w:rsid w:val="1E64011C"/>
    <w:rsid w:val="1E696FBB"/>
    <w:rsid w:val="1E6D49E7"/>
    <w:rsid w:val="1E7B73A9"/>
    <w:rsid w:val="1E7D7138"/>
    <w:rsid w:val="1E8248F5"/>
    <w:rsid w:val="1E883C10"/>
    <w:rsid w:val="1E9033DB"/>
    <w:rsid w:val="1E9035AB"/>
    <w:rsid w:val="1E947935"/>
    <w:rsid w:val="1E9C6AF6"/>
    <w:rsid w:val="1EA00355"/>
    <w:rsid w:val="1EA05330"/>
    <w:rsid w:val="1EA21727"/>
    <w:rsid w:val="1EA71D10"/>
    <w:rsid w:val="1EB01A6C"/>
    <w:rsid w:val="1EB06519"/>
    <w:rsid w:val="1EB67F37"/>
    <w:rsid w:val="1EBB0A1A"/>
    <w:rsid w:val="1EBE6D30"/>
    <w:rsid w:val="1ED008C9"/>
    <w:rsid w:val="1ED14F66"/>
    <w:rsid w:val="1ED25487"/>
    <w:rsid w:val="1ED76B7F"/>
    <w:rsid w:val="1EDF0126"/>
    <w:rsid w:val="1EEB4E7D"/>
    <w:rsid w:val="1EEC15D2"/>
    <w:rsid w:val="1EEF63AC"/>
    <w:rsid w:val="1EF04B68"/>
    <w:rsid w:val="1EF05338"/>
    <w:rsid w:val="1EF20898"/>
    <w:rsid w:val="1EF56BBD"/>
    <w:rsid w:val="1F0472DF"/>
    <w:rsid w:val="1F082B91"/>
    <w:rsid w:val="1F0975C3"/>
    <w:rsid w:val="1F0A0660"/>
    <w:rsid w:val="1F1E5ADC"/>
    <w:rsid w:val="1F255F5A"/>
    <w:rsid w:val="1F2F3B72"/>
    <w:rsid w:val="1F3219DB"/>
    <w:rsid w:val="1F331A4B"/>
    <w:rsid w:val="1F3726CC"/>
    <w:rsid w:val="1F455A42"/>
    <w:rsid w:val="1F4B65F7"/>
    <w:rsid w:val="1F4E188E"/>
    <w:rsid w:val="1F500DAD"/>
    <w:rsid w:val="1F525822"/>
    <w:rsid w:val="1F5A3B8D"/>
    <w:rsid w:val="1F5B0AC1"/>
    <w:rsid w:val="1F5C6861"/>
    <w:rsid w:val="1F6061DE"/>
    <w:rsid w:val="1F64749D"/>
    <w:rsid w:val="1F693A8C"/>
    <w:rsid w:val="1F6C21A7"/>
    <w:rsid w:val="1F6C6FF3"/>
    <w:rsid w:val="1F7233C0"/>
    <w:rsid w:val="1F746DE7"/>
    <w:rsid w:val="1F793D70"/>
    <w:rsid w:val="1F7C23DB"/>
    <w:rsid w:val="1F7D12DD"/>
    <w:rsid w:val="1F887371"/>
    <w:rsid w:val="1F8F20BB"/>
    <w:rsid w:val="1F906E3A"/>
    <w:rsid w:val="1F9377BA"/>
    <w:rsid w:val="1F961791"/>
    <w:rsid w:val="1F962197"/>
    <w:rsid w:val="1F9912C2"/>
    <w:rsid w:val="1F9A1E3A"/>
    <w:rsid w:val="1F9A5A35"/>
    <w:rsid w:val="1FA04176"/>
    <w:rsid w:val="1FA70A40"/>
    <w:rsid w:val="1FAF076D"/>
    <w:rsid w:val="1FAF5F04"/>
    <w:rsid w:val="1FB30408"/>
    <w:rsid w:val="1FB8689C"/>
    <w:rsid w:val="1FC05D07"/>
    <w:rsid w:val="1FC57EA9"/>
    <w:rsid w:val="1FCA08D1"/>
    <w:rsid w:val="1FCA51FB"/>
    <w:rsid w:val="1FCB1131"/>
    <w:rsid w:val="1FCC2398"/>
    <w:rsid w:val="1FD10C31"/>
    <w:rsid w:val="1FD200C0"/>
    <w:rsid w:val="1FD21D12"/>
    <w:rsid w:val="1FD40B49"/>
    <w:rsid w:val="1FD517D5"/>
    <w:rsid w:val="1FE12702"/>
    <w:rsid w:val="1FE81C1F"/>
    <w:rsid w:val="1FE85837"/>
    <w:rsid w:val="1FEA4520"/>
    <w:rsid w:val="1FEC0B76"/>
    <w:rsid w:val="1FED41D1"/>
    <w:rsid w:val="1FF26281"/>
    <w:rsid w:val="1FF52977"/>
    <w:rsid w:val="2000093B"/>
    <w:rsid w:val="200264B2"/>
    <w:rsid w:val="20040087"/>
    <w:rsid w:val="20062169"/>
    <w:rsid w:val="200B4911"/>
    <w:rsid w:val="200F5BE3"/>
    <w:rsid w:val="20103F6E"/>
    <w:rsid w:val="20133624"/>
    <w:rsid w:val="20146B23"/>
    <w:rsid w:val="20166850"/>
    <w:rsid w:val="2018347A"/>
    <w:rsid w:val="201D2869"/>
    <w:rsid w:val="2020147D"/>
    <w:rsid w:val="20214135"/>
    <w:rsid w:val="20235887"/>
    <w:rsid w:val="20244283"/>
    <w:rsid w:val="202D6893"/>
    <w:rsid w:val="203B65D7"/>
    <w:rsid w:val="203E1470"/>
    <w:rsid w:val="2045527D"/>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539D6"/>
    <w:rsid w:val="208B4BBB"/>
    <w:rsid w:val="208C4FBD"/>
    <w:rsid w:val="209606AC"/>
    <w:rsid w:val="20975290"/>
    <w:rsid w:val="20AC355B"/>
    <w:rsid w:val="20B12644"/>
    <w:rsid w:val="20B61AF5"/>
    <w:rsid w:val="20B71B6B"/>
    <w:rsid w:val="20BB0D03"/>
    <w:rsid w:val="20C6039C"/>
    <w:rsid w:val="20D32BB7"/>
    <w:rsid w:val="20D63451"/>
    <w:rsid w:val="20D768D1"/>
    <w:rsid w:val="20D80906"/>
    <w:rsid w:val="20D96B41"/>
    <w:rsid w:val="20DA2458"/>
    <w:rsid w:val="20DD0B37"/>
    <w:rsid w:val="20DD1E96"/>
    <w:rsid w:val="20E24984"/>
    <w:rsid w:val="20E36186"/>
    <w:rsid w:val="20E92EF7"/>
    <w:rsid w:val="20EC7327"/>
    <w:rsid w:val="20F37BF6"/>
    <w:rsid w:val="20F46D36"/>
    <w:rsid w:val="20F54568"/>
    <w:rsid w:val="20F92C90"/>
    <w:rsid w:val="20F96BC9"/>
    <w:rsid w:val="20F97D82"/>
    <w:rsid w:val="20FF1FF0"/>
    <w:rsid w:val="21000686"/>
    <w:rsid w:val="211665CA"/>
    <w:rsid w:val="211929D2"/>
    <w:rsid w:val="211974E9"/>
    <w:rsid w:val="211C15B2"/>
    <w:rsid w:val="211E1FFD"/>
    <w:rsid w:val="21224076"/>
    <w:rsid w:val="212757D9"/>
    <w:rsid w:val="212A03E1"/>
    <w:rsid w:val="212A29BC"/>
    <w:rsid w:val="212D5300"/>
    <w:rsid w:val="212F0781"/>
    <w:rsid w:val="213610F7"/>
    <w:rsid w:val="213A22DB"/>
    <w:rsid w:val="213C0875"/>
    <w:rsid w:val="2149055F"/>
    <w:rsid w:val="214F6905"/>
    <w:rsid w:val="2151330A"/>
    <w:rsid w:val="21580208"/>
    <w:rsid w:val="215B47E2"/>
    <w:rsid w:val="21616198"/>
    <w:rsid w:val="21617909"/>
    <w:rsid w:val="216424F2"/>
    <w:rsid w:val="21685FEF"/>
    <w:rsid w:val="21690976"/>
    <w:rsid w:val="216D5902"/>
    <w:rsid w:val="216E446A"/>
    <w:rsid w:val="21700F9F"/>
    <w:rsid w:val="21701F90"/>
    <w:rsid w:val="217A6ACB"/>
    <w:rsid w:val="217B44F4"/>
    <w:rsid w:val="217D39CF"/>
    <w:rsid w:val="217D46AD"/>
    <w:rsid w:val="217E1819"/>
    <w:rsid w:val="217E3138"/>
    <w:rsid w:val="217E4496"/>
    <w:rsid w:val="2182135D"/>
    <w:rsid w:val="218477E9"/>
    <w:rsid w:val="219043E0"/>
    <w:rsid w:val="219367DB"/>
    <w:rsid w:val="219945A5"/>
    <w:rsid w:val="219F60BB"/>
    <w:rsid w:val="21A200B5"/>
    <w:rsid w:val="21A53649"/>
    <w:rsid w:val="21A64EFE"/>
    <w:rsid w:val="21C82EFF"/>
    <w:rsid w:val="21C91D98"/>
    <w:rsid w:val="21D241C3"/>
    <w:rsid w:val="21D941D2"/>
    <w:rsid w:val="21DA5B3D"/>
    <w:rsid w:val="21E00C53"/>
    <w:rsid w:val="21E83F50"/>
    <w:rsid w:val="21EA4C68"/>
    <w:rsid w:val="21EC2C98"/>
    <w:rsid w:val="21EC7A6A"/>
    <w:rsid w:val="21F23862"/>
    <w:rsid w:val="21F569C9"/>
    <w:rsid w:val="21FB4F40"/>
    <w:rsid w:val="21FE059F"/>
    <w:rsid w:val="21FE20DB"/>
    <w:rsid w:val="22034C35"/>
    <w:rsid w:val="220410CA"/>
    <w:rsid w:val="2204304E"/>
    <w:rsid w:val="22090841"/>
    <w:rsid w:val="220A5F40"/>
    <w:rsid w:val="220D0D94"/>
    <w:rsid w:val="220E0B12"/>
    <w:rsid w:val="22210861"/>
    <w:rsid w:val="222155FF"/>
    <w:rsid w:val="22234E00"/>
    <w:rsid w:val="22252D7A"/>
    <w:rsid w:val="22284E63"/>
    <w:rsid w:val="22293A5E"/>
    <w:rsid w:val="22330863"/>
    <w:rsid w:val="22371A51"/>
    <w:rsid w:val="22384994"/>
    <w:rsid w:val="224C1FC3"/>
    <w:rsid w:val="224D701B"/>
    <w:rsid w:val="22535AB9"/>
    <w:rsid w:val="225C00DC"/>
    <w:rsid w:val="225C4D3E"/>
    <w:rsid w:val="2262204C"/>
    <w:rsid w:val="22627DAF"/>
    <w:rsid w:val="22670177"/>
    <w:rsid w:val="226A285B"/>
    <w:rsid w:val="227061CA"/>
    <w:rsid w:val="2270753A"/>
    <w:rsid w:val="22742085"/>
    <w:rsid w:val="227D71B5"/>
    <w:rsid w:val="22823DD4"/>
    <w:rsid w:val="22835CF3"/>
    <w:rsid w:val="2285525B"/>
    <w:rsid w:val="228D4154"/>
    <w:rsid w:val="228E78D6"/>
    <w:rsid w:val="229047D0"/>
    <w:rsid w:val="229A284A"/>
    <w:rsid w:val="229C1B61"/>
    <w:rsid w:val="229E3C2F"/>
    <w:rsid w:val="22A0592E"/>
    <w:rsid w:val="22A06449"/>
    <w:rsid w:val="22A06A92"/>
    <w:rsid w:val="22A25B85"/>
    <w:rsid w:val="22A35CB5"/>
    <w:rsid w:val="22A36A86"/>
    <w:rsid w:val="22A855AA"/>
    <w:rsid w:val="22AA2C67"/>
    <w:rsid w:val="22B12116"/>
    <w:rsid w:val="22B345A3"/>
    <w:rsid w:val="22C06220"/>
    <w:rsid w:val="22C568C2"/>
    <w:rsid w:val="22C742FA"/>
    <w:rsid w:val="22CD203B"/>
    <w:rsid w:val="22D16A5E"/>
    <w:rsid w:val="22D226CB"/>
    <w:rsid w:val="22D36A05"/>
    <w:rsid w:val="22D36C8C"/>
    <w:rsid w:val="22DB5FB9"/>
    <w:rsid w:val="22E62FDA"/>
    <w:rsid w:val="22E87A62"/>
    <w:rsid w:val="22EA5C2F"/>
    <w:rsid w:val="22EC3EF5"/>
    <w:rsid w:val="22ED566F"/>
    <w:rsid w:val="22FA5834"/>
    <w:rsid w:val="230839FC"/>
    <w:rsid w:val="2314691E"/>
    <w:rsid w:val="2316141D"/>
    <w:rsid w:val="2318065D"/>
    <w:rsid w:val="231921B3"/>
    <w:rsid w:val="231E2831"/>
    <w:rsid w:val="23232128"/>
    <w:rsid w:val="23247529"/>
    <w:rsid w:val="2326270D"/>
    <w:rsid w:val="23290648"/>
    <w:rsid w:val="23340A3D"/>
    <w:rsid w:val="23362DF7"/>
    <w:rsid w:val="233E3859"/>
    <w:rsid w:val="233E3ECE"/>
    <w:rsid w:val="233E6594"/>
    <w:rsid w:val="23470D04"/>
    <w:rsid w:val="234A449F"/>
    <w:rsid w:val="234A756B"/>
    <w:rsid w:val="234C1AB4"/>
    <w:rsid w:val="234D075F"/>
    <w:rsid w:val="23554005"/>
    <w:rsid w:val="235B7C1B"/>
    <w:rsid w:val="235D6576"/>
    <w:rsid w:val="235E4DA3"/>
    <w:rsid w:val="23607DE2"/>
    <w:rsid w:val="236115DD"/>
    <w:rsid w:val="23621DAC"/>
    <w:rsid w:val="23675615"/>
    <w:rsid w:val="236D0BFF"/>
    <w:rsid w:val="236F3EA9"/>
    <w:rsid w:val="2377256D"/>
    <w:rsid w:val="237E5CCB"/>
    <w:rsid w:val="238146A2"/>
    <w:rsid w:val="23871813"/>
    <w:rsid w:val="238767A9"/>
    <w:rsid w:val="23881703"/>
    <w:rsid w:val="23897406"/>
    <w:rsid w:val="238976EE"/>
    <w:rsid w:val="238E39AC"/>
    <w:rsid w:val="238E494F"/>
    <w:rsid w:val="238E4E19"/>
    <w:rsid w:val="23900F76"/>
    <w:rsid w:val="23956F10"/>
    <w:rsid w:val="2397141A"/>
    <w:rsid w:val="2398045C"/>
    <w:rsid w:val="23A3212E"/>
    <w:rsid w:val="23A32E0B"/>
    <w:rsid w:val="23AB5ACB"/>
    <w:rsid w:val="23AE2D05"/>
    <w:rsid w:val="23AE654C"/>
    <w:rsid w:val="23AE6D9F"/>
    <w:rsid w:val="23B00D6A"/>
    <w:rsid w:val="23B343B6"/>
    <w:rsid w:val="23B77102"/>
    <w:rsid w:val="23B826C9"/>
    <w:rsid w:val="23B95DEA"/>
    <w:rsid w:val="23BE2FAF"/>
    <w:rsid w:val="23C30A9D"/>
    <w:rsid w:val="23C34FD7"/>
    <w:rsid w:val="23C35F67"/>
    <w:rsid w:val="23C36E9D"/>
    <w:rsid w:val="23C93FD3"/>
    <w:rsid w:val="23CD36CA"/>
    <w:rsid w:val="23D80D48"/>
    <w:rsid w:val="23DC308E"/>
    <w:rsid w:val="23DE05D1"/>
    <w:rsid w:val="23DF51AB"/>
    <w:rsid w:val="23E53618"/>
    <w:rsid w:val="23E65999"/>
    <w:rsid w:val="23E86A33"/>
    <w:rsid w:val="23EA67BA"/>
    <w:rsid w:val="23F97C80"/>
    <w:rsid w:val="23FC0124"/>
    <w:rsid w:val="23FE5310"/>
    <w:rsid w:val="23FF584D"/>
    <w:rsid w:val="24045E4F"/>
    <w:rsid w:val="240871DF"/>
    <w:rsid w:val="240B708F"/>
    <w:rsid w:val="24125894"/>
    <w:rsid w:val="241814FB"/>
    <w:rsid w:val="241B585C"/>
    <w:rsid w:val="24274416"/>
    <w:rsid w:val="24282688"/>
    <w:rsid w:val="24284200"/>
    <w:rsid w:val="242B7B71"/>
    <w:rsid w:val="242D5F16"/>
    <w:rsid w:val="2431393B"/>
    <w:rsid w:val="2434107D"/>
    <w:rsid w:val="2435609A"/>
    <w:rsid w:val="243645A8"/>
    <w:rsid w:val="24390D5F"/>
    <w:rsid w:val="243B28D6"/>
    <w:rsid w:val="24444663"/>
    <w:rsid w:val="24466FD8"/>
    <w:rsid w:val="24485338"/>
    <w:rsid w:val="24496B24"/>
    <w:rsid w:val="244E4AA7"/>
    <w:rsid w:val="244F0C85"/>
    <w:rsid w:val="244F3D3A"/>
    <w:rsid w:val="24516F53"/>
    <w:rsid w:val="24517096"/>
    <w:rsid w:val="24536F1E"/>
    <w:rsid w:val="24573672"/>
    <w:rsid w:val="245D2A2B"/>
    <w:rsid w:val="246062EC"/>
    <w:rsid w:val="24617B36"/>
    <w:rsid w:val="24661F94"/>
    <w:rsid w:val="247831E8"/>
    <w:rsid w:val="24797565"/>
    <w:rsid w:val="247A6E81"/>
    <w:rsid w:val="247F2ED6"/>
    <w:rsid w:val="24825A79"/>
    <w:rsid w:val="2483554A"/>
    <w:rsid w:val="24855D52"/>
    <w:rsid w:val="248A417F"/>
    <w:rsid w:val="2494482A"/>
    <w:rsid w:val="24A50F73"/>
    <w:rsid w:val="24A56DE4"/>
    <w:rsid w:val="24A91057"/>
    <w:rsid w:val="24AD0921"/>
    <w:rsid w:val="24B003B5"/>
    <w:rsid w:val="24B2466D"/>
    <w:rsid w:val="24B273B6"/>
    <w:rsid w:val="24B36813"/>
    <w:rsid w:val="24B40A7E"/>
    <w:rsid w:val="24B6741B"/>
    <w:rsid w:val="24BE5C6B"/>
    <w:rsid w:val="24C61268"/>
    <w:rsid w:val="24C7639C"/>
    <w:rsid w:val="24CB0B41"/>
    <w:rsid w:val="24CE01BE"/>
    <w:rsid w:val="24D22B05"/>
    <w:rsid w:val="24D9543C"/>
    <w:rsid w:val="24DC5887"/>
    <w:rsid w:val="24DD5DAB"/>
    <w:rsid w:val="24DF0DEC"/>
    <w:rsid w:val="24E0567E"/>
    <w:rsid w:val="24E1259D"/>
    <w:rsid w:val="24E32E28"/>
    <w:rsid w:val="24E339D1"/>
    <w:rsid w:val="24E85E13"/>
    <w:rsid w:val="24EA1A78"/>
    <w:rsid w:val="24F42861"/>
    <w:rsid w:val="24F664A2"/>
    <w:rsid w:val="24FA3925"/>
    <w:rsid w:val="24FA4867"/>
    <w:rsid w:val="24FE78B3"/>
    <w:rsid w:val="25031D09"/>
    <w:rsid w:val="25036BC7"/>
    <w:rsid w:val="25052602"/>
    <w:rsid w:val="25094B2F"/>
    <w:rsid w:val="250D6DED"/>
    <w:rsid w:val="25126E1A"/>
    <w:rsid w:val="25180847"/>
    <w:rsid w:val="2518574C"/>
    <w:rsid w:val="252A35E4"/>
    <w:rsid w:val="252B5AED"/>
    <w:rsid w:val="25343084"/>
    <w:rsid w:val="253577A1"/>
    <w:rsid w:val="253822D8"/>
    <w:rsid w:val="25393338"/>
    <w:rsid w:val="2541159F"/>
    <w:rsid w:val="254A5AA6"/>
    <w:rsid w:val="25596937"/>
    <w:rsid w:val="255D4DF4"/>
    <w:rsid w:val="257007B0"/>
    <w:rsid w:val="25700A77"/>
    <w:rsid w:val="257218A9"/>
    <w:rsid w:val="257415B5"/>
    <w:rsid w:val="25750975"/>
    <w:rsid w:val="25764371"/>
    <w:rsid w:val="25780273"/>
    <w:rsid w:val="25846815"/>
    <w:rsid w:val="2597752D"/>
    <w:rsid w:val="25A120B7"/>
    <w:rsid w:val="25A14FF9"/>
    <w:rsid w:val="25A20D3F"/>
    <w:rsid w:val="25A4123B"/>
    <w:rsid w:val="25A5186F"/>
    <w:rsid w:val="25A77F4A"/>
    <w:rsid w:val="25AD153A"/>
    <w:rsid w:val="25B20B86"/>
    <w:rsid w:val="25B42838"/>
    <w:rsid w:val="25B7731C"/>
    <w:rsid w:val="25B87CE4"/>
    <w:rsid w:val="25BD64A1"/>
    <w:rsid w:val="25C01D9B"/>
    <w:rsid w:val="25C16ED0"/>
    <w:rsid w:val="25CB59E7"/>
    <w:rsid w:val="25CE6981"/>
    <w:rsid w:val="25D12A33"/>
    <w:rsid w:val="25D36E01"/>
    <w:rsid w:val="25D54AB7"/>
    <w:rsid w:val="25D67461"/>
    <w:rsid w:val="25D845A8"/>
    <w:rsid w:val="25DB6AC3"/>
    <w:rsid w:val="25E0062C"/>
    <w:rsid w:val="25E351DA"/>
    <w:rsid w:val="25E44B41"/>
    <w:rsid w:val="25E87AC2"/>
    <w:rsid w:val="25F030B8"/>
    <w:rsid w:val="25F13E7E"/>
    <w:rsid w:val="25F3267D"/>
    <w:rsid w:val="25F51A27"/>
    <w:rsid w:val="25F71DC9"/>
    <w:rsid w:val="25FE35BD"/>
    <w:rsid w:val="26002BB7"/>
    <w:rsid w:val="260728DB"/>
    <w:rsid w:val="260B2245"/>
    <w:rsid w:val="260F637D"/>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808FA"/>
    <w:rsid w:val="265D45F1"/>
    <w:rsid w:val="265E32D9"/>
    <w:rsid w:val="265E44AA"/>
    <w:rsid w:val="26606471"/>
    <w:rsid w:val="266E6418"/>
    <w:rsid w:val="267271A4"/>
    <w:rsid w:val="26732B28"/>
    <w:rsid w:val="267D6BE6"/>
    <w:rsid w:val="267E5560"/>
    <w:rsid w:val="26813461"/>
    <w:rsid w:val="268253AA"/>
    <w:rsid w:val="26860B24"/>
    <w:rsid w:val="268A581F"/>
    <w:rsid w:val="268B3DB7"/>
    <w:rsid w:val="268B7B4B"/>
    <w:rsid w:val="268F635F"/>
    <w:rsid w:val="26925566"/>
    <w:rsid w:val="26981CD4"/>
    <w:rsid w:val="269A0703"/>
    <w:rsid w:val="269B185D"/>
    <w:rsid w:val="269B556C"/>
    <w:rsid w:val="26A83F7A"/>
    <w:rsid w:val="26AA4B1F"/>
    <w:rsid w:val="26AC3A6A"/>
    <w:rsid w:val="26AC45F9"/>
    <w:rsid w:val="26AD240F"/>
    <w:rsid w:val="26AD7276"/>
    <w:rsid w:val="26B05128"/>
    <w:rsid w:val="26B67971"/>
    <w:rsid w:val="26C1259F"/>
    <w:rsid w:val="26C22BA0"/>
    <w:rsid w:val="26C321FB"/>
    <w:rsid w:val="26CA5CFF"/>
    <w:rsid w:val="26CE51F6"/>
    <w:rsid w:val="26CF159D"/>
    <w:rsid w:val="26CF4594"/>
    <w:rsid w:val="26D059D1"/>
    <w:rsid w:val="26D47EE9"/>
    <w:rsid w:val="26D75A2C"/>
    <w:rsid w:val="26DC5B62"/>
    <w:rsid w:val="26E64BEB"/>
    <w:rsid w:val="26E878BE"/>
    <w:rsid w:val="26EA6341"/>
    <w:rsid w:val="26EB3E67"/>
    <w:rsid w:val="26ED3D12"/>
    <w:rsid w:val="26F64A1E"/>
    <w:rsid w:val="26F809AD"/>
    <w:rsid w:val="26F96584"/>
    <w:rsid w:val="26FC3CE5"/>
    <w:rsid w:val="270268A5"/>
    <w:rsid w:val="27052EC8"/>
    <w:rsid w:val="270F4476"/>
    <w:rsid w:val="270F4687"/>
    <w:rsid w:val="27111B1F"/>
    <w:rsid w:val="271557B1"/>
    <w:rsid w:val="271E2D89"/>
    <w:rsid w:val="27203D19"/>
    <w:rsid w:val="27244948"/>
    <w:rsid w:val="272529C6"/>
    <w:rsid w:val="273046D8"/>
    <w:rsid w:val="27356DDE"/>
    <w:rsid w:val="27397C46"/>
    <w:rsid w:val="273A4C87"/>
    <w:rsid w:val="273B1603"/>
    <w:rsid w:val="273C1C98"/>
    <w:rsid w:val="273C3A81"/>
    <w:rsid w:val="273C6BDB"/>
    <w:rsid w:val="2740066F"/>
    <w:rsid w:val="27452A11"/>
    <w:rsid w:val="27475CC3"/>
    <w:rsid w:val="27485BDC"/>
    <w:rsid w:val="27531970"/>
    <w:rsid w:val="2755085D"/>
    <w:rsid w:val="27585E02"/>
    <w:rsid w:val="275F590E"/>
    <w:rsid w:val="276A2872"/>
    <w:rsid w:val="276B1805"/>
    <w:rsid w:val="276D7FD5"/>
    <w:rsid w:val="276E6EBA"/>
    <w:rsid w:val="27710810"/>
    <w:rsid w:val="27712FCB"/>
    <w:rsid w:val="27713183"/>
    <w:rsid w:val="27717CE1"/>
    <w:rsid w:val="27737EFE"/>
    <w:rsid w:val="277451A4"/>
    <w:rsid w:val="2775397C"/>
    <w:rsid w:val="27791425"/>
    <w:rsid w:val="277B6A29"/>
    <w:rsid w:val="277F4CDB"/>
    <w:rsid w:val="277F7626"/>
    <w:rsid w:val="27806AB1"/>
    <w:rsid w:val="278B75CC"/>
    <w:rsid w:val="278F54A4"/>
    <w:rsid w:val="2790006B"/>
    <w:rsid w:val="27914C92"/>
    <w:rsid w:val="27925286"/>
    <w:rsid w:val="279F77AC"/>
    <w:rsid w:val="27A10C63"/>
    <w:rsid w:val="27A16FB4"/>
    <w:rsid w:val="27A320AD"/>
    <w:rsid w:val="27A44010"/>
    <w:rsid w:val="27A826F2"/>
    <w:rsid w:val="27AA4FD1"/>
    <w:rsid w:val="27AD2F22"/>
    <w:rsid w:val="27AF1191"/>
    <w:rsid w:val="27B47B6E"/>
    <w:rsid w:val="27B73B01"/>
    <w:rsid w:val="27BA7E94"/>
    <w:rsid w:val="27BC1289"/>
    <w:rsid w:val="27C3718B"/>
    <w:rsid w:val="27C81A55"/>
    <w:rsid w:val="27C93B7A"/>
    <w:rsid w:val="27CB099F"/>
    <w:rsid w:val="27D00B87"/>
    <w:rsid w:val="27D3336B"/>
    <w:rsid w:val="27ED7A75"/>
    <w:rsid w:val="27F531FE"/>
    <w:rsid w:val="27F6374C"/>
    <w:rsid w:val="27F82B1A"/>
    <w:rsid w:val="27F82CDF"/>
    <w:rsid w:val="27F93334"/>
    <w:rsid w:val="280933AC"/>
    <w:rsid w:val="280C03B4"/>
    <w:rsid w:val="280D1128"/>
    <w:rsid w:val="280E42B1"/>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41FFF"/>
    <w:rsid w:val="285717B4"/>
    <w:rsid w:val="28581280"/>
    <w:rsid w:val="285A6251"/>
    <w:rsid w:val="28682E1D"/>
    <w:rsid w:val="28693CE5"/>
    <w:rsid w:val="286A0725"/>
    <w:rsid w:val="286A209A"/>
    <w:rsid w:val="286B685C"/>
    <w:rsid w:val="286C5731"/>
    <w:rsid w:val="286D4BBF"/>
    <w:rsid w:val="28701194"/>
    <w:rsid w:val="28742C42"/>
    <w:rsid w:val="287F0D0A"/>
    <w:rsid w:val="28825B1F"/>
    <w:rsid w:val="2886653D"/>
    <w:rsid w:val="28870C79"/>
    <w:rsid w:val="288A239D"/>
    <w:rsid w:val="288E2AF9"/>
    <w:rsid w:val="28915DBA"/>
    <w:rsid w:val="28973803"/>
    <w:rsid w:val="289B35CE"/>
    <w:rsid w:val="289C357E"/>
    <w:rsid w:val="289D7FC3"/>
    <w:rsid w:val="289E3569"/>
    <w:rsid w:val="28A10C81"/>
    <w:rsid w:val="28AD0B47"/>
    <w:rsid w:val="28B21A43"/>
    <w:rsid w:val="28B25011"/>
    <w:rsid w:val="28B95C3A"/>
    <w:rsid w:val="28BF1DE4"/>
    <w:rsid w:val="28C17F6A"/>
    <w:rsid w:val="28C55DCF"/>
    <w:rsid w:val="28C710F6"/>
    <w:rsid w:val="28C94FA0"/>
    <w:rsid w:val="28CE6E5A"/>
    <w:rsid w:val="28D31580"/>
    <w:rsid w:val="28D3165D"/>
    <w:rsid w:val="28E271EC"/>
    <w:rsid w:val="28EA37A6"/>
    <w:rsid w:val="28EF347A"/>
    <w:rsid w:val="28F24FB3"/>
    <w:rsid w:val="28F4540B"/>
    <w:rsid w:val="28FA7D83"/>
    <w:rsid w:val="28FE3539"/>
    <w:rsid w:val="2905180D"/>
    <w:rsid w:val="290E1687"/>
    <w:rsid w:val="291C136C"/>
    <w:rsid w:val="292813A2"/>
    <w:rsid w:val="292826EF"/>
    <w:rsid w:val="292934FA"/>
    <w:rsid w:val="292C1CD4"/>
    <w:rsid w:val="292F4820"/>
    <w:rsid w:val="29333843"/>
    <w:rsid w:val="29335A4F"/>
    <w:rsid w:val="293621BA"/>
    <w:rsid w:val="29393618"/>
    <w:rsid w:val="293C5494"/>
    <w:rsid w:val="293D2A5A"/>
    <w:rsid w:val="294A4ABE"/>
    <w:rsid w:val="294B12BB"/>
    <w:rsid w:val="2951089C"/>
    <w:rsid w:val="295768AB"/>
    <w:rsid w:val="295952E0"/>
    <w:rsid w:val="295B046D"/>
    <w:rsid w:val="295D0E07"/>
    <w:rsid w:val="29652C20"/>
    <w:rsid w:val="29654989"/>
    <w:rsid w:val="29673E89"/>
    <w:rsid w:val="29685419"/>
    <w:rsid w:val="2969449A"/>
    <w:rsid w:val="296D3FA1"/>
    <w:rsid w:val="296E0B92"/>
    <w:rsid w:val="296F7730"/>
    <w:rsid w:val="29737978"/>
    <w:rsid w:val="297939AC"/>
    <w:rsid w:val="297D2CA7"/>
    <w:rsid w:val="297E3614"/>
    <w:rsid w:val="297F0291"/>
    <w:rsid w:val="297F0C58"/>
    <w:rsid w:val="298D7934"/>
    <w:rsid w:val="299115B8"/>
    <w:rsid w:val="299E3412"/>
    <w:rsid w:val="29A109C4"/>
    <w:rsid w:val="29A1367C"/>
    <w:rsid w:val="29A273A6"/>
    <w:rsid w:val="29A32E1D"/>
    <w:rsid w:val="29A547C1"/>
    <w:rsid w:val="29AA742B"/>
    <w:rsid w:val="29AB3C78"/>
    <w:rsid w:val="29AE4D06"/>
    <w:rsid w:val="29B03C5D"/>
    <w:rsid w:val="29B71B5A"/>
    <w:rsid w:val="29B87040"/>
    <w:rsid w:val="29C015DB"/>
    <w:rsid w:val="29CA2668"/>
    <w:rsid w:val="29CA5FDB"/>
    <w:rsid w:val="29CB18C2"/>
    <w:rsid w:val="29CF4056"/>
    <w:rsid w:val="29D311D3"/>
    <w:rsid w:val="29D43773"/>
    <w:rsid w:val="29DF4377"/>
    <w:rsid w:val="29E45FD6"/>
    <w:rsid w:val="29EE05BB"/>
    <w:rsid w:val="29EE70F8"/>
    <w:rsid w:val="29F74B46"/>
    <w:rsid w:val="29FD4993"/>
    <w:rsid w:val="2A005A48"/>
    <w:rsid w:val="2A021FC7"/>
    <w:rsid w:val="2A0E014A"/>
    <w:rsid w:val="2A0F2DFE"/>
    <w:rsid w:val="2A156FE8"/>
    <w:rsid w:val="2A195E4F"/>
    <w:rsid w:val="2A246249"/>
    <w:rsid w:val="2A304C00"/>
    <w:rsid w:val="2A305EC5"/>
    <w:rsid w:val="2A3232B1"/>
    <w:rsid w:val="2A331DAD"/>
    <w:rsid w:val="2A425B29"/>
    <w:rsid w:val="2A461AE0"/>
    <w:rsid w:val="2A4943DD"/>
    <w:rsid w:val="2A4D10C0"/>
    <w:rsid w:val="2A4E65A0"/>
    <w:rsid w:val="2A504798"/>
    <w:rsid w:val="2A506237"/>
    <w:rsid w:val="2A5617AE"/>
    <w:rsid w:val="2A5A1DC7"/>
    <w:rsid w:val="2A5C062F"/>
    <w:rsid w:val="2A63684D"/>
    <w:rsid w:val="2A636CEF"/>
    <w:rsid w:val="2A6574B9"/>
    <w:rsid w:val="2A6C6C26"/>
    <w:rsid w:val="2A6E3DB5"/>
    <w:rsid w:val="2A704D69"/>
    <w:rsid w:val="2A707189"/>
    <w:rsid w:val="2A77749E"/>
    <w:rsid w:val="2A7C7D51"/>
    <w:rsid w:val="2A803B27"/>
    <w:rsid w:val="2A9A007E"/>
    <w:rsid w:val="2A9F08B9"/>
    <w:rsid w:val="2AA64313"/>
    <w:rsid w:val="2AA65E6E"/>
    <w:rsid w:val="2AA9206F"/>
    <w:rsid w:val="2AAC68F3"/>
    <w:rsid w:val="2AB52D34"/>
    <w:rsid w:val="2AB66CE3"/>
    <w:rsid w:val="2ABF3731"/>
    <w:rsid w:val="2AC33130"/>
    <w:rsid w:val="2AC5133E"/>
    <w:rsid w:val="2AC735EC"/>
    <w:rsid w:val="2AC97C9E"/>
    <w:rsid w:val="2AD055B2"/>
    <w:rsid w:val="2AD6069C"/>
    <w:rsid w:val="2AD907FC"/>
    <w:rsid w:val="2AE662BD"/>
    <w:rsid w:val="2AE8517A"/>
    <w:rsid w:val="2AEE5410"/>
    <w:rsid w:val="2AF6270E"/>
    <w:rsid w:val="2AF7024D"/>
    <w:rsid w:val="2AFC5D88"/>
    <w:rsid w:val="2AFE7E70"/>
    <w:rsid w:val="2B090C2F"/>
    <w:rsid w:val="2B0A0D5F"/>
    <w:rsid w:val="2B0C45F7"/>
    <w:rsid w:val="2B0C6EDA"/>
    <w:rsid w:val="2B0E40AC"/>
    <w:rsid w:val="2B0F1C2C"/>
    <w:rsid w:val="2B107E88"/>
    <w:rsid w:val="2B17173C"/>
    <w:rsid w:val="2B1F461C"/>
    <w:rsid w:val="2B253071"/>
    <w:rsid w:val="2B285689"/>
    <w:rsid w:val="2B2A0E1E"/>
    <w:rsid w:val="2B2B4F13"/>
    <w:rsid w:val="2B306BF3"/>
    <w:rsid w:val="2B31133C"/>
    <w:rsid w:val="2B3264AA"/>
    <w:rsid w:val="2B327EC3"/>
    <w:rsid w:val="2B3348F1"/>
    <w:rsid w:val="2B34402E"/>
    <w:rsid w:val="2B367DA6"/>
    <w:rsid w:val="2B417FFD"/>
    <w:rsid w:val="2B422ED0"/>
    <w:rsid w:val="2B425999"/>
    <w:rsid w:val="2B497E01"/>
    <w:rsid w:val="2B592098"/>
    <w:rsid w:val="2B5B05AB"/>
    <w:rsid w:val="2B5E711F"/>
    <w:rsid w:val="2B604E23"/>
    <w:rsid w:val="2B606AE8"/>
    <w:rsid w:val="2B632B65"/>
    <w:rsid w:val="2B715AB4"/>
    <w:rsid w:val="2B73174E"/>
    <w:rsid w:val="2B7C5D7C"/>
    <w:rsid w:val="2B7E34FB"/>
    <w:rsid w:val="2B8248BC"/>
    <w:rsid w:val="2B833A7B"/>
    <w:rsid w:val="2B8774BE"/>
    <w:rsid w:val="2B8B199E"/>
    <w:rsid w:val="2B8D27F7"/>
    <w:rsid w:val="2B8E1DF7"/>
    <w:rsid w:val="2B955871"/>
    <w:rsid w:val="2B9B6D70"/>
    <w:rsid w:val="2B9D746B"/>
    <w:rsid w:val="2BA74D31"/>
    <w:rsid w:val="2BA81571"/>
    <w:rsid w:val="2BA87769"/>
    <w:rsid w:val="2BAA609E"/>
    <w:rsid w:val="2BAB641A"/>
    <w:rsid w:val="2BAC38E2"/>
    <w:rsid w:val="2BAE316D"/>
    <w:rsid w:val="2BB470CA"/>
    <w:rsid w:val="2BB67139"/>
    <w:rsid w:val="2BC74F7D"/>
    <w:rsid w:val="2BCD3A86"/>
    <w:rsid w:val="2BCD3DF5"/>
    <w:rsid w:val="2BCE71E2"/>
    <w:rsid w:val="2BD018F9"/>
    <w:rsid w:val="2BD110D6"/>
    <w:rsid w:val="2BD2531B"/>
    <w:rsid w:val="2BD41994"/>
    <w:rsid w:val="2BD50685"/>
    <w:rsid w:val="2BD75936"/>
    <w:rsid w:val="2BD82CCA"/>
    <w:rsid w:val="2BDB20B6"/>
    <w:rsid w:val="2BDC7630"/>
    <w:rsid w:val="2BDF067C"/>
    <w:rsid w:val="2BDF516A"/>
    <w:rsid w:val="2BE43803"/>
    <w:rsid w:val="2BE54830"/>
    <w:rsid w:val="2BE969DF"/>
    <w:rsid w:val="2BEB7FFC"/>
    <w:rsid w:val="2BED52D5"/>
    <w:rsid w:val="2BEE0681"/>
    <w:rsid w:val="2BF30B9C"/>
    <w:rsid w:val="2BF479F3"/>
    <w:rsid w:val="2BF71CAB"/>
    <w:rsid w:val="2BFE115E"/>
    <w:rsid w:val="2C0836E0"/>
    <w:rsid w:val="2C0D54D3"/>
    <w:rsid w:val="2C101CA7"/>
    <w:rsid w:val="2C113D09"/>
    <w:rsid w:val="2C1A287B"/>
    <w:rsid w:val="2C216426"/>
    <w:rsid w:val="2C234FD5"/>
    <w:rsid w:val="2C245E51"/>
    <w:rsid w:val="2C267377"/>
    <w:rsid w:val="2C2729DC"/>
    <w:rsid w:val="2C2A129B"/>
    <w:rsid w:val="2C2A71DF"/>
    <w:rsid w:val="2C2F1F88"/>
    <w:rsid w:val="2C310895"/>
    <w:rsid w:val="2C360CC0"/>
    <w:rsid w:val="2C372028"/>
    <w:rsid w:val="2C397505"/>
    <w:rsid w:val="2C46772D"/>
    <w:rsid w:val="2C4D184B"/>
    <w:rsid w:val="2C4F1F85"/>
    <w:rsid w:val="2C4F75D7"/>
    <w:rsid w:val="2C534988"/>
    <w:rsid w:val="2C58750C"/>
    <w:rsid w:val="2C5B1FF5"/>
    <w:rsid w:val="2C5E1510"/>
    <w:rsid w:val="2C694645"/>
    <w:rsid w:val="2C6A1210"/>
    <w:rsid w:val="2C6A4B15"/>
    <w:rsid w:val="2C6B6C79"/>
    <w:rsid w:val="2C6E531E"/>
    <w:rsid w:val="2C796E0D"/>
    <w:rsid w:val="2C7B3468"/>
    <w:rsid w:val="2C851A36"/>
    <w:rsid w:val="2C891D41"/>
    <w:rsid w:val="2C8D0F2C"/>
    <w:rsid w:val="2C8D5D2A"/>
    <w:rsid w:val="2C910C96"/>
    <w:rsid w:val="2C9379CB"/>
    <w:rsid w:val="2C9C632F"/>
    <w:rsid w:val="2C9C70CF"/>
    <w:rsid w:val="2CA03FF0"/>
    <w:rsid w:val="2CA13945"/>
    <w:rsid w:val="2CA56D57"/>
    <w:rsid w:val="2CB02CB3"/>
    <w:rsid w:val="2CB642A8"/>
    <w:rsid w:val="2CBC42DB"/>
    <w:rsid w:val="2CBF6B88"/>
    <w:rsid w:val="2CC46A08"/>
    <w:rsid w:val="2CC94B65"/>
    <w:rsid w:val="2CCC74CF"/>
    <w:rsid w:val="2CD04D1D"/>
    <w:rsid w:val="2CD33C4C"/>
    <w:rsid w:val="2CDD6CFC"/>
    <w:rsid w:val="2CE13F91"/>
    <w:rsid w:val="2CE17699"/>
    <w:rsid w:val="2CE97112"/>
    <w:rsid w:val="2CEE5603"/>
    <w:rsid w:val="2CEF2C72"/>
    <w:rsid w:val="2CF47537"/>
    <w:rsid w:val="2CF73565"/>
    <w:rsid w:val="2CF8140B"/>
    <w:rsid w:val="2CFA656E"/>
    <w:rsid w:val="2CFC5CA7"/>
    <w:rsid w:val="2CFF698D"/>
    <w:rsid w:val="2D051035"/>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5640A4"/>
    <w:rsid w:val="2D5C7FE7"/>
    <w:rsid w:val="2D614FAA"/>
    <w:rsid w:val="2D657CC1"/>
    <w:rsid w:val="2D66193E"/>
    <w:rsid w:val="2D6D2C39"/>
    <w:rsid w:val="2D746964"/>
    <w:rsid w:val="2D7C2D5B"/>
    <w:rsid w:val="2D8141B5"/>
    <w:rsid w:val="2D856DC3"/>
    <w:rsid w:val="2D893C01"/>
    <w:rsid w:val="2D897F30"/>
    <w:rsid w:val="2D8A262B"/>
    <w:rsid w:val="2D9D7454"/>
    <w:rsid w:val="2D9F229D"/>
    <w:rsid w:val="2DA3031E"/>
    <w:rsid w:val="2DA828C6"/>
    <w:rsid w:val="2DA8640F"/>
    <w:rsid w:val="2DB23820"/>
    <w:rsid w:val="2DB43D16"/>
    <w:rsid w:val="2DBF07D5"/>
    <w:rsid w:val="2DC13268"/>
    <w:rsid w:val="2DCD2C67"/>
    <w:rsid w:val="2DCE36AE"/>
    <w:rsid w:val="2DCE6885"/>
    <w:rsid w:val="2DD004DA"/>
    <w:rsid w:val="2DD03D29"/>
    <w:rsid w:val="2DD11FEE"/>
    <w:rsid w:val="2DD46412"/>
    <w:rsid w:val="2DD82AA2"/>
    <w:rsid w:val="2DD927D8"/>
    <w:rsid w:val="2DDC25C4"/>
    <w:rsid w:val="2DDC3E86"/>
    <w:rsid w:val="2DDC7275"/>
    <w:rsid w:val="2DE00B0E"/>
    <w:rsid w:val="2DEC54F1"/>
    <w:rsid w:val="2DF12348"/>
    <w:rsid w:val="2DF168E1"/>
    <w:rsid w:val="2DF30149"/>
    <w:rsid w:val="2DFE54AF"/>
    <w:rsid w:val="2E0156DF"/>
    <w:rsid w:val="2E05071F"/>
    <w:rsid w:val="2E0B47B9"/>
    <w:rsid w:val="2E0C40A2"/>
    <w:rsid w:val="2E0D315D"/>
    <w:rsid w:val="2E124646"/>
    <w:rsid w:val="2E18219C"/>
    <w:rsid w:val="2E25285A"/>
    <w:rsid w:val="2E255D34"/>
    <w:rsid w:val="2E275D77"/>
    <w:rsid w:val="2E277D71"/>
    <w:rsid w:val="2E335007"/>
    <w:rsid w:val="2E4011EF"/>
    <w:rsid w:val="2E440A2C"/>
    <w:rsid w:val="2E46330A"/>
    <w:rsid w:val="2E491F89"/>
    <w:rsid w:val="2E504BA5"/>
    <w:rsid w:val="2E50538B"/>
    <w:rsid w:val="2E584EA3"/>
    <w:rsid w:val="2E5952DE"/>
    <w:rsid w:val="2E5B1259"/>
    <w:rsid w:val="2E5D20DA"/>
    <w:rsid w:val="2E605F9B"/>
    <w:rsid w:val="2E630FA5"/>
    <w:rsid w:val="2E6324C9"/>
    <w:rsid w:val="2E681C88"/>
    <w:rsid w:val="2E6B52B9"/>
    <w:rsid w:val="2E706147"/>
    <w:rsid w:val="2E7E648C"/>
    <w:rsid w:val="2E8017D4"/>
    <w:rsid w:val="2E9640F1"/>
    <w:rsid w:val="2E99246D"/>
    <w:rsid w:val="2EA027A6"/>
    <w:rsid w:val="2EA6589C"/>
    <w:rsid w:val="2EAE2D9B"/>
    <w:rsid w:val="2EAF67A6"/>
    <w:rsid w:val="2EB060C2"/>
    <w:rsid w:val="2EB160F6"/>
    <w:rsid w:val="2EB4365B"/>
    <w:rsid w:val="2EBB5196"/>
    <w:rsid w:val="2EBE73DB"/>
    <w:rsid w:val="2EC473E8"/>
    <w:rsid w:val="2EC4756D"/>
    <w:rsid w:val="2EC61893"/>
    <w:rsid w:val="2EC65DD7"/>
    <w:rsid w:val="2ECA5640"/>
    <w:rsid w:val="2ECC4AEA"/>
    <w:rsid w:val="2ECD0396"/>
    <w:rsid w:val="2ECE5D33"/>
    <w:rsid w:val="2ED11ACB"/>
    <w:rsid w:val="2EDD2136"/>
    <w:rsid w:val="2EDE41BD"/>
    <w:rsid w:val="2EE059B8"/>
    <w:rsid w:val="2EE7432C"/>
    <w:rsid w:val="2EEF16F3"/>
    <w:rsid w:val="2EF0571D"/>
    <w:rsid w:val="2EF82A65"/>
    <w:rsid w:val="2EF83ED7"/>
    <w:rsid w:val="2EFA05C6"/>
    <w:rsid w:val="2EFA50C9"/>
    <w:rsid w:val="2EFB228D"/>
    <w:rsid w:val="2F023B01"/>
    <w:rsid w:val="2F045B74"/>
    <w:rsid w:val="2F0524BD"/>
    <w:rsid w:val="2F07678E"/>
    <w:rsid w:val="2F180520"/>
    <w:rsid w:val="2F1937A2"/>
    <w:rsid w:val="2F2510D8"/>
    <w:rsid w:val="2F264333"/>
    <w:rsid w:val="2F273289"/>
    <w:rsid w:val="2F2D22EF"/>
    <w:rsid w:val="2F2E7E21"/>
    <w:rsid w:val="2F340AA1"/>
    <w:rsid w:val="2F342034"/>
    <w:rsid w:val="2F342879"/>
    <w:rsid w:val="2F347481"/>
    <w:rsid w:val="2F3960B7"/>
    <w:rsid w:val="2F3D1A51"/>
    <w:rsid w:val="2F40407D"/>
    <w:rsid w:val="2F486C11"/>
    <w:rsid w:val="2F491C1A"/>
    <w:rsid w:val="2F494EE0"/>
    <w:rsid w:val="2F49502D"/>
    <w:rsid w:val="2F51710A"/>
    <w:rsid w:val="2F570083"/>
    <w:rsid w:val="2F5C11ED"/>
    <w:rsid w:val="2F663231"/>
    <w:rsid w:val="2F673C98"/>
    <w:rsid w:val="2F6C0A12"/>
    <w:rsid w:val="2F6D7EB6"/>
    <w:rsid w:val="2F6F3887"/>
    <w:rsid w:val="2F713B4C"/>
    <w:rsid w:val="2F715C08"/>
    <w:rsid w:val="2F7470EF"/>
    <w:rsid w:val="2F797D20"/>
    <w:rsid w:val="2F7F1E44"/>
    <w:rsid w:val="2F810A3C"/>
    <w:rsid w:val="2F83431F"/>
    <w:rsid w:val="2F874738"/>
    <w:rsid w:val="2F8C5AA7"/>
    <w:rsid w:val="2F8F6B96"/>
    <w:rsid w:val="2F926724"/>
    <w:rsid w:val="2F937A6B"/>
    <w:rsid w:val="2F982CE6"/>
    <w:rsid w:val="2F9D6D1B"/>
    <w:rsid w:val="2F9E0F27"/>
    <w:rsid w:val="2FA256FD"/>
    <w:rsid w:val="2FA671C0"/>
    <w:rsid w:val="2FAA53D5"/>
    <w:rsid w:val="2FAB13B4"/>
    <w:rsid w:val="2FAD7034"/>
    <w:rsid w:val="2FB8225B"/>
    <w:rsid w:val="2FC267D0"/>
    <w:rsid w:val="2FC5779A"/>
    <w:rsid w:val="2FC64D3D"/>
    <w:rsid w:val="2FCB21E6"/>
    <w:rsid w:val="2FCD78D1"/>
    <w:rsid w:val="2FCF07C9"/>
    <w:rsid w:val="2FCF603B"/>
    <w:rsid w:val="2FD06F3F"/>
    <w:rsid w:val="2FD072A0"/>
    <w:rsid w:val="2FD14239"/>
    <w:rsid w:val="2FD435B6"/>
    <w:rsid w:val="2FD43B0B"/>
    <w:rsid w:val="2FD71AA1"/>
    <w:rsid w:val="2FDD11B0"/>
    <w:rsid w:val="2FDD50E4"/>
    <w:rsid w:val="2FE11E00"/>
    <w:rsid w:val="2FE361F8"/>
    <w:rsid w:val="2FE57C2B"/>
    <w:rsid w:val="2FE926AD"/>
    <w:rsid w:val="2FEB7E18"/>
    <w:rsid w:val="2FED43B9"/>
    <w:rsid w:val="2FF11E19"/>
    <w:rsid w:val="2FF14C6B"/>
    <w:rsid w:val="2FF61CEA"/>
    <w:rsid w:val="2FF92DBF"/>
    <w:rsid w:val="2FF92DE8"/>
    <w:rsid w:val="2FFB75E1"/>
    <w:rsid w:val="2FFF72C7"/>
    <w:rsid w:val="300268C0"/>
    <w:rsid w:val="30062B2A"/>
    <w:rsid w:val="300920DD"/>
    <w:rsid w:val="30092446"/>
    <w:rsid w:val="30114956"/>
    <w:rsid w:val="301B7253"/>
    <w:rsid w:val="301F45BB"/>
    <w:rsid w:val="30201025"/>
    <w:rsid w:val="30205395"/>
    <w:rsid w:val="30246C5D"/>
    <w:rsid w:val="302A3FA0"/>
    <w:rsid w:val="302B18A7"/>
    <w:rsid w:val="302D076C"/>
    <w:rsid w:val="303109FF"/>
    <w:rsid w:val="30321923"/>
    <w:rsid w:val="303336F1"/>
    <w:rsid w:val="3034511B"/>
    <w:rsid w:val="303D1BD7"/>
    <w:rsid w:val="30464DF8"/>
    <w:rsid w:val="304852D9"/>
    <w:rsid w:val="30485980"/>
    <w:rsid w:val="30493D1E"/>
    <w:rsid w:val="30502A72"/>
    <w:rsid w:val="30533BF0"/>
    <w:rsid w:val="30570868"/>
    <w:rsid w:val="3059246E"/>
    <w:rsid w:val="30613BB6"/>
    <w:rsid w:val="30623BEB"/>
    <w:rsid w:val="306C2125"/>
    <w:rsid w:val="306F7D1F"/>
    <w:rsid w:val="30776A10"/>
    <w:rsid w:val="307849BD"/>
    <w:rsid w:val="307A6219"/>
    <w:rsid w:val="307A65E7"/>
    <w:rsid w:val="30876805"/>
    <w:rsid w:val="308C66BA"/>
    <w:rsid w:val="308D63B1"/>
    <w:rsid w:val="308E33BD"/>
    <w:rsid w:val="309243C0"/>
    <w:rsid w:val="309366EE"/>
    <w:rsid w:val="30967F2A"/>
    <w:rsid w:val="3097192C"/>
    <w:rsid w:val="30A43A04"/>
    <w:rsid w:val="30AC6360"/>
    <w:rsid w:val="30B31E2F"/>
    <w:rsid w:val="30BC166E"/>
    <w:rsid w:val="30C16271"/>
    <w:rsid w:val="30C2753C"/>
    <w:rsid w:val="30D54010"/>
    <w:rsid w:val="30D616E4"/>
    <w:rsid w:val="30D82034"/>
    <w:rsid w:val="30E1692A"/>
    <w:rsid w:val="30E21302"/>
    <w:rsid w:val="30E50BB8"/>
    <w:rsid w:val="30E52021"/>
    <w:rsid w:val="30E67B79"/>
    <w:rsid w:val="30E77F2D"/>
    <w:rsid w:val="30EE2C4E"/>
    <w:rsid w:val="30EE3768"/>
    <w:rsid w:val="30F00D60"/>
    <w:rsid w:val="30F2628E"/>
    <w:rsid w:val="30FA1E32"/>
    <w:rsid w:val="30FB18CD"/>
    <w:rsid w:val="3105294D"/>
    <w:rsid w:val="310D10D7"/>
    <w:rsid w:val="310E0C5A"/>
    <w:rsid w:val="31133FF6"/>
    <w:rsid w:val="3113776E"/>
    <w:rsid w:val="311741D6"/>
    <w:rsid w:val="31184882"/>
    <w:rsid w:val="311A478F"/>
    <w:rsid w:val="31224B74"/>
    <w:rsid w:val="3123679F"/>
    <w:rsid w:val="31242DF2"/>
    <w:rsid w:val="312851AF"/>
    <w:rsid w:val="3134250C"/>
    <w:rsid w:val="3134391B"/>
    <w:rsid w:val="313B0483"/>
    <w:rsid w:val="313C7325"/>
    <w:rsid w:val="314068EA"/>
    <w:rsid w:val="31424894"/>
    <w:rsid w:val="31433979"/>
    <w:rsid w:val="314B01C9"/>
    <w:rsid w:val="315174A9"/>
    <w:rsid w:val="315532A4"/>
    <w:rsid w:val="31623A20"/>
    <w:rsid w:val="31660F7A"/>
    <w:rsid w:val="31691900"/>
    <w:rsid w:val="316E1E81"/>
    <w:rsid w:val="31720587"/>
    <w:rsid w:val="31725087"/>
    <w:rsid w:val="317300E0"/>
    <w:rsid w:val="31740E76"/>
    <w:rsid w:val="31756BE4"/>
    <w:rsid w:val="31760E2E"/>
    <w:rsid w:val="317733BC"/>
    <w:rsid w:val="3178463E"/>
    <w:rsid w:val="31786E10"/>
    <w:rsid w:val="317A488F"/>
    <w:rsid w:val="317A70DE"/>
    <w:rsid w:val="317B29F4"/>
    <w:rsid w:val="31817D61"/>
    <w:rsid w:val="318871C0"/>
    <w:rsid w:val="318E2DD5"/>
    <w:rsid w:val="3192160B"/>
    <w:rsid w:val="31A264A1"/>
    <w:rsid w:val="31A50A12"/>
    <w:rsid w:val="31A70647"/>
    <w:rsid w:val="31A97CD4"/>
    <w:rsid w:val="31BB3CBD"/>
    <w:rsid w:val="31BD3D2A"/>
    <w:rsid w:val="31CC2278"/>
    <w:rsid w:val="31CD3F78"/>
    <w:rsid w:val="31D11A05"/>
    <w:rsid w:val="31D20449"/>
    <w:rsid w:val="31D660AB"/>
    <w:rsid w:val="31D94E07"/>
    <w:rsid w:val="31DC1241"/>
    <w:rsid w:val="31DC5B0D"/>
    <w:rsid w:val="31DD122B"/>
    <w:rsid w:val="31DD5420"/>
    <w:rsid w:val="31DE1229"/>
    <w:rsid w:val="31E26059"/>
    <w:rsid w:val="31E51C35"/>
    <w:rsid w:val="31E72C68"/>
    <w:rsid w:val="31E819E9"/>
    <w:rsid w:val="31ED5402"/>
    <w:rsid w:val="31EE14D6"/>
    <w:rsid w:val="31FB3AF8"/>
    <w:rsid w:val="31FE29E6"/>
    <w:rsid w:val="31FF5384"/>
    <w:rsid w:val="320233E7"/>
    <w:rsid w:val="320C736B"/>
    <w:rsid w:val="320D55D9"/>
    <w:rsid w:val="320D5F5E"/>
    <w:rsid w:val="3212799D"/>
    <w:rsid w:val="32173DD4"/>
    <w:rsid w:val="321A40FF"/>
    <w:rsid w:val="321C0BCB"/>
    <w:rsid w:val="322427B0"/>
    <w:rsid w:val="322D0304"/>
    <w:rsid w:val="323079C0"/>
    <w:rsid w:val="3231368A"/>
    <w:rsid w:val="32364BD8"/>
    <w:rsid w:val="32385BB7"/>
    <w:rsid w:val="323A1BEC"/>
    <w:rsid w:val="323C5EB7"/>
    <w:rsid w:val="3244009D"/>
    <w:rsid w:val="324444DB"/>
    <w:rsid w:val="324B7056"/>
    <w:rsid w:val="324F5600"/>
    <w:rsid w:val="325348A3"/>
    <w:rsid w:val="32550500"/>
    <w:rsid w:val="325761F6"/>
    <w:rsid w:val="32591CA8"/>
    <w:rsid w:val="32601BAD"/>
    <w:rsid w:val="32637F18"/>
    <w:rsid w:val="32696CB3"/>
    <w:rsid w:val="326D6D38"/>
    <w:rsid w:val="326E75A9"/>
    <w:rsid w:val="326E7F20"/>
    <w:rsid w:val="32880476"/>
    <w:rsid w:val="328829E7"/>
    <w:rsid w:val="32921DCF"/>
    <w:rsid w:val="32924A7A"/>
    <w:rsid w:val="3293788C"/>
    <w:rsid w:val="32953C2B"/>
    <w:rsid w:val="329A24E6"/>
    <w:rsid w:val="329E66F4"/>
    <w:rsid w:val="329F3F4A"/>
    <w:rsid w:val="32A12B73"/>
    <w:rsid w:val="32A2197D"/>
    <w:rsid w:val="32B73344"/>
    <w:rsid w:val="32B77369"/>
    <w:rsid w:val="32B85E47"/>
    <w:rsid w:val="32BB6FB8"/>
    <w:rsid w:val="32BC3287"/>
    <w:rsid w:val="32C20171"/>
    <w:rsid w:val="32C62B6A"/>
    <w:rsid w:val="32CD60F6"/>
    <w:rsid w:val="32D74F8B"/>
    <w:rsid w:val="32D86F59"/>
    <w:rsid w:val="32DA370D"/>
    <w:rsid w:val="32DB7441"/>
    <w:rsid w:val="32DC31C9"/>
    <w:rsid w:val="32DC7E6C"/>
    <w:rsid w:val="32DE0BE3"/>
    <w:rsid w:val="32DE61F5"/>
    <w:rsid w:val="32DF7E64"/>
    <w:rsid w:val="32E517B4"/>
    <w:rsid w:val="32F26CA9"/>
    <w:rsid w:val="32F6225A"/>
    <w:rsid w:val="32F858CF"/>
    <w:rsid w:val="32FE2CA4"/>
    <w:rsid w:val="33011F4B"/>
    <w:rsid w:val="330173AC"/>
    <w:rsid w:val="33052A92"/>
    <w:rsid w:val="330B1F84"/>
    <w:rsid w:val="330E164B"/>
    <w:rsid w:val="33183556"/>
    <w:rsid w:val="331F55C4"/>
    <w:rsid w:val="33206D08"/>
    <w:rsid w:val="33210319"/>
    <w:rsid w:val="33253A2F"/>
    <w:rsid w:val="3328113D"/>
    <w:rsid w:val="3328581F"/>
    <w:rsid w:val="33297B6F"/>
    <w:rsid w:val="3330630E"/>
    <w:rsid w:val="33335F42"/>
    <w:rsid w:val="33337581"/>
    <w:rsid w:val="33351018"/>
    <w:rsid w:val="333663A8"/>
    <w:rsid w:val="3337290D"/>
    <w:rsid w:val="333A67BD"/>
    <w:rsid w:val="333C73FB"/>
    <w:rsid w:val="333F1B48"/>
    <w:rsid w:val="33425EBF"/>
    <w:rsid w:val="33471CE9"/>
    <w:rsid w:val="33517C71"/>
    <w:rsid w:val="3353526D"/>
    <w:rsid w:val="335529B8"/>
    <w:rsid w:val="335644C5"/>
    <w:rsid w:val="335A30C7"/>
    <w:rsid w:val="335C2DD7"/>
    <w:rsid w:val="336554B1"/>
    <w:rsid w:val="33681032"/>
    <w:rsid w:val="336B3F0B"/>
    <w:rsid w:val="336D2B54"/>
    <w:rsid w:val="337D3365"/>
    <w:rsid w:val="33834D82"/>
    <w:rsid w:val="33860A50"/>
    <w:rsid w:val="3386411E"/>
    <w:rsid w:val="338B3D5B"/>
    <w:rsid w:val="338F6F80"/>
    <w:rsid w:val="33945A04"/>
    <w:rsid w:val="33991584"/>
    <w:rsid w:val="339930F4"/>
    <w:rsid w:val="339A583C"/>
    <w:rsid w:val="33A31E33"/>
    <w:rsid w:val="33AC0462"/>
    <w:rsid w:val="33AE6CC1"/>
    <w:rsid w:val="33B03FAC"/>
    <w:rsid w:val="33B421B0"/>
    <w:rsid w:val="33BF2510"/>
    <w:rsid w:val="33BF5467"/>
    <w:rsid w:val="33C16E22"/>
    <w:rsid w:val="33C75B55"/>
    <w:rsid w:val="33C93D7D"/>
    <w:rsid w:val="33D16C44"/>
    <w:rsid w:val="33DB0ED5"/>
    <w:rsid w:val="33DE220B"/>
    <w:rsid w:val="33EB7F14"/>
    <w:rsid w:val="33F21F29"/>
    <w:rsid w:val="33F26834"/>
    <w:rsid w:val="33F34E1E"/>
    <w:rsid w:val="33F73390"/>
    <w:rsid w:val="33F9419C"/>
    <w:rsid w:val="33FD0C97"/>
    <w:rsid w:val="34046E69"/>
    <w:rsid w:val="340526B5"/>
    <w:rsid w:val="341375A0"/>
    <w:rsid w:val="34173357"/>
    <w:rsid w:val="3423143C"/>
    <w:rsid w:val="3428192B"/>
    <w:rsid w:val="342C369D"/>
    <w:rsid w:val="342E427F"/>
    <w:rsid w:val="343838D2"/>
    <w:rsid w:val="343B6733"/>
    <w:rsid w:val="34430960"/>
    <w:rsid w:val="3445105A"/>
    <w:rsid w:val="344A37A2"/>
    <w:rsid w:val="344B0981"/>
    <w:rsid w:val="344E1DF2"/>
    <w:rsid w:val="34565133"/>
    <w:rsid w:val="345B33AF"/>
    <w:rsid w:val="34660611"/>
    <w:rsid w:val="347327B9"/>
    <w:rsid w:val="34734A0C"/>
    <w:rsid w:val="3475460B"/>
    <w:rsid w:val="34774148"/>
    <w:rsid w:val="34782459"/>
    <w:rsid w:val="347B2621"/>
    <w:rsid w:val="347E0F64"/>
    <w:rsid w:val="348070E2"/>
    <w:rsid w:val="34826C70"/>
    <w:rsid w:val="3485116E"/>
    <w:rsid w:val="34862BBB"/>
    <w:rsid w:val="34992951"/>
    <w:rsid w:val="34993154"/>
    <w:rsid w:val="349D2529"/>
    <w:rsid w:val="34A453B5"/>
    <w:rsid w:val="34AE0A15"/>
    <w:rsid w:val="34B02DAC"/>
    <w:rsid w:val="34B122CB"/>
    <w:rsid w:val="34B47F8E"/>
    <w:rsid w:val="34BB1E7B"/>
    <w:rsid w:val="34C56961"/>
    <w:rsid w:val="34C82195"/>
    <w:rsid w:val="34CB75C7"/>
    <w:rsid w:val="34D03392"/>
    <w:rsid w:val="34D25125"/>
    <w:rsid w:val="34D4413B"/>
    <w:rsid w:val="34D72719"/>
    <w:rsid w:val="34D763B1"/>
    <w:rsid w:val="34DB376C"/>
    <w:rsid w:val="34E15A43"/>
    <w:rsid w:val="34E33E5A"/>
    <w:rsid w:val="34E43E05"/>
    <w:rsid w:val="34EF615B"/>
    <w:rsid w:val="34F33048"/>
    <w:rsid w:val="34F66837"/>
    <w:rsid w:val="34F77D82"/>
    <w:rsid w:val="34FD6F26"/>
    <w:rsid w:val="35035FDF"/>
    <w:rsid w:val="35061A99"/>
    <w:rsid w:val="35067BB9"/>
    <w:rsid w:val="350D0108"/>
    <w:rsid w:val="350F6A9B"/>
    <w:rsid w:val="35121317"/>
    <w:rsid w:val="351247C5"/>
    <w:rsid w:val="35166E3A"/>
    <w:rsid w:val="351C15B4"/>
    <w:rsid w:val="351E5285"/>
    <w:rsid w:val="352154A3"/>
    <w:rsid w:val="352549E8"/>
    <w:rsid w:val="352640B9"/>
    <w:rsid w:val="352772BF"/>
    <w:rsid w:val="35295E27"/>
    <w:rsid w:val="352A0883"/>
    <w:rsid w:val="352B601F"/>
    <w:rsid w:val="353225C6"/>
    <w:rsid w:val="35386636"/>
    <w:rsid w:val="3543203E"/>
    <w:rsid w:val="3549334A"/>
    <w:rsid w:val="354953D9"/>
    <w:rsid w:val="354A0F55"/>
    <w:rsid w:val="354C7172"/>
    <w:rsid w:val="354E3F3E"/>
    <w:rsid w:val="35540FBC"/>
    <w:rsid w:val="35541C5A"/>
    <w:rsid w:val="35546F49"/>
    <w:rsid w:val="3559505A"/>
    <w:rsid w:val="355A2109"/>
    <w:rsid w:val="356604F2"/>
    <w:rsid w:val="35681DBF"/>
    <w:rsid w:val="356A06CD"/>
    <w:rsid w:val="356C71F7"/>
    <w:rsid w:val="356D6F9D"/>
    <w:rsid w:val="356F00C3"/>
    <w:rsid w:val="3570703F"/>
    <w:rsid w:val="35733A3C"/>
    <w:rsid w:val="357C00B2"/>
    <w:rsid w:val="357D5D1F"/>
    <w:rsid w:val="358200C9"/>
    <w:rsid w:val="35873AB8"/>
    <w:rsid w:val="35881BC1"/>
    <w:rsid w:val="358A766C"/>
    <w:rsid w:val="358D55D8"/>
    <w:rsid w:val="358D74A7"/>
    <w:rsid w:val="358E07DF"/>
    <w:rsid w:val="35915770"/>
    <w:rsid w:val="35921BAF"/>
    <w:rsid w:val="35925CC0"/>
    <w:rsid w:val="359978AF"/>
    <w:rsid w:val="359F15F2"/>
    <w:rsid w:val="35A24C16"/>
    <w:rsid w:val="35AB1391"/>
    <w:rsid w:val="35AE13BD"/>
    <w:rsid w:val="35AE773D"/>
    <w:rsid w:val="35B21F27"/>
    <w:rsid w:val="35BA721E"/>
    <w:rsid w:val="35BF753A"/>
    <w:rsid w:val="35CC56B2"/>
    <w:rsid w:val="35CC7787"/>
    <w:rsid w:val="35CE4F37"/>
    <w:rsid w:val="35D8780F"/>
    <w:rsid w:val="35DC1D21"/>
    <w:rsid w:val="35DE7B0B"/>
    <w:rsid w:val="35DF52A2"/>
    <w:rsid w:val="35DF6792"/>
    <w:rsid w:val="35E11256"/>
    <w:rsid w:val="35E311FD"/>
    <w:rsid w:val="35E31D01"/>
    <w:rsid w:val="35E328D9"/>
    <w:rsid w:val="35E41DE4"/>
    <w:rsid w:val="35E434B6"/>
    <w:rsid w:val="35E900C9"/>
    <w:rsid w:val="35F2781E"/>
    <w:rsid w:val="35F807C3"/>
    <w:rsid w:val="35F83599"/>
    <w:rsid w:val="35F9034E"/>
    <w:rsid w:val="35FB0B4E"/>
    <w:rsid w:val="35FE4580"/>
    <w:rsid w:val="36006743"/>
    <w:rsid w:val="36023168"/>
    <w:rsid w:val="360724F6"/>
    <w:rsid w:val="36074246"/>
    <w:rsid w:val="36085232"/>
    <w:rsid w:val="360B25AA"/>
    <w:rsid w:val="36124F3D"/>
    <w:rsid w:val="36173F07"/>
    <w:rsid w:val="361B40AD"/>
    <w:rsid w:val="361F29DA"/>
    <w:rsid w:val="36237D7E"/>
    <w:rsid w:val="362A21E9"/>
    <w:rsid w:val="362E4AFE"/>
    <w:rsid w:val="36304B9F"/>
    <w:rsid w:val="36334998"/>
    <w:rsid w:val="36366ADC"/>
    <w:rsid w:val="36381D85"/>
    <w:rsid w:val="363B2CDE"/>
    <w:rsid w:val="3640049A"/>
    <w:rsid w:val="364968F7"/>
    <w:rsid w:val="36532F26"/>
    <w:rsid w:val="365427BD"/>
    <w:rsid w:val="36581FF2"/>
    <w:rsid w:val="36592B9B"/>
    <w:rsid w:val="36617B89"/>
    <w:rsid w:val="36643AD4"/>
    <w:rsid w:val="36644B96"/>
    <w:rsid w:val="36657FCF"/>
    <w:rsid w:val="366C114E"/>
    <w:rsid w:val="36763CBD"/>
    <w:rsid w:val="367D39C1"/>
    <w:rsid w:val="36854599"/>
    <w:rsid w:val="36865CDA"/>
    <w:rsid w:val="3686617C"/>
    <w:rsid w:val="36873BAC"/>
    <w:rsid w:val="368C08B7"/>
    <w:rsid w:val="36924958"/>
    <w:rsid w:val="369736C3"/>
    <w:rsid w:val="36991B41"/>
    <w:rsid w:val="369B16D6"/>
    <w:rsid w:val="369D6F18"/>
    <w:rsid w:val="369E4A52"/>
    <w:rsid w:val="369F59E2"/>
    <w:rsid w:val="36A21741"/>
    <w:rsid w:val="36A31B5B"/>
    <w:rsid w:val="36AC3EBC"/>
    <w:rsid w:val="36AD1DE0"/>
    <w:rsid w:val="36B101C4"/>
    <w:rsid w:val="36B32A36"/>
    <w:rsid w:val="36B826F1"/>
    <w:rsid w:val="36BC68BF"/>
    <w:rsid w:val="36C25212"/>
    <w:rsid w:val="36CD56F9"/>
    <w:rsid w:val="36D14E3D"/>
    <w:rsid w:val="36D175D4"/>
    <w:rsid w:val="36DE0D50"/>
    <w:rsid w:val="36E26C99"/>
    <w:rsid w:val="36E533A4"/>
    <w:rsid w:val="36E575E1"/>
    <w:rsid w:val="36E63933"/>
    <w:rsid w:val="36E76E82"/>
    <w:rsid w:val="36EA3035"/>
    <w:rsid w:val="36EC173A"/>
    <w:rsid w:val="36FA466C"/>
    <w:rsid w:val="37026D81"/>
    <w:rsid w:val="37105007"/>
    <w:rsid w:val="371443D4"/>
    <w:rsid w:val="37166C3A"/>
    <w:rsid w:val="371B3526"/>
    <w:rsid w:val="371E522F"/>
    <w:rsid w:val="37206767"/>
    <w:rsid w:val="372513F3"/>
    <w:rsid w:val="37256F21"/>
    <w:rsid w:val="37285FEC"/>
    <w:rsid w:val="37305D1F"/>
    <w:rsid w:val="373F126C"/>
    <w:rsid w:val="37400093"/>
    <w:rsid w:val="37402A6D"/>
    <w:rsid w:val="374A1FC0"/>
    <w:rsid w:val="3757450C"/>
    <w:rsid w:val="375B1557"/>
    <w:rsid w:val="375F6CBD"/>
    <w:rsid w:val="37610B5A"/>
    <w:rsid w:val="37651E38"/>
    <w:rsid w:val="37695016"/>
    <w:rsid w:val="376B5A96"/>
    <w:rsid w:val="376C6DA2"/>
    <w:rsid w:val="37756591"/>
    <w:rsid w:val="37793E31"/>
    <w:rsid w:val="37795241"/>
    <w:rsid w:val="37845600"/>
    <w:rsid w:val="37882034"/>
    <w:rsid w:val="378C255B"/>
    <w:rsid w:val="37944D80"/>
    <w:rsid w:val="37970B94"/>
    <w:rsid w:val="37A02EC8"/>
    <w:rsid w:val="37A40AEF"/>
    <w:rsid w:val="37B1584B"/>
    <w:rsid w:val="37B364F4"/>
    <w:rsid w:val="37B63E61"/>
    <w:rsid w:val="37B7316D"/>
    <w:rsid w:val="37B81102"/>
    <w:rsid w:val="37BD4CBF"/>
    <w:rsid w:val="37C81BFA"/>
    <w:rsid w:val="37D90435"/>
    <w:rsid w:val="37DC018B"/>
    <w:rsid w:val="37E17560"/>
    <w:rsid w:val="37E22B1A"/>
    <w:rsid w:val="37E76B7F"/>
    <w:rsid w:val="37EF401E"/>
    <w:rsid w:val="37F10E54"/>
    <w:rsid w:val="37F225D4"/>
    <w:rsid w:val="37F31167"/>
    <w:rsid w:val="37F529D4"/>
    <w:rsid w:val="37FD4F13"/>
    <w:rsid w:val="37FE007A"/>
    <w:rsid w:val="380008A3"/>
    <w:rsid w:val="380134EA"/>
    <w:rsid w:val="380333D6"/>
    <w:rsid w:val="380F5EC1"/>
    <w:rsid w:val="38105CDB"/>
    <w:rsid w:val="38121939"/>
    <w:rsid w:val="381651A4"/>
    <w:rsid w:val="38290536"/>
    <w:rsid w:val="3829101F"/>
    <w:rsid w:val="382C078B"/>
    <w:rsid w:val="383B0C89"/>
    <w:rsid w:val="383D40AB"/>
    <w:rsid w:val="383E64EC"/>
    <w:rsid w:val="38433BDD"/>
    <w:rsid w:val="384416EC"/>
    <w:rsid w:val="38447388"/>
    <w:rsid w:val="38461B9C"/>
    <w:rsid w:val="38510EFC"/>
    <w:rsid w:val="3851592F"/>
    <w:rsid w:val="38526A63"/>
    <w:rsid w:val="38537E39"/>
    <w:rsid w:val="38571176"/>
    <w:rsid w:val="38626CC8"/>
    <w:rsid w:val="386B30DE"/>
    <w:rsid w:val="386B5DC1"/>
    <w:rsid w:val="386C0A07"/>
    <w:rsid w:val="386D44AC"/>
    <w:rsid w:val="386F48F8"/>
    <w:rsid w:val="386F6210"/>
    <w:rsid w:val="387B5C92"/>
    <w:rsid w:val="38861A05"/>
    <w:rsid w:val="38876F62"/>
    <w:rsid w:val="388C7258"/>
    <w:rsid w:val="3896584D"/>
    <w:rsid w:val="389B574B"/>
    <w:rsid w:val="389C3213"/>
    <w:rsid w:val="389C378F"/>
    <w:rsid w:val="38A11EC5"/>
    <w:rsid w:val="38AC48C5"/>
    <w:rsid w:val="38AD679B"/>
    <w:rsid w:val="38AE35DE"/>
    <w:rsid w:val="38BB416B"/>
    <w:rsid w:val="38BF21D1"/>
    <w:rsid w:val="38C10471"/>
    <w:rsid w:val="38C355AA"/>
    <w:rsid w:val="38C52E3D"/>
    <w:rsid w:val="38C83FF0"/>
    <w:rsid w:val="38C86D04"/>
    <w:rsid w:val="38C96CF2"/>
    <w:rsid w:val="38CE7EB7"/>
    <w:rsid w:val="38CF2505"/>
    <w:rsid w:val="38D458F8"/>
    <w:rsid w:val="38D86DE0"/>
    <w:rsid w:val="38DB01DF"/>
    <w:rsid w:val="38DD6256"/>
    <w:rsid w:val="38E02743"/>
    <w:rsid w:val="38E37BAE"/>
    <w:rsid w:val="38EB0A32"/>
    <w:rsid w:val="38EC2D49"/>
    <w:rsid w:val="38ED0B23"/>
    <w:rsid w:val="38F117B0"/>
    <w:rsid w:val="39044A5A"/>
    <w:rsid w:val="390507B1"/>
    <w:rsid w:val="390C02B1"/>
    <w:rsid w:val="390D08D5"/>
    <w:rsid w:val="3910792C"/>
    <w:rsid w:val="39143A77"/>
    <w:rsid w:val="39151602"/>
    <w:rsid w:val="391F701A"/>
    <w:rsid w:val="392745D5"/>
    <w:rsid w:val="39294CFB"/>
    <w:rsid w:val="392B02BB"/>
    <w:rsid w:val="392C13EC"/>
    <w:rsid w:val="392C282A"/>
    <w:rsid w:val="3931698D"/>
    <w:rsid w:val="39341331"/>
    <w:rsid w:val="39364D27"/>
    <w:rsid w:val="39386492"/>
    <w:rsid w:val="393C2422"/>
    <w:rsid w:val="393F5780"/>
    <w:rsid w:val="39423DBA"/>
    <w:rsid w:val="39431B8C"/>
    <w:rsid w:val="39456F8E"/>
    <w:rsid w:val="39553AED"/>
    <w:rsid w:val="39577187"/>
    <w:rsid w:val="395A5F0C"/>
    <w:rsid w:val="395B7590"/>
    <w:rsid w:val="395C1320"/>
    <w:rsid w:val="395D4130"/>
    <w:rsid w:val="39616936"/>
    <w:rsid w:val="396A1777"/>
    <w:rsid w:val="396B02C6"/>
    <w:rsid w:val="396C236B"/>
    <w:rsid w:val="3971644D"/>
    <w:rsid w:val="39767495"/>
    <w:rsid w:val="398268AC"/>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BD2DD1"/>
    <w:rsid w:val="39BF18AF"/>
    <w:rsid w:val="39C41C14"/>
    <w:rsid w:val="39C80A8D"/>
    <w:rsid w:val="39C938CA"/>
    <w:rsid w:val="39CF096F"/>
    <w:rsid w:val="39CF0EB9"/>
    <w:rsid w:val="39D05A14"/>
    <w:rsid w:val="39D06808"/>
    <w:rsid w:val="39DB4CE6"/>
    <w:rsid w:val="39DE53C7"/>
    <w:rsid w:val="39DF4897"/>
    <w:rsid w:val="39E06224"/>
    <w:rsid w:val="39E61D6F"/>
    <w:rsid w:val="39E91392"/>
    <w:rsid w:val="39F219A7"/>
    <w:rsid w:val="39F93242"/>
    <w:rsid w:val="39FC5137"/>
    <w:rsid w:val="39FE09F6"/>
    <w:rsid w:val="3A016D69"/>
    <w:rsid w:val="3A040B3D"/>
    <w:rsid w:val="3A0D1AF2"/>
    <w:rsid w:val="3A0D7A02"/>
    <w:rsid w:val="3A143E05"/>
    <w:rsid w:val="3A152706"/>
    <w:rsid w:val="3A203C52"/>
    <w:rsid w:val="3A206220"/>
    <w:rsid w:val="3A2E2E7A"/>
    <w:rsid w:val="3A3B4787"/>
    <w:rsid w:val="3A3C1552"/>
    <w:rsid w:val="3A3C2311"/>
    <w:rsid w:val="3A412B35"/>
    <w:rsid w:val="3A474EE5"/>
    <w:rsid w:val="3A486B9E"/>
    <w:rsid w:val="3A5055E8"/>
    <w:rsid w:val="3A53517D"/>
    <w:rsid w:val="3A536E79"/>
    <w:rsid w:val="3A6125AC"/>
    <w:rsid w:val="3A65416C"/>
    <w:rsid w:val="3A6B0562"/>
    <w:rsid w:val="3A6D5F4A"/>
    <w:rsid w:val="3A6F2444"/>
    <w:rsid w:val="3A7201A6"/>
    <w:rsid w:val="3A7C65B9"/>
    <w:rsid w:val="3A7E4F3F"/>
    <w:rsid w:val="3A8A6E53"/>
    <w:rsid w:val="3A8F045E"/>
    <w:rsid w:val="3A8F4182"/>
    <w:rsid w:val="3A96260F"/>
    <w:rsid w:val="3A9643BE"/>
    <w:rsid w:val="3A9E3028"/>
    <w:rsid w:val="3A9E3EE3"/>
    <w:rsid w:val="3A9F49DB"/>
    <w:rsid w:val="3AA0704F"/>
    <w:rsid w:val="3AA21E9E"/>
    <w:rsid w:val="3AA564CE"/>
    <w:rsid w:val="3AAA2401"/>
    <w:rsid w:val="3AAA2A55"/>
    <w:rsid w:val="3AAA2E69"/>
    <w:rsid w:val="3AAA6116"/>
    <w:rsid w:val="3AAE2550"/>
    <w:rsid w:val="3AB20CDA"/>
    <w:rsid w:val="3AB40CE8"/>
    <w:rsid w:val="3AB75361"/>
    <w:rsid w:val="3ABA2FDA"/>
    <w:rsid w:val="3ABD3D8E"/>
    <w:rsid w:val="3ABF15A9"/>
    <w:rsid w:val="3AC5493D"/>
    <w:rsid w:val="3ACA3605"/>
    <w:rsid w:val="3ACB7EAD"/>
    <w:rsid w:val="3ACE223C"/>
    <w:rsid w:val="3AD969A0"/>
    <w:rsid w:val="3AE1383E"/>
    <w:rsid w:val="3AE7587A"/>
    <w:rsid w:val="3AEF4E4A"/>
    <w:rsid w:val="3AF003CC"/>
    <w:rsid w:val="3AF64C7C"/>
    <w:rsid w:val="3AF831C5"/>
    <w:rsid w:val="3AFA0907"/>
    <w:rsid w:val="3AFB37EC"/>
    <w:rsid w:val="3B065D26"/>
    <w:rsid w:val="3B066961"/>
    <w:rsid w:val="3B0A287C"/>
    <w:rsid w:val="3B0C5F4D"/>
    <w:rsid w:val="3B111F91"/>
    <w:rsid w:val="3B1B2C63"/>
    <w:rsid w:val="3B2553D6"/>
    <w:rsid w:val="3B2D05F1"/>
    <w:rsid w:val="3B2D3BC0"/>
    <w:rsid w:val="3B2E592B"/>
    <w:rsid w:val="3B2E64C8"/>
    <w:rsid w:val="3B345814"/>
    <w:rsid w:val="3B370071"/>
    <w:rsid w:val="3B3836C7"/>
    <w:rsid w:val="3B3A7141"/>
    <w:rsid w:val="3B3B461C"/>
    <w:rsid w:val="3B4D19D8"/>
    <w:rsid w:val="3B5673AB"/>
    <w:rsid w:val="3B570CE4"/>
    <w:rsid w:val="3B572962"/>
    <w:rsid w:val="3B6829F3"/>
    <w:rsid w:val="3B75292C"/>
    <w:rsid w:val="3B752F12"/>
    <w:rsid w:val="3B7A6DF8"/>
    <w:rsid w:val="3B7C0F27"/>
    <w:rsid w:val="3B7D0D01"/>
    <w:rsid w:val="3B831405"/>
    <w:rsid w:val="3B834513"/>
    <w:rsid w:val="3B85331D"/>
    <w:rsid w:val="3B867795"/>
    <w:rsid w:val="3B945F10"/>
    <w:rsid w:val="3B954359"/>
    <w:rsid w:val="3B9D7836"/>
    <w:rsid w:val="3BA00D9D"/>
    <w:rsid w:val="3BA126CE"/>
    <w:rsid w:val="3BA55C6D"/>
    <w:rsid w:val="3BAA3708"/>
    <w:rsid w:val="3BAE26B7"/>
    <w:rsid w:val="3BAE6DA7"/>
    <w:rsid w:val="3BB91F30"/>
    <w:rsid w:val="3BBB26F7"/>
    <w:rsid w:val="3BBC1AA9"/>
    <w:rsid w:val="3BBE184E"/>
    <w:rsid w:val="3BC075C0"/>
    <w:rsid w:val="3BC46D08"/>
    <w:rsid w:val="3BC7163B"/>
    <w:rsid w:val="3BC75B75"/>
    <w:rsid w:val="3BD032D6"/>
    <w:rsid w:val="3BE56F8F"/>
    <w:rsid w:val="3BF078EE"/>
    <w:rsid w:val="3BF46798"/>
    <w:rsid w:val="3BF92556"/>
    <w:rsid w:val="3BFA4CB3"/>
    <w:rsid w:val="3C027831"/>
    <w:rsid w:val="3C0D13E4"/>
    <w:rsid w:val="3C0E353E"/>
    <w:rsid w:val="3C0E5A8B"/>
    <w:rsid w:val="3C0F399B"/>
    <w:rsid w:val="3C11184D"/>
    <w:rsid w:val="3C2441B6"/>
    <w:rsid w:val="3C274289"/>
    <w:rsid w:val="3C294317"/>
    <w:rsid w:val="3C2C2A11"/>
    <w:rsid w:val="3C2E2341"/>
    <w:rsid w:val="3C2F1664"/>
    <w:rsid w:val="3C335C3C"/>
    <w:rsid w:val="3C355E58"/>
    <w:rsid w:val="3C3A5AE6"/>
    <w:rsid w:val="3C4064C6"/>
    <w:rsid w:val="3C4601D0"/>
    <w:rsid w:val="3C517DF7"/>
    <w:rsid w:val="3C645DC6"/>
    <w:rsid w:val="3C657FF0"/>
    <w:rsid w:val="3C661F89"/>
    <w:rsid w:val="3C671A65"/>
    <w:rsid w:val="3C683C2C"/>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AF40F6"/>
    <w:rsid w:val="3CB14071"/>
    <w:rsid w:val="3CB96322"/>
    <w:rsid w:val="3CBD03CA"/>
    <w:rsid w:val="3CC01BC6"/>
    <w:rsid w:val="3CC15C9B"/>
    <w:rsid w:val="3CC53809"/>
    <w:rsid w:val="3CC61E8C"/>
    <w:rsid w:val="3CC904A8"/>
    <w:rsid w:val="3CCB1BA7"/>
    <w:rsid w:val="3CCF16E6"/>
    <w:rsid w:val="3CD655AD"/>
    <w:rsid w:val="3CDA7291"/>
    <w:rsid w:val="3CDD0059"/>
    <w:rsid w:val="3CE01F7E"/>
    <w:rsid w:val="3CE62B39"/>
    <w:rsid w:val="3CF1111D"/>
    <w:rsid w:val="3CF138CB"/>
    <w:rsid w:val="3CF371EE"/>
    <w:rsid w:val="3CF61143"/>
    <w:rsid w:val="3CFE449C"/>
    <w:rsid w:val="3CFF4796"/>
    <w:rsid w:val="3CFF66B2"/>
    <w:rsid w:val="3D0774FE"/>
    <w:rsid w:val="3D096893"/>
    <w:rsid w:val="3D0F0E62"/>
    <w:rsid w:val="3D115F7D"/>
    <w:rsid w:val="3D137575"/>
    <w:rsid w:val="3D146A84"/>
    <w:rsid w:val="3D154570"/>
    <w:rsid w:val="3D164912"/>
    <w:rsid w:val="3D1B14CB"/>
    <w:rsid w:val="3D1D4DA6"/>
    <w:rsid w:val="3D1E069A"/>
    <w:rsid w:val="3D1F6473"/>
    <w:rsid w:val="3D2743BF"/>
    <w:rsid w:val="3D3B1276"/>
    <w:rsid w:val="3D3B262F"/>
    <w:rsid w:val="3D464ADF"/>
    <w:rsid w:val="3D490E8C"/>
    <w:rsid w:val="3D4B66C7"/>
    <w:rsid w:val="3D4D2D2E"/>
    <w:rsid w:val="3D562006"/>
    <w:rsid w:val="3D6267D9"/>
    <w:rsid w:val="3D760DBA"/>
    <w:rsid w:val="3D7D7AB7"/>
    <w:rsid w:val="3D803103"/>
    <w:rsid w:val="3D81493E"/>
    <w:rsid w:val="3D822ECA"/>
    <w:rsid w:val="3D831E37"/>
    <w:rsid w:val="3D8E5B39"/>
    <w:rsid w:val="3D90446B"/>
    <w:rsid w:val="3D924268"/>
    <w:rsid w:val="3D960C48"/>
    <w:rsid w:val="3D9864A7"/>
    <w:rsid w:val="3D9A20BD"/>
    <w:rsid w:val="3DA33106"/>
    <w:rsid w:val="3DA63AA0"/>
    <w:rsid w:val="3DA74D36"/>
    <w:rsid w:val="3DA81F07"/>
    <w:rsid w:val="3DA948D7"/>
    <w:rsid w:val="3DAE5EC2"/>
    <w:rsid w:val="3DB11E3E"/>
    <w:rsid w:val="3DB44B31"/>
    <w:rsid w:val="3DB66B25"/>
    <w:rsid w:val="3DBA398D"/>
    <w:rsid w:val="3DC70113"/>
    <w:rsid w:val="3DCA59B2"/>
    <w:rsid w:val="3DCB2960"/>
    <w:rsid w:val="3DCC24C5"/>
    <w:rsid w:val="3DCE46CE"/>
    <w:rsid w:val="3DD1570D"/>
    <w:rsid w:val="3DD23BEF"/>
    <w:rsid w:val="3DD84322"/>
    <w:rsid w:val="3DE03DE1"/>
    <w:rsid w:val="3DE2791A"/>
    <w:rsid w:val="3DE42D75"/>
    <w:rsid w:val="3DEA024F"/>
    <w:rsid w:val="3DF15B9E"/>
    <w:rsid w:val="3DF2697E"/>
    <w:rsid w:val="3DF45B36"/>
    <w:rsid w:val="3DF5116A"/>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81E73"/>
    <w:rsid w:val="3E4F444D"/>
    <w:rsid w:val="3E573E64"/>
    <w:rsid w:val="3E58343E"/>
    <w:rsid w:val="3E5C76CC"/>
    <w:rsid w:val="3E5D0455"/>
    <w:rsid w:val="3E5F540E"/>
    <w:rsid w:val="3E634BA8"/>
    <w:rsid w:val="3E693B97"/>
    <w:rsid w:val="3E6C3854"/>
    <w:rsid w:val="3E6E3E2D"/>
    <w:rsid w:val="3E770DC2"/>
    <w:rsid w:val="3E7A1D2B"/>
    <w:rsid w:val="3E7B2C6B"/>
    <w:rsid w:val="3E7D3F55"/>
    <w:rsid w:val="3E7E178B"/>
    <w:rsid w:val="3E820EEC"/>
    <w:rsid w:val="3E84445A"/>
    <w:rsid w:val="3E87553C"/>
    <w:rsid w:val="3E907666"/>
    <w:rsid w:val="3E9358D5"/>
    <w:rsid w:val="3E962A3C"/>
    <w:rsid w:val="3E9A6446"/>
    <w:rsid w:val="3E9E31CD"/>
    <w:rsid w:val="3E9E4D17"/>
    <w:rsid w:val="3EA3354D"/>
    <w:rsid w:val="3EAD7F28"/>
    <w:rsid w:val="3EAE5A4E"/>
    <w:rsid w:val="3EBA1196"/>
    <w:rsid w:val="3EBB2EB1"/>
    <w:rsid w:val="3EC03908"/>
    <w:rsid w:val="3EC865DC"/>
    <w:rsid w:val="3EC92999"/>
    <w:rsid w:val="3ECA1FF9"/>
    <w:rsid w:val="3EDC6382"/>
    <w:rsid w:val="3EE67F03"/>
    <w:rsid w:val="3EEB052C"/>
    <w:rsid w:val="3EEF6989"/>
    <w:rsid w:val="3EF50ECF"/>
    <w:rsid w:val="3EF57293"/>
    <w:rsid w:val="3EF60F41"/>
    <w:rsid w:val="3F046524"/>
    <w:rsid w:val="3F072978"/>
    <w:rsid w:val="3F087854"/>
    <w:rsid w:val="3F187707"/>
    <w:rsid w:val="3F19736B"/>
    <w:rsid w:val="3F1D5E18"/>
    <w:rsid w:val="3F1E26A7"/>
    <w:rsid w:val="3F231E9F"/>
    <w:rsid w:val="3F2521B4"/>
    <w:rsid w:val="3F2D2E17"/>
    <w:rsid w:val="3F2D4041"/>
    <w:rsid w:val="3F2F1E2C"/>
    <w:rsid w:val="3F33337A"/>
    <w:rsid w:val="3F396F56"/>
    <w:rsid w:val="3F3A49D1"/>
    <w:rsid w:val="3F3B1F4F"/>
    <w:rsid w:val="3F3C4649"/>
    <w:rsid w:val="3F46349C"/>
    <w:rsid w:val="3F497D84"/>
    <w:rsid w:val="3F4E60CF"/>
    <w:rsid w:val="3F4F6836"/>
    <w:rsid w:val="3F542A99"/>
    <w:rsid w:val="3F5B1D1E"/>
    <w:rsid w:val="3F5E38E4"/>
    <w:rsid w:val="3F5E636D"/>
    <w:rsid w:val="3F635E9E"/>
    <w:rsid w:val="3F6544F0"/>
    <w:rsid w:val="3F664888"/>
    <w:rsid w:val="3F706DDD"/>
    <w:rsid w:val="3F7E4CEE"/>
    <w:rsid w:val="3F7F5BAB"/>
    <w:rsid w:val="3F806F52"/>
    <w:rsid w:val="3F8643DE"/>
    <w:rsid w:val="3F8C422C"/>
    <w:rsid w:val="3F8F07D0"/>
    <w:rsid w:val="3F906F2B"/>
    <w:rsid w:val="3F914B4C"/>
    <w:rsid w:val="3F996EF8"/>
    <w:rsid w:val="3FA23805"/>
    <w:rsid w:val="3FA66370"/>
    <w:rsid w:val="3FAC2959"/>
    <w:rsid w:val="3FAF485D"/>
    <w:rsid w:val="3FB1517B"/>
    <w:rsid w:val="3FBA7699"/>
    <w:rsid w:val="3FBD4DD9"/>
    <w:rsid w:val="3FC574F3"/>
    <w:rsid w:val="3FCA0999"/>
    <w:rsid w:val="3FD15E98"/>
    <w:rsid w:val="3FD258D7"/>
    <w:rsid w:val="3FD53A0B"/>
    <w:rsid w:val="3FD63CE2"/>
    <w:rsid w:val="3FD96181"/>
    <w:rsid w:val="3FDA4D4C"/>
    <w:rsid w:val="3FDC15B5"/>
    <w:rsid w:val="3FE22BCE"/>
    <w:rsid w:val="3FEA1E74"/>
    <w:rsid w:val="3FEA4055"/>
    <w:rsid w:val="3FF13812"/>
    <w:rsid w:val="3FF13F4A"/>
    <w:rsid w:val="3FF77D02"/>
    <w:rsid w:val="3FF96230"/>
    <w:rsid w:val="3FFB7D65"/>
    <w:rsid w:val="4002719C"/>
    <w:rsid w:val="400B13AA"/>
    <w:rsid w:val="400E605C"/>
    <w:rsid w:val="400F0731"/>
    <w:rsid w:val="40124602"/>
    <w:rsid w:val="401340C3"/>
    <w:rsid w:val="40140D7C"/>
    <w:rsid w:val="401531D7"/>
    <w:rsid w:val="401665E6"/>
    <w:rsid w:val="40172BA0"/>
    <w:rsid w:val="402661E4"/>
    <w:rsid w:val="40295C25"/>
    <w:rsid w:val="402B014D"/>
    <w:rsid w:val="402D41F4"/>
    <w:rsid w:val="402E32EA"/>
    <w:rsid w:val="40414A80"/>
    <w:rsid w:val="4045442C"/>
    <w:rsid w:val="40477D91"/>
    <w:rsid w:val="40493C80"/>
    <w:rsid w:val="4049772B"/>
    <w:rsid w:val="404A30EA"/>
    <w:rsid w:val="404A4C27"/>
    <w:rsid w:val="40535C13"/>
    <w:rsid w:val="40547796"/>
    <w:rsid w:val="405A5E8D"/>
    <w:rsid w:val="406011E1"/>
    <w:rsid w:val="40655EA2"/>
    <w:rsid w:val="406C194A"/>
    <w:rsid w:val="4073079B"/>
    <w:rsid w:val="40750F19"/>
    <w:rsid w:val="40772C5C"/>
    <w:rsid w:val="40797AC9"/>
    <w:rsid w:val="40850AF6"/>
    <w:rsid w:val="40853139"/>
    <w:rsid w:val="40867291"/>
    <w:rsid w:val="40893D86"/>
    <w:rsid w:val="408C7AAF"/>
    <w:rsid w:val="40922089"/>
    <w:rsid w:val="409809E7"/>
    <w:rsid w:val="409C0254"/>
    <w:rsid w:val="40B01879"/>
    <w:rsid w:val="40B27718"/>
    <w:rsid w:val="40B46FB0"/>
    <w:rsid w:val="40B60038"/>
    <w:rsid w:val="40B732E0"/>
    <w:rsid w:val="40BA44E5"/>
    <w:rsid w:val="40CE4A65"/>
    <w:rsid w:val="40CE74E9"/>
    <w:rsid w:val="40D40F2D"/>
    <w:rsid w:val="40D4444D"/>
    <w:rsid w:val="40D83289"/>
    <w:rsid w:val="40E16687"/>
    <w:rsid w:val="40E340D5"/>
    <w:rsid w:val="40E53625"/>
    <w:rsid w:val="40E666D6"/>
    <w:rsid w:val="40EC3054"/>
    <w:rsid w:val="40ED1EE8"/>
    <w:rsid w:val="40EF2472"/>
    <w:rsid w:val="40F43CAD"/>
    <w:rsid w:val="40F677BC"/>
    <w:rsid w:val="40FA4F7A"/>
    <w:rsid w:val="41076015"/>
    <w:rsid w:val="410B0729"/>
    <w:rsid w:val="410D2AEC"/>
    <w:rsid w:val="410D4291"/>
    <w:rsid w:val="41194BA2"/>
    <w:rsid w:val="411A5509"/>
    <w:rsid w:val="411B0212"/>
    <w:rsid w:val="411C377C"/>
    <w:rsid w:val="411C62FC"/>
    <w:rsid w:val="41213F6D"/>
    <w:rsid w:val="4125112D"/>
    <w:rsid w:val="412732C0"/>
    <w:rsid w:val="412C6A12"/>
    <w:rsid w:val="412E4849"/>
    <w:rsid w:val="41320FF8"/>
    <w:rsid w:val="41395578"/>
    <w:rsid w:val="413B32C1"/>
    <w:rsid w:val="41411DB9"/>
    <w:rsid w:val="41417FB7"/>
    <w:rsid w:val="41427591"/>
    <w:rsid w:val="41490DDA"/>
    <w:rsid w:val="41493B90"/>
    <w:rsid w:val="414B088B"/>
    <w:rsid w:val="414C5505"/>
    <w:rsid w:val="415E02D0"/>
    <w:rsid w:val="415F5DDD"/>
    <w:rsid w:val="416275BE"/>
    <w:rsid w:val="41685710"/>
    <w:rsid w:val="41755E76"/>
    <w:rsid w:val="4175614E"/>
    <w:rsid w:val="417879C3"/>
    <w:rsid w:val="417F4792"/>
    <w:rsid w:val="418C4B15"/>
    <w:rsid w:val="419148E6"/>
    <w:rsid w:val="41A04232"/>
    <w:rsid w:val="41AC3202"/>
    <w:rsid w:val="41AE1CB5"/>
    <w:rsid w:val="41B07729"/>
    <w:rsid w:val="41B36C44"/>
    <w:rsid w:val="41B810BD"/>
    <w:rsid w:val="41B81EDF"/>
    <w:rsid w:val="41B83F03"/>
    <w:rsid w:val="41C05F42"/>
    <w:rsid w:val="41C30648"/>
    <w:rsid w:val="41C43E6C"/>
    <w:rsid w:val="41C71076"/>
    <w:rsid w:val="41C9241A"/>
    <w:rsid w:val="41CC4D9B"/>
    <w:rsid w:val="41CF2491"/>
    <w:rsid w:val="41D40CE2"/>
    <w:rsid w:val="41D91A59"/>
    <w:rsid w:val="41D935C1"/>
    <w:rsid w:val="41E73751"/>
    <w:rsid w:val="41E77BF5"/>
    <w:rsid w:val="41F61516"/>
    <w:rsid w:val="41F72FDC"/>
    <w:rsid w:val="41FC0454"/>
    <w:rsid w:val="41FE1C88"/>
    <w:rsid w:val="4201219D"/>
    <w:rsid w:val="420211AD"/>
    <w:rsid w:val="4203444F"/>
    <w:rsid w:val="420368B1"/>
    <w:rsid w:val="42092259"/>
    <w:rsid w:val="42093287"/>
    <w:rsid w:val="420E3125"/>
    <w:rsid w:val="420E6F2F"/>
    <w:rsid w:val="420F6DFD"/>
    <w:rsid w:val="42147D6E"/>
    <w:rsid w:val="421A2497"/>
    <w:rsid w:val="421F7186"/>
    <w:rsid w:val="42226E7D"/>
    <w:rsid w:val="42233E63"/>
    <w:rsid w:val="42251300"/>
    <w:rsid w:val="4227444D"/>
    <w:rsid w:val="42277EB2"/>
    <w:rsid w:val="4232345B"/>
    <w:rsid w:val="423346D0"/>
    <w:rsid w:val="42357DC7"/>
    <w:rsid w:val="423B6E95"/>
    <w:rsid w:val="423C2495"/>
    <w:rsid w:val="423E69D7"/>
    <w:rsid w:val="42451AAC"/>
    <w:rsid w:val="42456560"/>
    <w:rsid w:val="42467EAF"/>
    <w:rsid w:val="424A7EFD"/>
    <w:rsid w:val="424B24A9"/>
    <w:rsid w:val="424C38D8"/>
    <w:rsid w:val="425210D4"/>
    <w:rsid w:val="42530267"/>
    <w:rsid w:val="425E70F3"/>
    <w:rsid w:val="426B6130"/>
    <w:rsid w:val="426F4AAD"/>
    <w:rsid w:val="427730C7"/>
    <w:rsid w:val="427752E1"/>
    <w:rsid w:val="4278084D"/>
    <w:rsid w:val="42784CF1"/>
    <w:rsid w:val="4278783A"/>
    <w:rsid w:val="427B1071"/>
    <w:rsid w:val="427E267E"/>
    <w:rsid w:val="42902CE7"/>
    <w:rsid w:val="42985594"/>
    <w:rsid w:val="429F5DD9"/>
    <w:rsid w:val="42A317AB"/>
    <w:rsid w:val="42A86B39"/>
    <w:rsid w:val="42A87384"/>
    <w:rsid w:val="42AA0A51"/>
    <w:rsid w:val="42AD6748"/>
    <w:rsid w:val="42B51FA7"/>
    <w:rsid w:val="42B95AB6"/>
    <w:rsid w:val="42BA228C"/>
    <w:rsid w:val="42BA48A5"/>
    <w:rsid w:val="42BB47D3"/>
    <w:rsid w:val="42BB6928"/>
    <w:rsid w:val="42BF4034"/>
    <w:rsid w:val="42BF5F20"/>
    <w:rsid w:val="42BF7F14"/>
    <w:rsid w:val="42C67F37"/>
    <w:rsid w:val="42CD34F7"/>
    <w:rsid w:val="42CD70C2"/>
    <w:rsid w:val="42D05B7F"/>
    <w:rsid w:val="42D640CA"/>
    <w:rsid w:val="42D66736"/>
    <w:rsid w:val="42D97C30"/>
    <w:rsid w:val="42DA5077"/>
    <w:rsid w:val="42E11BF5"/>
    <w:rsid w:val="42E269EB"/>
    <w:rsid w:val="42E321A9"/>
    <w:rsid w:val="42E554E0"/>
    <w:rsid w:val="42E97466"/>
    <w:rsid w:val="42EB5AC1"/>
    <w:rsid w:val="42F00D2B"/>
    <w:rsid w:val="42F425C9"/>
    <w:rsid w:val="42F51AFD"/>
    <w:rsid w:val="42F60492"/>
    <w:rsid w:val="42F76CD6"/>
    <w:rsid w:val="42FD30CD"/>
    <w:rsid w:val="42FD5C09"/>
    <w:rsid w:val="42FE0E99"/>
    <w:rsid w:val="42FF223C"/>
    <w:rsid w:val="430232CA"/>
    <w:rsid w:val="4305314E"/>
    <w:rsid w:val="43107A85"/>
    <w:rsid w:val="431113F0"/>
    <w:rsid w:val="43161807"/>
    <w:rsid w:val="431D42A6"/>
    <w:rsid w:val="431E3B67"/>
    <w:rsid w:val="4322021F"/>
    <w:rsid w:val="432944B7"/>
    <w:rsid w:val="432A67CF"/>
    <w:rsid w:val="432F268D"/>
    <w:rsid w:val="4330185F"/>
    <w:rsid w:val="433B3037"/>
    <w:rsid w:val="43414A3E"/>
    <w:rsid w:val="43465273"/>
    <w:rsid w:val="43482915"/>
    <w:rsid w:val="434B037E"/>
    <w:rsid w:val="434D1551"/>
    <w:rsid w:val="43541381"/>
    <w:rsid w:val="435D4C3C"/>
    <w:rsid w:val="43624E4E"/>
    <w:rsid w:val="436332AB"/>
    <w:rsid w:val="436F74B5"/>
    <w:rsid w:val="43733939"/>
    <w:rsid w:val="4378523D"/>
    <w:rsid w:val="437B51FC"/>
    <w:rsid w:val="437E00E5"/>
    <w:rsid w:val="437E7862"/>
    <w:rsid w:val="43821076"/>
    <w:rsid w:val="4387766A"/>
    <w:rsid w:val="438A7C4E"/>
    <w:rsid w:val="438C12E1"/>
    <w:rsid w:val="438C45B0"/>
    <w:rsid w:val="43916D8B"/>
    <w:rsid w:val="43973010"/>
    <w:rsid w:val="439A62FE"/>
    <w:rsid w:val="439B0C97"/>
    <w:rsid w:val="439C344C"/>
    <w:rsid w:val="43A22570"/>
    <w:rsid w:val="43A41B85"/>
    <w:rsid w:val="43AC53AA"/>
    <w:rsid w:val="43B223EC"/>
    <w:rsid w:val="43B439EA"/>
    <w:rsid w:val="43BA0D53"/>
    <w:rsid w:val="43C6661D"/>
    <w:rsid w:val="43C7394C"/>
    <w:rsid w:val="43D0355E"/>
    <w:rsid w:val="43D23F8D"/>
    <w:rsid w:val="43D35D51"/>
    <w:rsid w:val="43D817BA"/>
    <w:rsid w:val="43D83358"/>
    <w:rsid w:val="43D83C3A"/>
    <w:rsid w:val="43D85252"/>
    <w:rsid w:val="43D91A30"/>
    <w:rsid w:val="43D94062"/>
    <w:rsid w:val="43DB5251"/>
    <w:rsid w:val="43DB7CBB"/>
    <w:rsid w:val="43DE59AF"/>
    <w:rsid w:val="43E0178D"/>
    <w:rsid w:val="43ED2915"/>
    <w:rsid w:val="43F12F5E"/>
    <w:rsid w:val="43F33709"/>
    <w:rsid w:val="43FC34AC"/>
    <w:rsid w:val="43FE4B31"/>
    <w:rsid w:val="440568F6"/>
    <w:rsid w:val="440D558D"/>
    <w:rsid w:val="440F301E"/>
    <w:rsid w:val="440F5413"/>
    <w:rsid w:val="44144A0B"/>
    <w:rsid w:val="44165C5B"/>
    <w:rsid w:val="4418112F"/>
    <w:rsid w:val="44195384"/>
    <w:rsid w:val="441A188A"/>
    <w:rsid w:val="441B3F16"/>
    <w:rsid w:val="44202793"/>
    <w:rsid w:val="442120E8"/>
    <w:rsid w:val="44220D74"/>
    <w:rsid w:val="442615AD"/>
    <w:rsid w:val="44332EE6"/>
    <w:rsid w:val="44352C51"/>
    <w:rsid w:val="443732BE"/>
    <w:rsid w:val="4439521C"/>
    <w:rsid w:val="443E5762"/>
    <w:rsid w:val="444038ED"/>
    <w:rsid w:val="44417B97"/>
    <w:rsid w:val="44434539"/>
    <w:rsid w:val="444A55C6"/>
    <w:rsid w:val="444B07AA"/>
    <w:rsid w:val="444B17F6"/>
    <w:rsid w:val="444E7618"/>
    <w:rsid w:val="4451621B"/>
    <w:rsid w:val="44521DB8"/>
    <w:rsid w:val="445A46AE"/>
    <w:rsid w:val="445B70C7"/>
    <w:rsid w:val="446138AA"/>
    <w:rsid w:val="44631AC5"/>
    <w:rsid w:val="446948F1"/>
    <w:rsid w:val="446D40B0"/>
    <w:rsid w:val="447103B5"/>
    <w:rsid w:val="44763132"/>
    <w:rsid w:val="4477066C"/>
    <w:rsid w:val="447809C5"/>
    <w:rsid w:val="4479751F"/>
    <w:rsid w:val="447F2C95"/>
    <w:rsid w:val="44824D59"/>
    <w:rsid w:val="44852E04"/>
    <w:rsid w:val="44856B62"/>
    <w:rsid w:val="44867920"/>
    <w:rsid w:val="448923E4"/>
    <w:rsid w:val="448B5149"/>
    <w:rsid w:val="44995DC1"/>
    <w:rsid w:val="4499763B"/>
    <w:rsid w:val="449A15B7"/>
    <w:rsid w:val="449D4475"/>
    <w:rsid w:val="449F19A5"/>
    <w:rsid w:val="44A27DF1"/>
    <w:rsid w:val="44B13B3B"/>
    <w:rsid w:val="44B23CE9"/>
    <w:rsid w:val="44B7452D"/>
    <w:rsid w:val="44B87D9E"/>
    <w:rsid w:val="44BF150B"/>
    <w:rsid w:val="44C02DF5"/>
    <w:rsid w:val="44C1269C"/>
    <w:rsid w:val="44CD4B42"/>
    <w:rsid w:val="44CD5E7C"/>
    <w:rsid w:val="44D37918"/>
    <w:rsid w:val="44D81A76"/>
    <w:rsid w:val="44D86619"/>
    <w:rsid w:val="44D95FAA"/>
    <w:rsid w:val="44E74577"/>
    <w:rsid w:val="44E81CBA"/>
    <w:rsid w:val="44EB6027"/>
    <w:rsid w:val="44F00E1D"/>
    <w:rsid w:val="44F144B3"/>
    <w:rsid w:val="44F16238"/>
    <w:rsid w:val="44F248E6"/>
    <w:rsid w:val="44FB51B5"/>
    <w:rsid w:val="44FB567A"/>
    <w:rsid w:val="44FF0DB1"/>
    <w:rsid w:val="44FF5255"/>
    <w:rsid w:val="45034D95"/>
    <w:rsid w:val="45036403"/>
    <w:rsid w:val="45072A8B"/>
    <w:rsid w:val="450878ED"/>
    <w:rsid w:val="450D2BA2"/>
    <w:rsid w:val="45120AE5"/>
    <w:rsid w:val="45126553"/>
    <w:rsid w:val="451C1F6F"/>
    <w:rsid w:val="45250B8B"/>
    <w:rsid w:val="45255F3F"/>
    <w:rsid w:val="45260D20"/>
    <w:rsid w:val="452D0433"/>
    <w:rsid w:val="452D5624"/>
    <w:rsid w:val="453051A4"/>
    <w:rsid w:val="45317D7C"/>
    <w:rsid w:val="453919CA"/>
    <w:rsid w:val="453A4373"/>
    <w:rsid w:val="453C0895"/>
    <w:rsid w:val="453E18D7"/>
    <w:rsid w:val="4544362E"/>
    <w:rsid w:val="454A6CBD"/>
    <w:rsid w:val="454D0C2C"/>
    <w:rsid w:val="454E7431"/>
    <w:rsid w:val="454F17BA"/>
    <w:rsid w:val="454F55AD"/>
    <w:rsid w:val="45563C08"/>
    <w:rsid w:val="45572080"/>
    <w:rsid w:val="4559275B"/>
    <w:rsid w:val="455C03E1"/>
    <w:rsid w:val="455E01CE"/>
    <w:rsid w:val="45614E39"/>
    <w:rsid w:val="45685E1B"/>
    <w:rsid w:val="456B4E25"/>
    <w:rsid w:val="45731BFF"/>
    <w:rsid w:val="457F73BB"/>
    <w:rsid w:val="45855290"/>
    <w:rsid w:val="45856A09"/>
    <w:rsid w:val="4587101B"/>
    <w:rsid w:val="458B2213"/>
    <w:rsid w:val="4595455C"/>
    <w:rsid w:val="45A46732"/>
    <w:rsid w:val="45A57BAB"/>
    <w:rsid w:val="45A731F4"/>
    <w:rsid w:val="45AE2F45"/>
    <w:rsid w:val="45B0201C"/>
    <w:rsid w:val="45B2433A"/>
    <w:rsid w:val="45B7129A"/>
    <w:rsid w:val="45B85B30"/>
    <w:rsid w:val="45BD4480"/>
    <w:rsid w:val="45BF1EEC"/>
    <w:rsid w:val="45CF283C"/>
    <w:rsid w:val="45D621FA"/>
    <w:rsid w:val="45E22BAD"/>
    <w:rsid w:val="45EA1A61"/>
    <w:rsid w:val="45EA57B3"/>
    <w:rsid w:val="45F7265C"/>
    <w:rsid w:val="45F926A5"/>
    <w:rsid w:val="45FA7EB6"/>
    <w:rsid w:val="45FE72BB"/>
    <w:rsid w:val="46035131"/>
    <w:rsid w:val="460D54A1"/>
    <w:rsid w:val="461358D5"/>
    <w:rsid w:val="46175EB0"/>
    <w:rsid w:val="461A7943"/>
    <w:rsid w:val="46242CAB"/>
    <w:rsid w:val="46255316"/>
    <w:rsid w:val="46333408"/>
    <w:rsid w:val="46373E32"/>
    <w:rsid w:val="463A3CA4"/>
    <w:rsid w:val="463C7DA0"/>
    <w:rsid w:val="463D71DB"/>
    <w:rsid w:val="464167AA"/>
    <w:rsid w:val="46487415"/>
    <w:rsid w:val="464A0446"/>
    <w:rsid w:val="464A5989"/>
    <w:rsid w:val="464B5EB2"/>
    <w:rsid w:val="465055AB"/>
    <w:rsid w:val="465358D7"/>
    <w:rsid w:val="465463EA"/>
    <w:rsid w:val="46570DD6"/>
    <w:rsid w:val="465B64BB"/>
    <w:rsid w:val="465F3DCA"/>
    <w:rsid w:val="46615113"/>
    <w:rsid w:val="46620999"/>
    <w:rsid w:val="466227A1"/>
    <w:rsid w:val="46636318"/>
    <w:rsid w:val="466420F5"/>
    <w:rsid w:val="466C412C"/>
    <w:rsid w:val="466D1A2A"/>
    <w:rsid w:val="46712183"/>
    <w:rsid w:val="46716009"/>
    <w:rsid w:val="46720739"/>
    <w:rsid w:val="46725C02"/>
    <w:rsid w:val="4674757D"/>
    <w:rsid w:val="467611E9"/>
    <w:rsid w:val="46790C70"/>
    <w:rsid w:val="467D7370"/>
    <w:rsid w:val="46821C9A"/>
    <w:rsid w:val="468416AF"/>
    <w:rsid w:val="4684271E"/>
    <w:rsid w:val="46854FE7"/>
    <w:rsid w:val="46863636"/>
    <w:rsid w:val="469152D6"/>
    <w:rsid w:val="46921989"/>
    <w:rsid w:val="46952A17"/>
    <w:rsid w:val="46976071"/>
    <w:rsid w:val="469800AA"/>
    <w:rsid w:val="469A701B"/>
    <w:rsid w:val="469D2ABE"/>
    <w:rsid w:val="46A03B64"/>
    <w:rsid w:val="46A20047"/>
    <w:rsid w:val="46A539B2"/>
    <w:rsid w:val="46A60FBB"/>
    <w:rsid w:val="46A73210"/>
    <w:rsid w:val="46AC4F69"/>
    <w:rsid w:val="46AF1656"/>
    <w:rsid w:val="46B568F0"/>
    <w:rsid w:val="46B57F9F"/>
    <w:rsid w:val="46B608C6"/>
    <w:rsid w:val="46B60A9E"/>
    <w:rsid w:val="46BA30C4"/>
    <w:rsid w:val="46BC19DC"/>
    <w:rsid w:val="46BD2CD2"/>
    <w:rsid w:val="46BF053D"/>
    <w:rsid w:val="46CA0935"/>
    <w:rsid w:val="46CF0839"/>
    <w:rsid w:val="46D221C5"/>
    <w:rsid w:val="46D40345"/>
    <w:rsid w:val="46D60867"/>
    <w:rsid w:val="46D63D94"/>
    <w:rsid w:val="46D9695C"/>
    <w:rsid w:val="46DA4D06"/>
    <w:rsid w:val="46DE1984"/>
    <w:rsid w:val="46F005C0"/>
    <w:rsid w:val="46F5246C"/>
    <w:rsid w:val="46F76B40"/>
    <w:rsid w:val="46FA1F66"/>
    <w:rsid w:val="46FB6EB2"/>
    <w:rsid w:val="47040499"/>
    <w:rsid w:val="470703F1"/>
    <w:rsid w:val="47092513"/>
    <w:rsid w:val="47093130"/>
    <w:rsid w:val="47096DCE"/>
    <w:rsid w:val="470A255F"/>
    <w:rsid w:val="47120709"/>
    <w:rsid w:val="47166083"/>
    <w:rsid w:val="471E20BB"/>
    <w:rsid w:val="4724155A"/>
    <w:rsid w:val="472456F8"/>
    <w:rsid w:val="472B06F6"/>
    <w:rsid w:val="47305B9A"/>
    <w:rsid w:val="47354F5E"/>
    <w:rsid w:val="47375159"/>
    <w:rsid w:val="47382DCC"/>
    <w:rsid w:val="473969D7"/>
    <w:rsid w:val="47406056"/>
    <w:rsid w:val="474840D9"/>
    <w:rsid w:val="474A3043"/>
    <w:rsid w:val="474B2B10"/>
    <w:rsid w:val="474C2009"/>
    <w:rsid w:val="47516D3C"/>
    <w:rsid w:val="47613EE5"/>
    <w:rsid w:val="47615CC0"/>
    <w:rsid w:val="47643C7B"/>
    <w:rsid w:val="476827BD"/>
    <w:rsid w:val="476E021D"/>
    <w:rsid w:val="477171FC"/>
    <w:rsid w:val="47731982"/>
    <w:rsid w:val="47797541"/>
    <w:rsid w:val="477B5067"/>
    <w:rsid w:val="477E3F91"/>
    <w:rsid w:val="477F442B"/>
    <w:rsid w:val="477F593E"/>
    <w:rsid w:val="478009BC"/>
    <w:rsid w:val="47837860"/>
    <w:rsid w:val="478F4BC9"/>
    <w:rsid w:val="47941C85"/>
    <w:rsid w:val="479D7EF2"/>
    <w:rsid w:val="47A4503D"/>
    <w:rsid w:val="47A73234"/>
    <w:rsid w:val="47A8106C"/>
    <w:rsid w:val="47B37855"/>
    <w:rsid w:val="47BC2E73"/>
    <w:rsid w:val="47C0706B"/>
    <w:rsid w:val="47C100FD"/>
    <w:rsid w:val="47C260B6"/>
    <w:rsid w:val="47C260C9"/>
    <w:rsid w:val="47C94AE5"/>
    <w:rsid w:val="47CA3131"/>
    <w:rsid w:val="47CA3659"/>
    <w:rsid w:val="47CB2D84"/>
    <w:rsid w:val="47D74B84"/>
    <w:rsid w:val="47D9255F"/>
    <w:rsid w:val="47E95DB7"/>
    <w:rsid w:val="47EF2AF7"/>
    <w:rsid w:val="47F16AD9"/>
    <w:rsid w:val="47FA67F9"/>
    <w:rsid w:val="48012706"/>
    <w:rsid w:val="48024E07"/>
    <w:rsid w:val="480F0310"/>
    <w:rsid w:val="48121DFF"/>
    <w:rsid w:val="48161EDC"/>
    <w:rsid w:val="481B25AB"/>
    <w:rsid w:val="481B3475"/>
    <w:rsid w:val="4823270D"/>
    <w:rsid w:val="483511A1"/>
    <w:rsid w:val="48363C3F"/>
    <w:rsid w:val="483C6367"/>
    <w:rsid w:val="48413448"/>
    <w:rsid w:val="4841782D"/>
    <w:rsid w:val="484A67E7"/>
    <w:rsid w:val="4850171B"/>
    <w:rsid w:val="48584C5F"/>
    <w:rsid w:val="4858530D"/>
    <w:rsid w:val="485B6180"/>
    <w:rsid w:val="485E7EFD"/>
    <w:rsid w:val="4864539F"/>
    <w:rsid w:val="486811BE"/>
    <w:rsid w:val="48735D3E"/>
    <w:rsid w:val="48757D08"/>
    <w:rsid w:val="487638F9"/>
    <w:rsid w:val="48783354"/>
    <w:rsid w:val="48783A9F"/>
    <w:rsid w:val="48790E7B"/>
    <w:rsid w:val="48792DA2"/>
    <w:rsid w:val="48797A3E"/>
    <w:rsid w:val="487F5590"/>
    <w:rsid w:val="488241D3"/>
    <w:rsid w:val="48850C1B"/>
    <w:rsid w:val="488566D3"/>
    <w:rsid w:val="48865A1F"/>
    <w:rsid w:val="48883DE9"/>
    <w:rsid w:val="48887C60"/>
    <w:rsid w:val="48895534"/>
    <w:rsid w:val="489F0814"/>
    <w:rsid w:val="48A0432C"/>
    <w:rsid w:val="48A2691D"/>
    <w:rsid w:val="48A51C70"/>
    <w:rsid w:val="48A77590"/>
    <w:rsid w:val="48AC705D"/>
    <w:rsid w:val="48AF400D"/>
    <w:rsid w:val="48B1466D"/>
    <w:rsid w:val="48BC0D87"/>
    <w:rsid w:val="48C1111A"/>
    <w:rsid w:val="48C90EE0"/>
    <w:rsid w:val="48C96A27"/>
    <w:rsid w:val="48CA697E"/>
    <w:rsid w:val="48CF229B"/>
    <w:rsid w:val="48CF27D8"/>
    <w:rsid w:val="48D66860"/>
    <w:rsid w:val="48E5132C"/>
    <w:rsid w:val="48E86D8E"/>
    <w:rsid w:val="48ED4B44"/>
    <w:rsid w:val="48EF4217"/>
    <w:rsid w:val="48F36E7F"/>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73210"/>
    <w:rsid w:val="493922C5"/>
    <w:rsid w:val="49396F88"/>
    <w:rsid w:val="49402FD6"/>
    <w:rsid w:val="49416FD5"/>
    <w:rsid w:val="49461CB1"/>
    <w:rsid w:val="4948136D"/>
    <w:rsid w:val="494871CB"/>
    <w:rsid w:val="494A20A8"/>
    <w:rsid w:val="494F4CB6"/>
    <w:rsid w:val="494F6EF5"/>
    <w:rsid w:val="49574696"/>
    <w:rsid w:val="495A5150"/>
    <w:rsid w:val="495B2E9B"/>
    <w:rsid w:val="495C5F77"/>
    <w:rsid w:val="495D0262"/>
    <w:rsid w:val="4962212A"/>
    <w:rsid w:val="496D3284"/>
    <w:rsid w:val="496E65A5"/>
    <w:rsid w:val="497440CE"/>
    <w:rsid w:val="4977185E"/>
    <w:rsid w:val="49780056"/>
    <w:rsid w:val="497A10CB"/>
    <w:rsid w:val="49802B7F"/>
    <w:rsid w:val="49897B9C"/>
    <w:rsid w:val="498A0193"/>
    <w:rsid w:val="498C3616"/>
    <w:rsid w:val="498F6F1D"/>
    <w:rsid w:val="49904251"/>
    <w:rsid w:val="49911F2F"/>
    <w:rsid w:val="49921B79"/>
    <w:rsid w:val="499568F7"/>
    <w:rsid w:val="499D58F8"/>
    <w:rsid w:val="499D72DA"/>
    <w:rsid w:val="49A01472"/>
    <w:rsid w:val="49A104F8"/>
    <w:rsid w:val="49A22DA9"/>
    <w:rsid w:val="49A2590B"/>
    <w:rsid w:val="49A354E3"/>
    <w:rsid w:val="49A972CC"/>
    <w:rsid w:val="49B122D8"/>
    <w:rsid w:val="49B167B9"/>
    <w:rsid w:val="49B22896"/>
    <w:rsid w:val="49B30948"/>
    <w:rsid w:val="49B4660E"/>
    <w:rsid w:val="49B74498"/>
    <w:rsid w:val="49B77222"/>
    <w:rsid w:val="49B84044"/>
    <w:rsid w:val="49BB4B49"/>
    <w:rsid w:val="49BD73EB"/>
    <w:rsid w:val="49BE436A"/>
    <w:rsid w:val="49BE5D15"/>
    <w:rsid w:val="49C56195"/>
    <w:rsid w:val="49C77B6B"/>
    <w:rsid w:val="49C82186"/>
    <w:rsid w:val="49C8531C"/>
    <w:rsid w:val="49CC1165"/>
    <w:rsid w:val="49D956A5"/>
    <w:rsid w:val="49E30CA1"/>
    <w:rsid w:val="49EF3AEA"/>
    <w:rsid w:val="49F211CD"/>
    <w:rsid w:val="49F42993"/>
    <w:rsid w:val="49FD6808"/>
    <w:rsid w:val="4A0B3FF7"/>
    <w:rsid w:val="4A0D1F02"/>
    <w:rsid w:val="4A120643"/>
    <w:rsid w:val="4A1208D3"/>
    <w:rsid w:val="4A1277D9"/>
    <w:rsid w:val="4A176168"/>
    <w:rsid w:val="4A186D29"/>
    <w:rsid w:val="4A2723A4"/>
    <w:rsid w:val="4A312A93"/>
    <w:rsid w:val="4A33515C"/>
    <w:rsid w:val="4A3C18F2"/>
    <w:rsid w:val="4A3C2A1F"/>
    <w:rsid w:val="4A3E78BE"/>
    <w:rsid w:val="4A4534FA"/>
    <w:rsid w:val="4A453ED2"/>
    <w:rsid w:val="4A4910E0"/>
    <w:rsid w:val="4A4A41B1"/>
    <w:rsid w:val="4A4C7FEE"/>
    <w:rsid w:val="4A502BBF"/>
    <w:rsid w:val="4A510B46"/>
    <w:rsid w:val="4A633B90"/>
    <w:rsid w:val="4A645BA7"/>
    <w:rsid w:val="4A653DAC"/>
    <w:rsid w:val="4A694B0A"/>
    <w:rsid w:val="4A6D4A0F"/>
    <w:rsid w:val="4A6F700F"/>
    <w:rsid w:val="4A752206"/>
    <w:rsid w:val="4A7B7A6F"/>
    <w:rsid w:val="4A820D49"/>
    <w:rsid w:val="4A850E79"/>
    <w:rsid w:val="4A8F53DC"/>
    <w:rsid w:val="4A91532F"/>
    <w:rsid w:val="4A996C49"/>
    <w:rsid w:val="4AA55460"/>
    <w:rsid w:val="4AA97A71"/>
    <w:rsid w:val="4AAA2137"/>
    <w:rsid w:val="4AAF5028"/>
    <w:rsid w:val="4AAF7F03"/>
    <w:rsid w:val="4AB06AAE"/>
    <w:rsid w:val="4AB17471"/>
    <w:rsid w:val="4AB23706"/>
    <w:rsid w:val="4AB5568D"/>
    <w:rsid w:val="4AB663B6"/>
    <w:rsid w:val="4ABF5CA8"/>
    <w:rsid w:val="4AC24F24"/>
    <w:rsid w:val="4AC302E6"/>
    <w:rsid w:val="4AC373B7"/>
    <w:rsid w:val="4AD70179"/>
    <w:rsid w:val="4ADB5E1D"/>
    <w:rsid w:val="4ADC6030"/>
    <w:rsid w:val="4AE503CA"/>
    <w:rsid w:val="4AE8204F"/>
    <w:rsid w:val="4AE85B24"/>
    <w:rsid w:val="4AEC5530"/>
    <w:rsid w:val="4AF9326D"/>
    <w:rsid w:val="4AFA788A"/>
    <w:rsid w:val="4B0435C5"/>
    <w:rsid w:val="4B0B565B"/>
    <w:rsid w:val="4B0D0AAD"/>
    <w:rsid w:val="4B0F33EF"/>
    <w:rsid w:val="4B0F4579"/>
    <w:rsid w:val="4B127A66"/>
    <w:rsid w:val="4B1B3604"/>
    <w:rsid w:val="4B1D1F9E"/>
    <w:rsid w:val="4B1E39C0"/>
    <w:rsid w:val="4B303F1C"/>
    <w:rsid w:val="4B321510"/>
    <w:rsid w:val="4B336757"/>
    <w:rsid w:val="4B345DCE"/>
    <w:rsid w:val="4B3612A5"/>
    <w:rsid w:val="4B373DFD"/>
    <w:rsid w:val="4B3B43DA"/>
    <w:rsid w:val="4B3C1E06"/>
    <w:rsid w:val="4B3D7327"/>
    <w:rsid w:val="4B4E66EC"/>
    <w:rsid w:val="4B505CF0"/>
    <w:rsid w:val="4B506800"/>
    <w:rsid w:val="4B5A0963"/>
    <w:rsid w:val="4B633B9B"/>
    <w:rsid w:val="4B655FDE"/>
    <w:rsid w:val="4B730CC1"/>
    <w:rsid w:val="4B7F37D7"/>
    <w:rsid w:val="4B81297E"/>
    <w:rsid w:val="4B843D86"/>
    <w:rsid w:val="4B85187A"/>
    <w:rsid w:val="4B896423"/>
    <w:rsid w:val="4B8B2955"/>
    <w:rsid w:val="4B8D1160"/>
    <w:rsid w:val="4B8D5508"/>
    <w:rsid w:val="4B8F51A8"/>
    <w:rsid w:val="4B91084F"/>
    <w:rsid w:val="4BB40B2B"/>
    <w:rsid w:val="4BB44E60"/>
    <w:rsid w:val="4BB73535"/>
    <w:rsid w:val="4BBC3EE3"/>
    <w:rsid w:val="4BC11A80"/>
    <w:rsid w:val="4BD25C3F"/>
    <w:rsid w:val="4BD72A88"/>
    <w:rsid w:val="4BE05178"/>
    <w:rsid w:val="4BE15528"/>
    <w:rsid w:val="4BE9732E"/>
    <w:rsid w:val="4BEA4569"/>
    <w:rsid w:val="4BEB02E1"/>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2C2250"/>
    <w:rsid w:val="4C2F6420"/>
    <w:rsid w:val="4C365A00"/>
    <w:rsid w:val="4C3773B6"/>
    <w:rsid w:val="4C3862AD"/>
    <w:rsid w:val="4C395935"/>
    <w:rsid w:val="4C3A3C54"/>
    <w:rsid w:val="4C3E6663"/>
    <w:rsid w:val="4C40062D"/>
    <w:rsid w:val="4C423D6E"/>
    <w:rsid w:val="4C457B98"/>
    <w:rsid w:val="4C4E0520"/>
    <w:rsid w:val="4C4E14FD"/>
    <w:rsid w:val="4C4F6918"/>
    <w:rsid w:val="4C5913AB"/>
    <w:rsid w:val="4C5B0D08"/>
    <w:rsid w:val="4C5B4D3F"/>
    <w:rsid w:val="4C65188A"/>
    <w:rsid w:val="4C7F5F80"/>
    <w:rsid w:val="4C800ACB"/>
    <w:rsid w:val="4C872A0F"/>
    <w:rsid w:val="4C891ECB"/>
    <w:rsid w:val="4C8E59E1"/>
    <w:rsid w:val="4C8F1A7A"/>
    <w:rsid w:val="4C935431"/>
    <w:rsid w:val="4C947432"/>
    <w:rsid w:val="4C982217"/>
    <w:rsid w:val="4C9956D3"/>
    <w:rsid w:val="4CA41E7C"/>
    <w:rsid w:val="4CA52414"/>
    <w:rsid w:val="4CA80F94"/>
    <w:rsid w:val="4CB17558"/>
    <w:rsid w:val="4CB20939"/>
    <w:rsid w:val="4CB6269D"/>
    <w:rsid w:val="4CC17850"/>
    <w:rsid w:val="4CCC0C5B"/>
    <w:rsid w:val="4CCD0FB4"/>
    <w:rsid w:val="4CD02CE7"/>
    <w:rsid w:val="4CDB2104"/>
    <w:rsid w:val="4CE11EE9"/>
    <w:rsid w:val="4CE61080"/>
    <w:rsid w:val="4CEC7ECD"/>
    <w:rsid w:val="4CEF0171"/>
    <w:rsid w:val="4CF2180D"/>
    <w:rsid w:val="4CF3546E"/>
    <w:rsid w:val="4CFC1A3C"/>
    <w:rsid w:val="4CFD0C8B"/>
    <w:rsid w:val="4CFF2296"/>
    <w:rsid w:val="4CFF754E"/>
    <w:rsid w:val="4D090A1F"/>
    <w:rsid w:val="4D15313C"/>
    <w:rsid w:val="4D165787"/>
    <w:rsid w:val="4D1B1509"/>
    <w:rsid w:val="4D1B5695"/>
    <w:rsid w:val="4D212EE6"/>
    <w:rsid w:val="4D280356"/>
    <w:rsid w:val="4D2B4AC9"/>
    <w:rsid w:val="4D3670F8"/>
    <w:rsid w:val="4D37462E"/>
    <w:rsid w:val="4D3A6833"/>
    <w:rsid w:val="4D3D6951"/>
    <w:rsid w:val="4D404F17"/>
    <w:rsid w:val="4D412D95"/>
    <w:rsid w:val="4D422FA5"/>
    <w:rsid w:val="4D437C10"/>
    <w:rsid w:val="4D4C033F"/>
    <w:rsid w:val="4D4E7BB0"/>
    <w:rsid w:val="4D5019D6"/>
    <w:rsid w:val="4D506ABC"/>
    <w:rsid w:val="4D587A12"/>
    <w:rsid w:val="4D5A2B26"/>
    <w:rsid w:val="4D625881"/>
    <w:rsid w:val="4D635DCD"/>
    <w:rsid w:val="4D6665AB"/>
    <w:rsid w:val="4D680D9C"/>
    <w:rsid w:val="4D6C1262"/>
    <w:rsid w:val="4D772A80"/>
    <w:rsid w:val="4D7D0063"/>
    <w:rsid w:val="4D802E31"/>
    <w:rsid w:val="4D8208C5"/>
    <w:rsid w:val="4D854884"/>
    <w:rsid w:val="4D8B070C"/>
    <w:rsid w:val="4D8B29BA"/>
    <w:rsid w:val="4D8E3934"/>
    <w:rsid w:val="4D903EE5"/>
    <w:rsid w:val="4D912C12"/>
    <w:rsid w:val="4D915F08"/>
    <w:rsid w:val="4D930ED1"/>
    <w:rsid w:val="4D95480A"/>
    <w:rsid w:val="4D980C9A"/>
    <w:rsid w:val="4D9B4D96"/>
    <w:rsid w:val="4DA1334D"/>
    <w:rsid w:val="4DA24990"/>
    <w:rsid w:val="4DA94885"/>
    <w:rsid w:val="4DAB5F7A"/>
    <w:rsid w:val="4DB239C7"/>
    <w:rsid w:val="4DB34E2F"/>
    <w:rsid w:val="4DB55560"/>
    <w:rsid w:val="4DB57DB1"/>
    <w:rsid w:val="4DBE38DA"/>
    <w:rsid w:val="4DC80515"/>
    <w:rsid w:val="4DD67A08"/>
    <w:rsid w:val="4DD728CB"/>
    <w:rsid w:val="4DD926F3"/>
    <w:rsid w:val="4DE324E8"/>
    <w:rsid w:val="4DE96438"/>
    <w:rsid w:val="4DFC6D77"/>
    <w:rsid w:val="4E05512F"/>
    <w:rsid w:val="4E080D37"/>
    <w:rsid w:val="4E116331"/>
    <w:rsid w:val="4E146DE5"/>
    <w:rsid w:val="4E1974AF"/>
    <w:rsid w:val="4E201B77"/>
    <w:rsid w:val="4E217F74"/>
    <w:rsid w:val="4E2273F7"/>
    <w:rsid w:val="4E232710"/>
    <w:rsid w:val="4E241889"/>
    <w:rsid w:val="4E244590"/>
    <w:rsid w:val="4E2803B1"/>
    <w:rsid w:val="4E315BCB"/>
    <w:rsid w:val="4E323E00"/>
    <w:rsid w:val="4E353A96"/>
    <w:rsid w:val="4E423311"/>
    <w:rsid w:val="4E453822"/>
    <w:rsid w:val="4E46611C"/>
    <w:rsid w:val="4E4927F4"/>
    <w:rsid w:val="4E51033C"/>
    <w:rsid w:val="4E5718DD"/>
    <w:rsid w:val="4E5D76DE"/>
    <w:rsid w:val="4E645B44"/>
    <w:rsid w:val="4E653EFD"/>
    <w:rsid w:val="4E6557BF"/>
    <w:rsid w:val="4E6A1991"/>
    <w:rsid w:val="4E7052BB"/>
    <w:rsid w:val="4E712D20"/>
    <w:rsid w:val="4E7328AB"/>
    <w:rsid w:val="4E747FFD"/>
    <w:rsid w:val="4E7726C6"/>
    <w:rsid w:val="4E7F00FF"/>
    <w:rsid w:val="4E81195C"/>
    <w:rsid w:val="4E8567CB"/>
    <w:rsid w:val="4E88043D"/>
    <w:rsid w:val="4E89397A"/>
    <w:rsid w:val="4E8967B0"/>
    <w:rsid w:val="4E8E4F50"/>
    <w:rsid w:val="4E916F1E"/>
    <w:rsid w:val="4EA645D2"/>
    <w:rsid w:val="4EA763E0"/>
    <w:rsid w:val="4EAC5A56"/>
    <w:rsid w:val="4EAF1D8D"/>
    <w:rsid w:val="4EB16962"/>
    <w:rsid w:val="4EB37252"/>
    <w:rsid w:val="4EB851DA"/>
    <w:rsid w:val="4EBB3F9B"/>
    <w:rsid w:val="4EBF1598"/>
    <w:rsid w:val="4EC23758"/>
    <w:rsid w:val="4EC40038"/>
    <w:rsid w:val="4ED25D72"/>
    <w:rsid w:val="4EDE4B71"/>
    <w:rsid w:val="4EE0449A"/>
    <w:rsid w:val="4EE30163"/>
    <w:rsid w:val="4EE43E31"/>
    <w:rsid w:val="4EE53111"/>
    <w:rsid w:val="4EE83395"/>
    <w:rsid w:val="4EFC0CB9"/>
    <w:rsid w:val="4EFC3EC7"/>
    <w:rsid w:val="4F0B3E29"/>
    <w:rsid w:val="4F0D658C"/>
    <w:rsid w:val="4F0E534E"/>
    <w:rsid w:val="4F0F3F48"/>
    <w:rsid w:val="4F100F12"/>
    <w:rsid w:val="4F1B0E0D"/>
    <w:rsid w:val="4F1F413E"/>
    <w:rsid w:val="4F2309CE"/>
    <w:rsid w:val="4F236021"/>
    <w:rsid w:val="4F2417F9"/>
    <w:rsid w:val="4F251D5C"/>
    <w:rsid w:val="4F277882"/>
    <w:rsid w:val="4F2E29BF"/>
    <w:rsid w:val="4F390391"/>
    <w:rsid w:val="4F4128B4"/>
    <w:rsid w:val="4F472DFA"/>
    <w:rsid w:val="4F476973"/>
    <w:rsid w:val="4F477F24"/>
    <w:rsid w:val="4F496B4A"/>
    <w:rsid w:val="4F4B45C9"/>
    <w:rsid w:val="4F516C90"/>
    <w:rsid w:val="4F5304FA"/>
    <w:rsid w:val="4F5847FB"/>
    <w:rsid w:val="4F604B42"/>
    <w:rsid w:val="4F675005"/>
    <w:rsid w:val="4F687C61"/>
    <w:rsid w:val="4F6B70F2"/>
    <w:rsid w:val="4F6D2D8A"/>
    <w:rsid w:val="4F7065D1"/>
    <w:rsid w:val="4F734876"/>
    <w:rsid w:val="4F742121"/>
    <w:rsid w:val="4F7476FD"/>
    <w:rsid w:val="4F7A5351"/>
    <w:rsid w:val="4F7B7933"/>
    <w:rsid w:val="4F7E4952"/>
    <w:rsid w:val="4F822D0B"/>
    <w:rsid w:val="4F837A29"/>
    <w:rsid w:val="4F86338A"/>
    <w:rsid w:val="4F8B5808"/>
    <w:rsid w:val="4F8E2544"/>
    <w:rsid w:val="4F8E4617"/>
    <w:rsid w:val="4F9111A0"/>
    <w:rsid w:val="4F925571"/>
    <w:rsid w:val="4F936F2A"/>
    <w:rsid w:val="4F937289"/>
    <w:rsid w:val="4F96364E"/>
    <w:rsid w:val="4F9A7781"/>
    <w:rsid w:val="4FA03191"/>
    <w:rsid w:val="4FA07208"/>
    <w:rsid w:val="4FA32FA9"/>
    <w:rsid w:val="4FA4526D"/>
    <w:rsid w:val="4FA87E37"/>
    <w:rsid w:val="4FB67AB1"/>
    <w:rsid w:val="4FCB2433"/>
    <w:rsid w:val="4FCC40FE"/>
    <w:rsid w:val="4FD24E42"/>
    <w:rsid w:val="4FD468D6"/>
    <w:rsid w:val="4FD67CAF"/>
    <w:rsid w:val="4FDB6E33"/>
    <w:rsid w:val="4FEB6442"/>
    <w:rsid w:val="4FED16FD"/>
    <w:rsid w:val="4FF226EC"/>
    <w:rsid w:val="4FF35E92"/>
    <w:rsid w:val="4FF7694A"/>
    <w:rsid w:val="4FFE6EE3"/>
    <w:rsid w:val="4FFF2653"/>
    <w:rsid w:val="50033E4B"/>
    <w:rsid w:val="5003470A"/>
    <w:rsid w:val="50063CE4"/>
    <w:rsid w:val="500719A8"/>
    <w:rsid w:val="500C1018"/>
    <w:rsid w:val="50102806"/>
    <w:rsid w:val="50111DDB"/>
    <w:rsid w:val="501C32AE"/>
    <w:rsid w:val="501C5B18"/>
    <w:rsid w:val="501D7359"/>
    <w:rsid w:val="50251035"/>
    <w:rsid w:val="50263A4B"/>
    <w:rsid w:val="502B5150"/>
    <w:rsid w:val="503009B9"/>
    <w:rsid w:val="50342B46"/>
    <w:rsid w:val="503E30D6"/>
    <w:rsid w:val="503E61C5"/>
    <w:rsid w:val="504471EB"/>
    <w:rsid w:val="50495A01"/>
    <w:rsid w:val="504E1059"/>
    <w:rsid w:val="505C06C7"/>
    <w:rsid w:val="505F6936"/>
    <w:rsid w:val="50605E04"/>
    <w:rsid w:val="506561EC"/>
    <w:rsid w:val="50675283"/>
    <w:rsid w:val="5068716D"/>
    <w:rsid w:val="506D6EB7"/>
    <w:rsid w:val="5073676B"/>
    <w:rsid w:val="507B63DF"/>
    <w:rsid w:val="50836016"/>
    <w:rsid w:val="50861EC1"/>
    <w:rsid w:val="5086679A"/>
    <w:rsid w:val="50886760"/>
    <w:rsid w:val="508B76B5"/>
    <w:rsid w:val="508F1D73"/>
    <w:rsid w:val="5091422F"/>
    <w:rsid w:val="509505A3"/>
    <w:rsid w:val="509529BA"/>
    <w:rsid w:val="50A05B3E"/>
    <w:rsid w:val="50A16416"/>
    <w:rsid w:val="50A34159"/>
    <w:rsid w:val="50A52434"/>
    <w:rsid w:val="50AE60D6"/>
    <w:rsid w:val="50B11554"/>
    <w:rsid w:val="50B8253C"/>
    <w:rsid w:val="50B852D4"/>
    <w:rsid w:val="50B90894"/>
    <w:rsid w:val="50BA7486"/>
    <w:rsid w:val="50BD6A55"/>
    <w:rsid w:val="50BD73C3"/>
    <w:rsid w:val="50C0101E"/>
    <w:rsid w:val="50C34300"/>
    <w:rsid w:val="50C80E9E"/>
    <w:rsid w:val="50C861CA"/>
    <w:rsid w:val="50C93EAB"/>
    <w:rsid w:val="50CB2653"/>
    <w:rsid w:val="50CE6DFA"/>
    <w:rsid w:val="50D37CC2"/>
    <w:rsid w:val="50D91050"/>
    <w:rsid w:val="50DB6B76"/>
    <w:rsid w:val="50DF514F"/>
    <w:rsid w:val="50DF7677"/>
    <w:rsid w:val="50E77CEB"/>
    <w:rsid w:val="50EB4629"/>
    <w:rsid w:val="50EC51D9"/>
    <w:rsid w:val="50ED76FC"/>
    <w:rsid w:val="50EE4B69"/>
    <w:rsid w:val="50F0737C"/>
    <w:rsid w:val="50F23348"/>
    <w:rsid w:val="50FA25E0"/>
    <w:rsid w:val="51012A6E"/>
    <w:rsid w:val="51035B5C"/>
    <w:rsid w:val="5109365E"/>
    <w:rsid w:val="510D4856"/>
    <w:rsid w:val="510E3386"/>
    <w:rsid w:val="511237B0"/>
    <w:rsid w:val="51143E36"/>
    <w:rsid w:val="511F41C7"/>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843C5"/>
    <w:rsid w:val="51791BDC"/>
    <w:rsid w:val="51793107"/>
    <w:rsid w:val="517945D3"/>
    <w:rsid w:val="518759F5"/>
    <w:rsid w:val="51876394"/>
    <w:rsid w:val="518838B5"/>
    <w:rsid w:val="518941D1"/>
    <w:rsid w:val="51923184"/>
    <w:rsid w:val="51976930"/>
    <w:rsid w:val="51A257E1"/>
    <w:rsid w:val="51A67184"/>
    <w:rsid w:val="51A90576"/>
    <w:rsid w:val="51AA179A"/>
    <w:rsid w:val="51AB5B89"/>
    <w:rsid w:val="51AC406F"/>
    <w:rsid w:val="51AF2E52"/>
    <w:rsid w:val="51BD087D"/>
    <w:rsid w:val="51C3153F"/>
    <w:rsid w:val="51C62974"/>
    <w:rsid w:val="51C85DED"/>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733F2"/>
    <w:rsid w:val="520F69AD"/>
    <w:rsid w:val="5210008F"/>
    <w:rsid w:val="52105CC9"/>
    <w:rsid w:val="52110CAF"/>
    <w:rsid w:val="52150B25"/>
    <w:rsid w:val="52151A7A"/>
    <w:rsid w:val="52193FA0"/>
    <w:rsid w:val="521A0C66"/>
    <w:rsid w:val="521F4817"/>
    <w:rsid w:val="52205124"/>
    <w:rsid w:val="52206369"/>
    <w:rsid w:val="52270757"/>
    <w:rsid w:val="523E3E2F"/>
    <w:rsid w:val="524326E1"/>
    <w:rsid w:val="524D1442"/>
    <w:rsid w:val="524F0B3F"/>
    <w:rsid w:val="524F25EC"/>
    <w:rsid w:val="5250487A"/>
    <w:rsid w:val="5252602A"/>
    <w:rsid w:val="525B1586"/>
    <w:rsid w:val="526064B1"/>
    <w:rsid w:val="52690C86"/>
    <w:rsid w:val="526A5229"/>
    <w:rsid w:val="526B0CC4"/>
    <w:rsid w:val="526B217C"/>
    <w:rsid w:val="527339B9"/>
    <w:rsid w:val="527449D1"/>
    <w:rsid w:val="52750312"/>
    <w:rsid w:val="527E7FA7"/>
    <w:rsid w:val="52852628"/>
    <w:rsid w:val="528549ED"/>
    <w:rsid w:val="52862B12"/>
    <w:rsid w:val="52931C51"/>
    <w:rsid w:val="5297682A"/>
    <w:rsid w:val="5299782E"/>
    <w:rsid w:val="529F7607"/>
    <w:rsid w:val="52A03BD4"/>
    <w:rsid w:val="52A66E27"/>
    <w:rsid w:val="52A77DD3"/>
    <w:rsid w:val="52A866CD"/>
    <w:rsid w:val="52AC289B"/>
    <w:rsid w:val="52AD7835"/>
    <w:rsid w:val="52B753C1"/>
    <w:rsid w:val="52BA2CF3"/>
    <w:rsid w:val="52BB27C1"/>
    <w:rsid w:val="52BB5896"/>
    <w:rsid w:val="52BC2591"/>
    <w:rsid w:val="52C80711"/>
    <w:rsid w:val="52CA1454"/>
    <w:rsid w:val="52CB426E"/>
    <w:rsid w:val="52D42966"/>
    <w:rsid w:val="52D83CBE"/>
    <w:rsid w:val="52DA0E76"/>
    <w:rsid w:val="52DE24A4"/>
    <w:rsid w:val="52E02E11"/>
    <w:rsid w:val="52E96027"/>
    <w:rsid w:val="52E96603"/>
    <w:rsid w:val="52EA53F9"/>
    <w:rsid w:val="52EC040A"/>
    <w:rsid w:val="52EC343D"/>
    <w:rsid w:val="52F24141"/>
    <w:rsid w:val="53016EAE"/>
    <w:rsid w:val="53022230"/>
    <w:rsid w:val="53037543"/>
    <w:rsid w:val="53040DD4"/>
    <w:rsid w:val="530879CB"/>
    <w:rsid w:val="53092BE3"/>
    <w:rsid w:val="530D3EE7"/>
    <w:rsid w:val="530E50CD"/>
    <w:rsid w:val="530F48B5"/>
    <w:rsid w:val="53107CE9"/>
    <w:rsid w:val="53116663"/>
    <w:rsid w:val="53123854"/>
    <w:rsid w:val="531E2733"/>
    <w:rsid w:val="531F6D00"/>
    <w:rsid w:val="53200D63"/>
    <w:rsid w:val="53203EAE"/>
    <w:rsid w:val="5327111C"/>
    <w:rsid w:val="532C315D"/>
    <w:rsid w:val="532D5B2E"/>
    <w:rsid w:val="532F46A7"/>
    <w:rsid w:val="53305429"/>
    <w:rsid w:val="53317E3D"/>
    <w:rsid w:val="533456D4"/>
    <w:rsid w:val="5337618A"/>
    <w:rsid w:val="533F6CB7"/>
    <w:rsid w:val="5343392A"/>
    <w:rsid w:val="534658C8"/>
    <w:rsid w:val="5347211A"/>
    <w:rsid w:val="53476426"/>
    <w:rsid w:val="534870E9"/>
    <w:rsid w:val="534B241D"/>
    <w:rsid w:val="535548EC"/>
    <w:rsid w:val="535804D7"/>
    <w:rsid w:val="53590013"/>
    <w:rsid w:val="535B3604"/>
    <w:rsid w:val="535F4AA8"/>
    <w:rsid w:val="536135F8"/>
    <w:rsid w:val="53636ECC"/>
    <w:rsid w:val="536621EA"/>
    <w:rsid w:val="536A65D2"/>
    <w:rsid w:val="537144E9"/>
    <w:rsid w:val="53807561"/>
    <w:rsid w:val="53854A37"/>
    <w:rsid w:val="53855149"/>
    <w:rsid w:val="538A0BE9"/>
    <w:rsid w:val="538A70F2"/>
    <w:rsid w:val="538C639C"/>
    <w:rsid w:val="538E4CE5"/>
    <w:rsid w:val="538F1360"/>
    <w:rsid w:val="53935F6B"/>
    <w:rsid w:val="539F2C9F"/>
    <w:rsid w:val="53A27394"/>
    <w:rsid w:val="53BE4CA5"/>
    <w:rsid w:val="53BF6745"/>
    <w:rsid w:val="53C2131D"/>
    <w:rsid w:val="53C50BB1"/>
    <w:rsid w:val="53C82E5F"/>
    <w:rsid w:val="53C961D5"/>
    <w:rsid w:val="53CA00F2"/>
    <w:rsid w:val="53DB1FEF"/>
    <w:rsid w:val="53DC6321"/>
    <w:rsid w:val="53DE489B"/>
    <w:rsid w:val="53DF0E48"/>
    <w:rsid w:val="53E021B5"/>
    <w:rsid w:val="53E15EE4"/>
    <w:rsid w:val="53E504ED"/>
    <w:rsid w:val="53E623AE"/>
    <w:rsid w:val="53E62704"/>
    <w:rsid w:val="53EB5322"/>
    <w:rsid w:val="53ED1D5A"/>
    <w:rsid w:val="53EF222C"/>
    <w:rsid w:val="53FB6A99"/>
    <w:rsid w:val="54013248"/>
    <w:rsid w:val="54036357"/>
    <w:rsid w:val="540C7B26"/>
    <w:rsid w:val="540E2C5F"/>
    <w:rsid w:val="541C372E"/>
    <w:rsid w:val="54226C53"/>
    <w:rsid w:val="54260313"/>
    <w:rsid w:val="542653F0"/>
    <w:rsid w:val="543207E9"/>
    <w:rsid w:val="54323B36"/>
    <w:rsid w:val="543B1979"/>
    <w:rsid w:val="544071FE"/>
    <w:rsid w:val="54474D8C"/>
    <w:rsid w:val="54481953"/>
    <w:rsid w:val="544C0723"/>
    <w:rsid w:val="544C3972"/>
    <w:rsid w:val="544C3B1E"/>
    <w:rsid w:val="544E23A2"/>
    <w:rsid w:val="54646830"/>
    <w:rsid w:val="54652573"/>
    <w:rsid w:val="54690796"/>
    <w:rsid w:val="54694C0F"/>
    <w:rsid w:val="546E3DF1"/>
    <w:rsid w:val="546F3220"/>
    <w:rsid w:val="547A3FE7"/>
    <w:rsid w:val="547B296E"/>
    <w:rsid w:val="547C24E5"/>
    <w:rsid w:val="547D0D60"/>
    <w:rsid w:val="547F25F5"/>
    <w:rsid w:val="547F3870"/>
    <w:rsid w:val="548075C3"/>
    <w:rsid w:val="54833F1A"/>
    <w:rsid w:val="548F4C0D"/>
    <w:rsid w:val="549A005E"/>
    <w:rsid w:val="549C03CB"/>
    <w:rsid w:val="549F7EBB"/>
    <w:rsid w:val="54A0435F"/>
    <w:rsid w:val="54A045BE"/>
    <w:rsid w:val="54A32323"/>
    <w:rsid w:val="54A8078A"/>
    <w:rsid w:val="54AB06B2"/>
    <w:rsid w:val="54AC5879"/>
    <w:rsid w:val="54B43966"/>
    <w:rsid w:val="54BB10DA"/>
    <w:rsid w:val="54BC61EF"/>
    <w:rsid w:val="54BD7666"/>
    <w:rsid w:val="54BE4673"/>
    <w:rsid w:val="54BF029A"/>
    <w:rsid w:val="54C31BDE"/>
    <w:rsid w:val="54C62E16"/>
    <w:rsid w:val="54C62FAC"/>
    <w:rsid w:val="54CA6334"/>
    <w:rsid w:val="54CB0818"/>
    <w:rsid w:val="54CB2961"/>
    <w:rsid w:val="54CD55DE"/>
    <w:rsid w:val="54D12B00"/>
    <w:rsid w:val="54D85F2F"/>
    <w:rsid w:val="54D94F04"/>
    <w:rsid w:val="54D96C5B"/>
    <w:rsid w:val="54D97F95"/>
    <w:rsid w:val="54DF4FCB"/>
    <w:rsid w:val="54E0475B"/>
    <w:rsid w:val="54E3249D"/>
    <w:rsid w:val="54E52FEA"/>
    <w:rsid w:val="54E66A4D"/>
    <w:rsid w:val="54E71FBE"/>
    <w:rsid w:val="54E87E5F"/>
    <w:rsid w:val="54EC7B95"/>
    <w:rsid w:val="55014944"/>
    <w:rsid w:val="55037AD6"/>
    <w:rsid w:val="550415F3"/>
    <w:rsid w:val="55095F10"/>
    <w:rsid w:val="550B34E2"/>
    <w:rsid w:val="550D12C8"/>
    <w:rsid w:val="550F6DEF"/>
    <w:rsid w:val="55125158"/>
    <w:rsid w:val="551E34D6"/>
    <w:rsid w:val="551F5F7D"/>
    <w:rsid w:val="552133AA"/>
    <w:rsid w:val="552F5F65"/>
    <w:rsid w:val="553B4499"/>
    <w:rsid w:val="553E3E60"/>
    <w:rsid w:val="55450A62"/>
    <w:rsid w:val="5547595B"/>
    <w:rsid w:val="554A6079"/>
    <w:rsid w:val="55583BF0"/>
    <w:rsid w:val="555A417E"/>
    <w:rsid w:val="55603AEE"/>
    <w:rsid w:val="55625588"/>
    <w:rsid w:val="55645A1D"/>
    <w:rsid w:val="55661EFE"/>
    <w:rsid w:val="556829A3"/>
    <w:rsid w:val="556B2AF1"/>
    <w:rsid w:val="556C0EF2"/>
    <w:rsid w:val="55736DD4"/>
    <w:rsid w:val="557374B7"/>
    <w:rsid w:val="55785A57"/>
    <w:rsid w:val="557B37BA"/>
    <w:rsid w:val="5588094F"/>
    <w:rsid w:val="558C3F14"/>
    <w:rsid w:val="55903D39"/>
    <w:rsid w:val="55917864"/>
    <w:rsid w:val="55936B63"/>
    <w:rsid w:val="55947A86"/>
    <w:rsid w:val="559A6E6A"/>
    <w:rsid w:val="55A61E58"/>
    <w:rsid w:val="55A75F06"/>
    <w:rsid w:val="55AA4A37"/>
    <w:rsid w:val="55B11B6C"/>
    <w:rsid w:val="55B35686"/>
    <w:rsid w:val="55B43E76"/>
    <w:rsid w:val="55BA6686"/>
    <w:rsid w:val="55BB56F2"/>
    <w:rsid w:val="55BC22BF"/>
    <w:rsid w:val="55BE4691"/>
    <w:rsid w:val="55CE0A58"/>
    <w:rsid w:val="55CE5AA3"/>
    <w:rsid w:val="55D174F5"/>
    <w:rsid w:val="55D32512"/>
    <w:rsid w:val="55EA0BA9"/>
    <w:rsid w:val="55EE4615"/>
    <w:rsid w:val="55F74CB5"/>
    <w:rsid w:val="55FA4D0E"/>
    <w:rsid w:val="55FE7561"/>
    <w:rsid w:val="5605469F"/>
    <w:rsid w:val="56073EC0"/>
    <w:rsid w:val="560A7E6C"/>
    <w:rsid w:val="560B1147"/>
    <w:rsid w:val="560B2F6D"/>
    <w:rsid w:val="560B706D"/>
    <w:rsid w:val="560E354A"/>
    <w:rsid w:val="561251FE"/>
    <w:rsid w:val="561B4828"/>
    <w:rsid w:val="561D24FA"/>
    <w:rsid w:val="56227A76"/>
    <w:rsid w:val="562D65ED"/>
    <w:rsid w:val="56314CF2"/>
    <w:rsid w:val="56315C9D"/>
    <w:rsid w:val="56321D83"/>
    <w:rsid w:val="56326993"/>
    <w:rsid w:val="563A61B5"/>
    <w:rsid w:val="563E0929"/>
    <w:rsid w:val="564145E3"/>
    <w:rsid w:val="5646023F"/>
    <w:rsid w:val="56493AFC"/>
    <w:rsid w:val="56494E12"/>
    <w:rsid w:val="564B0242"/>
    <w:rsid w:val="564E1C10"/>
    <w:rsid w:val="565076BF"/>
    <w:rsid w:val="56522483"/>
    <w:rsid w:val="56583AFD"/>
    <w:rsid w:val="565A516F"/>
    <w:rsid w:val="565E3201"/>
    <w:rsid w:val="565F5246"/>
    <w:rsid w:val="5667424A"/>
    <w:rsid w:val="56674A08"/>
    <w:rsid w:val="56675ED6"/>
    <w:rsid w:val="566B5553"/>
    <w:rsid w:val="566C46F5"/>
    <w:rsid w:val="56757125"/>
    <w:rsid w:val="56764C2E"/>
    <w:rsid w:val="567968FB"/>
    <w:rsid w:val="567E2DCA"/>
    <w:rsid w:val="5681083A"/>
    <w:rsid w:val="56821842"/>
    <w:rsid w:val="56831B5C"/>
    <w:rsid w:val="56857E1C"/>
    <w:rsid w:val="568752C7"/>
    <w:rsid w:val="56893835"/>
    <w:rsid w:val="568D1E6A"/>
    <w:rsid w:val="569516E6"/>
    <w:rsid w:val="569A4DDE"/>
    <w:rsid w:val="569A561C"/>
    <w:rsid w:val="569B3F8B"/>
    <w:rsid w:val="56A01DC8"/>
    <w:rsid w:val="56A34400"/>
    <w:rsid w:val="56AB404E"/>
    <w:rsid w:val="56B069E7"/>
    <w:rsid w:val="56B17FB5"/>
    <w:rsid w:val="56B912ED"/>
    <w:rsid w:val="56BC6349"/>
    <w:rsid w:val="56C0358B"/>
    <w:rsid w:val="56C0685E"/>
    <w:rsid w:val="56C06C27"/>
    <w:rsid w:val="56CC183F"/>
    <w:rsid w:val="56D41443"/>
    <w:rsid w:val="56D926C4"/>
    <w:rsid w:val="56DC53A8"/>
    <w:rsid w:val="56E504B2"/>
    <w:rsid w:val="56EA07E6"/>
    <w:rsid w:val="56F33533"/>
    <w:rsid w:val="56F50083"/>
    <w:rsid w:val="56F72DC2"/>
    <w:rsid w:val="56FF7421"/>
    <w:rsid w:val="570944FB"/>
    <w:rsid w:val="570C1CCA"/>
    <w:rsid w:val="5712706A"/>
    <w:rsid w:val="57153C7E"/>
    <w:rsid w:val="571A1A9E"/>
    <w:rsid w:val="571A7F08"/>
    <w:rsid w:val="571F0D39"/>
    <w:rsid w:val="572A0D84"/>
    <w:rsid w:val="5734516D"/>
    <w:rsid w:val="57363505"/>
    <w:rsid w:val="574831BC"/>
    <w:rsid w:val="574E7F38"/>
    <w:rsid w:val="57571D1A"/>
    <w:rsid w:val="5759542D"/>
    <w:rsid w:val="575B1094"/>
    <w:rsid w:val="575F3FD5"/>
    <w:rsid w:val="576043A3"/>
    <w:rsid w:val="576440A9"/>
    <w:rsid w:val="576752F7"/>
    <w:rsid w:val="576A1832"/>
    <w:rsid w:val="576C677A"/>
    <w:rsid w:val="576D74F5"/>
    <w:rsid w:val="57737475"/>
    <w:rsid w:val="57765441"/>
    <w:rsid w:val="578259EB"/>
    <w:rsid w:val="5783173F"/>
    <w:rsid w:val="57833DEB"/>
    <w:rsid w:val="57875C12"/>
    <w:rsid w:val="578849BA"/>
    <w:rsid w:val="57890230"/>
    <w:rsid w:val="578B45BC"/>
    <w:rsid w:val="579332C9"/>
    <w:rsid w:val="57984358"/>
    <w:rsid w:val="57990BC6"/>
    <w:rsid w:val="579C091F"/>
    <w:rsid w:val="579C553D"/>
    <w:rsid w:val="579E16D2"/>
    <w:rsid w:val="579E4B6F"/>
    <w:rsid w:val="57A8703D"/>
    <w:rsid w:val="57AE0B41"/>
    <w:rsid w:val="57AF2B0B"/>
    <w:rsid w:val="57B140FD"/>
    <w:rsid w:val="57C23DC7"/>
    <w:rsid w:val="57DB51C2"/>
    <w:rsid w:val="57F00A5B"/>
    <w:rsid w:val="580524DD"/>
    <w:rsid w:val="580B47C9"/>
    <w:rsid w:val="581563DE"/>
    <w:rsid w:val="581B418A"/>
    <w:rsid w:val="581C1F42"/>
    <w:rsid w:val="582055EE"/>
    <w:rsid w:val="582157B7"/>
    <w:rsid w:val="582334BB"/>
    <w:rsid w:val="582D2236"/>
    <w:rsid w:val="58344BA2"/>
    <w:rsid w:val="58353010"/>
    <w:rsid w:val="58422286"/>
    <w:rsid w:val="58435516"/>
    <w:rsid w:val="58446F11"/>
    <w:rsid w:val="5849643A"/>
    <w:rsid w:val="58496BB7"/>
    <w:rsid w:val="584D50B5"/>
    <w:rsid w:val="5856096A"/>
    <w:rsid w:val="5856761D"/>
    <w:rsid w:val="585749D4"/>
    <w:rsid w:val="585B70CE"/>
    <w:rsid w:val="585F008D"/>
    <w:rsid w:val="58612DB0"/>
    <w:rsid w:val="5867473A"/>
    <w:rsid w:val="58695CD4"/>
    <w:rsid w:val="586A0873"/>
    <w:rsid w:val="586B5E7C"/>
    <w:rsid w:val="58746525"/>
    <w:rsid w:val="58755BEE"/>
    <w:rsid w:val="58782EFD"/>
    <w:rsid w:val="58793717"/>
    <w:rsid w:val="587F0A2C"/>
    <w:rsid w:val="58806871"/>
    <w:rsid w:val="5880712A"/>
    <w:rsid w:val="58890B0A"/>
    <w:rsid w:val="58893680"/>
    <w:rsid w:val="588B4B63"/>
    <w:rsid w:val="588C69A8"/>
    <w:rsid w:val="588E12E3"/>
    <w:rsid w:val="588E5385"/>
    <w:rsid w:val="5893055D"/>
    <w:rsid w:val="58972635"/>
    <w:rsid w:val="58AA7A32"/>
    <w:rsid w:val="58AB1DC4"/>
    <w:rsid w:val="58AD6F29"/>
    <w:rsid w:val="58AE51B1"/>
    <w:rsid w:val="58B21363"/>
    <w:rsid w:val="58B9548E"/>
    <w:rsid w:val="58BB136D"/>
    <w:rsid w:val="58C4770B"/>
    <w:rsid w:val="58C8515E"/>
    <w:rsid w:val="58CA6AC5"/>
    <w:rsid w:val="58D5034F"/>
    <w:rsid w:val="58D565DB"/>
    <w:rsid w:val="58DD37C3"/>
    <w:rsid w:val="58E11327"/>
    <w:rsid w:val="58E13BFE"/>
    <w:rsid w:val="58E13FAA"/>
    <w:rsid w:val="58E61054"/>
    <w:rsid w:val="58EC407D"/>
    <w:rsid w:val="58F10ED2"/>
    <w:rsid w:val="58F15F1D"/>
    <w:rsid w:val="58F2184A"/>
    <w:rsid w:val="58F26816"/>
    <w:rsid w:val="58FB0478"/>
    <w:rsid w:val="58FF7C96"/>
    <w:rsid w:val="5902144A"/>
    <w:rsid w:val="59033664"/>
    <w:rsid w:val="5906606A"/>
    <w:rsid w:val="59095DC0"/>
    <w:rsid w:val="590E7202"/>
    <w:rsid w:val="592C02D2"/>
    <w:rsid w:val="592F3E21"/>
    <w:rsid w:val="59325586"/>
    <w:rsid w:val="59340F65"/>
    <w:rsid w:val="59343F8A"/>
    <w:rsid w:val="5934694B"/>
    <w:rsid w:val="59364D98"/>
    <w:rsid w:val="593B28A8"/>
    <w:rsid w:val="593C7B95"/>
    <w:rsid w:val="593F3E9F"/>
    <w:rsid w:val="59405D1A"/>
    <w:rsid w:val="59411161"/>
    <w:rsid w:val="59480C80"/>
    <w:rsid w:val="59482535"/>
    <w:rsid w:val="59483207"/>
    <w:rsid w:val="59511ADF"/>
    <w:rsid w:val="59581C7C"/>
    <w:rsid w:val="5958749C"/>
    <w:rsid w:val="59592D2E"/>
    <w:rsid w:val="595A5D23"/>
    <w:rsid w:val="595E2389"/>
    <w:rsid w:val="59656B86"/>
    <w:rsid w:val="596D67DA"/>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6337C"/>
    <w:rsid w:val="59975F06"/>
    <w:rsid w:val="599B3347"/>
    <w:rsid w:val="599D1861"/>
    <w:rsid w:val="59A50D93"/>
    <w:rsid w:val="59A5452D"/>
    <w:rsid w:val="59AD31FE"/>
    <w:rsid w:val="59B54CFC"/>
    <w:rsid w:val="59BF1C6C"/>
    <w:rsid w:val="59D36AA9"/>
    <w:rsid w:val="59D507D0"/>
    <w:rsid w:val="59E87057"/>
    <w:rsid w:val="59E8793A"/>
    <w:rsid w:val="59EA2AD4"/>
    <w:rsid w:val="59EC1016"/>
    <w:rsid w:val="59F172B4"/>
    <w:rsid w:val="59F30AF9"/>
    <w:rsid w:val="59F3413A"/>
    <w:rsid w:val="59F60FA8"/>
    <w:rsid w:val="5A04552A"/>
    <w:rsid w:val="5A0B4BBF"/>
    <w:rsid w:val="5A0C7DA1"/>
    <w:rsid w:val="5A0D4DA0"/>
    <w:rsid w:val="5A1C6F22"/>
    <w:rsid w:val="5A1F5227"/>
    <w:rsid w:val="5A1F7B10"/>
    <w:rsid w:val="5A26078B"/>
    <w:rsid w:val="5A272E2D"/>
    <w:rsid w:val="5A2D3B58"/>
    <w:rsid w:val="5A413182"/>
    <w:rsid w:val="5A44578C"/>
    <w:rsid w:val="5A4864F4"/>
    <w:rsid w:val="5A4956B2"/>
    <w:rsid w:val="5A4B2D94"/>
    <w:rsid w:val="5A4C0F26"/>
    <w:rsid w:val="5A554AD0"/>
    <w:rsid w:val="5A6617BB"/>
    <w:rsid w:val="5A6C436B"/>
    <w:rsid w:val="5A721D72"/>
    <w:rsid w:val="5A731BCE"/>
    <w:rsid w:val="5A7A3A0D"/>
    <w:rsid w:val="5A864337"/>
    <w:rsid w:val="5A8721E6"/>
    <w:rsid w:val="5A8D5E87"/>
    <w:rsid w:val="5A8E4EF3"/>
    <w:rsid w:val="5A8F063F"/>
    <w:rsid w:val="5A910A68"/>
    <w:rsid w:val="5A93347D"/>
    <w:rsid w:val="5A942977"/>
    <w:rsid w:val="5A9B1124"/>
    <w:rsid w:val="5AA92788"/>
    <w:rsid w:val="5AA927F1"/>
    <w:rsid w:val="5AAC1AAA"/>
    <w:rsid w:val="5AB16E5D"/>
    <w:rsid w:val="5AB50FD9"/>
    <w:rsid w:val="5ABD13D9"/>
    <w:rsid w:val="5ABE6B32"/>
    <w:rsid w:val="5AC2550F"/>
    <w:rsid w:val="5AC46254"/>
    <w:rsid w:val="5ACC124B"/>
    <w:rsid w:val="5ACD59C5"/>
    <w:rsid w:val="5AD22D0E"/>
    <w:rsid w:val="5AD25E29"/>
    <w:rsid w:val="5AD81EAB"/>
    <w:rsid w:val="5ADD6AED"/>
    <w:rsid w:val="5AE76BC1"/>
    <w:rsid w:val="5AEC45D6"/>
    <w:rsid w:val="5AEC6AA2"/>
    <w:rsid w:val="5AED6EE6"/>
    <w:rsid w:val="5B054511"/>
    <w:rsid w:val="5B123195"/>
    <w:rsid w:val="5B130536"/>
    <w:rsid w:val="5B1527A8"/>
    <w:rsid w:val="5B197CBB"/>
    <w:rsid w:val="5B271DAF"/>
    <w:rsid w:val="5B2914F9"/>
    <w:rsid w:val="5B2B7A81"/>
    <w:rsid w:val="5B2F4030"/>
    <w:rsid w:val="5B3272AC"/>
    <w:rsid w:val="5B3C52B5"/>
    <w:rsid w:val="5B40209A"/>
    <w:rsid w:val="5B473AE9"/>
    <w:rsid w:val="5B4A70EE"/>
    <w:rsid w:val="5B507564"/>
    <w:rsid w:val="5B555E05"/>
    <w:rsid w:val="5B583E2B"/>
    <w:rsid w:val="5B6878FE"/>
    <w:rsid w:val="5B6912EE"/>
    <w:rsid w:val="5B7A2961"/>
    <w:rsid w:val="5B7B40AF"/>
    <w:rsid w:val="5B7B6945"/>
    <w:rsid w:val="5B832294"/>
    <w:rsid w:val="5B87762F"/>
    <w:rsid w:val="5B890BAF"/>
    <w:rsid w:val="5B8F0246"/>
    <w:rsid w:val="5B950F26"/>
    <w:rsid w:val="5B966B0C"/>
    <w:rsid w:val="5B9A38AB"/>
    <w:rsid w:val="5B9B4672"/>
    <w:rsid w:val="5B9D1438"/>
    <w:rsid w:val="5B9E191E"/>
    <w:rsid w:val="5B9F059B"/>
    <w:rsid w:val="5BA36C6C"/>
    <w:rsid w:val="5BB41599"/>
    <w:rsid w:val="5BBF6B1D"/>
    <w:rsid w:val="5BC42CCF"/>
    <w:rsid w:val="5BD16D46"/>
    <w:rsid w:val="5BD743DE"/>
    <w:rsid w:val="5BDA2E82"/>
    <w:rsid w:val="5BDB1202"/>
    <w:rsid w:val="5BDE01DD"/>
    <w:rsid w:val="5BE0398E"/>
    <w:rsid w:val="5BE068CA"/>
    <w:rsid w:val="5BE06CCB"/>
    <w:rsid w:val="5BE15EB4"/>
    <w:rsid w:val="5BE43064"/>
    <w:rsid w:val="5BE70C9C"/>
    <w:rsid w:val="5BE73891"/>
    <w:rsid w:val="5BEE6D6C"/>
    <w:rsid w:val="5BF606BC"/>
    <w:rsid w:val="5BFF4C02"/>
    <w:rsid w:val="5C012390"/>
    <w:rsid w:val="5C0477B5"/>
    <w:rsid w:val="5C0549F0"/>
    <w:rsid w:val="5C0F381E"/>
    <w:rsid w:val="5C115B42"/>
    <w:rsid w:val="5C134D0A"/>
    <w:rsid w:val="5C2447C2"/>
    <w:rsid w:val="5C2C2C06"/>
    <w:rsid w:val="5C2E04A2"/>
    <w:rsid w:val="5C2E3D4E"/>
    <w:rsid w:val="5C302DB4"/>
    <w:rsid w:val="5C33495D"/>
    <w:rsid w:val="5C3573E8"/>
    <w:rsid w:val="5C38462F"/>
    <w:rsid w:val="5C391C9D"/>
    <w:rsid w:val="5C4A7029"/>
    <w:rsid w:val="5C524B49"/>
    <w:rsid w:val="5C567BAC"/>
    <w:rsid w:val="5C5C2559"/>
    <w:rsid w:val="5C5E06F3"/>
    <w:rsid w:val="5C606A7E"/>
    <w:rsid w:val="5C651375"/>
    <w:rsid w:val="5C651F1D"/>
    <w:rsid w:val="5C6D7D63"/>
    <w:rsid w:val="5C6F346E"/>
    <w:rsid w:val="5C7B58FA"/>
    <w:rsid w:val="5C811086"/>
    <w:rsid w:val="5C832EF9"/>
    <w:rsid w:val="5C847C07"/>
    <w:rsid w:val="5C853E3A"/>
    <w:rsid w:val="5C8925AA"/>
    <w:rsid w:val="5C8A31FF"/>
    <w:rsid w:val="5C8C3341"/>
    <w:rsid w:val="5C8C45D7"/>
    <w:rsid w:val="5C8D4696"/>
    <w:rsid w:val="5C941EA6"/>
    <w:rsid w:val="5C96523B"/>
    <w:rsid w:val="5C967669"/>
    <w:rsid w:val="5C9C7C79"/>
    <w:rsid w:val="5C9E6D0E"/>
    <w:rsid w:val="5C9F3B3A"/>
    <w:rsid w:val="5CA15E1B"/>
    <w:rsid w:val="5CA84651"/>
    <w:rsid w:val="5CAB5A2E"/>
    <w:rsid w:val="5CAD69EE"/>
    <w:rsid w:val="5CB43FE9"/>
    <w:rsid w:val="5CB47D0C"/>
    <w:rsid w:val="5CB57F38"/>
    <w:rsid w:val="5CB737EC"/>
    <w:rsid w:val="5CB90DCB"/>
    <w:rsid w:val="5CBC5AAE"/>
    <w:rsid w:val="5CC709AE"/>
    <w:rsid w:val="5CC77617"/>
    <w:rsid w:val="5CDA5CCB"/>
    <w:rsid w:val="5CDC7AC8"/>
    <w:rsid w:val="5CDE09AD"/>
    <w:rsid w:val="5CDE130D"/>
    <w:rsid w:val="5CDE3A3A"/>
    <w:rsid w:val="5CDE7133"/>
    <w:rsid w:val="5CE13766"/>
    <w:rsid w:val="5CE65635"/>
    <w:rsid w:val="5CEA4F59"/>
    <w:rsid w:val="5CF01FB3"/>
    <w:rsid w:val="5CF446A3"/>
    <w:rsid w:val="5CF50D20"/>
    <w:rsid w:val="5CFA7DDF"/>
    <w:rsid w:val="5D0134C1"/>
    <w:rsid w:val="5D060039"/>
    <w:rsid w:val="5D087C35"/>
    <w:rsid w:val="5D0C0D17"/>
    <w:rsid w:val="5D121A42"/>
    <w:rsid w:val="5D122732"/>
    <w:rsid w:val="5D155EF3"/>
    <w:rsid w:val="5D184CAE"/>
    <w:rsid w:val="5D1872B7"/>
    <w:rsid w:val="5D19017E"/>
    <w:rsid w:val="5D1B609B"/>
    <w:rsid w:val="5D216721"/>
    <w:rsid w:val="5D2503C7"/>
    <w:rsid w:val="5D2A5FDD"/>
    <w:rsid w:val="5D310BBF"/>
    <w:rsid w:val="5D3216E3"/>
    <w:rsid w:val="5D334440"/>
    <w:rsid w:val="5D3540E7"/>
    <w:rsid w:val="5D3579D3"/>
    <w:rsid w:val="5D3F4512"/>
    <w:rsid w:val="5D445AA3"/>
    <w:rsid w:val="5D4B03EC"/>
    <w:rsid w:val="5D4B3B72"/>
    <w:rsid w:val="5D4B7D01"/>
    <w:rsid w:val="5D596F9F"/>
    <w:rsid w:val="5D5D366B"/>
    <w:rsid w:val="5D63417B"/>
    <w:rsid w:val="5D663874"/>
    <w:rsid w:val="5D6759B2"/>
    <w:rsid w:val="5D726960"/>
    <w:rsid w:val="5D78456B"/>
    <w:rsid w:val="5D79574D"/>
    <w:rsid w:val="5D8056CF"/>
    <w:rsid w:val="5D8167C6"/>
    <w:rsid w:val="5D827AE7"/>
    <w:rsid w:val="5D84626D"/>
    <w:rsid w:val="5D850F66"/>
    <w:rsid w:val="5D882498"/>
    <w:rsid w:val="5D88463C"/>
    <w:rsid w:val="5D8C0D5D"/>
    <w:rsid w:val="5D8C36CC"/>
    <w:rsid w:val="5D8D30BD"/>
    <w:rsid w:val="5D8E1670"/>
    <w:rsid w:val="5D8E4F86"/>
    <w:rsid w:val="5D8E5A81"/>
    <w:rsid w:val="5D916240"/>
    <w:rsid w:val="5D92680F"/>
    <w:rsid w:val="5DA03F1A"/>
    <w:rsid w:val="5DA34B77"/>
    <w:rsid w:val="5DA60259"/>
    <w:rsid w:val="5DA9695A"/>
    <w:rsid w:val="5DAC24BD"/>
    <w:rsid w:val="5DAD1AB9"/>
    <w:rsid w:val="5DB563E8"/>
    <w:rsid w:val="5DB91AE6"/>
    <w:rsid w:val="5DBC49B1"/>
    <w:rsid w:val="5DBF5D68"/>
    <w:rsid w:val="5DC1061A"/>
    <w:rsid w:val="5DC50736"/>
    <w:rsid w:val="5DC854AE"/>
    <w:rsid w:val="5DCA5E66"/>
    <w:rsid w:val="5DCD7CA3"/>
    <w:rsid w:val="5DCE7CD7"/>
    <w:rsid w:val="5DD45079"/>
    <w:rsid w:val="5DD62627"/>
    <w:rsid w:val="5DDA3C5A"/>
    <w:rsid w:val="5DDA467A"/>
    <w:rsid w:val="5DDD7149"/>
    <w:rsid w:val="5DE02DF7"/>
    <w:rsid w:val="5DE66DA4"/>
    <w:rsid w:val="5DE75A11"/>
    <w:rsid w:val="5DE900BB"/>
    <w:rsid w:val="5DED3DD9"/>
    <w:rsid w:val="5DEE588B"/>
    <w:rsid w:val="5DF11787"/>
    <w:rsid w:val="5E0367F3"/>
    <w:rsid w:val="5E044C53"/>
    <w:rsid w:val="5E09310B"/>
    <w:rsid w:val="5E0A1762"/>
    <w:rsid w:val="5E0B33D3"/>
    <w:rsid w:val="5E0C0CE4"/>
    <w:rsid w:val="5E0E75A4"/>
    <w:rsid w:val="5E1B137E"/>
    <w:rsid w:val="5E1F1CD3"/>
    <w:rsid w:val="5E2210E5"/>
    <w:rsid w:val="5E266E0F"/>
    <w:rsid w:val="5E274E0D"/>
    <w:rsid w:val="5E35139A"/>
    <w:rsid w:val="5E391380"/>
    <w:rsid w:val="5E430CFF"/>
    <w:rsid w:val="5E4913EB"/>
    <w:rsid w:val="5E4C21AE"/>
    <w:rsid w:val="5E4E4F7E"/>
    <w:rsid w:val="5E4F778B"/>
    <w:rsid w:val="5E50089B"/>
    <w:rsid w:val="5E565A8E"/>
    <w:rsid w:val="5E587C9C"/>
    <w:rsid w:val="5E5A5900"/>
    <w:rsid w:val="5E5B6BB2"/>
    <w:rsid w:val="5E5B7C2F"/>
    <w:rsid w:val="5E5D4CBB"/>
    <w:rsid w:val="5E624460"/>
    <w:rsid w:val="5E626323"/>
    <w:rsid w:val="5E68147C"/>
    <w:rsid w:val="5E695B2A"/>
    <w:rsid w:val="5E6B6FF1"/>
    <w:rsid w:val="5E86311F"/>
    <w:rsid w:val="5E86548A"/>
    <w:rsid w:val="5E8A4D55"/>
    <w:rsid w:val="5E8B0034"/>
    <w:rsid w:val="5E965490"/>
    <w:rsid w:val="5E997419"/>
    <w:rsid w:val="5E9E326F"/>
    <w:rsid w:val="5E9F3129"/>
    <w:rsid w:val="5EA0592B"/>
    <w:rsid w:val="5EAC3900"/>
    <w:rsid w:val="5EB31D18"/>
    <w:rsid w:val="5EB50A07"/>
    <w:rsid w:val="5EB94833"/>
    <w:rsid w:val="5EC36F8C"/>
    <w:rsid w:val="5ECA6D77"/>
    <w:rsid w:val="5ED52BEC"/>
    <w:rsid w:val="5EDD0B3C"/>
    <w:rsid w:val="5EE258B2"/>
    <w:rsid w:val="5EE56E7D"/>
    <w:rsid w:val="5EE80245"/>
    <w:rsid w:val="5EEE772F"/>
    <w:rsid w:val="5EF132F8"/>
    <w:rsid w:val="5EFC201A"/>
    <w:rsid w:val="5EFE73BB"/>
    <w:rsid w:val="5F04026D"/>
    <w:rsid w:val="5F0552D8"/>
    <w:rsid w:val="5F070F45"/>
    <w:rsid w:val="5F0868E9"/>
    <w:rsid w:val="5F0E45BB"/>
    <w:rsid w:val="5F0E6363"/>
    <w:rsid w:val="5F0F4198"/>
    <w:rsid w:val="5F1122A4"/>
    <w:rsid w:val="5F21609C"/>
    <w:rsid w:val="5F283DD1"/>
    <w:rsid w:val="5F284571"/>
    <w:rsid w:val="5F35643C"/>
    <w:rsid w:val="5F3A0ECC"/>
    <w:rsid w:val="5F3B0D62"/>
    <w:rsid w:val="5F454447"/>
    <w:rsid w:val="5F496AE3"/>
    <w:rsid w:val="5F4A0140"/>
    <w:rsid w:val="5F4E49A9"/>
    <w:rsid w:val="5F5304E5"/>
    <w:rsid w:val="5F557D24"/>
    <w:rsid w:val="5F571ABE"/>
    <w:rsid w:val="5F61390F"/>
    <w:rsid w:val="5F6507A9"/>
    <w:rsid w:val="5F6A5F20"/>
    <w:rsid w:val="5F6E3BF7"/>
    <w:rsid w:val="5F847158"/>
    <w:rsid w:val="5F8527A1"/>
    <w:rsid w:val="5F884ED8"/>
    <w:rsid w:val="5F8D262C"/>
    <w:rsid w:val="5F8E330E"/>
    <w:rsid w:val="5F904480"/>
    <w:rsid w:val="5F99713B"/>
    <w:rsid w:val="5F9A0389"/>
    <w:rsid w:val="5F9A7BFD"/>
    <w:rsid w:val="5F9F5EE3"/>
    <w:rsid w:val="5FA6034F"/>
    <w:rsid w:val="5FA767D8"/>
    <w:rsid w:val="5FAB0D25"/>
    <w:rsid w:val="5FAE368B"/>
    <w:rsid w:val="5FAE4CCA"/>
    <w:rsid w:val="5FB51466"/>
    <w:rsid w:val="5FB6148F"/>
    <w:rsid w:val="5FC609F2"/>
    <w:rsid w:val="5FCA6734"/>
    <w:rsid w:val="5FCB325D"/>
    <w:rsid w:val="5FCC6A31"/>
    <w:rsid w:val="5FD40E8D"/>
    <w:rsid w:val="5FDF212E"/>
    <w:rsid w:val="5FDF67B6"/>
    <w:rsid w:val="5FE10C8E"/>
    <w:rsid w:val="5FE34282"/>
    <w:rsid w:val="5FED06A9"/>
    <w:rsid w:val="5FF13CC0"/>
    <w:rsid w:val="5FF44DF9"/>
    <w:rsid w:val="5FF4730D"/>
    <w:rsid w:val="5FFA456C"/>
    <w:rsid w:val="5FFA4853"/>
    <w:rsid w:val="5FFE63DD"/>
    <w:rsid w:val="6007576A"/>
    <w:rsid w:val="60123C37"/>
    <w:rsid w:val="60143E86"/>
    <w:rsid w:val="60167164"/>
    <w:rsid w:val="60172FFB"/>
    <w:rsid w:val="6017749F"/>
    <w:rsid w:val="601A587C"/>
    <w:rsid w:val="601B4091"/>
    <w:rsid w:val="602238F8"/>
    <w:rsid w:val="60244144"/>
    <w:rsid w:val="602C41B6"/>
    <w:rsid w:val="602E7099"/>
    <w:rsid w:val="60311EBC"/>
    <w:rsid w:val="604017AE"/>
    <w:rsid w:val="6043648A"/>
    <w:rsid w:val="604654CE"/>
    <w:rsid w:val="604A57E6"/>
    <w:rsid w:val="604C521E"/>
    <w:rsid w:val="604E1113"/>
    <w:rsid w:val="604F5EF6"/>
    <w:rsid w:val="60535A68"/>
    <w:rsid w:val="6057558C"/>
    <w:rsid w:val="605E72F8"/>
    <w:rsid w:val="605F5AE3"/>
    <w:rsid w:val="606157F3"/>
    <w:rsid w:val="60627C46"/>
    <w:rsid w:val="606364CC"/>
    <w:rsid w:val="606429BD"/>
    <w:rsid w:val="6065579E"/>
    <w:rsid w:val="60687CFB"/>
    <w:rsid w:val="606F4BE5"/>
    <w:rsid w:val="607046CC"/>
    <w:rsid w:val="60720FD1"/>
    <w:rsid w:val="6072154F"/>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6414"/>
    <w:rsid w:val="60AD1D1B"/>
    <w:rsid w:val="60AF1A29"/>
    <w:rsid w:val="60B8084B"/>
    <w:rsid w:val="60BB1228"/>
    <w:rsid w:val="60BD4E6A"/>
    <w:rsid w:val="60C32468"/>
    <w:rsid w:val="60D1379A"/>
    <w:rsid w:val="60D43678"/>
    <w:rsid w:val="60D9211B"/>
    <w:rsid w:val="60DE6B36"/>
    <w:rsid w:val="60DF2705"/>
    <w:rsid w:val="60DF555F"/>
    <w:rsid w:val="60E51627"/>
    <w:rsid w:val="60E5727A"/>
    <w:rsid w:val="60E67AE8"/>
    <w:rsid w:val="60EA3735"/>
    <w:rsid w:val="60ED6A37"/>
    <w:rsid w:val="60F02909"/>
    <w:rsid w:val="60F86CDC"/>
    <w:rsid w:val="610053BE"/>
    <w:rsid w:val="61015C82"/>
    <w:rsid w:val="610406CF"/>
    <w:rsid w:val="61065EB1"/>
    <w:rsid w:val="61092FF7"/>
    <w:rsid w:val="610D2F2B"/>
    <w:rsid w:val="610E2650"/>
    <w:rsid w:val="610E3805"/>
    <w:rsid w:val="610F7407"/>
    <w:rsid w:val="612149B4"/>
    <w:rsid w:val="61217505"/>
    <w:rsid w:val="6123437B"/>
    <w:rsid w:val="61237FDA"/>
    <w:rsid w:val="612439E8"/>
    <w:rsid w:val="61266741"/>
    <w:rsid w:val="612756CF"/>
    <w:rsid w:val="612B4288"/>
    <w:rsid w:val="612D296F"/>
    <w:rsid w:val="612D68C5"/>
    <w:rsid w:val="612E1494"/>
    <w:rsid w:val="6138591F"/>
    <w:rsid w:val="614555FE"/>
    <w:rsid w:val="614A3BE6"/>
    <w:rsid w:val="614A563B"/>
    <w:rsid w:val="614B3DCA"/>
    <w:rsid w:val="614C69C2"/>
    <w:rsid w:val="614D19CC"/>
    <w:rsid w:val="614F7FD9"/>
    <w:rsid w:val="61502BE6"/>
    <w:rsid w:val="61512EAC"/>
    <w:rsid w:val="61546D6C"/>
    <w:rsid w:val="615479E2"/>
    <w:rsid w:val="61555D9E"/>
    <w:rsid w:val="615A5B14"/>
    <w:rsid w:val="615D1289"/>
    <w:rsid w:val="615D5699"/>
    <w:rsid w:val="615E5DA0"/>
    <w:rsid w:val="616332B5"/>
    <w:rsid w:val="6168626A"/>
    <w:rsid w:val="61694F5B"/>
    <w:rsid w:val="616A700D"/>
    <w:rsid w:val="616C41B8"/>
    <w:rsid w:val="616D073D"/>
    <w:rsid w:val="61731D22"/>
    <w:rsid w:val="617A3001"/>
    <w:rsid w:val="617D0928"/>
    <w:rsid w:val="617D3332"/>
    <w:rsid w:val="618446C0"/>
    <w:rsid w:val="61891CD7"/>
    <w:rsid w:val="61897126"/>
    <w:rsid w:val="61982206"/>
    <w:rsid w:val="619877AE"/>
    <w:rsid w:val="61A44839"/>
    <w:rsid w:val="61A464B4"/>
    <w:rsid w:val="61A524ED"/>
    <w:rsid w:val="61BE3173"/>
    <w:rsid w:val="61C139FB"/>
    <w:rsid w:val="61C52F7C"/>
    <w:rsid w:val="61C56B2B"/>
    <w:rsid w:val="61C65438"/>
    <w:rsid w:val="61C665BE"/>
    <w:rsid w:val="61CA523D"/>
    <w:rsid w:val="61D15BC1"/>
    <w:rsid w:val="61D430B1"/>
    <w:rsid w:val="61D874CA"/>
    <w:rsid w:val="61DA0784"/>
    <w:rsid w:val="61DA463A"/>
    <w:rsid w:val="61E145AD"/>
    <w:rsid w:val="61E6537B"/>
    <w:rsid w:val="61EB3425"/>
    <w:rsid w:val="61ED6709"/>
    <w:rsid w:val="61F52D89"/>
    <w:rsid w:val="61F76912"/>
    <w:rsid w:val="62025288"/>
    <w:rsid w:val="62067533"/>
    <w:rsid w:val="62071713"/>
    <w:rsid w:val="620971FF"/>
    <w:rsid w:val="620A7527"/>
    <w:rsid w:val="620B1CD1"/>
    <w:rsid w:val="620E43FD"/>
    <w:rsid w:val="62112067"/>
    <w:rsid w:val="62132F1F"/>
    <w:rsid w:val="62143D21"/>
    <w:rsid w:val="621D44D9"/>
    <w:rsid w:val="62256A19"/>
    <w:rsid w:val="622A55FC"/>
    <w:rsid w:val="622B2701"/>
    <w:rsid w:val="62303335"/>
    <w:rsid w:val="62327C9C"/>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D5986"/>
    <w:rsid w:val="62A22ABD"/>
    <w:rsid w:val="62A66FF8"/>
    <w:rsid w:val="62B72CA5"/>
    <w:rsid w:val="62B77366"/>
    <w:rsid w:val="62BD338B"/>
    <w:rsid w:val="62C962FF"/>
    <w:rsid w:val="62CD2DEF"/>
    <w:rsid w:val="62CF4061"/>
    <w:rsid w:val="62D34ACF"/>
    <w:rsid w:val="62D44221"/>
    <w:rsid w:val="62DA2A79"/>
    <w:rsid w:val="62DE5397"/>
    <w:rsid w:val="62DE7680"/>
    <w:rsid w:val="62E122CB"/>
    <w:rsid w:val="62E43E32"/>
    <w:rsid w:val="62E821FD"/>
    <w:rsid w:val="62E91E86"/>
    <w:rsid w:val="62ED6533"/>
    <w:rsid w:val="62EE4CDB"/>
    <w:rsid w:val="630365A3"/>
    <w:rsid w:val="63036A0B"/>
    <w:rsid w:val="63047B58"/>
    <w:rsid w:val="630B75D1"/>
    <w:rsid w:val="6310630D"/>
    <w:rsid w:val="63134DEC"/>
    <w:rsid w:val="63170869"/>
    <w:rsid w:val="63193DF9"/>
    <w:rsid w:val="631C7329"/>
    <w:rsid w:val="631D6B7A"/>
    <w:rsid w:val="632018C7"/>
    <w:rsid w:val="632434EB"/>
    <w:rsid w:val="632D285D"/>
    <w:rsid w:val="632D64F7"/>
    <w:rsid w:val="632F28ED"/>
    <w:rsid w:val="63344891"/>
    <w:rsid w:val="633B43EA"/>
    <w:rsid w:val="633D0FCB"/>
    <w:rsid w:val="633E1EEA"/>
    <w:rsid w:val="634149CA"/>
    <w:rsid w:val="634A5EF4"/>
    <w:rsid w:val="634B18B4"/>
    <w:rsid w:val="634D2758"/>
    <w:rsid w:val="6350668D"/>
    <w:rsid w:val="63530A1E"/>
    <w:rsid w:val="635527B8"/>
    <w:rsid w:val="636C2F84"/>
    <w:rsid w:val="636D305D"/>
    <w:rsid w:val="63715118"/>
    <w:rsid w:val="63737FD4"/>
    <w:rsid w:val="637403DF"/>
    <w:rsid w:val="637569B7"/>
    <w:rsid w:val="63780D57"/>
    <w:rsid w:val="63795892"/>
    <w:rsid w:val="637B6EF5"/>
    <w:rsid w:val="637F2B43"/>
    <w:rsid w:val="63817C8F"/>
    <w:rsid w:val="6382063C"/>
    <w:rsid w:val="63825FCC"/>
    <w:rsid w:val="63885D41"/>
    <w:rsid w:val="638C6C0F"/>
    <w:rsid w:val="638D09F3"/>
    <w:rsid w:val="63920DFC"/>
    <w:rsid w:val="63935AD5"/>
    <w:rsid w:val="639A01BB"/>
    <w:rsid w:val="639C62A4"/>
    <w:rsid w:val="63A91559"/>
    <w:rsid w:val="63AA4A9F"/>
    <w:rsid w:val="63AC10F5"/>
    <w:rsid w:val="63B0397B"/>
    <w:rsid w:val="63B26775"/>
    <w:rsid w:val="63B65836"/>
    <w:rsid w:val="63B758FA"/>
    <w:rsid w:val="63BA6ABF"/>
    <w:rsid w:val="63BB68AB"/>
    <w:rsid w:val="63C26FAC"/>
    <w:rsid w:val="63C65212"/>
    <w:rsid w:val="63C6642F"/>
    <w:rsid w:val="63D43F1B"/>
    <w:rsid w:val="63D556A7"/>
    <w:rsid w:val="63DD455C"/>
    <w:rsid w:val="63E2517C"/>
    <w:rsid w:val="63E37EF7"/>
    <w:rsid w:val="63E5010D"/>
    <w:rsid w:val="63EC0F18"/>
    <w:rsid w:val="63EF50C6"/>
    <w:rsid w:val="63F0548A"/>
    <w:rsid w:val="63FA2552"/>
    <w:rsid w:val="63FA618C"/>
    <w:rsid w:val="63FC5706"/>
    <w:rsid w:val="6402291D"/>
    <w:rsid w:val="64031A93"/>
    <w:rsid w:val="64063AB3"/>
    <w:rsid w:val="640720C1"/>
    <w:rsid w:val="640B1F8F"/>
    <w:rsid w:val="640D13B9"/>
    <w:rsid w:val="640D6A68"/>
    <w:rsid w:val="641013FB"/>
    <w:rsid w:val="6410427A"/>
    <w:rsid w:val="641066DF"/>
    <w:rsid w:val="641461CF"/>
    <w:rsid w:val="64184969"/>
    <w:rsid w:val="641A631D"/>
    <w:rsid w:val="641F21C4"/>
    <w:rsid w:val="64205EF9"/>
    <w:rsid w:val="64234664"/>
    <w:rsid w:val="64237BE2"/>
    <w:rsid w:val="642B2624"/>
    <w:rsid w:val="642C69BD"/>
    <w:rsid w:val="643469EA"/>
    <w:rsid w:val="6435723D"/>
    <w:rsid w:val="6437387C"/>
    <w:rsid w:val="643E61A5"/>
    <w:rsid w:val="64412CB4"/>
    <w:rsid w:val="6441646E"/>
    <w:rsid w:val="64475BCD"/>
    <w:rsid w:val="6451379B"/>
    <w:rsid w:val="64546DA9"/>
    <w:rsid w:val="64616F3B"/>
    <w:rsid w:val="64630019"/>
    <w:rsid w:val="64644242"/>
    <w:rsid w:val="646A7333"/>
    <w:rsid w:val="646F7BBB"/>
    <w:rsid w:val="64761E55"/>
    <w:rsid w:val="647A1DAD"/>
    <w:rsid w:val="647A760C"/>
    <w:rsid w:val="647E32AF"/>
    <w:rsid w:val="64856D00"/>
    <w:rsid w:val="6488707F"/>
    <w:rsid w:val="648F3E34"/>
    <w:rsid w:val="648F5418"/>
    <w:rsid w:val="64947EA7"/>
    <w:rsid w:val="649718EC"/>
    <w:rsid w:val="649F26DA"/>
    <w:rsid w:val="64AD2180"/>
    <w:rsid w:val="64B45E2A"/>
    <w:rsid w:val="64B5491E"/>
    <w:rsid w:val="64BF2941"/>
    <w:rsid w:val="64BF2E5F"/>
    <w:rsid w:val="64C71494"/>
    <w:rsid w:val="64C80892"/>
    <w:rsid w:val="64C966BE"/>
    <w:rsid w:val="64CF4983"/>
    <w:rsid w:val="64D865AC"/>
    <w:rsid w:val="64DF41ED"/>
    <w:rsid w:val="64E04F1E"/>
    <w:rsid w:val="64E05696"/>
    <w:rsid w:val="64EA18FD"/>
    <w:rsid w:val="64ED414E"/>
    <w:rsid w:val="64EF0130"/>
    <w:rsid w:val="64EF032E"/>
    <w:rsid w:val="64F102BF"/>
    <w:rsid w:val="64F96F89"/>
    <w:rsid w:val="64FC29FD"/>
    <w:rsid w:val="64FE3B47"/>
    <w:rsid w:val="64FF4955"/>
    <w:rsid w:val="6505779C"/>
    <w:rsid w:val="650D2C1F"/>
    <w:rsid w:val="65140C27"/>
    <w:rsid w:val="65222B6E"/>
    <w:rsid w:val="65242442"/>
    <w:rsid w:val="652A2225"/>
    <w:rsid w:val="652A2C63"/>
    <w:rsid w:val="653B62B2"/>
    <w:rsid w:val="653C00CC"/>
    <w:rsid w:val="653D48C7"/>
    <w:rsid w:val="6544003B"/>
    <w:rsid w:val="65462AB2"/>
    <w:rsid w:val="65465C3A"/>
    <w:rsid w:val="654B69A5"/>
    <w:rsid w:val="65530F79"/>
    <w:rsid w:val="655460FF"/>
    <w:rsid w:val="655645C6"/>
    <w:rsid w:val="6559070A"/>
    <w:rsid w:val="655A5855"/>
    <w:rsid w:val="655B3AA1"/>
    <w:rsid w:val="655F653C"/>
    <w:rsid w:val="65613BF2"/>
    <w:rsid w:val="6562146F"/>
    <w:rsid w:val="65621D71"/>
    <w:rsid w:val="65633124"/>
    <w:rsid w:val="65645B01"/>
    <w:rsid w:val="65673667"/>
    <w:rsid w:val="656D104A"/>
    <w:rsid w:val="656F20F3"/>
    <w:rsid w:val="656F7435"/>
    <w:rsid w:val="6570190C"/>
    <w:rsid w:val="657643F7"/>
    <w:rsid w:val="6578051F"/>
    <w:rsid w:val="657A3E92"/>
    <w:rsid w:val="657C5A6D"/>
    <w:rsid w:val="65812080"/>
    <w:rsid w:val="65866F62"/>
    <w:rsid w:val="658818B7"/>
    <w:rsid w:val="658854EC"/>
    <w:rsid w:val="658D1975"/>
    <w:rsid w:val="65952AAB"/>
    <w:rsid w:val="659B5459"/>
    <w:rsid w:val="65A1330E"/>
    <w:rsid w:val="65A25BC8"/>
    <w:rsid w:val="65A45331"/>
    <w:rsid w:val="65A51E1B"/>
    <w:rsid w:val="65A94FFA"/>
    <w:rsid w:val="65AC5DD0"/>
    <w:rsid w:val="65AD6A9C"/>
    <w:rsid w:val="65AF76AE"/>
    <w:rsid w:val="65B145D5"/>
    <w:rsid w:val="65B57D9B"/>
    <w:rsid w:val="65BD561F"/>
    <w:rsid w:val="65BE42B7"/>
    <w:rsid w:val="65C47AF2"/>
    <w:rsid w:val="65C539B4"/>
    <w:rsid w:val="65CC09C4"/>
    <w:rsid w:val="65CC7749"/>
    <w:rsid w:val="65CE47BF"/>
    <w:rsid w:val="65D0085F"/>
    <w:rsid w:val="65D5450D"/>
    <w:rsid w:val="65E315E1"/>
    <w:rsid w:val="65E751E7"/>
    <w:rsid w:val="65EA1953"/>
    <w:rsid w:val="65ED0819"/>
    <w:rsid w:val="65F07FE9"/>
    <w:rsid w:val="65FF4E58"/>
    <w:rsid w:val="66045203"/>
    <w:rsid w:val="661355E7"/>
    <w:rsid w:val="66162BAE"/>
    <w:rsid w:val="661A1D35"/>
    <w:rsid w:val="662B4832"/>
    <w:rsid w:val="662D490F"/>
    <w:rsid w:val="66300965"/>
    <w:rsid w:val="66345167"/>
    <w:rsid w:val="66382F41"/>
    <w:rsid w:val="66386E3C"/>
    <w:rsid w:val="663F32AC"/>
    <w:rsid w:val="6642153D"/>
    <w:rsid w:val="66426F5B"/>
    <w:rsid w:val="6642732F"/>
    <w:rsid w:val="66427514"/>
    <w:rsid w:val="66484986"/>
    <w:rsid w:val="664E04E3"/>
    <w:rsid w:val="664E1411"/>
    <w:rsid w:val="66506267"/>
    <w:rsid w:val="6654070E"/>
    <w:rsid w:val="66564B4F"/>
    <w:rsid w:val="66596602"/>
    <w:rsid w:val="666129E5"/>
    <w:rsid w:val="666510EF"/>
    <w:rsid w:val="666A6640"/>
    <w:rsid w:val="666B1C8B"/>
    <w:rsid w:val="666D0738"/>
    <w:rsid w:val="666D37EF"/>
    <w:rsid w:val="666E47D6"/>
    <w:rsid w:val="66705303"/>
    <w:rsid w:val="66714E5E"/>
    <w:rsid w:val="6686636A"/>
    <w:rsid w:val="66866CB8"/>
    <w:rsid w:val="6688104A"/>
    <w:rsid w:val="66901922"/>
    <w:rsid w:val="66955DAD"/>
    <w:rsid w:val="66A20992"/>
    <w:rsid w:val="66B23A7E"/>
    <w:rsid w:val="66B51C12"/>
    <w:rsid w:val="66BB3E38"/>
    <w:rsid w:val="66BF49E4"/>
    <w:rsid w:val="66CC02D5"/>
    <w:rsid w:val="66CC53FC"/>
    <w:rsid w:val="66CE08C2"/>
    <w:rsid w:val="66CF2184"/>
    <w:rsid w:val="66CF63DE"/>
    <w:rsid w:val="66D20BFB"/>
    <w:rsid w:val="66D228E4"/>
    <w:rsid w:val="66D34875"/>
    <w:rsid w:val="66D3745F"/>
    <w:rsid w:val="66D41C46"/>
    <w:rsid w:val="66D94970"/>
    <w:rsid w:val="66DF66B0"/>
    <w:rsid w:val="66E96858"/>
    <w:rsid w:val="66EA2C46"/>
    <w:rsid w:val="66EC5608"/>
    <w:rsid w:val="66ED2D08"/>
    <w:rsid w:val="66F47D69"/>
    <w:rsid w:val="66F91386"/>
    <w:rsid w:val="67033B76"/>
    <w:rsid w:val="6705507A"/>
    <w:rsid w:val="67073DC9"/>
    <w:rsid w:val="67094900"/>
    <w:rsid w:val="670C61B1"/>
    <w:rsid w:val="670E5661"/>
    <w:rsid w:val="671169F6"/>
    <w:rsid w:val="671D7131"/>
    <w:rsid w:val="671F2063"/>
    <w:rsid w:val="672030DD"/>
    <w:rsid w:val="67212488"/>
    <w:rsid w:val="67230E17"/>
    <w:rsid w:val="67243AE8"/>
    <w:rsid w:val="67260D82"/>
    <w:rsid w:val="672F7595"/>
    <w:rsid w:val="673510AA"/>
    <w:rsid w:val="673A5DB8"/>
    <w:rsid w:val="673C52CE"/>
    <w:rsid w:val="674835A4"/>
    <w:rsid w:val="674A08D6"/>
    <w:rsid w:val="67506DC9"/>
    <w:rsid w:val="675443C8"/>
    <w:rsid w:val="675664A8"/>
    <w:rsid w:val="67572F0A"/>
    <w:rsid w:val="675E59B4"/>
    <w:rsid w:val="6760267D"/>
    <w:rsid w:val="67630966"/>
    <w:rsid w:val="67656D42"/>
    <w:rsid w:val="676D7C3E"/>
    <w:rsid w:val="676E0C11"/>
    <w:rsid w:val="67771EB3"/>
    <w:rsid w:val="677816BC"/>
    <w:rsid w:val="6779303C"/>
    <w:rsid w:val="67893AC4"/>
    <w:rsid w:val="67897F92"/>
    <w:rsid w:val="67933C30"/>
    <w:rsid w:val="67934970"/>
    <w:rsid w:val="67973342"/>
    <w:rsid w:val="679A15A5"/>
    <w:rsid w:val="67A051CC"/>
    <w:rsid w:val="67A37D65"/>
    <w:rsid w:val="67A723E7"/>
    <w:rsid w:val="67A835DD"/>
    <w:rsid w:val="67AC675A"/>
    <w:rsid w:val="67AD23B2"/>
    <w:rsid w:val="67C0434F"/>
    <w:rsid w:val="67C36F06"/>
    <w:rsid w:val="67C4620E"/>
    <w:rsid w:val="67CF79C3"/>
    <w:rsid w:val="67D56F12"/>
    <w:rsid w:val="67DC12E8"/>
    <w:rsid w:val="67DC5B84"/>
    <w:rsid w:val="67DE05B4"/>
    <w:rsid w:val="67DF2BE3"/>
    <w:rsid w:val="67E0222A"/>
    <w:rsid w:val="67E33DD6"/>
    <w:rsid w:val="67E401B7"/>
    <w:rsid w:val="67E5172D"/>
    <w:rsid w:val="67E555F1"/>
    <w:rsid w:val="67E94652"/>
    <w:rsid w:val="67ED40A4"/>
    <w:rsid w:val="67EE565E"/>
    <w:rsid w:val="67F2090D"/>
    <w:rsid w:val="67F7311E"/>
    <w:rsid w:val="67F805E7"/>
    <w:rsid w:val="68061E6D"/>
    <w:rsid w:val="68132502"/>
    <w:rsid w:val="68146FDD"/>
    <w:rsid w:val="68184C55"/>
    <w:rsid w:val="681924FE"/>
    <w:rsid w:val="681C0784"/>
    <w:rsid w:val="683A3668"/>
    <w:rsid w:val="683B657B"/>
    <w:rsid w:val="68430781"/>
    <w:rsid w:val="68440000"/>
    <w:rsid w:val="684C2B48"/>
    <w:rsid w:val="68556949"/>
    <w:rsid w:val="685670DB"/>
    <w:rsid w:val="68567F31"/>
    <w:rsid w:val="68574DA6"/>
    <w:rsid w:val="685776BD"/>
    <w:rsid w:val="685B0970"/>
    <w:rsid w:val="685E3F7E"/>
    <w:rsid w:val="686E5523"/>
    <w:rsid w:val="687143A6"/>
    <w:rsid w:val="68732027"/>
    <w:rsid w:val="687A6873"/>
    <w:rsid w:val="687B7BF4"/>
    <w:rsid w:val="687C2595"/>
    <w:rsid w:val="68847289"/>
    <w:rsid w:val="68873F5A"/>
    <w:rsid w:val="68881EFD"/>
    <w:rsid w:val="688F6C8F"/>
    <w:rsid w:val="688F6ECF"/>
    <w:rsid w:val="689141D9"/>
    <w:rsid w:val="68927129"/>
    <w:rsid w:val="68937A44"/>
    <w:rsid w:val="68960041"/>
    <w:rsid w:val="6896626F"/>
    <w:rsid w:val="689902EE"/>
    <w:rsid w:val="689E11ED"/>
    <w:rsid w:val="68A212DE"/>
    <w:rsid w:val="68AD5E16"/>
    <w:rsid w:val="68AE5A35"/>
    <w:rsid w:val="68B00491"/>
    <w:rsid w:val="68BA4E6C"/>
    <w:rsid w:val="68BC711D"/>
    <w:rsid w:val="68C276C2"/>
    <w:rsid w:val="68C7344F"/>
    <w:rsid w:val="68CB6EF0"/>
    <w:rsid w:val="68CC3AC4"/>
    <w:rsid w:val="68D018E9"/>
    <w:rsid w:val="68D9302B"/>
    <w:rsid w:val="68D979E8"/>
    <w:rsid w:val="68DC4A0D"/>
    <w:rsid w:val="68DD2FD2"/>
    <w:rsid w:val="68E07E51"/>
    <w:rsid w:val="68EC0187"/>
    <w:rsid w:val="68ED6741"/>
    <w:rsid w:val="68FD080C"/>
    <w:rsid w:val="6904711D"/>
    <w:rsid w:val="69054339"/>
    <w:rsid w:val="69062180"/>
    <w:rsid w:val="6908307A"/>
    <w:rsid w:val="69093F2E"/>
    <w:rsid w:val="690C7C5F"/>
    <w:rsid w:val="690E0A75"/>
    <w:rsid w:val="690E2220"/>
    <w:rsid w:val="690F3409"/>
    <w:rsid w:val="69106407"/>
    <w:rsid w:val="6917167B"/>
    <w:rsid w:val="69183894"/>
    <w:rsid w:val="6918723F"/>
    <w:rsid w:val="691B0627"/>
    <w:rsid w:val="691E6439"/>
    <w:rsid w:val="692371DC"/>
    <w:rsid w:val="692B748B"/>
    <w:rsid w:val="692E1277"/>
    <w:rsid w:val="692F13B6"/>
    <w:rsid w:val="692F6285"/>
    <w:rsid w:val="69320EA6"/>
    <w:rsid w:val="6934442A"/>
    <w:rsid w:val="69397C33"/>
    <w:rsid w:val="6945507D"/>
    <w:rsid w:val="694753FD"/>
    <w:rsid w:val="69494E41"/>
    <w:rsid w:val="69496E2A"/>
    <w:rsid w:val="694D1FB4"/>
    <w:rsid w:val="694E7F2A"/>
    <w:rsid w:val="69501690"/>
    <w:rsid w:val="696B4AEC"/>
    <w:rsid w:val="696E6E1B"/>
    <w:rsid w:val="69715EEF"/>
    <w:rsid w:val="69752E98"/>
    <w:rsid w:val="697B519D"/>
    <w:rsid w:val="697C5226"/>
    <w:rsid w:val="697E5EB5"/>
    <w:rsid w:val="697F7C58"/>
    <w:rsid w:val="698209C9"/>
    <w:rsid w:val="6986719C"/>
    <w:rsid w:val="698851F4"/>
    <w:rsid w:val="699252C4"/>
    <w:rsid w:val="69927C1F"/>
    <w:rsid w:val="69987043"/>
    <w:rsid w:val="699E183B"/>
    <w:rsid w:val="699F60B9"/>
    <w:rsid w:val="69A354E5"/>
    <w:rsid w:val="69A74324"/>
    <w:rsid w:val="69AE49D0"/>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C16F7"/>
    <w:rsid w:val="6A0E7CDD"/>
    <w:rsid w:val="6A120FD0"/>
    <w:rsid w:val="6A12113C"/>
    <w:rsid w:val="6A133EB3"/>
    <w:rsid w:val="6A1F70BB"/>
    <w:rsid w:val="6A255A2B"/>
    <w:rsid w:val="6A26016B"/>
    <w:rsid w:val="6A300070"/>
    <w:rsid w:val="6A304F08"/>
    <w:rsid w:val="6A4107BE"/>
    <w:rsid w:val="6A4A15E8"/>
    <w:rsid w:val="6A4C5A04"/>
    <w:rsid w:val="6A5110C5"/>
    <w:rsid w:val="6A58493C"/>
    <w:rsid w:val="6A5F7765"/>
    <w:rsid w:val="6A6373A0"/>
    <w:rsid w:val="6A667059"/>
    <w:rsid w:val="6A674B7F"/>
    <w:rsid w:val="6A687C25"/>
    <w:rsid w:val="6A6A33B7"/>
    <w:rsid w:val="6A6A49EF"/>
    <w:rsid w:val="6A6E23B2"/>
    <w:rsid w:val="6A6E7A18"/>
    <w:rsid w:val="6A7D3773"/>
    <w:rsid w:val="6A873080"/>
    <w:rsid w:val="6A883A57"/>
    <w:rsid w:val="6A894123"/>
    <w:rsid w:val="6A8B4A02"/>
    <w:rsid w:val="6A987919"/>
    <w:rsid w:val="6A9A5A6C"/>
    <w:rsid w:val="6A9A6D03"/>
    <w:rsid w:val="6AA20EE9"/>
    <w:rsid w:val="6AA52E5A"/>
    <w:rsid w:val="6AB640D8"/>
    <w:rsid w:val="6AB77DDD"/>
    <w:rsid w:val="6AB8678A"/>
    <w:rsid w:val="6AC0177F"/>
    <w:rsid w:val="6AC5642B"/>
    <w:rsid w:val="6ACB56C8"/>
    <w:rsid w:val="6AD237D3"/>
    <w:rsid w:val="6AD37D94"/>
    <w:rsid w:val="6ADA5C94"/>
    <w:rsid w:val="6ADF1DBC"/>
    <w:rsid w:val="6AE70AF2"/>
    <w:rsid w:val="6AEB4130"/>
    <w:rsid w:val="6AEF0E71"/>
    <w:rsid w:val="6AF10F79"/>
    <w:rsid w:val="6AF13E00"/>
    <w:rsid w:val="6AFD62C2"/>
    <w:rsid w:val="6B0445E1"/>
    <w:rsid w:val="6B08276F"/>
    <w:rsid w:val="6B0A5D32"/>
    <w:rsid w:val="6B0B6EA7"/>
    <w:rsid w:val="6B163C22"/>
    <w:rsid w:val="6B1870F1"/>
    <w:rsid w:val="6B1908E3"/>
    <w:rsid w:val="6B1E0666"/>
    <w:rsid w:val="6B214C3A"/>
    <w:rsid w:val="6B2667E8"/>
    <w:rsid w:val="6B284EAE"/>
    <w:rsid w:val="6B2B3DFF"/>
    <w:rsid w:val="6B2D67D1"/>
    <w:rsid w:val="6B2E4BDC"/>
    <w:rsid w:val="6B3230C2"/>
    <w:rsid w:val="6B3453A9"/>
    <w:rsid w:val="6B3A0170"/>
    <w:rsid w:val="6B3B3477"/>
    <w:rsid w:val="6B3E31D3"/>
    <w:rsid w:val="6B444C91"/>
    <w:rsid w:val="6B453759"/>
    <w:rsid w:val="6B45608D"/>
    <w:rsid w:val="6B474C81"/>
    <w:rsid w:val="6B564DC0"/>
    <w:rsid w:val="6B585D0F"/>
    <w:rsid w:val="6B5E2AF5"/>
    <w:rsid w:val="6B5E5F82"/>
    <w:rsid w:val="6B674629"/>
    <w:rsid w:val="6B6A1A19"/>
    <w:rsid w:val="6B6C5677"/>
    <w:rsid w:val="6B736098"/>
    <w:rsid w:val="6B736831"/>
    <w:rsid w:val="6B741C4A"/>
    <w:rsid w:val="6B78662D"/>
    <w:rsid w:val="6B81648B"/>
    <w:rsid w:val="6B840CF4"/>
    <w:rsid w:val="6B8C1DDE"/>
    <w:rsid w:val="6B8D3913"/>
    <w:rsid w:val="6B917985"/>
    <w:rsid w:val="6B957B53"/>
    <w:rsid w:val="6B9B0F84"/>
    <w:rsid w:val="6BA403FD"/>
    <w:rsid w:val="6BA936A1"/>
    <w:rsid w:val="6BAB267B"/>
    <w:rsid w:val="6BAB7F58"/>
    <w:rsid w:val="6BAD06E4"/>
    <w:rsid w:val="6BAE5892"/>
    <w:rsid w:val="6BB02C9C"/>
    <w:rsid w:val="6BB22A30"/>
    <w:rsid w:val="6BB5618F"/>
    <w:rsid w:val="6BB922DD"/>
    <w:rsid w:val="6BBD31AD"/>
    <w:rsid w:val="6BBF33D8"/>
    <w:rsid w:val="6BC940DE"/>
    <w:rsid w:val="6BCA0D31"/>
    <w:rsid w:val="6BCD1A5F"/>
    <w:rsid w:val="6BD50F30"/>
    <w:rsid w:val="6BD954FE"/>
    <w:rsid w:val="6BDA3731"/>
    <w:rsid w:val="6BDA5A31"/>
    <w:rsid w:val="6BDD6387"/>
    <w:rsid w:val="6BE0409F"/>
    <w:rsid w:val="6BE11226"/>
    <w:rsid w:val="6BE56596"/>
    <w:rsid w:val="6BE77CB5"/>
    <w:rsid w:val="6BEE00E1"/>
    <w:rsid w:val="6BF1529A"/>
    <w:rsid w:val="6BF329C9"/>
    <w:rsid w:val="6BF82039"/>
    <w:rsid w:val="6C067490"/>
    <w:rsid w:val="6C0B5D3D"/>
    <w:rsid w:val="6C0F552A"/>
    <w:rsid w:val="6C132282"/>
    <w:rsid w:val="6C136D6D"/>
    <w:rsid w:val="6C1E57A4"/>
    <w:rsid w:val="6C2052D7"/>
    <w:rsid w:val="6C2474AD"/>
    <w:rsid w:val="6C254DED"/>
    <w:rsid w:val="6C2A3C97"/>
    <w:rsid w:val="6C300842"/>
    <w:rsid w:val="6C441522"/>
    <w:rsid w:val="6C444E98"/>
    <w:rsid w:val="6C44652A"/>
    <w:rsid w:val="6C450DC2"/>
    <w:rsid w:val="6C4743EF"/>
    <w:rsid w:val="6C49464D"/>
    <w:rsid w:val="6C4E249B"/>
    <w:rsid w:val="6C4E4249"/>
    <w:rsid w:val="6C553829"/>
    <w:rsid w:val="6C5630FD"/>
    <w:rsid w:val="6C580C23"/>
    <w:rsid w:val="6C5D2B83"/>
    <w:rsid w:val="6C5E310E"/>
    <w:rsid w:val="6C64581A"/>
    <w:rsid w:val="6C693101"/>
    <w:rsid w:val="6C6C65A8"/>
    <w:rsid w:val="6C6E654D"/>
    <w:rsid w:val="6C6F6D68"/>
    <w:rsid w:val="6C713EE6"/>
    <w:rsid w:val="6C7225C0"/>
    <w:rsid w:val="6C724086"/>
    <w:rsid w:val="6C7A0146"/>
    <w:rsid w:val="6C7D1EE1"/>
    <w:rsid w:val="6C83148E"/>
    <w:rsid w:val="6C847309"/>
    <w:rsid w:val="6C87483E"/>
    <w:rsid w:val="6C8B2DA7"/>
    <w:rsid w:val="6C932F62"/>
    <w:rsid w:val="6C94142B"/>
    <w:rsid w:val="6C9628F7"/>
    <w:rsid w:val="6C970952"/>
    <w:rsid w:val="6C986CFB"/>
    <w:rsid w:val="6C993EDD"/>
    <w:rsid w:val="6CA16A6E"/>
    <w:rsid w:val="6CA35ACE"/>
    <w:rsid w:val="6CA36F99"/>
    <w:rsid w:val="6CA51F44"/>
    <w:rsid w:val="6CA81BAB"/>
    <w:rsid w:val="6CAC41D8"/>
    <w:rsid w:val="6CAD1DA8"/>
    <w:rsid w:val="6CC01FF7"/>
    <w:rsid w:val="6CC100DE"/>
    <w:rsid w:val="6CC172F0"/>
    <w:rsid w:val="6CC47E70"/>
    <w:rsid w:val="6CC83449"/>
    <w:rsid w:val="6CD4587A"/>
    <w:rsid w:val="6CD7368A"/>
    <w:rsid w:val="6CDE5384"/>
    <w:rsid w:val="6CE40709"/>
    <w:rsid w:val="6CE73495"/>
    <w:rsid w:val="6CE8549F"/>
    <w:rsid w:val="6CEC511B"/>
    <w:rsid w:val="6CEE3336"/>
    <w:rsid w:val="6CF4007D"/>
    <w:rsid w:val="6CFB10D7"/>
    <w:rsid w:val="6CFC39F3"/>
    <w:rsid w:val="6CFD3965"/>
    <w:rsid w:val="6CFF6600"/>
    <w:rsid w:val="6D010C12"/>
    <w:rsid w:val="6D063E81"/>
    <w:rsid w:val="6D076851"/>
    <w:rsid w:val="6D127028"/>
    <w:rsid w:val="6D1F46E9"/>
    <w:rsid w:val="6D203CD5"/>
    <w:rsid w:val="6D223A04"/>
    <w:rsid w:val="6D263AE7"/>
    <w:rsid w:val="6D280683"/>
    <w:rsid w:val="6D2912BB"/>
    <w:rsid w:val="6D2945A7"/>
    <w:rsid w:val="6D2D6CE1"/>
    <w:rsid w:val="6D2E1113"/>
    <w:rsid w:val="6D325F0F"/>
    <w:rsid w:val="6D344EC4"/>
    <w:rsid w:val="6D404A0F"/>
    <w:rsid w:val="6D420E52"/>
    <w:rsid w:val="6D4A0E9C"/>
    <w:rsid w:val="6D5418EA"/>
    <w:rsid w:val="6D575E66"/>
    <w:rsid w:val="6D5821FC"/>
    <w:rsid w:val="6D5D1D1B"/>
    <w:rsid w:val="6D6634BF"/>
    <w:rsid w:val="6D674F00"/>
    <w:rsid w:val="6D6F789B"/>
    <w:rsid w:val="6D7A77E4"/>
    <w:rsid w:val="6D7F2DE1"/>
    <w:rsid w:val="6D80339C"/>
    <w:rsid w:val="6D825FB8"/>
    <w:rsid w:val="6D8F01E3"/>
    <w:rsid w:val="6D944001"/>
    <w:rsid w:val="6D9C799E"/>
    <w:rsid w:val="6DA20C00"/>
    <w:rsid w:val="6DA25EF4"/>
    <w:rsid w:val="6DA735E2"/>
    <w:rsid w:val="6DAD74FD"/>
    <w:rsid w:val="6DB26C1E"/>
    <w:rsid w:val="6DB60DFB"/>
    <w:rsid w:val="6DB76E46"/>
    <w:rsid w:val="6DB844B9"/>
    <w:rsid w:val="6DBB0278"/>
    <w:rsid w:val="6DBE57BB"/>
    <w:rsid w:val="6DBE72ED"/>
    <w:rsid w:val="6DC347C2"/>
    <w:rsid w:val="6DC37EC0"/>
    <w:rsid w:val="6DCB20B7"/>
    <w:rsid w:val="6DCB433B"/>
    <w:rsid w:val="6DCF52A4"/>
    <w:rsid w:val="6DCF62AA"/>
    <w:rsid w:val="6DDC10B9"/>
    <w:rsid w:val="6DE2058C"/>
    <w:rsid w:val="6DEA4B63"/>
    <w:rsid w:val="6DEC2574"/>
    <w:rsid w:val="6DEF5566"/>
    <w:rsid w:val="6DF04A10"/>
    <w:rsid w:val="6DFA5521"/>
    <w:rsid w:val="6DFC4AA0"/>
    <w:rsid w:val="6E017998"/>
    <w:rsid w:val="6E06616E"/>
    <w:rsid w:val="6E0857F3"/>
    <w:rsid w:val="6E10735F"/>
    <w:rsid w:val="6E1B4FC1"/>
    <w:rsid w:val="6E1B5E12"/>
    <w:rsid w:val="6E2E476A"/>
    <w:rsid w:val="6E343092"/>
    <w:rsid w:val="6E38181A"/>
    <w:rsid w:val="6E413541"/>
    <w:rsid w:val="6E4231C2"/>
    <w:rsid w:val="6E4B1B06"/>
    <w:rsid w:val="6E4C2E71"/>
    <w:rsid w:val="6E551BCA"/>
    <w:rsid w:val="6E641D2A"/>
    <w:rsid w:val="6E6555FC"/>
    <w:rsid w:val="6E692C0F"/>
    <w:rsid w:val="6E69339B"/>
    <w:rsid w:val="6E6B2E90"/>
    <w:rsid w:val="6E6B5DF0"/>
    <w:rsid w:val="6E7004A6"/>
    <w:rsid w:val="6E7064CE"/>
    <w:rsid w:val="6E712AD2"/>
    <w:rsid w:val="6E744537"/>
    <w:rsid w:val="6E765026"/>
    <w:rsid w:val="6E7C509D"/>
    <w:rsid w:val="6E7F4B8D"/>
    <w:rsid w:val="6E816B30"/>
    <w:rsid w:val="6E884AE3"/>
    <w:rsid w:val="6E8A3DD4"/>
    <w:rsid w:val="6E8D266C"/>
    <w:rsid w:val="6E8D6F11"/>
    <w:rsid w:val="6E8F434A"/>
    <w:rsid w:val="6E9402CA"/>
    <w:rsid w:val="6E9437CC"/>
    <w:rsid w:val="6E94517C"/>
    <w:rsid w:val="6E972E10"/>
    <w:rsid w:val="6E9A56D4"/>
    <w:rsid w:val="6E9B100B"/>
    <w:rsid w:val="6E9D4C90"/>
    <w:rsid w:val="6E9E00A9"/>
    <w:rsid w:val="6EA423CE"/>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35329"/>
    <w:rsid w:val="6EDB5368"/>
    <w:rsid w:val="6EDF0F78"/>
    <w:rsid w:val="6EE314EC"/>
    <w:rsid w:val="6EE823BE"/>
    <w:rsid w:val="6EF0327D"/>
    <w:rsid w:val="6EF03718"/>
    <w:rsid w:val="6EF05437"/>
    <w:rsid w:val="6EF51CC5"/>
    <w:rsid w:val="6EF709C0"/>
    <w:rsid w:val="6EF95624"/>
    <w:rsid w:val="6EFD3C23"/>
    <w:rsid w:val="6EFF7B3A"/>
    <w:rsid w:val="6F032CF4"/>
    <w:rsid w:val="6F0B4673"/>
    <w:rsid w:val="6F0D03EB"/>
    <w:rsid w:val="6F122C84"/>
    <w:rsid w:val="6F137B0B"/>
    <w:rsid w:val="6F170E85"/>
    <w:rsid w:val="6F180EB2"/>
    <w:rsid w:val="6F195B8D"/>
    <w:rsid w:val="6F1D0D11"/>
    <w:rsid w:val="6F265765"/>
    <w:rsid w:val="6F27517A"/>
    <w:rsid w:val="6F283862"/>
    <w:rsid w:val="6F2C357C"/>
    <w:rsid w:val="6F2E6A7A"/>
    <w:rsid w:val="6F2E742D"/>
    <w:rsid w:val="6F3518C1"/>
    <w:rsid w:val="6F3A008B"/>
    <w:rsid w:val="6F3A224F"/>
    <w:rsid w:val="6F3F5D0E"/>
    <w:rsid w:val="6F4374A7"/>
    <w:rsid w:val="6F497CF0"/>
    <w:rsid w:val="6F4A1175"/>
    <w:rsid w:val="6F4F0F33"/>
    <w:rsid w:val="6F4F2AD0"/>
    <w:rsid w:val="6F5170EF"/>
    <w:rsid w:val="6F573803"/>
    <w:rsid w:val="6F5F076F"/>
    <w:rsid w:val="6F616C26"/>
    <w:rsid w:val="6F62065E"/>
    <w:rsid w:val="6F6278FA"/>
    <w:rsid w:val="6F641FCA"/>
    <w:rsid w:val="6F660B27"/>
    <w:rsid w:val="6F671B40"/>
    <w:rsid w:val="6F6C4EF2"/>
    <w:rsid w:val="6F6F3E18"/>
    <w:rsid w:val="6F702DF7"/>
    <w:rsid w:val="6F70604F"/>
    <w:rsid w:val="6F711A2B"/>
    <w:rsid w:val="6F723734"/>
    <w:rsid w:val="6F745D74"/>
    <w:rsid w:val="6F77413C"/>
    <w:rsid w:val="6F7A2D7A"/>
    <w:rsid w:val="6F7D5DCF"/>
    <w:rsid w:val="6F825AAD"/>
    <w:rsid w:val="6F8A2227"/>
    <w:rsid w:val="6F8A3EA1"/>
    <w:rsid w:val="6F8E289C"/>
    <w:rsid w:val="6F8E4EE0"/>
    <w:rsid w:val="6F984219"/>
    <w:rsid w:val="6F990219"/>
    <w:rsid w:val="6F9D176F"/>
    <w:rsid w:val="6F9D1A7C"/>
    <w:rsid w:val="6FA973F6"/>
    <w:rsid w:val="6FB07E8C"/>
    <w:rsid w:val="6FB34A5A"/>
    <w:rsid w:val="6FB97C2B"/>
    <w:rsid w:val="6FBC45CE"/>
    <w:rsid w:val="6FC1266F"/>
    <w:rsid w:val="6FC66B94"/>
    <w:rsid w:val="6FD51D6F"/>
    <w:rsid w:val="6FD62245"/>
    <w:rsid w:val="6FDC417F"/>
    <w:rsid w:val="6FDD321A"/>
    <w:rsid w:val="6FE63978"/>
    <w:rsid w:val="6FE663C9"/>
    <w:rsid w:val="6FEA7394"/>
    <w:rsid w:val="6FF0428C"/>
    <w:rsid w:val="6FF404B4"/>
    <w:rsid w:val="6FF64DA3"/>
    <w:rsid w:val="6FFB2F37"/>
    <w:rsid w:val="70031100"/>
    <w:rsid w:val="7008242C"/>
    <w:rsid w:val="70083527"/>
    <w:rsid w:val="70121C98"/>
    <w:rsid w:val="701346E6"/>
    <w:rsid w:val="70175C4F"/>
    <w:rsid w:val="701A0903"/>
    <w:rsid w:val="701A0AC7"/>
    <w:rsid w:val="701A4FCA"/>
    <w:rsid w:val="701A6547"/>
    <w:rsid w:val="70236A4E"/>
    <w:rsid w:val="70256C69"/>
    <w:rsid w:val="7028280A"/>
    <w:rsid w:val="702C7775"/>
    <w:rsid w:val="70324099"/>
    <w:rsid w:val="70366AE2"/>
    <w:rsid w:val="70373538"/>
    <w:rsid w:val="70384FF4"/>
    <w:rsid w:val="7038625A"/>
    <w:rsid w:val="70396EE2"/>
    <w:rsid w:val="703A4175"/>
    <w:rsid w:val="703B41EF"/>
    <w:rsid w:val="703F46DD"/>
    <w:rsid w:val="70440DA9"/>
    <w:rsid w:val="70451C1A"/>
    <w:rsid w:val="70474830"/>
    <w:rsid w:val="7048188C"/>
    <w:rsid w:val="70487335"/>
    <w:rsid w:val="704F2F39"/>
    <w:rsid w:val="70571372"/>
    <w:rsid w:val="70574D6F"/>
    <w:rsid w:val="70593F34"/>
    <w:rsid w:val="706322DC"/>
    <w:rsid w:val="7063386D"/>
    <w:rsid w:val="7063485A"/>
    <w:rsid w:val="70711B51"/>
    <w:rsid w:val="70770319"/>
    <w:rsid w:val="708B2BFA"/>
    <w:rsid w:val="708C6267"/>
    <w:rsid w:val="708E48F3"/>
    <w:rsid w:val="70960F83"/>
    <w:rsid w:val="709928BB"/>
    <w:rsid w:val="709B11EE"/>
    <w:rsid w:val="709F3676"/>
    <w:rsid w:val="70A2038F"/>
    <w:rsid w:val="70A43BB3"/>
    <w:rsid w:val="70A46B6C"/>
    <w:rsid w:val="70A671FB"/>
    <w:rsid w:val="70AE15AA"/>
    <w:rsid w:val="70AE52B6"/>
    <w:rsid w:val="70B351DF"/>
    <w:rsid w:val="70B3540A"/>
    <w:rsid w:val="70B924A1"/>
    <w:rsid w:val="70BA57A2"/>
    <w:rsid w:val="70C02226"/>
    <w:rsid w:val="70C21BD5"/>
    <w:rsid w:val="70C44AD9"/>
    <w:rsid w:val="70C90342"/>
    <w:rsid w:val="70D171F6"/>
    <w:rsid w:val="70DB1354"/>
    <w:rsid w:val="70DC0075"/>
    <w:rsid w:val="70E74387"/>
    <w:rsid w:val="70E95688"/>
    <w:rsid w:val="70F44C82"/>
    <w:rsid w:val="70F6416C"/>
    <w:rsid w:val="70F65FDE"/>
    <w:rsid w:val="70F82823"/>
    <w:rsid w:val="70FA4EF2"/>
    <w:rsid w:val="70FD1404"/>
    <w:rsid w:val="70FD6488"/>
    <w:rsid w:val="71001814"/>
    <w:rsid w:val="71030E7B"/>
    <w:rsid w:val="7104197B"/>
    <w:rsid w:val="71053D85"/>
    <w:rsid w:val="711E34A6"/>
    <w:rsid w:val="71214620"/>
    <w:rsid w:val="71246003"/>
    <w:rsid w:val="712B0D1A"/>
    <w:rsid w:val="71312799"/>
    <w:rsid w:val="71367DEB"/>
    <w:rsid w:val="713752AB"/>
    <w:rsid w:val="713C7666"/>
    <w:rsid w:val="714566E7"/>
    <w:rsid w:val="71494866"/>
    <w:rsid w:val="71567288"/>
    <w:rsid w:val="715979B9"/>
    <w:rsid w:val="715C187E"/>
    <w:rsid w:val="715F2F64"/>
    <w:rsid w:val="716A3ECC"/>
    <w:rsid w:val="716D279C"/>
    <w:rsid w:val="717368BB"/>
    <w:rsid w:val="717D2450"/>
    <w:rsid w:val="717D3473"/>
    <w:rsid w:val="71855C60"/>
    <w:rsid w:val="718646AC"/>
    <w:rsid w:val="71893F18"/>
    <w:rsid w:val="718A2BD2"/>
    <w:rsid w:val="71902C0D"/>
    <w:rsid w:val="719A6A46"/>
    <w:rsid w:val="719E4BD5"/>
    <w:rsid w:val="71A94AE6"/>
    <w:rsid w:val="71AA1FB4"/>
    <w:rsid w:val="71AA5E03"/>
    <w:rsid w:val="71AD2519"/>
    <w:rsid w:val="71AE30CB"/>
    <w:rsid w:val="71B731AC"/>
    <w:rsid w:val="71BC1C54"/>
    <w:rsid w:val="71BC586A"/>
    <w:rsid w:val="71BE020A"/>
    <w:rsid w:val="71C4348E"/>
    <w:rsid w:val="71C4594D"/>
    <w:rsid w:val="71C45F70"/>
    <w:rsid w:val="71C525A0"/>
    <w:rsid w:val="71C77FC3"/>
    <w:rsid w:val="71D65834"/>
    <w:rsid w:val="71D67195"/>
    <w:rsid w:val="71D707E2"/>
    <w:rsid w:val="71D72B63"/>
    <w:rsid w:val="71D90995"/>
    <w:rsid w:val="71E0184C"/>
    <w:rsid w:val="71E34117"/>
    <w:rsid w:val="71E34506"/>
    <w:rsid w:val="71E70ECE"/>
    <w:rsid w:val="71E90DAD"/>
    <w:rsid w:val="71EE722C"/>
    <w:rsid w:val="72012AFB"/>
    <w:rsid w:val="72035696"/>
    <w:rsid w:val="720724DF"/>
    <w:rsid w:val="72086932"/>
    <w:rsid w:val="72120D05"/>
    <w:rsid w:val="72123FFF"/>
    <w:rsid w:val="721367E2"/>
    <w:rsid w:val="72146ED4"/>
    <w:rsid w:val="72172B83"/>
    <w:rsid w:val="7224182C"/>
    <w:rsid w:val="72285E6F"/>
    <w:rsid w:val="722860DC"/>
    <w:rsid w:val="72302B66"/>
    <w:rsid w:val="723137C3"/>
    <w:rsid w:val="72314AEC"/>
    <w:rsid w:val="723268A8"/>
    <w:rsid w:val="723765B7"/>
    <w:rsid w:val="723C4ABB"/>
    <w:rsid w:val="723F3DF5"/>
    <w:rsid w:val="72422F0F"/>
    <w:rsid w:val="72431E66"/>
    <w:rsid w:val="7247614E"/>
    <w:rsid w:val="724C5BB6"/>
    <w:rsid w:val="724E6D50"/>
    <w:rsid w:val="72524A70"/>
    <w:rsid w:val="7259379E"/>
    <w:rsid w:val="725A46E9"/>
    <w:rsid w:val="725E52D0"/>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A1FD4"/>
    <w:rsid w:val="729A6670"/>
    <w:rsid w:val="729D63A2"/>
    <w:rsid w:val="72A279FF"/>
    <w:rsid w:val="72A74598"/>
    <w:rsid w:val="72A82B27"/>
    <w:rsid w:val="72A91DE4"/>
    <w:rsid w:val="72AB1F98"/>
    <w:rsid w:val="72BD5D98"/>
    <w:rsid w:val="72BF50A2"/>
    <w:rsid w:val="72C00416"/>
    <w:rsid w:val="72C04D9A"/>
    <w:rsid w:val="72C60970"/>
    <w:rsid w:val="72C62F71"/>
    <w:rsid w:val="72D31546"/>
    <w:rsid w:val="72D40767"/>
    <w:rsid w:val="72D61995"/>
    <w:rsid w:val="72D705AD"/>
    <w:rsid w:val="72DA7FED"/>
    <w:rsid w:val="72DE5139"/>
    <w:rsid w:val="72E56AE8"/>
    <w:rsid w:val="72E81DB2"/>
    <w:rsid w:val="72F027CA"/>
    <w:rsid w:val="7301337F"/>
    <w:rsid w:val="7304264C"/>
    <w:rsid w:val="73062B16"/>
    <w:rsid w:val="73070C7F"/>
    <w:rsid w:val="730832A4"/>
    <w:rsid w:val="73126134"/>
    <w:rsid w:val="731723DB"/>
    <w:rsid w:val="73186301"/>
    <w:rsid w:val="731F249B"/>
    <w:rsid w:val="73201849"/>
    <w:rsid w:val="732114F1"/>
    <w:rsid w:val="73296CA2"/>
    <w:rsid w:val="732B15F3"/>
    <w:rsid w:val="7331676D"/>
    <w:rsid w:val="73355C60"/>
    <w:rsid w:val="73371506"/>
    <w:rsid w:val="733A6FFF"/>
    <w:rsid w:val="734034DC"/>
    <w:rsid w:val="73436693"/>
    <w:rsid w:val="734A66D2"/>
    <w:rsid w:val="73532762"/>
    <w:rsid w:val="73567B16"/>
    <w:rsid w:val="7357153F"/>
    <w:rsid w:val="735724C1"/>
    <w:rsid w:val="735A7717"/>
    <w:rsid w:val="735B536A"/>
    <w:rsid w:val="73690CCC"/>
    <w:rsid w:val="736B751F"/>
    <w:rsid w:val="736E5508"/>
    <w:rsid w:val="7373563A"/>
    <w:rsid w:val="737427E7"/>
    <w:rsid w:val="73780C77"/>
    <w:rsid w:val="737A4BD0"/>
    <w:rsid w:val="737C169B"/>
    <w:rsid w:val="737F4BFF"/>
    <w:rsid w:val="737F7D7C"/>
    <w:rsid w:val="738C1FF8"/>
    <w:rsid w:val="739736D3"/>
    <w:rsid w:val="739949BE"/>
    <w:rsid w:val="739D2071"/>
    <w:rsid w:val="73A00791"/>
    <w:rsid w:val="73A40BF2"/>
    <w:rsid w:val="73A57F12"/>
    <w:rsid w:val="73A806E2"/>
    <w:rsid w:val="73AA0332"/>
    <w:rsid w:val="73AA4DAE"/>
    <w:rsid w:val="73B156EB"/>
    <w:rsid w:val="73B654C1"/>
    <w:rsid w:val="73B672AE"/>
    <w:rsid w:val="73BD1340"/>
    <w:rsid w:val="73BD483F"/>
    <w:rsid w:val="73BF3516"/>
    <w:rsid w:val="73CC19BE"/>
    <w:rsid w:val="73CC466B"/>
    <w:rsid w:val="73D0787F"/>
    <w:rsid w:val="73DD455E"/>
    <w:rsid w:val="73E132B2"/>
    <w:rsid w:val="73E3242B"/>
    <w:rsid w:val="73E33B81"/>
    <w:rsid w:val="73E82590"/>
    <w:rsid w:val="73EA0F24"/>
    <w:rsid w:val="73EA1093"/>
    <w:rsid w:val="73F3675B"/>
    <w:rsid w:val="73FB2F08"/>
    <w:rsid w:val="74060F68"/>
    <w:rsid w:val="740B08DB"/>
    <w:rsid w:val="740D3A81"/>
    <w:rsid w:val="740F250F"/>
    <w:rsid w:val="741607EC"/>
    <w:rsid w:val="741A3D6E"/>
    <w:rsid w:val="741C0CAC"/>
    <w:rsid w:val="742F2A4E"/>
    <w:rsid w:val="74341BE0"/>
    <w:rsid w:val="74343D24"/>
    <w:rsid w:val="743E7BC1"/>
    <w:rsid w:val="744A79EB"/>
    <w:rsid w:val="744B4084"/>
    <w:rsid w:val="74562B20"/>
    <w:rsid w:val="745720FB"/>
    <w:rsid w:val="7462281D"/>
    <w:rsid w:val="74644330"/>
    <w:rsid w:val="74660C6A"/>
    <w:rsid w:val="7467234B"/>
    <w:rsid w:val="746C4611"/>
    <w:rsid w:val="746C7962"/>
    <w:rsid w:val="746F686F"/>
    <w:rsid w:val="747A71BB"/>
    <w:rsid w:val="747B5DF7"/>
    <w:rsid w:val="747E6251"/>
    <w:rsid w:val="74855371"/>
    <w:rsid w:val="74860A69"/>
    <w:rsid w:val="74880872"/>
    <w:rsid w:val="74890514"/>
    <w:rsid w:val="748A0DF2"/>
    <w:rsid w:val="748E57CA"/>
    <w:rsid w:val="7490588E"/>
    <w:rsid w:val="74920186"/>
    <w:rsid w:val="749279E2"/>
    <w:rsid w:val="74945B6C"/>
    <w:rsid w:val="749E5641"/>
    <w:rsid w:val="74A22FEC"/>
    <w:rsid w:val="74A3016A"/>
    <w:rsid w:val="74A305FA"/>
    <w:rsid w:val="74A961CA"/>
    <w:rsid w:val="74AA048A"/>
    <w:rsid w:val="74AA74EB"/>
    <w:rsid w:val="74AD708A"/>
    <w:rsid w:val="74AE1FDF"/>
    <w:rsid w:val="74B52129"/>
    <w:rsid w:val="74B56CA0"/>
    <w:rsid w:val="74B75095"/>
    <w:rsid w:val="74BA06CD"/>
    <w:rsid w:val="74CD4F0A"/>
    <w:rsid w:val="74DA424F"/>
    <w:rsid w:val="74DB6400"/>
    <w:rsid w:val="74DF0652"/>
    <w:rsid w:val="74E13391"/>
    <w:rsid w:val="74E34A80"/>
    <w:rsid w:val="74F00593"/>
    <w:rsid w:val="74F520CC"/>
    <w:rsid w:val="74F61ADC"/>
    <w:rsid w:val="74F70D4C"/>
    <w:rsid w:val="74F92DE1"/>
    <w:rsid w:val="74FB60AC"/>
    <w:rsid w:val="74FC4DAB"/>
    <w:rsid w:val="75054C5D"/>
    <w:rsid w:val="750726BC"/>
    <w:rsid w:val="75081ABD"/>
    <w:rsid w:val="75086E6C"/>
    <w:rsid w:val="750A2EE1"/>
    <w:rsid w:val="750B6466"/>
    <w:rsid w:val="75174F71"/>
    <w:rsid w:val="7519611E"/>
    <w:rsid w:val="751A5108"/>
    <w:rsid w:val="751A73BE"/>
    <w:rsid w:val="751E2355"/>
    <w:rsid w:val="752740EC"/>
    <w:rsid w:val="75276B3E"/>
    <w:rsid w:val="752E2E69"/>
    <w:rsid w:val="75301321"/>
    <w:rsid w:val="75306EF5"/>
    <w:rsid w:val="75331920"/>
    <w:rsid w:val="75363ACC"/>
    <w:rsid w:val="75366031"/>
    <w:rsid w:val="75406A6D"/>
    <w:rsid w:val="75412490"/>
    <w:rsid w:val="75422471"/>
    <w:rsid w:val="75501EAA"/>
    <w:rsid w:val="75541094"/>
    <w:rsid w:val="75543D67"/>
    <w:rsid w:val="75560158"/>
    <w:rsid w:val="75571893"/>
    <w:rsid w:val="755A0E43"/>
    <w:rsid w:val="755C0A7E"/>
    <w:rsid w:val="755F571E"/>
    <w:rsid w:val="756A2405"/>
    <w:rsid w:val="756A32EB"/>
    <w:rsid w:val="756D6C1D"/>
    <w:rsid w:val="75713BE9"/>
    <w:rsid w:val="75734A39"/>
    <w:rsid w:val="7573748D"/>
    <w:rsid w:val="75792336"/>
    <w:rsid w:val="75804C0B"/>
    <w:rsid w:val="758B3E18"/>
    <w:rsid w:val="758F15EE"/>
    <w:rsid w:val="759117D7"/>
    <w:rsid w:val="75917C95"/>
    <w:rsid w:val="75986631"/>
    <w:rsid w:val="759A69FE"/>
    <w:rsid w:val="759B7F64"/>
    <w:rsid w:val="75A37622"/>
    <w:rsid w:val="75A40B1C"/>
    <w:rsid w:val="75A504C3"/>
    <w:rsid w:val="75AB270C"/>
    <w:rsid w:val="75AD2A41"/>
    <w:rsid w:val="75B359D4"/>
    <w:rsid w:val="75B4465C"/>
    <w:rsid w:val="75B6506C"/>
    <w:rsid w:val="75B66857"/>
    <w:rsid w:val="75B706B7"/>
    <w:rsid w:val="75B94E29"/>
    <w:rsid w:val="75BD20EC"/>
    <w:rsid w:val="75BF6733"/>
    <w:rsid w:val="75C051DE"/>
    <w:rsid w:val="75C51FAF"/>
    <w:rsid w:val="75C7194F"/>
    <w:rsid w:val="75CC76D6"/>
    <w:rsid w:val="75CF0DC4"/>
    <w:rsid w:val="75D34DCF"/>
    <w:rsid w:val="75D47B2D"/>
    <w:rsid w:val="75DF5510"/>
    <w:rsid w:val="75E06B5A"/>
    <w:rsid w:val="75E104AA"/>
    <w:rsid w:val="75EF084A"/>
    <w:rsid w:val="75EF25F8"/>
    <w:rsid w:val="75EF5AB0"/>
    <w:rsid w:val="75F01AC5"/>
    <w:rsid w:val="75F231B7"/>
    <w:rsid w:val="75F45E20"/>
    <w:rsid w:val="75FC34E5"/>
    <w:rsid w:val="75FE6878"/>
    <w:rsid w:val="75FF15EC"/>
    <w:rsid w:val="76034895"/>
    <w:rsid w:val="760A0510"/>
    <w:rsid w:val="760C027A"/>
    <w:rsid w:val="762070F0"/>
    <w:rsid w:val="76257D4C"/>
    <w:rsid w:val="762D51B0"/>
    <w:rsid w:val="76336E2A"/>
    <w:rsid w:val="763765D5"/>
    <w:rsid w:val="76396908"/>
    <w:rsid w:val="764E349C"/>
    <w:rsid w:val="765074D0"/>
    <w:rsid w:val="765130EC"/>
    <w:rsid w:val="76525694"/>
    <w:rsid w:val="76547F3D"/>
    <w:rsid w:val="76595A48"/>
    <w:rsid w:val="765C7911"/>
    <w:rsid w:val="765D3DFE"/>
    <w:rsid w:val="76614532"/>
    <w:rsid w:val="76635834"/>
    <w:rsid w:val="76644A16"/>
    <w:rsid w:val="766E3A61"/>
    <w:rsid w:val="766F4763"/>
    <w:rsid w:val="767A51B9"/>
    <w:rsid w:val="76800247"/>
    <w:rsid w:val="76851440"/>
    <w:rsid w:val="76863E50"/>
    <w:rsid w:val="768E20AB"/>
    <w:rsid w:val="768E4D1E"/>
    <w:rsid w:val="768F5B89"/>
    <w:rsid w:val="76941029"/>
    <w:rsid w:val="7696272C"/>
    <w:rsid w:val="769748D8"/>
    <w:rsid w:val="769F6846"/>
    <w:rsid w:val="76A36D6C"/>
    <w:rsid w:val="76A7005D"/>
    <w:rsid w:val="76AA29C3"/>
    <w:rsid w:val="76AE6010"/>
    <w:rsid w:val="76B10334"/>
    <w:rsid w:val="76B455F0"/>
    <w:rsid w:val="76BD10A6"/>
    <w:rsid w:val="76BD4467"/>
    <w:rsid w:val="76BE1FCB"/>
    <w:rsid w:val="76C33D66"/>
    <w:rsid w:val="76C70E7F"/>
    <w:rsid w:val="76C76B06"/>
    <w:rsid w:val="76D14075"/>
    <w:rsid w:val="76D15500"/>
    <w:rsid w:val="76D972E7"/>
    <w:rsid w:val="76E568B0"/>
    <w:rsid w:val="76E9210F"/>
    <w:rsid w:val="76EC183B"/>
    <w:rsid w:val="76EC270D"/>
    <w:rsid w:val="76EC6DC4"/>
    <w:rsid w:val="76F746B4"/>
    <w:rsid w:val="76F97E66"/>
    <w:rsid w:val="7700458F"/>
    <w:rsid w:val="77011F02"/>
    <w:rsid w:val="770258C8"/>
    <w:rsid w:val="7704262D"/>
    <w:rsid w:val="7715533C"/>
    <w:rsid w:val="771620D3"/>
    <w:rsid w:val="771A5453"/>
    <w:rsid w:val="771E7311"/>
    <w:rsid w:val="77273FDE"/>
    <w:rsid w:val="772D590E"/>
    <w:rsid w:val="772E4DD8"/>
    <w:rsid w:val="772F60CD"/>
    <w:rsid w:val="7730505A"/>
    <w:rsid w:val="77356731"/>
    <w:rsid w:val="773B26D7"/>
    <w:rsid w:val="774329A5"/>
    <w:rsid w:val="7752067D"/>
    <w:rsid w:val="77545B4B"/>
    <w:rsid w:val="77551777"/>
    <w:rsid w:val="77644920"/>
    <w:rsid w:val="77687FDE"/>
    <w:rsid w:val="776A0596"/>
    <w:rsid w:val="776A3649"/>
    <w:rsid w:val="776A4169"/>
    <w:rsid w:val="776B3A5E"/>
    <w:rsid w:val="7773561F"/>
    <w:rsid w:val="777764F0"/>
    <w:rsid w:val="7778124A"/>
    <w:rsid w:val="777970CF"/>
    <w:rsid w:val="777B267F"/>
    <w:rsid w:val="777B536C"/>
    <w:rsid w:val="777D379C"/>
    <w:rsid w:val="77827E55"/>
    <w:rsid w:val="77870057"/>
    <w:rsid w:val="77870586"/>
    <w:rsid w:val="778B6518"/>
    <w:rsid w:val="778C13D3"/>
    <w:rsid w:val="778F64CB"/>
    <w:rsid w:val="77970D50"/>
    <w:rsid w:val="779B01EF"/>
    <w:rsid w:val="779C75F3"/>
    <w:rsid w:val="779F6D77"/>
    <w:rsid w:val="779F78DF"/>
    <w:rsid w:val="77A47D42"/>
    <w:rsid w:val="77A77E2E"/>
    <w:rsid w:val="77A86F03"/>
    <w:rsid w:val="77AA1A00"/>
    <w:rsid w:val="77AE14F6"/>
    <w:rsid w:val="77B07B65"/>
    <w:rsid w:val="77BC25D5"/>
    <w:rsid w:val="77C601E0"/>
    <w:rsid w:val="77CA03FC"/>
    <w:rsid w:val="77CB2546"/>
    <w:rsid w:val="77CD3F5A"/>
    <w:rsid w:val="77DD0A83"/>
    <w:rsid w:val="77E32606"/>
    <w:rsid w:val="77E36F91"/>
    <w:rsid w:val="77EA1FDC"/>
    <w:rsid w:val="77ED2E8C"/>
    <w:rsid w:val="77F04ABF"/>
    <w:rsid w:val="77F062E5"/>
    <w:rsid w:val="77F87CE0"/>
    <w:rsid w:val="77FD715D"/>
    <w:rsid w:val="78004F73"/>
    <w:rsid w:val="7801379F"/>
    <w:rsid w:val="780716DC"/>
    <w:rsid w:val="78137A78"/>
    <w:rsid w:val="781520BE"/>
    <w:rsid w:val="781936FE"/>
    <w:rsid w:val="781B51C3"/>
    <w:rsid w:val="78201D6E"/>
    <w:rsid w:val="78203C9F"/>
    <w:rsid w:val="78223817"/>
    <w:rsid w:val="78237AFA"/>
    <w:rsid w:val="782510E8"/>
    <w:rsid w:val="782A0EB8"/>
    <w:rsid w:val="782A7918"/>
    <w:rsid w:val="782C03FB"/>
    <w:rsid w:val="782F4F2E"/>
    <w:rsid w:val="783129C2"/>
    <w:rsid w:val="7832450C"/>
    <w:rsid w:val="783E0DD3"/>
    <w:rsid w:val="78405618"/>
    <w:rsid w:val="78406B45"/>
    <w:rsid w:val="7842203E"/>
    <w:rsid w:val="784961AB"/>
    <w:rsid w:val="784B03A1"/>
    <w:rsid w:val="784B7F51"/>
    <w:rsid w:val="784C5F2A"/>
    <w:rsid w:val="785737AE"/>
    <w:rsid w:val="78583EFA"/>
    <w:rsid w:val="7867669F"/>
    <w:rsid w:val="787340DA"/>
    <w:rsid w:val="78736CC5"/>
    <w:rsid w:val="7875177A"/>
    <w:rsid w:val="78790AB1"/>
    <w:rsid w:val="78793D87"/>
    <w:rsid w:val="787A14AE"/>
    <w:rsid w:val="787C5B15"/>
    <w:rsid w:val="787E319F"/>
    <w:rsid w:val="787F3CE2"/>
    <w:rsid w:val="78833470"/>
    <w:rsid w:val="788343E3"/>
    <w:rsid w:val="788B2D27"/>
    <w:rsid w:val="788D35A6"/>
    <w:rsid w:val="78931961"/>
    <w:rsid w:val="78961215"/>
    <w:rsid w:val="789C2D14"/>
    <w:rsid w:val="78A119F3"/>
    <w:rsid w:val="78B31988"/>
    <w:rsid w:val="78BB06E7"/>
    <w:rsid w:val="78C05646"/>
    <w:rsid w:val="78C6519C"/>
    <w:rsid w:val="78D6530D"/>
    <w:rsid w:val="78DE36BD"/>
    <w:rsid w:val="78DF40C8"/>
    <w:rsid w:val="78EB2F73"/>
    <w:rsid w:val="78EC134A"/>
    <w:rsid w:val="78EC58E4"/>
    <w:rsid w:val="78ED2297"/>
    <w:rsid w:val="78F1587D"/>
    <w:rsid w:val="78F21EE2"/>
    <w:rsid w:val="78F31602"/>
    <w:rsid w:val="78F75E08"/>
    <w:rsid w:val="78FB7506"/>
    <w:rsid w:val="78FF5CC7"/>
    <w:rsid w:val="790321BA"/>
    <w:rsid w:val="7909537E"/>
    <w:rsid w:val="790B545D"/>
    <w:rsid w:val="790E22D2"/>
    <w:rsid w:val="790E35C2"/>
    <w:rsid w:val="791046EC"/>
    <w:rsid w:val="791505C8"/>
    <w:rsid w:val="791F5E05"/>
    <w:rsid w:val="79216E7C"/>
    <w:rsid w:val="79245F6C"/>
    <w:rsid w:val="792B60E4"/>
    <w:rsid w:val="793042AC"/>
    <w:rsid w:val="79344C2C"/>
    <w:rsid w:val="793A7125"/>
    <w:rsid w:val="793D4AEA"/>
    <w:rsid w:val="793D5A81"/>
    <w:rsid w:val="793E680D"/>
    <w:rsid w:val="7941099B"/>
    <w:rsid w:val="7942051C"/>
    <w:rsid w:val="79462B0D"/>
    <w:rsid w:val="79515AAD"/>
    <w:rsid w:val="79585389"/>
    <w:rsid w:val="795A3F8A"/>
    <w:rsid w:val="795B1C90"/>
    <w:rsid w:val="795D3D1D"/>
    <w:rsid w:val="79664B46"/>
    <w:rsid w:val="796940DC"/>
    <w:rsid w:val="7974053E"/>
    <w:rsid w:val="797A07A6"/>
    <w:rsid w:val="797E0345"/>
    <w:rsid w:val="79872B48"/>
    <w:rsid w:val="798D6B97"/>
    <w:rsid w:val="79920BD7"/>
    <w:rsid w:val="7996693F"/>
    <w:rsid w:val="79990B0E"/>
    <w:rsid w:val="799B2770"/>
    <w:rsid w:val="799C6D9C"/>
    <w:rsid w:val="79A03E0B"/>
    <w:rsid w:val="79A171F0"/>
    <w:rsid w:val="79AA05EF"/>
    <w:rsid w:val="79AB58C9"/>
    <w:rsid w:val="79AC4296"/>
    <w:rsid w:val="79B06543"/>
    <w:rsid w:val="79B13B01"/>
    <w:rsid w:val="79B85B1A"/>
    <w:rsid w:val="79BA0232"/>
    <w:rsid w:val="79BA2FA3"/>
    <w:rsid w:val="79BD656A"/>
    <w:rsid w:val="79C518CA"/>
    <w:rsid w:val="79C93EBD"/>
    <w:rsid w:val="79D1506F"/>
    <w:rsid w:val="79D63AA8"/>
    <w:rsid w:val="79DD2AC5"/>
    <w:rsid w:val="79DF4E27"/>
    <w:rsid w:val="79E23272"/>
    <w:rsid w:val="79E4456A"/>
    <w:rsid w:val="79E475C0"/>
    <w:rsid w:val="79E87A8A"/>
    <w:rsid w:val="79EA0F72"/>
    <w:rsid w:val="79EC4A90"/>
    <w:rsid w:val="79EF6A05"/>
    <w:rsid w:val="79F65171"/>
    <w:rsid w:val="79F74A94"/>
    <w:rsid w:val="7A0021E5"/>
    <w:rsid w:val="7A014F47"/>
    <w:rsid w:val="7A0348C4"/>
    <w:rsid w:val="7A1328A0"/>
    <w:rsid w:val="7A1A27B8"/>
    <w:rsid w:val="7A1C442D"/>
    <w:rsid w:val="7A212922"/>
    <w:rsid w:val="7A2148DE"/>
    <w:rsid w:val="7A2269D3"/>
    <w:rsid w:val="7A243005"/>
    <w:rsid w:val="7A2706E0"/>
    <w:rsid w:val="7A2732B4"/>
    <w:rsid w:val="7A2863F7"/>
    <w:rsid w:val="7A2F5C7A"/>
    <w:rsid w:val="7A3062AF"/>
    <w:rsid w:val="7A3D4646"/>
    <w:rsid w:val="7A3D6ABC"/>
    <w:rsid w:val="7A426850"/>
    <w:rsid w:val="7A4A6E7F"/>
    <w:rsid w:val="7A524148"/>
    <w:rsid w:val="7A557E70"/>
    <w:rsid w:val="7A5A025C"/>
    <w:rsid w:val="7A6335B5"/>
    <w:rsid w:val="7A655721"/>
    <w:rsid w:val="7A74248A"/>
    <w:rsid w:val="7A756E44"/>
    <w:rsid w:val="7A770803"/>
    <w:rsid w:val="7A787722"/>
    <w:rsid w:val="7A7A2D40"/>
    <w:rsid w:val="7A7D1D5F"/>
    <w:rsid w:val="7A883393"/>
    <w:rsid w:val="7A916166"/>
    <w:rsid w:val="7A9A50A7"/>
    <w:rsid w:val="7A9A5166"/>
    <w:rsid w:val="7AA02A8B"/>
    <w:rsid w:val="7AA31C03"/>
    <w:rsid w:val="7AA82035"/>
    <w:rsid w:val="7AAA2433"/>
    <w:rsid w:val="7AAC402E"/>
    <w:rsid w:val="7AAE6747"/>
    <w:rsid w:val="7AB127E6"/>
    <w:rsid w:val="7AB145C7"/>
    <w:rsid w:val="7AB23B52"/>
    <w:rsid w:val="7AB2682F"/>
    <w:rsid w:val="7AB8141E"/>
    <w:rsid w:val="7AB842BE"/>
    <w:rsid w:val="7ABD620D"/>
    <w:rsid w:val="7AC22263"/>
    <w:rsid w:val="7AC223B2"/>
    <w:rsid w:val="7AC237AF"/>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6050D"/>
    <w:rsid w:val="7AF6119C"/>
    <w:rsid w:val="7AF635D2"/>
    <w:rsid w:val="7AF964E3"/>
    <w:rsid w:val="7AFB37ED"/>
    <w:rsid w:val="7B0F2394"/>
    <w:rsid w:val="7B110A0E"/>
    <w:rsid w:val="7B114DBF"/>
    <w:rsid w:val="7B116E8C"/>
    <w:rsid w:val="7B133968"/>
    <w:rsid w:val="7B1A7272"/>
    <w:rsid w:val="7B1B473D"/>
    <w:rsid w:val="7B2368A0"/>
    <w:rsid w:val="7B286A29"/>
    <w:rsid w:val="7B2D13A8"/>
    <w:rsid w:val="7B3D5BF7"/>
    <w:rsid w:val="7B3F0F56"/>
    <w:rsid w:val="7B436CCB"/>
    <w:rsid w:val="7B5E7CBA"/>
    <w:rsid w:val="7B654B35"/>
    <w:rsid w:val="7B6644F4"/>
    <w:rsid w:val="7B6B53A5"/>
    <w:rsid w:val="7B727E52"/>
    <w:rsid w:val="7B740C94"/>
    <w:rsid w:val="7B7B492E"/>
    <w:rsid w:val="7B7C5EFE"/>
    <w:rsid w:val="7B7C7536"/>
    <w:rsid w:val="7B8245FA"/>
    <w:rsid w:val="7B8855C2"/>
    <w:rsid w:val="7B9211CD"/>
    <w:rsid w:val="7B96015E"/>
    <w:rsid w:val="7B9A00B8"/>
    <w:rsid w:val="7B9C38B5"/>
    <w:rsid w:val="7B9E3B80"/>
    <w:rsid w:val="7B9F421D"/>
    <w:rsid w:val="7BA35B13"/>
    <w:rsid w:val="7BA627B7"/>
    <w:rsid w:val="7BA71A71"/>
    <w:rsid w:val="7BAB07ED"/>
    <w:rsid w:val="7BB10F32"/>
    <w:rsid w:val="7BB26780"/>
    <w:rsid w:val="7BBF5BC4"/>
    <w:rsid w:val="7BC4799D"/>
    <w:rsid w:val="7BC6005E"/>
    <w:rsid w:val="7BCD6588"/>
    <w:rsid w:val="7BD15F6F"/>
    <w:rsid w:val="7BD6046B"/>
    <w:rsid w:val="7BDE7337"/>
    <w:rsid w:val="7BDF66C5"/>
    <w:rsid w:val="7BE72953"/>
    <w:rsid w:val="7BE729F6"/>
    <w:rsid w:val="7BE7369B"/>
    <w:rsid w:val="7BE940B9"/>
    <w:rsid w:val="7BEA20C6"/>
    <w:rsid w:val="7BED3F21"/>
    <w:rsid w:val="7BEE6EAE"/>
    <w:rsid w:val="7BF00D0F"/>
    <w:rsid w:val="7BF511CA"/>
    <w:rsid w:val="7BF62BCA"/>
    <w:rsid w:val="7BF63931"/>
    <w:rsid w:val="7BF64585"/>
    <w:rsid w:val="7BFD3254"/>
    <w:rsid w:val="7C0162EE"/>
    <w:rsid w:val="7C0516B3"/>
    <w:rsid w:val="7C0C5DE6"/>
    <w:rsid w:val="7C0F1A0C"/>
    <w:rsid w:val="7C1324F6"/>
    <w:rsid w:val="7C167714"/>
    <w:rsid w:val="7C196B39"/>
    <w:rsid w:val="7C1D41F3"/>
    <w:rsid w:val="7C1E4188"/>
    <w:rsid w:val="7C1F4CE2"/>
    <w:rsid w:val="7C232457"/>
    <w:rsid w:val="7C2671A6"/>
    <w:rsid w:val="7C2C6092"/>
    <w:rsid w:val="7C351437"/>
    <w:rsid w:val="7C356278"/>
    <w:rsid w:val="7C3D2D91"/>
    <w:rsid w:val="7C4059FA"/>
    <w:rsid w:val="7C420B02"/>
    <w:rsid w:val="7C4744B7"/>
    <w:rsid w:val="7C480501"/>
    <w:rsid w:val="7C487A9A"/>
    <w:rsid w:val="7C493955"/>
    <w:rsid w:val="7C4E1C7E"/>
    <w:rsid w:val="7C521AEB"/>
    <w:rsid w:val="7C582EA0"/>
    <w:rsid w:val="7C5E1082"/>
    <w:rsid w:val="7C5E7021"/>
    <w:rsid w:val="7C693925"/>
    <w:rsid w:val="7C694787"/>
    <w:rsid w:val="7C71250B"/>
    <w:rsid w:val="7C747922"/>
    <w:rsid w:val="7C7522FB"/>
    <w:rsid w:val="7C8120EB"/>
    <w:rsid w:val="7C8141C6"/>
    <w:rsid w:val="7C8C60B1"/>
    <w:rsid w:val="7C927A47"/>
    <w:rsid w:val="7C931740"/>
    <w:rsid w:val="7C935100"/>
    <w:rsid w:val="7C9457B4"/>
    <w:rsid w:val="7C94711A"/>
    <w:rsid w:val="7C980749"/>
    <w:rsid w:val="7C982044"/>
    <w:rsid w:val="7C99717B"/>
    <w:rsid w:val="7CA4633A"/>
    <w:rsid w:val="7CB50A51"/>
    <w:rsid w:val="7CB83599"/>
    <w:rsid w:val="7CBE76BA"/>
    <w:rsid w:val="7CC017D7"/>
    <w:rsid w:val="7CC23715"/>
    <w:rsid w:val="7CC552AF"/>
    <w:rsid w:val="7CC61597"/>
    <w:rsid w:val="7CC93A51"/>
    <w:rsid w:val="7CCC21B1"/>
    <w:rsid w:val="7CCF61C4"/>
    <w:rsid w:val="7CCF713F"/>
    <w:rsid w:val="7CD208B8"/>
    <w:rsid w:val="7CD410F5"/>
    <w:rsid w:val="7CD60893"/>
    <w:rsid w:val="7CD744FF"/>
    <w:rsid w:val="7CDA0DC1"/>
    <w:rsid w:val="7CE11653"/>
    <w:rsid w:val="7CE25575"/>
    <w:rsid w:val="7CE66ABB"/>
    <w:rsid w:val="7CEA28DA"/>
    <w:rsid w:val="7CEC7290"/>
    <w:rsid w:val="7CF265C1"/>
    <w:rsid w:val="7CF6498C"/>
    <w:rsid w:val="7CF90FE6"/>
    <w:rsid w:val="7D016DE2"/>
    <w:rsid w:val="7D046E11"/>
    <w:rsid w:val="7D090CD3"/>
    <w:rsid w:val="7D106A8D"/>
    <w:rsid w:val="7D13417C"/>
    <w:rsid w:val="7D1365F8"/>
    <w:rsid w:val="7D137C1B"/>
    <w:rsid w:val="7D1A281A"/>
    <w:rsid w:val="7D1C03C9"/>
    <w:rsid w:val="7D1D79E5"/>
    <w:rsid w:val="7D2177E4"/>
    <w:rsid w:val="7D283B69"/>
    <w:rsid w:val="7D2E7EAA"/>
    <w:rsid w:val="7D2F4975"/>
    <w:rsid w:val="7D3704A9"/>
    <w:rsid w:val="7D401599"/>
    <w:rsid w:val="7D440FF6"/>
    <w:rsid w:val="7D446204"/>
    <w:rsid w:val="7D46384D"/>
    <w:rsid w:val="7D46670B"/>
    <w:rsid w:val="7D472D1A"/>
    <w:rsid w:val="7D4E463F"/>
    <w:rsid w:val="7D4F6AF5"/>
    <w:rsid w:val="7D524187"/>
    <w:rsid w:val="7D59441D"/>
    <w:rsid w:val="7D5A2028"/>
    <w:rsid w:val="7D5B4A17"/>
    <w:rsid w:val="7D5F4656"/>
    <w:rsid w:val="7D633843"/>
    <w:rsid w:val="7D6B2593"/>
    <w:rsid w:val="7D725CA6"/>
    <w:rsid w:val="7D793B91"/>
    <w:rsid w:val="7D801E4C"/>
    <w:rsid w:val="7D890D29"/>
    <w:rsid w:val="7D8C0B06"/>
    <w:rsid w:val="7D942F26"/>
    <w:rsid w:val="7D96554A"/>
    <w:rsid w:val="7D985A45"/>
    <w:rsid w:val="7D99341D"/>
    <w:rsid w:val="7D9E509F"/>
    <w:rsid w:val="7DA73B38"/>
    <w:rsid w:val="7DA91E94"/>
    <w:rsid w:val="7DAC5810"/>
    <w:rsid w:val="7DAF4DEE"/>
    <w:rsid w:val="7DB7580C"/>
    <w:rsid w:val="7DB9180E"/>
    <w:rsid w:val="7DBA70CF"/>
    <w:rsid w:val="7DC11FB7"/>
    <w:rsid w:val="7DC12ACC"/>
    <w:rsid w:val="7DC341F1"/>
    <w:rsid w:val="7DC80A1E"/>
    <w:rsid w:val="7DC81757"/>
    <w:rsid w:val="7DCC240B"/>
    <w:rsid w:val="7DCD49D8"/>
    <w:rsid w:val="7DCF0722"/>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E037407"/>
    <w:rsid w:val="7E093660"/>
    <w:rsid w:val="7E0A4764"/>
    <w:rsid w:val="7E0B4780"/>
    <w:rsid w:val="7E17418B"/>
    <w:rsid w:val="7E180560"/>
    <w:rsid w:val="7E18269D"/>
    <w:rsid w:val="7E1A6EE4"/>
    <w:rsid w:val="7E247F1B"/>
    <w:rsid w:val="7E344268"/>
    <w:rsid w:val="7E3A287F"/>
    <w:rsid w:val="7E3A4040"/>
    <w:rsid w:val="7E3D7B2B"/>
    <w:rsid w:val="7E420F60"/>
    <w:rsid w:val="7E44743A"/>
    <w:rsid w:val="7E46292D"/>
    <w:rsid w:val="7E4E2C9C"/>
    <w:rsid w:val="7E4E7C73"/>
    <w:rsid w:val="7E505BFE"/>
    <w:rsid w:val="7E5170FD"/>
    <w:rsid w:val="7E552B20"/>
    <w:rsid w:val="7E555601"/>
    <w:rsid w:val="7E582619"/>
    <w:rsid w:val="7E612947"/>
    <w:rsid w:val="7E6277FD"/>
    <w:rsid w:val="7E644253"/>
    <w:rsid w:val="7E662F64"/>
    <w:rsid w:val="7E67623E"/>
    <w:rsid w:val="7E677E4E"/>
    <w:rsid w:val="7E693C24"/>
    <w:rsid w:val="7E725B75"/>
    <w:rsid w:val="7E763BDD"/>
    <w:rsid w:val="7E7751E1"/>
    <w:rsid w:val="7E793FEF"/>
    <w:rsid w:val="7E81525E"/>
    <w:rsid w:val="7E8212A7"/>
    <w:rsid w:val="7E823065"/>
    <w:rsid w:val="7E871CD2"/>
    <w:rsid w:val="7E887B66"/>
    <w:rsid w:val="7E8A358E"/>
    <w:rsid w:val="7E8D5F63"/>
    <w:rsid w:val="7E924469"/>
    <w:rsid w:val="7E965DD6"/>
    <w:rsid w:val="7E987540"/>
    <w:rsid w:val="7E9D30C6"/>
    <w:rsid w:val="7EA57696"/>
    <w:rsid w:val="7EA752A9"/>
    <w:rsid w:val="7EA77E26"/>
    <w:rsid w:val="7EAB1BA6"/>
    <w:rsid w:val="7EAD11C4"/>
    <w:rsid w:val="7EB06B57"/>
    <w:rsid w:val="7EB831CA"/>
    <w:rsid w:val="7EBF641D"/>
    <w:rsid w:val="7EC51C8E"/>
    <w:rsid w:val="7EC54C8D"/>
    <w:rsid w:val="7ECA59B1"/>
    <w:rsid w:val="7ECC6C3E"/>
    <w:rsid w:val="7ED32749"/>
    <w:rsid w:val="7ED503E2"/>
    <w:rsid w:val="7ED61B84"/>
    <w:rsid w:val="7ED7102F"/>
    <w:rsid w:val="7ED87F1F"/>
    <w:rsid w:val="7EDC7D3C"/>
    <w:rsid w:val="7EDF169B"/>
    <w:rsid w:val="7EDF3F47"/>
    <w:rsid w:val="7EE63894"/>
    <w:rsid w:val="7EE91A22"/>
    <w:rsid w:val="7EEA17FC"/>
    <w:rsid w:val="7EEF0511"/>
    <w:rsid w:val="7EFB200E"/>
    <w:rsid w:val="7EFC4DFE"/>
    <w:rsid w:val="7EFC69B8"/>
    <w:rsid w:val="7F0052E1"/>
    <w:rsid w:val="7F0448D7"/>
    <w:rsid w:val="7F056430"/>
    <w:rsid w:val="7F057305"/>
    <w:rsid w:val="7F161884"/>
    <w:rsid w:val="7F175915"/>
    <w:rsid w:val="7F1A015C"/>
    <w:rsid w:val="7F1A63E1"/>
    <w:rsid w:val="7F1D7444"/>
    <w:rsid w:val="7F202B5D"/>
    <w:rsid w:val="7F2B5F6F"/>
    <w:rsid w:val="7F2C5FA9"/>
    <w:rsid w:val="7F2E670A"/>
    <w:rsid w:val="7F326768"/>
    <w:rsid w:val="7F3C1B71"/>
    <w:rsid w:val="7F432A3F"/>
    <w:rsid w:val="7F433BA7"/>
    <w:rsid w:val="7F434277"/>
    <w:rsid w:val="7F445321"/>
    <w:rsid w:val="7F453289"/>
    <w:rsid w:val="7F47047C"/>
    <w:rsid w:val="7F4C286A"/>
    <w:rsid w:val="7F50041E"/>
    <w:rsid w:val="7F544113"/>
    <w:rsid w:val="7F564FBD"/>
    <w:rsid w:val="7F585408"/>
    <w:rsid w:val="7F5A4CEC"/>
    <w:rsid w:val="7F5B1E5C"/>
    <w:rsid w:val="7F5D3B75"/>
    <w:rsid w:val="7F63023C"/>
    <w:rsid w:val="7F690DA5"/>
    <w:rsid w:val="7F6C76BD"/>
    <w:rsid w:val="7F707F2E"/>
    <w:rsid w:val="7F7C685D"/>
    <w:rsid w:val="7F8457D6"/>
    <w:rsid w:val="7F873BD8"/>
    <w:rsid w:val="7F932B0A"/>
    <w:rsid w:val="7F9406B5"/>
    <w:rsid w:val="7F943F93"/>
    <w:rsid w:val="7F9470D7"/>
    <w:rsid w:val="7F97153D"/>
    <w:rsid w:val="7F98574A"/>
    <w:rsid w:val="7F9C22D7"/>
    <w:rsid w:val="7F9D3C4C"/>
    <w:rsid w:val="7F9F7843"/>
    <w:rsid w:val="7FA5305A"/>
    <w:rsid w:val="7FAF72E0"/>
    <w:rsid w:val="7FBB6B94"/>
    <w:rsid w:val="7FBC6CA9"/>
    <w:rsid w:val="7FBF128D"/>
    <w:rsid w:val="7FC00B62"/>
    <w:rsid w:val="7FC03E4B"/>
    <w:rsid w:val="7FC22B2C"/>
    <w:rsid w:val="7FC51111"/>
    <w:rsid w:val="7FCC6935"/>
    <w:rsid w:val="7FCF0E21"/>
    <w:rsid w:val="7FD45496"/>
    <w:rsid w:val="7FD51BE1"/>
    <w:rsid w:val="7FD85673"/>
    <w:rsid w:val="7FD85EAB"/>
    <w:rsid w:val="7FD90FCF"/>
    <w:rsid w:val="7FD920B0"/>
    <w:rsid w:val="7FD9635C"/>
    <w:rsid w:val="7FDB7285"/>
    <w:rsid w:val="7FDC1263"/>
    <w:rsid w:val="7FDD454A"/>
    <w:rsid w:val="7FDF723A"/>
    <w:rsid w:val="7FE224D1"/>
    <w:rsid w:val="7FE746F0"/>
    <w:rsid w:val="7FE90041"/>
    <w:rsid w:val="7FE9455C"/>
    <w:rsid w:val="7FF151BF"/>
    <w:rsid w:val="7FF61FA2"/>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86"/>
    <w:autoRedefine/>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2">
    <w:name w:val="heading 2"/>
    <w:basedOn w:val="1"/>
    <w:next w:val="1"/>
    <w:link w:val="484"/>
    <w:autoRedefine/>
    <w:qFormat/>
    <w:uiPriority w:val="0"/>
    <w:pPr>
      <w:keepNext/>
      <w:keepLines/>
      <w:tabs>
        <w:tab w:val="left" w:pos="358"/>
      </w:tabs>
      <w:spacing w:before="400" w:beforeLines="0" w:beforeAutospacing="0" w:line="360" w:lineRule="auto"/>
      <w:ind w:left="358" w:hanging="420"/>
      <w:outlineLvl w:val="1"/>
    </w:pPr>
    <w:rPr>
      <w:b/>
      <w:sz w:val="32"/>
    </w:rPr>
  </w:style>
  <w:style w:type="paragraph" w:styleId="4">
    <w:name w:val="heading 3"/>
    <w:basedOn w:val="1"/>
    <w:next w:val="1"/>
    <w:link w:val="466"/>
    <w:autoRedefine/>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paragraph" w:styleId="5">
    <w:name w:val="heading 4"/>
    <w:basedOn w:val="1"/>
    <w:next w:val="1"/>
    <w:link w:val="532"/>
    <w:autoRedefine/>
    <w:qFormat/>
    <w:uiPriority w:val="0"/>
    <w:pPr>
      <w:keepNext/>
      <w:keepLines/>
      <w:tabs>
        <w:tab w:val="left" w:pos="1198"/>
      </w:tabs>
      <w:spacing w:before="120" w:beforeLines="0" w:beforeAutospacing="0" w:line="360" w:lineRule="auto"/>
      <w:ind w:left="1198" w:hanging="420"/>
      <w:outlineLvl w:val="3"/>
    </w:pPr>
    <w:rPr>
      <w:sz w:val="28"/>
    </w:rPr>
  </w:style>
  <w:style w:type="paragraph" w:styleId="6">
    <w:name w:val="heading 5"/>
    <w:basedOn w:val="1"/>
    <w:next w:val="7"/>
    <w:link w:val="533"/>
    <w:autoRedefine/>
    <w:qFormat/>
    <w:uiPriority w:val="0"/>
    <w:pPr>
      <w:keepNext/>
      <w:keepLines/>
      <w:tabs>
        <w:tab w:val="left" w:pos="1618"/>
      </w:tabs>
      <w:spacing w:before="60" w:beforeLines="0" w:beforeAutospacing="0" w:after="312" w:afterLines="100" w:afterAutospacing="0"/>
      <w:ind w:left="1618" w:hanging="420"/>
      <w:outlineLvl w:val="4"/>
    </w:pPr>
    <w:rPr>
      <w:b/>
    </w:rPr>
  </w:style>
  <w:style w:type="paragraph" w:styleId="8">
    <w:name w:val="heading 6"/>
    <w:basedOn w:val="1"/>
    <w:next w:val="7"/>
    <w:link w:val="527"/>
    <w:autoRedefine/>
    <w:qFormat/>
    <w:uiPriority w:val="0"/>
    <w:pPr>
      <w:keepNext/>
      <w:keepLines/>
      <w:tabs>
        <w:tab w:val="left" w:pos="2038"/>
      </w:tabs>
      <w:spacing w:before="240" w:beforeLines="0" w:beforeAutospacing="0" w:after="64" w:afterLines="0" w:afterAutospacing="0" w:line="317" w:lineRule="auto"/>
      <w:ind w:left="2038" w:hanging="420"/>
      <w:outlineLvl w:val="5"/>
    </w:pPr>
    <w:rPr>
      <w:rFonts w:ascii="Arial" w:hAnsi="Arial" w:eastAsia="黑体"/>
    </w:rPr>
  </w:style>
  <w:style w:type="paragraph" w:styleId="9">
    <w:name w:val="heading 7"/>
    <w:basedOn w:val="1"/>
    <w:next w:val="1"/>
    <w:link w:val="522"/>
    <w:autoRedefine/>
    <w:qFormat/>
    <w:uiPriority w:val="0"/>
    <w:pPr>
      <w:keepNext/>
      <w:keepLines/>
      <w:spacing w:before="240" w:beforeLines="0" w:beforeAutospacing="0" w:after="64" w:afterLines="0" w:afterAutospacing="0" w:line="317" w:lineRule="auto"/>
      <w:outlineLvl w:val="6"/>
    </w:pPr>
    <w:rPr>
      <w:b/>
    </w:rPr>
  </w:style>
  <w:style w:type="paragraph" w:styleId="10">
    <w:name w:val="heading 8"/>
    <w:basedOn w:val="1"/>
    <w:next w:val="1"/>
    <w:link w:val="526"/>
    <w:autoRedefine/>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1">
    <w:name w:val="heading 9"/>
    <w:basedOn w:val="1"/>
    <w:next w:val="1"/>
    <w:link w:val="434"/>
    <w:autoRedefine/>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2">
    <w:name w:val="Default Paragraph Font"/>
    <w:autoRedefine/>
    <w:qFormat/>
    <w:uiPriority w:val="0"/>
  </w:style>
  <w:style w:type="table" w:default="1" w:styleId="80">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7">
    <w:name w:val="正文缩进2"/>
    <w:basedOn w:val="1"/>
    <w:autoRedefine/>
    <w:qFormat/>
    <w:uiPriority w:val="0"/>
    <w:pPr>
      <w:spacing w:before="60" w:beforeLines="0" w:beforeAutospacing="0"/>
      <w:ind w:firstLine="476"/>
    </w:pPr>
  </w:style>
  <w:style w:type="paragraph" w:styleId="12">
    <w:name w:val="List 3"/>
    <w:basedOn w:val="1"/>
    <w:autoRedefine/>
    <w:qFormat/>
    <w:uiPriority w:val="0"/>
    <w:pPr>
      <w:ind w:left="100" w:leftChars="400" w:hanging="200" w:hangingChars="200"/>
    </w:pPr>
    <w:rPr>
      <w:sz w:val="21"/>
      <w:szCs w:val="24"/>
    </w:r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numPr>
        <w:ilvl w:val="0"/>
        <w:numId w:val="1"/>
      </w:numPr>
      <w:spacing w:line="360" w:lineRule="auto"/>
      <w:jc w:val="left"/>
    </w:pPr>
    <w:rPr>
      <w:rFonts w:ascii="Arial" w:hAnsi="Arial" w:eastAsia="楷体_GB2312" w:cs="Arial"/>
      <w:sz w:val="28"/>
      <w:szCs w:val="24"/>
    </w:rPr>
  </w:style>
  <w:style w:type="paragraph" w:styleId="15">
    <w:name w:val="Note Heading"/>
    <w:basedOn w:val="1"/>
    <w:next w:val="1"/>
    <w:autoRedefine/>
    <w:qFormat/>
    <w:uiPriority w:val="0"/>
    <w:pPr>
      <w:spacing w:line="360" w:lineRule="auto"/>
      <w:ind w:firstLine="200" w:firstLineChars="200"/>
      <w:jc w:val="center"/>
    </w:pPr>
    <w:rPr>
      <w:rFonts w:ascii="Arial" w:hAnsi="Arial" w:eastAsia="楷体_GB2312" w:cs="Arial"/>
      <w:sz w:val="28"/>
      <w:szCs w:val="24"/>
    </w:rPr>
  </w:style>
  <w:style w:type="paragraph" w:styleId="16">
    <w:name w:val="List Bullet 4"/>
    <w:basedOn w:val="1"/>
    <w:autoRedefine/>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7">
    <w:name w:val="E-mail Signature"/>
    <w:basedOn w:val="1"/>
    <w:autoRedefine/>
    <w:qFormat/>
    <w:uiPriority w:val="0"/>
    <w:pPr>
      <w:spacing w:line="360" w:lineRule="auto"/>
      <w:ind w:firstLine="200" w:firstLineChars="200"/>
      <w:jc w:val="left"/>
    </w:pPr>
    <w:rPr>
      <w:rFonts w:ascii="Arial" w:hAnsi="Arial" w:eastAsia="楷体_GB2312" w:cs="Arial"/>
      <w:sz w:val="28"/>
      <w:szCs w:val="24"/>
    </w:rPr>
  </w:style>
  <w:style w:type="paragraph" w:styleId="18">
    <w:name w:val="List Number"/>
    <w:basedOn w:val="1"/>
    <w:autoRedefine/>
    <w:qFormat/>
    <w:uiPriority w:val="0"/>
    <w:pPr>
      <w:numPr>
        <w:ilvl w:val="0"/>
        <w:numId w:val="3"/>
      </w:numPr>
      <w:spacing w:line="360" w:lineRule="auto"/>
      <w:jc w:val="left"/>
    </w:pPr>
    <w:rPr>
      <w:rFonts w:ascii="Arial" w:hAnsi="Arial" w:eastAsia="楷体_GB2312" w:cs="Arial"/>
      <w:sz w:val="28"/>
      <w:szCs w:val="24"/>
    </w:rPr>
  </w:style>
  <w:style w:type="paragraph" w:styleId="19">
    <w:name w:val="Normal Indent"/>
    <w:basedOn w:val="1"/>
    <w:next w:val="1"/>
    <w:link w:val="499"/>
    <w:autoRedefine/>
    <w:qFormat/>
    <w:uiPriority w:val="0"/>
    <w:pPr>
      <w:ind w:firstLine="420"/>
    </w:pPr>
    <w:rPr>
      <w:sz w:val="21"/>
    </w:rPr>
  </w:style>
  <w:style w:type="paragraph" w:styleId="20">
    <w:name w:val="caption"/>
    <w:basedOn w:val="1"/>
    <w:next w:val="1"/>
    <w:link w:val="530"/>
    <w:autoRedefine/>
    <w:qFormat/>
    <w:uiPriority w:val="0"/>
    <w:pPr>
      <w:spacing w:before="152" w:beforeLines="0" w:beforeAutospacing="0" w:after="160" w:afterLines="0" w:afterAutospacing="0" w:line="360" w:lineRule="auto"/>
      <w:ind w:firstLine="476"/>
    </w:pPr>
    <w:rPr>
      <w:rFonts w:ascii="Arial" w:hAnsi="Arial" w:eastAsia="黑体"/>
      <w:spacing w:val="10"/>
      <w:sz w:val="20"/>
    </w:rPr>
  </w:style>
  <w:style w:type="paragraph" w:styleId="21">
    <w:name w:val="index 5"/>
    <w:basedOn w:val="1"/>
    <w:next w:val="1"/>
    <w:autoRedefine/>
    <w:qFormat/>
    <w:uiPriority w:val="0"/>
    <w:pPr>
      <w:tabs>
        <w:tab w:val="left" w:pos="5760"/>
      </w:tabs>
      <w:ind w:left="1920" w:leftChars="800"/>
      <w:jc w:val="left"/>
    </w:pPr>
  </w:style>
  <w:style w:type="paragraph" w:styleId="22">
    <w:name w:val="List Bullet"/>
    <w:basedOn w:val="1"/>
    <w:autoRedefine/>
    <w:qFormat/>
    <w:uiPriority w:val="0"/>
    <w:pPr>
      <w:tabs>
        <w:tab w:val="left" w:pos="748"/>
      </w:tabs>
      <w:spacing w:line="360" w:lineRule="auto"/>
      <w:ind w:left="748" w:hanging="374"/>
    </w:pPr>
    <w:rPr>
      <w:sz w:val="21"/>
    </w:rPr>
  </w:style>
  <w:style w:type="paragraph" w:styleId="23">
    <w:name w:val="envelope address"/>
    <w:basedOn w:val="1"/>
    <w:autoRedefine/>
    <w:qFormat/>
    <w:uiPriority w:val="0"/>
    <w:pPr>
      <w:snapToGrid w:val="0"/>
      <w:spacing w:line="360" w:lineRule="auto"/>
      <w:ind w:left="100" w:leftChars="1400" w:firstLine="200" w:firstLineChars="200"/>
      <w:jc w:val="left"/>
    </w:pPr>
    <w:rPr>
      <w:rFonts w:ascii="Arial" w:hAnsi="Arial" w:eastAsia="楷体_GB2312" w:cs="Arial"/>
      <w:szCs w:val="24"/>
    </w:rPr>
  </w:style>
  <w:style w:type="paragraph" w:styleId="24">
    <w:name w:val="Document Map"/>
    <w:basedOn w:val="1"/>
    <w:link w:val="503"/>
    <w:autoRedefine/>
    <w:qFormat/>
    <w:uiPriority w:val="0"/>
    <w:pPr>
      <w:shd w:val="clear" w:color="auto" w:fill="000080"/>
    </w:pPr>
    <w:rPr>
      <w:shd w:val="clear" w:color="auto" w:fill="000080"/>
    </w:rPr>
  </w:style>
  <w:style w:type="paragraph" w:styleId="25">
    <w:name w:val="toa heading"/>
    <w:basedOn w:val="1"/>
    <w:next w:val="1"/>
    <w:autoRedefine/>
    <w:qFormat/>
    <w:uiPriority w:val="0"/>
    <w:pPr>
      <w:autoSpaceDE w:val="0"/>
      <w:autoSpaceDN w:val="0"/>
      <w:adjustRightInd w:val="0"/>
      <w:snapToGrid w:val="0"/>
      <w:spacing w:before="120" w:beforeLines="0" w:line="360" w:lineRule="auto"/>
    </w:pPr>
    <w:rPr>
      <w:rFonts w:ascii="Arial" w:hAnsi="Arial"/>
      <w:snapToGrid w:val="0"/>
      <w:color w:val="000000"/>
      <w:kern w:val="0"/>
      <w:sz w:val="21"/>
    </w:rPr>
  </w:style>
  <w:style w:type="paragraph" w:styleId="26">
    <w:name w:val="annotation text"/>
    <w:basedOn w:val="1"/>
    <w:link w:val="534"/>
    <w:autoRedefine/>
    <w:qFormat/>
    <w:uiPriority w:val="0"/>
    <w:pPr>
      <w:jc w:val="left"/>
    </w:pPr>
  </w:style>
  <w:style w:type="paragraph" w:styleId="27">
    <w:name w:val="Salutation"/>
    <w:basedOn w:val="1"/>
    <w:next w:val="1"/>
    <w:autoRedefine/>
    <w:qFormat/>
    <w:uiPriority w:val="0"/>
    <w:pPr>
      <w:spacing w:line="360" w:lineRule="auto"/>
      <w:ind w:firstLine="200" w:firstLineChars="200"/>
      <w:jc w:val="left"/>
    </w:pPr>
    <w:rPr>
      <w:rFonts w:ascii="Arial" w:hAnsi="Arial" w:eastAsia="楷体_GB2312" w:cs="Arial"/>
      <w:sz w:val="28"/>
      <w:szCs w:val="24"/>
    </w:rPr>
  </w:style>
  <w:style w:type="paragraph" w:styleId="28">
    <w:name w:val="Body Text 3"/>
    <w:basedOn w:val="1"/>
    <w:autoRedefine/>
    <w:qFormat/>
    <w:uiPriority w:val="0"/>
    <w:pPr>
      <w:spacing w:after="120" w:afterLines="0"/>
    </w:pPr>
    <w:rPr>
      <w:sz w:val="16"/>
      <w:szCs w:val="16"/>
    </w:rPr>
  </w:style>
  <w:style w:type="paragraph" w:styleId="29">
    <w:name w:val="Closing"/>
    <w:basedOn w:val="1"/>
    <w:autoRedefine/>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0">
    <w:name w:val="List Bullet 3"/>
    <w:basedOn w:val="1"/>
    <w:autoRedefine/>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1">
    <w:name w:val="Body Text"/>
    <w:basedOn w:val="1"/>
    <w:next w:val="1"/>
    <w:link w:val="465"/>
    <w:autoRedefine/>
    <w:qFormat/>
    <w:uiPriority w:val="0"/>
    <w:pPr>
      <w:autoSpaceDE w:val="0"/>
      <w:autoSpaceDN w:val="0"/>
      <w:adjustRightInd w:val="0"/>
      <w:spacing w:line="480" w:lineRule="auto"/>
      <w:jc w:val="left"/>
    </w:pPr>
    <w:rPr>
      <w:rFonts w:ascii="宋体"/>
      <w:color w:val="FF0000"/>
      <w:kern w:val="0"/>
    </w:rPr>
  </w:style>
  <w:style w:type="paragraph" w:styleId="32">
    <w:name w:val="Body Text Indent"/>
    <w:basedOn w:val="1"/>
    <w:next w:val="1"/>
    <w:link w:val="431"/>
    <w:autoRedefine/>
    <w:qFormat/>
    <w:uiPriority w:val="99"/>
    <w:pPr>
      <w:spacing w:before="120" w:beforeLines="0" w:beforeAutospacing="0" w:after="120" w:afterLines="0" w:afterAutospacing="0" w:line="360" w:lineRule="auto"/>
      <w:ind w:firstLine="525"/>
    </w:pPr>
    <w:rPr>
      <w:rFonts w:ascii="宋体"/>
    </w:rPr>
  </w:style>
  <w:style w:type="paragraph" w:styleId="33">
    <w:name w:val="List Number 3"/>
    <w:basedOn w:val="1"/>
    <w:autoRedefine/>
    <w:qFormat/>
    <w:uiPriority w:val="0"/>
    <w:pPr>
      <w:numPr>
        <w:ilvl w:val="0"/>
        <w:numId w:val="5"/>
      </w:numPr>
    </w:pPr>
    <w:rPr>
      <w:sz w:val="21"/>
      <w:szCs w:val="24"/>
    </w:rPr>
  </w:style>
  <w:style w:type="paragraph" w:styleId="34">
    <w:name w:val="List 2"/>
    <w:basedOn w:val="1"/>
    <w:autoRedefine/>
    <w:qFormat/>
    <w:uiPriority w:val="0"/>
    <w:pPr>
      <w:ind w:left="100" w:leftChars="200" w:hanging="200" w:hangingChars="200"/>
    </w:pPr>
    <w:rPr>
      <w:sz w:val="21"/>
      <w:szCs w:val="24"/>
    </w:rPr>
  </w:style>
  <w:style w:type="paragraph" w:styleId="35">
    <w:name w:val="List Continue"/>
    <w:basedOn w:val="1"/>
    <w:autoRedefine/>
    <w:qFormat/>
    <w:uiPriority w:val="0"/>
    <w:pPr>
      <w:spacing w:after="120" w:afterLines="0"/>
      <w:ind w:left="420" w:leftChars="200"/>
    </w:pPr>
    <w:rPr>
      <w:sz w:val="21"/>
      <w:szCs w:val="24"/>
    </w:rPr>
  </w:style>
  <w:style w:type="paragraph" w:styleId="36">
    <w:name w:val="Block Text"/>
    <w:basedOn w:val="1"/>
    <w:autoRedefine/>
    <w:qFormat/>
    <w:uiPriority w:val="0"/>
    <w:pPr>
      <w:ind w:left="718" w:leftChars="342" w:right="373" w:firstLine="560" w:firstLineChars="200"/>
    </w:pPr>
    <w:rPr>
      <w:rFonts w:ascii="新宋体" w:eastAsia="新宋体"/>
      <w:color w:val="000000"/>
      <w:sz w:val="28"/>
      <w:szCs w:val="21"/>
      <w:lang w:val="zh-CN"/>
    </w:rPr>
  </w:style>
  <w:style w:type="paragraph" w:styleId="37">
    <w:name w:val="List Bullet 2"/>
    <w:basedOn w:val="1"/>
    <w:autoRedefine/>
    <w:qFormat/>
    <w:uiPriority w:val="0"/>
    <w:pPr>
      <w:tabs>
        <w:tab w:val="left" w:pos="840"/>
      </w:tabs>
      <w:adjustRightInd w:val="0"/>
      <w:spacing w:line="312" w:lineRule="atLeast"/>
      <w:ind w:left="1350" w:hanging="510"/>
      <w:textAlignment w:val="baseline"/>
    </w:pPr>
    <w:rPr>
      <w:kern w:val="0"/>
      <w:sz w:val="21"/>
    </w:rPr>
  </w:style>
  <w:style w:type="paragraph" w:styleId="38">
    <w:name w:val="HTML Address"/>
    <w:basedOn w:val="1"/>
    <w:autoRedefine/>
    <w:qFormat/>
    <w:uiPriority w:val="0"/>
    <w:pPr>
      <w:spacing w:line="360" w:lineRule="auto"/>
      <w:ind w:firstLine="200" w:firstLineChars="200"/>
      <w:jc w:val="left"/>
    </w:pPr>
    <w:rPr>
      <w:rFonts w:ascii="Arial" w:hAnsi="Arial" w:eastAsia="楷体_GB2312" w:cs="Arial"/>
      <w:i/>
      <w:iCs/>
      <w:sz w:val="28"/>
      <w:szCs w:val="24"/>
    </w:rPr>
  </w:style>
  <w:style w:type="paragraph" w:styleId="39">
    <w:name w:val="toc 5"/>
    <w:basedOn w:val="1"/>
    <w:next w:val="1"/>
    <w:autoRedefine/>
    <w:qFormat/>
    <w:uiPriority w:val="0"/>
    <w:pPr>
      <w:ind w:left="840"/>
      <w:jc w:val="left"/>
    </w:pPr>
    <w:rPr>
      <w:sz w:val="18"/>
    </w:rPr>
  </w:style>
  <w:style w:type="paragraph" w:styleId="40">
    <w:name w:val="toc 3"/>
    <w:basedOn w:val="1"/>
    <w:next w:val="1"/>
    <w:autoRedefine/>
    <w:qFormat/>
    <w:uiPriority w:val="39"/>
    <w:pPr>
      <w:tabs>
        <w:tab w:val="left" w:pos="845"/>
        <w:tab w:val="right" w:leader="dot" w:pos="9316"/>
      </w:tabs>
      <w:ind w:left="420"/>
      <w:jc w:val="left"/>
    </w:pPr>
    <w:rPr>
      <w:sz w:val="20"/>
    </w:rPr>
  </w:style>
  <w:style w:type="paragraph" w:styleId="41">
    <w:name w:val="Plain Text"/>
    <w:basedOn w:val="1"/>
    <w:next w:val="1"/>
    <w:link w:val="456"/>
    <w:autoRedefine/>
    <w:qFormat/>
    <w:uiPriority w:val="99"/>
    <w:rPr>
      <w:rFonts w:ascii="宋体" w:hAnsi="Courier New"/>
      <w:sz w:val="21"/>
    </w:rPr>
  </w:style>
  <w:style w:type="paragraph" w:styleId="42">
    <w:name w:val="List Bullet 5"/>
    <w:basedOn w:val="1"/>
    <w:autoRedefine/>
    <w:qFormat/>
    <w:uiPriority w:val="0"/>
    <w:pPr>
      <w:tabs>
        <w:tab w:val="left" w:pos="840"/>
      </w:tabs>
      <w:adjustRightInd w:val="0"/>
      <w:spacing w:line="312" w:lineRule="atLeast"/>
      <w:ind w:left="1350" w:hanging="510"/>
      <w:textAlignment w:val="baseline"/>
    </w:pPr>
    <w:rPr>
      <w:kern w:val="0"/>
      <w:sz w:val="21"/>
    </w:rPr>
  </w:style>
  <w:style w:type="paragraph" w:styleId="43">
    <w:name w:val="List Number 4"/>
    <w:basedOn w:val="1"/>
    <w:autoRedefine/>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4">
    <w:name w:val="toc 8"/>
    <w:basedOn w:val="1"/>
    <w:next w:val="1"/>
    <w:autoRedefine/>
    <w:qFormat/>
    <w:uiPriority w:val="0"/>
    <w:pPr>
      <w:ind w:left="2940" w:leftChars="1400"/>
    </w:pPr>
    <w:rPr>
      <w:sz w:val="21"/>
    </w:rPr>
  </w:style>
  <w:style w:type="paragraph" w:styleId="45">
    <w:name w:val="Date"/>
    <w:basedOn w:val="1"/>
    <w:next w:val="1"/>
    <w:link w:val="519"/>
    <w:autoRedefine/>
    <w:qFormat/>
    <w:uiPriority w:val="99"/>
    <w:pPr>
      <w:widowControl/>
    </w:pPr>
    <w:rPr>
      <w:rFonts w:ascii="楷体_GB2312" w:eastAsia="楷体_GB2312"/>
      <w:kern w:val="0"/>
      <w:sz w:val="32"/>
    </w:rPr>
  </w:style>
  <w:style w:type="paragraph" w:styleId="46">
    <w:name w:val="Body Text Indent 2"/>
    <w:basedOn w:val="1"/>
    <w:link w:val="528"/>
    <w:autoRedefine/>
    <w:qFormat/>
    <w:uiPriority w:val="0"/>
    <w:pPr>
      <w:spacing w:line="360" w:lineRule="auto"/>
      <w:ind w:left="718" w:firstLine="480" w:firstLineChars="200"/>
    </w:pPr>
    <w:rPr>
      <w:rFonts w:ascii="Arial" w:hAnsi="Arial" w:eastAsia="LineDraw"/>
    </w:rPr>
  </w:style>
  <w:style w:type="paragraph" w:styleId="47">
    <w:name w:val="List Continue 5"/>
    <w:basedOn w:val="1"/>
    <w:autoRedefine/>
    <w:qFormat/>
    <w:uiPriority w:val="0"/>
    <w:pPr>
      <w:spacing w:after="120" w:afterLines="0" w:line="360" w:lineRule="auto"/>
      <w:ind w:left="2100" w:leftChars="1000" w:firstLine="200" w:firstLineChars="200"/>
      <w:jc w:val="left"/>
    </w:pPr>
    <w:rPr>
      <w:rFonts w:ascii="Arial" w:hAnsi="Arial" w:eastAsia="楷体_GB2312" w:cs="Arial"/>
      <w:sz w:val="28"/>
      <w:szCs w:val="24"/>
    </w:rPr>
  </w:style>
  <w:style w:type="paragraph" w:styleId="48">
    <w:name w:val="Balloon Text"/>
    <w:basedOn w:val="1"/>
    <w:link w:val="535"/>
    <w:autoRedefine/>
    <w:qFormat/>
    <w:uiPriority w:val="99"/>
    <w:pPr>
      <w:adjustRightInd w:val="0"/>
      <w:spacing w:before="100" w:beforeLines="0" w:beforeAutospacing="1" w:after="100" w:afterLines="0" w:afterAutospacing="1" w:line="400" w:lineRule="atLeast"/>
      <w:ind w:firstLine="454"/>
      <w:textAlignment w:val="baseline"/>
    </w:pPr>
    <w:rPr>
      <w:rFonts w:ascii="宋体"/>
      <w:color w:val="FF0000"/>
    </w:rPr>
  </w:style>
  <w:style w:type="paragraph" w:styleId="49">
    <w:name w:val="footer"/>
    <w:basedOn w:val="1"/>
    <w:link w:val="525"/>
    <w:autoRedefine/>
    <w:qFormat/>
    <w:uiPriority w:val="99"/>
    <w:pPr>
      <w:tabs>
        <w:tab w:val="center" w:pos="4153"/>
        <w:tab w:val="right" w:pos="8306"/>
      </w:tabs>
      <w:snapToGrid w:val="0"/>
      <w:jc w:val="left"/>
    </w:pPr>
    <w:rPr>
      <w:sz w:val="18"/>
    </w:rPr>
  </w:style>
  <w:style w:type="paragraph" w:styleId="50">
    <w:name w:val="envelope return"/>
    <w:basedOn w:val="1"/>
    <w:autoRedefine/>
    <w:qFormat/>
    <w:uiPriority w:val="0"/>
    <w:pPr>
      <w:snapToGrid w:val="0"/>
      <w:spacing w:line="360" w:lineRule="auto"/>
      <w:ind w:firstLine="200" w:firstLineChars="200"/>
      <w:jc w:val="left"/>
    </w:pPr>
    <w:rPr>
      <w:rFonts w:ascii="Arial" w:hAnsi="Arial" w:eastAsia="楷体_GB2312" w:cs="Arial"/>
      <w:sz w:val="28"/>
      <w:szCs w:val="24"/>
    </w:rPr>
  </w:style>
  <w:style w:type="paragraph" w:styleId="51">
    <w:name w:val="header"/>
    <w:basedOn w:val="1"/>
    <w:link w:val="517"/>
    <w:autoRedefine/>
    <w:qFormat/>
    <w:uiPriority w:val="99"/>
    <w:pPr>
      <w:widowControl/>
      <w:pBdr>
        <w:bottom w:val="single" w:color="auto" w:sz="6" w:space="1"/>
      </w:pBdr>
      <w:tabs>
        <w:tab w:val="center" w:pos="4153"/>
        <w:tab w:val="right" w:pos="8306"/>
      </w:tabs>
      <w:snapToGrid w:val="0"/>
      <w:jc w:val="center"/>
    </w:pPr>
    <w:rPr>
      <w:kern w:val="0"/>
      <w:sz w:val="18"/>
    </w:rPr>
  </w:style>
  <w:style w:type="paragraph" w:styleId="52">
    <w:name w:val="Signature"/>
    <w:basedOn w:val="1"/>
    <w:autoRedefine/>
    <w:qFormat/>
    <w:uiPriority w:val="0"/>
    <w:pPr>
      <w:ind w:left="100" w:leftChars="2100"/>
    </w:pPr>
    <w:rPr>
      <w:sz w:val="21"/>
      <w:szCs w:val="24"/>
    </w:rPr>
  </w:style>
  <w:style w:type="paragraph" w:styleId="53">
    <w:name w:val="toc 1"/>
    <w:basedOn w:val="1"/>
    <w:next w:val="1"/>
    <w:autoRedefine/>
    <w:qFormat/>
    <w:uiPriority w:val="39"/>
    <w:pPr>
      <w:spacing w:before="120" w:beforeLines="0" w:beforeAutospacing="0" w:after="120" w:afterLines="0" w:afterAutospacing="0"/>
      <w:jc w:val="left"/>
    </w:pPr>
    <w:rPr>
      <w:b/>
      <w:caps/>
      <w:sz w:val="20"/>
    </w:rPr>
  </w:style>
  <w:style w:type="paragraph" w:styleId="54">
    <w:name w:val="List Continue 4"/>
    <w:basedOn w:val="1"/>
    <w:autoRedefine/>
    <w:qFormat/>
    <w:uiPriority w:val="0"/>
    <w:pPr>
      <w:spacing w:after="120" w:afterLines="0"/>
      <w:ind w:left="1680" w:leftChars="800"/>
    </w:pPr>
    <w:rPr>
      <w:sz w:val="21"/>
      <w:szCs w:val="24"/>
    </w:rPr>
  </w:style>
  <w:style w:type="paragraph" w:styleId="55">
    <w:name w:val="toc 4"/>
    <w:basedOn w:val="1"/>
    <w:next w:val="1"/>
    <w:autoRedefine/>
    <w:qFormat/>
    <w:uiPriority w:val="39"/>
    <w:pPr>
      <w:ind w:left="630"/>
      <w:jc w:val="left"/>
    </w:pPr>
    <w:rPr>
      <w:sz w:val="18"/>
    </w:rPr>
  </w:style>
  <w:style w:type="paragraph" w:styleId="56">
    <w:name w:val="index heading"/>
    <w:basedOn w:val="1"/>
    <w:next w:val="57"/>
    <w:autoRedefine/>
    <w:qFormat/>
    <w:uiPriority w:val="0"/>
    <w:pPr>
      <w:spacing w:after="120" w:afterLines="0" w:afterAutospacing="0" w:line="360" w:lineRule="exact"/>
    </w:pPr>
    <w:rPr>
      <w:sz w:val="21"/>
    </w:rPr>
  </w:style>
  <w:style w:type="paragraph" w:styleId="57">
    <w:name w:val="index 1"/>
    <w:basedOn w:val="1"/>
    <w:next w:val="1"/>
    <w:autoRedefine/>
    <w:qFormat/>
    <w:uiPriority w:val="0"/>
  </w:style>
  <w:style w:type="paragraph" w:styleId="58">
    <w:name w:val="Subtitle"/>
    <w:basedOn w:val="1"/>
    <w:autoRedefine/>
    <w:qFormat/>
    <w:uiPriority w:val="0"/>
    <w:pPr>
      <w:adjustRightInd w:val="0"/>
      <w:spacing w:after="60" w:afterLines="0" w:line="360" w:lineRule="atLeast"/>
      <w:jc w:val="center"/>
      <w:textAlignment w:val="baseline"/>
    </w:pPr>
    <w:rPr>
      <w:rFonts w:ascii="Arial" w:hAnsi="Arial" w:eastAsia="黑体"/>
      <w:i/>
      <w:kern w:val="0"/>
    </w:rPr>
  </w:style>
  <w:style w:type="paragraph" w:styleId="59">
    <w:name w:val="List Number 5"/>
    <w:basedOn w:val="1"/>
    <w:autoRedefine/>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0">
    <w:name w:val="List"/>
    <w:basedOn w:val="1"/>
    <w:autoRedefine/>
    <w:qFormat/>
    <w:uiPriority w:val="0"/>
    <w:pPr>
      <w:ind w:left="200" w:hanging="200" w:hangingChars="200"/>
    </w:pPr>
    <w:rPr>
      <w:sz w:val="21"/>
      <w:szCs w:val="24"/>
    </w:rPr>
  </w:style>
  <w:style w:type="paragraph" w:styleId="61">
    <w:name w:val="footnote text"/>
    <w:basedOn w:val="1"/>
    <w:autoRedefine/>
    <w:semiHidden/>
    <w:qFormat/>
    <w:uiPriority w:val="0"/>
    <w:pPr>
      <w:snapToGrid w:val="0"/>
      <w:jc w:val="left"/>
    </w:pPr>
    <w:rPr>
      <w:rFonts w:eastAsia="仿宋_GB2312"/>
      <w:sz w:val="18"/>
    </w:rPr>
  </w:style>
  <w:style w:type="paragraph" w:styleId="62">
    <w:name w:val="toc 6"/>
    <w:basedOn w:val="1"/>
    <w:next w:val="1"/>
    <w:autoRedefine/>
    <w:qFormat/>
    <w:uiPriority w:val="0"/>
    <w:pPr>
      <w:ind w:left="2100" w:leftChars="1000"/>
    </w:pPr>
    <w:rPr>
      <w:sz w:val="21"/>
    </w:rPr>
  </w:style>
  <w:style w:type="paragraph" w:styleId="63">
    <w:name w:val="List 5"/>
    <w:basedOn w:val="1"/>
    <w:autoRedefine/>
    <w:qFormat/>
    <w:uiPriority w:val="0"/>
    <w:pPr>
      <w:spacing w:line="360" w:lineRule="auto"/>
      <w:ind w:left="100" w:leftChars="800" w:hanging="200" w:hangingChars="200"/>
      <w:jc w:val="left"/>
    </w:pPr>
    <w:rPr>
      <w:rFonts w:ascii="Arial" w:hAnsi="Arial" w:eastAsia="楷体_GB2312" w:cs="Arial"/>
      <w:sz w:val="28"/>
      <w:szCs w:val="24"/>
    </w:rPr>
  </w:style>
  <w:style w:type="paragraph" w:styleId="64">
    <w:name w:val="Body Text Indent 3"/>
    <w:basedOn w:val="1"/>
    <w:link w:val="472"/>
    <w:autoRedefine/>
    <w:qFormat/>
    <w:uiPriority w:val="0"/>
    <w:pPr>
      <w:spacing w:line="360" w:lineRule="auto"/>
      <w:ind w:firstLine="480"/>
    </w:pPr>
    <w:rPr>
      <w:rFonts w:ascii="Arial" w:hAnsi="Arial"/>
      <w:color w:val="FF0000"/>
    </w:rPr>
  </w:style>
  <w:style w:type="paragraph" w:styleId="65">
    <w:name w:val="table of figures"/>
    <w:basedOn w:val="1"/>
    <w:next w:val="1"/>
    <w:autoRedefine/>
    <w:qFormat/>
    <w:uiPriority w:val="0"/>
    <w:pPr>
      <w:ind w:left="420" w:hanging="420"/>
      <w:jc w:val="left"/>
    </w:pPr>
    <w:rPr>
      <w:smallCaps/>
      <w:sz w:val="20"/>
    </w:rPr>
  </w:style>
  <w:style w:type="paragraph" w:styleId="66">
    <w:name w:val="toc 2"/>
    <w:basedOn w:val="1"/>
    <w:next w:val="1"/>
    <w:autoRedefine/>
    <w:qFormat/>
    <w:uiPriority w:val="39"/>
    <w:pPr>
      <w:tabs>
        <w:tab w:val="left" w:pos="600"/>
        <w:tab w:val="right" w:leader="dot" w:pos="9019"/>
      </w:tabs>
      <w:ind w:left="210"/>
      <w:jc w:val="left"/>
    </w:pPr>
    <w:rPr>
      <w:smallCaps/>
      <w:sz w:val="20"/>
    </w:rPr>
  </w:style>
  <w:style w:type="paragraph" w:styleId="67">
    <w:name w:val="toc 9"/>
    <w:basedOn w:val="31"/>
    <w:next w:val="1"/>
    <w:autoRedefine/>
    <w:qFormat/>
    <w:uiPriority w:val="0"/>
    <w:pPr>
      <w:autoSpaceDE/>
      <w:autoSpaceDN/>
      <w:spacing w:before="100" w:beforeLines="0" w:beforeAutospacing="1" w:after="100" w:afterLines="0" w:afterAutospacing="1" w:line="400" w:lineRule="atLeast"/>
      <w:ind w:left="1920" w:firstLine="454"/>
      <w:textAlignment w:val="baseline"/>
    </w:pPr>
    <w:rPr>
      <w:rFonts w:ascii="Times New Roman"/>
      <w:color w:val="auto"/>
      <w:sz w:val="18"/>
    </w:rPr>
  </w:style>
  <w:style w:type="paragraph" w:styleId="68">
    <w:name w:val="Body Text 2"/>
    <w:basedOn w:val="1"/>
    <w:autoRedefine/>
    <w:qFormat/>
    <w:uiPriority w:val="0"/>
    <w:pPr>
      <w:spacing w:after="120" w:afterLines="0" w:afterAutospacing="0" w:line="480" w:lineRule="auto"/>
    </w:pPr>
    <w:rPr>
      <w:sz w:val="21"/>
    </w:rPr>
  </w:style>
  <w:style w:type="paragraph" w:styleId="69">
    <w:name w:val="List 4"/>
    <w:basedOn w:val="1"/>
    <w:autoRedefine/>
    <w:qFormat/>
    <w:uiPriority w:val="0"/>
    <w:pPr>
      <w:ind w:left="100" w:leftChars="600" w:hanging="200" w:hangingChars="200"/>
    </w:pPr>
    <w:rPr>
      <w:sz w:val="21"/>
      <w:szCs w:val="24"/>
    </w:rPr>
  </w:style>
  <w:style w:type="paragraph" w:styleId="70">
    <w:name w:val="List Continue 2"/>
    <w:basedOn w:val="1"/>
    <w:autoRedefine/>
    <w:qFormat/>
    <w:uiPriority w:val="0"/>
    <w:pPr>
      <w:spacing w:after="120" w:afterLines="0"/>
      <w:ind w:left="840" w:leftChars="400"/>
    </w:pPr>
    <w:rPr>
      <w:sz w:val="21"/>
      <w:szCs w:val="24"/>
    </w:rPr>
  </w:style>
  <w:style w:type="paragraph" w:styleId="7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2">
    <w:name w:val="HTML Preformatted"/>
    <w:basedOn w:val="1"/>
    <w:link w:val="452"/>
    <w:autoRedefine/>
    <w:qFormat/>
    <w:uiPriority w:val="99"/>
    <w:pPr>
      <w:spacing w:line="360" w:lineRule="auto"/>
      <w:ind w:firstLine="200" w:firstLineChars="200"/>
      <w:jc w:val="left"/>
    </w:pPr>
    <w:rPr>
      <w:rFonts w:ascii="Courier New" w:hAnsi="Courier New" w:eastAsia="楷体_GB2312"/>
      <w:sz w:val="20"/>
    </w:rPr>
  </w:style>
  <w:style w:type="paragraph" w:styleId="73">
    <w:name w:val="Normal (Web)"/>
    <w:basedOn w:val="1"/>
    <w:link w:val="510"/>
    <w:autoRedefine/>
    <w:qFormat/>
    <w:uiPriority w:val="0"/>
    <w:pPr>
      <w:widowControl/>
      <w:spacing w:before="100" w:beforeLines="0" w:beforeAutospacing="1" w:after="100" w:afterLines="0" w:afterAutospacing="1"/>
      <w:jc w:val="left"/>
    </w:pPr>
    <w:rPr>
      <w:rFonts w:ascii="宋体" w:hAnsi="宋体"/>
      <w:kern w:val="0"/>
      <w:sz w:val="22"/>
    </w:rPr>
  </w:style>
  <w:style w:type="paragraph" w:styleId="74">
    <w:name w:val="List Continue 3"/>
    <w:basedOn w:val="1"/>
    <w:autoRedefine/>
    <w:qFormat/>
    <w:uiPriority w:val="0"/>
    <w:pPr>
      <w:spacing w:after="120" w:afterLines="0"/>
      <w:ind w:left="1260" w:leftChars="600"/>
    </w:pPr>
    <w:rPr>
      <w:sz w:val="21"/>
      <w:szCs w:val="24"/>
    </w:rPr>
  </w:style>
  <w:style w:type="paragraph" w:styleId="75">
    <w:name w:val="Title"/>
    <w:basedOn w:val="1"/>
    <w:next w:val="1"/>
    <w:link w:val="464"/>
    <w:autoRedefine/>
    <w:qFormat/>
    <w:uiPriority w:val="0"/>
    <w:pPr>
      <w:spacing w:before="240" w:beforeLines="0" w:after="60" w:afterLines="0" w:line="360" w:lineRule="auto"/>
      <w:ind w:firstLine="200" w:firstLineChars="200"/>
      <w:jc w:val="center"/>
      <w:outlineLvl w:val="0"/>
    </w:pPr>
    <w:rPr>
      <w:rFonts w:ascii="Arial" w:hAnsi="Arial" w:eastAsia="楷体_GB2312" w:cs="Arial"/>
      <w:b/>
      <w:bCs/>
      <w:sz w:val="32"/>
      <w:szCs w:val="32"/>
    </w:rPr>
  </w:style>
  <w:style w:type="paragraph" w:styleId="76">
    <w:name w:val="annotation subject"/>
    <w:basedOn w:val="26"/>
    <w:next w:val="26"/>
    <w:autoRedefine/>
    <w:qFormat/>
    <w:uiPriority w:val="0"/>
    <w:rPr>
      <w:b/>
    </w:rPr>
  </w:style>
  <w:style w:type="paragraph" w:styleId="77">
    <w:name w:val="Body Text First Indent"/>
    <w:basedOn w:val="31"/>
    <w:next w:val="1"/>
    <w:link w:val="531"/>
    <w:autoRedefine/>
    <w:qFormat/>
    <w:uiPriority w:val="0"/>
    <w:pPr>
      <w:spacing w:line="300" w:lineRule="auto"/>
      <w:ind w:firstLine="476"/>
    </w:pPr>
  </w:style>
  <w:style w:type="paragraph" w:styleId="78">
    <w:name w:val="Body Text First Indent 2"/>
    <w:basedOn w:val="32"/>
    <w:next w:val="79"/>
    <w:autoRedefine/>
    <w:qFormat/>
    <w:uiPriority w:val="0"/>
    <w:pPr>
      <w:spacing w:before="0" w:beforeLines="0" w:beforeAutospacing="0" w:line="240" w:lineRule="auto"/>
      <w:ind w:left="420" w:leftChars="200" w:firstLine="420" w:firstLineChars="200"/>
    </w:pPr>
    <w:rPr>
      <w:rFonts w:hint="default" w:ascii="Times New Roman"/>
    </w:rPr>
  </w:style>
  <w:style w:type="paragraph" w:customStyle="1" w:styleId="79">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table" w:styleId="81">
    <w:name w:val="Table Grid"/>
    <w:basedOn w:val="80"/>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3">
    <w:name w:val="Strong"/>
    <w:autoRedefine/>
    <w:qFormat/>
    <w:uiPriority w:val="0"/>
    <w:rPr>
      <w:b/>
    </w:rPr>
  </w:style>
  <w:style w:type="character" w:styleId="84">
    <w:name w:val="page number"/>
    <w:basedOn w:val="82"/>
    <w:autoRedefine/>
    <w:qFormat/>
    <w:uiPriority w:val="0"/>
  </w:style>
  <w:style w:type="character" w:styleId="85">
    <w:name w:val="FollowedHyperlink"/>
    <w:autoRedefine/>
    <w:qFormat/>
    <w:uiPriority w:val="0"/>
    <w:rPr>
      <w:color w:val="800080"/>
      <w:u w:val="single"/>
    </w:rPr>
  </w:style>
  <w:style w:type="character" w:styleId="86">
    <w:name w:val="Emphasis"/>
    <w:autoRedefine/>
    <w:qFormat/>
    <w:uiPriority w:val="0"/>
    <w:rPr>
      <w:color w:val="CC0033"/>
    </w:rPr>
  </w:style>
  <w:style w:type="character" w:styleId="87">
    <w:name w:val="line number"/>
    <w:basedOn w:val="82"/>
    <w:autoRedefine/>
    <w:qFormat/>
    <w:uiPriority w:val="0"/>
  </w:style>
  <w:style w:type="character" w:styleId="88">
    <w:name w:val="Hyperlink"/>
    <w:autoRedefine/>
    <w:qFormat/>
    <w:uiPriority w:val="99"/>
    <w:rPr>
      <w:color w:val="0000FF"/>
      <w:u w:val="single"/>
    </w:rPr>
  </w:style>
  <w:style w:type="character" w:styleId="89">
    <w:name w:val="annotation reference"/>
    <w:autoRedefine/>
    <w:qFormat/>
    <w:uiPriority w:val="0"/>
    <w:rPr>
      <w:sz w:val="21"/>
    </w:rPr>
  </w:style>
  <w:style w:type="paragraph" w:customStyle="1" w:styleId="90">
    <w:name w:val="Normal Indent1"/>
    <w:basedOn w:val="1"/>
    <w:qFormat/>
    <w:uiPriority w:val="0"/>
    <w:pPr>
      <w:ind w:firstLine="420" w:firstLineChars="200"/>
    </w:pPr>
  </w:style>
  <w:style w:type="paragraph" w:customStyle="1" w:styleId="91">
    <w:name w:val="Default"/>
    <w:next w:val="92"/>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9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94">
    <w:name w:val="xl102"/>
    <w:basedOn w:val="1"/>
    <w:autoRedefine/>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95">
    <w:name w:val="样式 标题 4 + 小四"/>
    <w:basedOn w:val="5"/>
    <w:link w:val="437"/>
    <w:autoRedefine/>
    <w:qFormat/>
    <w:uiPriority w:val="0"/>
    <w:pPr>
      <w:numPr>
        <w:ilvl w:val="0"/>
        <w:numId w:val="0"/>
      </w:numPr>
      <w:tabs>
        <w:tab w:val="left" w:pos="1919"/>
        <w:tab w:val="clear" w:pos="1198"/>
      </w:tabs>
      <w:spacing w:before="280" w:beforeLines="0" w:after="290" w:afterLines="0" w:line="377" w:lineRule="auto"/>
      <w:ind w:left="1547" w:hanging="708"/>
      <w:jc w:val="left"/>
    </w:pPr>
    <w:rPr>
      <w:rFonts w:ascii="Arial" w:hAnsi="Arial" w:eastAsia="楷体_GB2312" w:cs="Arial"/>
      <w:bCs/>
      <w:sz w:val="24"/>
      <w:szCs w:val="28"/>
    </w:rPr>
  </w:style>
  <w:style w:type="paragraph" w:customStyle="1" w:styleId="96">
    <w:name w:val=" Char Char Char1 Char Char Char Char"/>
    <w:basedOn w:val="1"/>
    <w:autoRedefine/>
    <w:qFormat/>
    <w:uiPriority w:val="0"/>
    <w:rPr>
      <w:rFonts w:ascii="仿宋_GB2312" w:eastAsia="仿宋_GB2312"/>
      <w:b/>
      <w:sz w:val="32"/>
    </w:rPr>
  </w:style>
  <w:style w:type="paragraph" w:customStyle="1" w:styleId="97">
    <w:name w:val="1.1.1"/>
    <w:basedOn w:val="1"/>
    <w:autoRedefine/>
    <w:qFormat/>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rPr>
  </w:style>
  <w:style w:type="paragraph" w:customStyle="1" w:styleId="98">
    <w:name w:val="样式 行距: 1.5 倍行距 首行缩进:  2 字符"/>
    <w:basedOn w:val="1"/>
    <w:autoRedefine/>
    <w:qFormat/>
    <w:uiPriority w:val="0"/>
    <w:pPr>
      <w:spacing w:line="360" w:lineRule="auto"/>
      <w:ind w:firstLine="480" w:firstLineChars="200"/>
    </w:pPr>
  </w:style>
  <w:style w:type="paragraph" w:customStyle="1" w:styleId="99">
    <w:name w:val="标题一"/>
    <w:basedOn w:val="1"/>
    <w:autoRedefine/>
    <w:qFormat/>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100">
    <w:name w:val="reader-word-layer reader-word-s1-8"/>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1">
    <w:name w:val="xl44"/>
    <w:basedOn w:val="1"/>
    <w:autoRedefine/>
    <w:qFormat/>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102">
    <w:name w:val="框内说明"/>
    <w:basedOn w:val="1"/>
    <w:autoRedefine/>
    <w:qFormat/>
    <w:uiPriority w:val="0"/>
    <w:pPr>
      <w:adjustRightInd w:val="0"/>
      <w:snapToGrid w:val="0"/>
    </w:pPr>
    <w:rPr>
      <w:kern w:val="0"/>
      <w:sz w:val="21"/>
    </w:rPr>
  </w:style>
  <w:style w:type="paragraph" w:customStyle="1" w:styleId="103">
    <w:name w:val="正文文本 21"/>
    <w:basedOn w:val="1"/>
    <w:autoRedefine/>
    <w:qFormat/>
    <w:uiPriority w:val="0"/>
    <w:pPr>
      <w:adjustRightInd w:val="0"/>
      <w:spacing w:after="60" w:afterLines="0" w:line="360" w:lineRule="atLeast"/>
      <w:ind w:left="57" w:right="57"/>
      <w:jc w:val="center"/>
      <w:textAlignment w:val="baseline"/>
    </w:pPr>
    <w:rPr>
      <w:rFonts w:ascii="Arial" w:hAnsi="Arial" w:eastAsia="黑体"/>
      <w:kern w:val="0"/>
      <w:sz w:val="21"/>
    </w:rPr>
  </w:style>
  <w:style w:type="paragraph" w:customStyle="1" w:styleId="104">
    <w:name w:val="正文文字2"/>
    <w:basedOn w:val="31"/>
    <w:autoRedefine/>
    <w:qFormat/>
    <w:uiPriority w:val="0"/>
    <w:pPr>
      <w:autoSpaceDE/>
      <w:autoSpaceDN/>
      <w:spacing w:after="60" w:afterLines="0" w:line="360" w:lineRule="atLeast"/>
      <w:ind w:left="72" w:right="72"/>
      <w:jc w:val="center"/>
      <w:textAlignment w:val="baseline"/>
    </w:pPr>
    <w:rPr>
      <w:rFonts w:ascii="Arial" w:eastAsia="黑体"/>
      <w:color w:val="auto"/>
      <w:sz w:val="21"/>
      <w:lang w:val="en-US" w:eastAsia="zh-CN"/>
    </w:rPr>
  </w:style>
  <w:style w:type="paragraph" w:customStyle="1" w:styleId="105">
    <w:name w:val="Char Char Char Char"/>
    <w:basedOn w:val="1"/>
    <w:autoRedefine/>
    <w:qFormat/>
    <w:uiPriority w:val="0"/>
    <w:rPr>
      <w:rFonts w:ascii="仿宋_GB2312" w:eastAsia="仿宋_GB2312"/>
      <w:b/>
      <w:sz w:val="32"/>
    </w:rPr>
  </w:style>
  <w:style w:type="paragraph" w:customStyle="1" w:styleId="106">
    <w:name w:val="正文1"/>
    <w:basedOn w:val="1"/>
    <w:autoRedefine/>
    <w:qFormat/>
    <w:uiPriority w:val="0"/>
    <w:pPr>
      <w:spacing w:before="60" w:beforeLines="0" w:beforeAutospacing="0" w:after="60" w:afterLines="0" w:afterAutospacing="0" w:line="360" w:lineRule="auto"/>
      <w:ind w:left="1080"/>
      <w:outlineLvl w:val="6"/>
    </w:pPr>
  </w:style>
  <w:style w:type="paragraph" w:customStyle="1" w:styleId="107">
    <w:name w:val="正文段"/>
    <w:basedOn w:val="1"/>
    <w:link w:val="428"/>
    <w:autoRedefine/>
    <w:qFormat/>
    <w:uiPriority w:val="0"/>
    <w:pPr>
      <w:widowControl/>
      <w:snapToGrid w:val="0"/>
      <w:spacing w:after="156" w:afterLines="50"/>
      <w:ind w:firstLine="200" w:firstLineChars="200"/>
    </w:pPr>
    <w:rPr>
      <w:kern w:val="0"/>
    </w:rPr>
  </w:style>
  <w:style w:type="paragraph" w:customStyle="1" w:styleId="108">
    <w:name w:val="xl110"/>
    <w:basedOn w:val="1"/>
    <w:autoRedefine/>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09">
    <w:name w:val="Style Heading 3h3Heading 3 - oldLevel 3 HeadH3level_3PIM 3se..."/>
    <w:basedOn w:val="4"/>
    <w:autoRedefine/>
    <w:qFormat/>
    <w:uiPriority w:val="0"/>
    <w:pPr>
      <w:tabs>
        <w:tab w:val="left" w:pos="1260"/>
        <w:tab w:val="clear" w:pos="778"/>
      </w:tabs>
      <w:spacing w:before="260" w:beforeLines="0" w:beforeAutospacing="0" w:after="260" w:afterLines="0" w:afterAutospacing="0" w:line="413" w:lineRule="auto"/>
      <w:ind w:left="1260"/>
    </w:pPr>
    <w:rPr>
      <w:rFonts w:ascii="Times New Roman" w:hAnsi="Times New Roman"/>
      <w:sz w:val="32"/>
    </w:rPr>
  </w:style>
  <w:style w:type="paragraph" w:customStyle="1" w:styleId="110">
    <w:name w:val="正文＋小四＋缩进2字符"/>
    <w:basedOn w:val="1"/>
    <w:autoRedefine/>
    <w:qFormat/>
    <w:uiPriority w:val="0"/>
    <w:pPr>
      <w:spacing w:line="360" w:lineRule="auto"/>
      <w:ind w:firstLine="200" w:firstLineChars="200"/>
    </w:pPr>
  </w:style>
  <w:style w:type="paragraph" w:customStyle="1" w:styleId="111">
    <w:name w:val="普通(网站)1"/>
    <w:basedOn w:val="1"/>
    <w:next w:val="1"/>
    <w:autoRedefine/>
    <w:qFormat/>
    <w:uiPriority w:val="0"/>
    <w:pPr>
      <w:widowControl/>
      <w:spacing w:before="100" w:beforeLines="0" w:beforeAutospacing="0" w:after="100" w:afterLines="0" w:afterAutospacing="0"/>
      <w:jc w:val="left"/>
    </w:pPr>
    <w:rPr>
      <w:rFonts w:ascii="宋体"/>
      <w:color w:val="000000"/>
      <w:kern w:val="0"/>
      <w:sz w:val="22"/>
    </w:rPr>
  </w:style>
  <w:style w:type="paragraph" w:customStyle="1" w:styleId="112">
    <w:name w:val="标题3下的宋体"/>
    <w:autoRedefine/>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13">
    <w:name w:val="列表编号 21"/>
    <w:basedOn w:val="1"/>
    <w:next w:val="1"/>
    <w:autoRedefine/>
    <w:qFormat/>
    <w:uiPriority w:val="0"/>
    <w:pPr>
      <w:widowControl/>
      <w:tabs>
        <w:tab w:val="left" w:pos="420"/>
        <w:tab w:val="left" w:pos="1697"/>
      </w:tabs>
      <w:spacing w:after="50" w:afterLines="0" w:afterAutospacing="0"/>
      <w:ind w:left="1697" w:hanging="420"/>
      <w:jc w:val="left"/>
    </w:pPr>
    <w:rPr>
      <w:color w:val="000000"/>
      <w:kern w:val="0"/>
    </w:rPr>
  </w:style>
  <w:style w:type="paragraph" w:customStyle="1" w:styleId="114">
    <w:name w:val="表格项目符号"/>
    <w:basedOn w:val="1"/>
    <w:next w:val="1"/>
    <w:autoRedefine/>
    <w:qFormat/>
    <w:uiPriority w:val="0"/>
    <w:pPr>
      <w:widowControl/>
      <w:tabs>
        <w:tab w:val="left" w:pos="249"/>
      </w:tabs>
      <w:snapToGrid w:val="0"/>
      <w:spacing w:line="300" w:lineRule="auto"/>
      <w:ind w:left="249" w:hanging="249"/>
    </w:pPr>
    <w:rPr>
      <w:color w:val="000000"/>
      <w:sz w:val="21"/>
    </w:rPr>
  </w:style>
  <w:style w:type="paragraph" w:customStyle="1" w:styleId="115">
    <w:name w:val="章节标题2"/>
    <w:basedOn w:val="1"/>
    <w:next w:val="116"/>
    <w:autoRedefine/>
    <w:qFormat/>
    <w:uiPriority w:val="0"/>
    <w:pPr>
      <w:keepNext/>
      <w:keepLines/>
      <w:numPr>
        <w:ilvl w:val="1"/>
        <w:numId w:val="3"/>
      </w:numPr>
      <w:spacing w:before="260" w:after="260" w:line="415" w:lineRule="auto"/>
      <w:outlineLvl w:val="1"/>
    </w:pPr>
    <w:rPr>
      <w:b/>
      <w:bCs/>
      <w:sz w:val="32"/>
      <w:szCs w:val="32"/>
    </w:rPr>
  </w:style>
  <w:style w:type="paragraph" w:customStyle="1" w:styleId="116">
    <w:name w:val="章节标题3"/>
    <w:basedOn w:val="1"/>
    <w:autoRedefine/>
    <w:qFormat/>
    <w:uiPriority w:val="0"/>
    <w:pPr>
      <w:keepNext/>
      <w:keepLines/>
      <w:numPr>
        <w:ilvl w:val="2"/>
        <w:numId w:val="3"/>
      </w:numPr>
      <w:spacing w:before="260" w:after="260" w:line="415" w:lineRule="auto"/>
      <w:outlineLvl w:val="2"/>
    </w:pPr>
    <w:rPr>
      <w:b/>
      <w:bCs/>
      <w:sz w:val="30"/>
      <w:szCs w:val="32"/>
    </w:rPr>
  </w:style>
  <w:style w:type="paragraph" w:customStyle="1" w:styleId="117">
    <w:name w:val="xl111"/>
    <w:basedOn w:val="1"/>
    <w:autoRedefine/>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18">
    <w:name w:val="样式 列表编号 + 段后: 0.5 行"/>
    <w:basedOn w:val="18"/>
    <w:autoRedefine/>
    <w:qFormat/>
    <w:uiPriority w:val="99"/>
    <w:pPr>
      <w:tabs>
        <w:tab w:val="left" w:pos="720"/>
      </w:tabs>
      <w:ind w:left="720"/>
    </w:pPr>
  </w:style>
  <w:style w:type="paragraph" w:customStyle="1" w:styleId="119">
    <w:name w:val="xl81"/>
    <w:basedOn w:val="1"/>
    <w:autoRedefine/>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20">
    <w:name w:val="封面"/>
    <w:basedOn w:val="1"/>
    <w:autoRedefine/>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1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xl106"/>
    <w:basedOn w:val="1"/>
    <w:autoRedefine/>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12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24">
    <w:name w:val=" Char2"/>
    <w:basedOn w:val="1"/>
    <w:autoRedefine/>
    <w:qFormat/>
    <w:uiPriority w:val="0"/>
    <w:rPr>
      <w:rFonts w:ascii="仿宋_GB2312" w:eastAsia="仿宋_GB2312"/>
      <w:b/>
      <w:sz w:val="32"/>
    </w:rPr>
  </w:style>
  <w:style w:type="paragraph" w:customStyle="1" w:styleId="125">
    <w:name w:val="xl100"/>
    <w:basedOn w:val="1"/>
    <w:autoRedefine/>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126">
    <w:name w:val="列出段落1"/>
    <w:basedOn w:val="1"/>
    <w:autoRedefine/>
    <w:qFormat/>
    <w:uiPriority w:val="0"/>
    <w:pPr>
      <w:ind w:firstLine="420" w:firstLineChars="200"/>
    </w:pPr>
    <w:rPr>
      <w:rFonts w:ascii="Calibri" w:hAnsi="Calibri"/>
      <w:sz w:val="21"/>
      <w:szCs w:val="22"/>
    </w:rPr>
  </w:style>
  <w:style w:type="paragraph" w:customStyle="1" w:styleId="12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28">
    <w:name w:val="表格"/>
    <w:basedOn w:val="1"/>
    <w:autoRedefine/>
    <w:qFormat/>
    <w:uiPriority w:val="0"/>
    <w:pPr>
      <w:jc w:val="left"/>
    </w:pPr>
    <w:rPr>
      <w:sz w:val="18"/>
    </w:rPr>
  </w:style>
  <w:style w:type="paragraph" w:customStyle="1" w:styleId="129">
    <w:name w:val="彩色列表 - 强调文字颜色 11"/>
    <w:basedOn w:val="1"/>
    <w:autoRedefine/>
    <w:qFormat/>
    <w:uiPriority w:val="0"/>
    <w:pPr>
      <w:ind w:firstLine="200" w:firstLineChars="200"/>
    </w:pPr>
    <w:rPr>
      <w:sz w:val="21"/>
      <w:szCs w:val="24"/>
    </w:rPr>
  </w:style>
  <w:style w:type="paragraph" w:customStyle="1" w:styleId="130">
    <w:name w:val="Unknown Style"/>
    <w:basedOn w:val="1"/>
    <w:next w:val="1"/>
    <w:autoRedefine/>
    <w:qFormat/>
    <w:uiPriority w:val="0"/>
    <w:pPr>
      <w:widowControl/>
    </w:pPr>
    <w:rPr>
      <w:color w:val="000000"/>
      <w:sz w:val="21"/>
    </w:rPr>
  </w:style>
  <w:style w:type="paragraph" w:customStyle="1" w:styleId="131">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132">
    <w:name w:val="项目2"/>
    <w:basedOn w:val="1"/>
    <w:autoRedefine/>
    <w:qFormat/>
    <w:uiPriority w:val="0"/>
    <w:pPr>
      <w:tabs>
        <w:tab w:val="left" w:pos="840"/>
      </w:tabs>
      <w:spacing w:line="360" w:lineRule="auto"/>
      <w:ind w:left="840" w:hanging="420"/>
    </w:pPr>
  </w:style>
  <w:style w:type="paragraph" w:customStyle="1" w:styleId="133">
    <w:name w:val="前言、引言标题"/>
    <w:next w:val="1"/>
    <w:autoRedefine/>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_Style 129"/>
    <w:autoRedefine/>
    <w:semiHidden/>
    <w:qFormat/>
    <w:uiPriority w:val="99"/>
    <w:rPr>
      <w:rFonts w:ascii="Times New Roman" w:hAnsi="Times New Roman" w:eastAsia="宋体" w:cs="Times New Roman"/>
      <w:kern w:val="2"/>
      <w:sz w:val="24"/>
      <w:lang w:val="en-US" w:eastAsia="zh-CN" w:bidi="ar-SA"/>
    </w:rPr>
  </w:style>
  <w:style w:type="paragraph" w:customStyle="1" w:styleId="135">
    <w:name w:val="样式 标题 2"/>
    <w:basedOn w:val="2"/>
    <w:next w:val="1"/>
    <w:autoRedefine/>
    <w:qFormat/>
    <w:uiPriority w:val="0"/>
    <w:pPr>
      <w:keepLines w:val="0"/>
      <w:tabs>
        <w:tab w:val="clear" w:pos="358"/>
      </w:tabs>
      <w:spacing w:before="0" w:beforeLines="0" w:after="156" w:afterLines="50" w:line="480" w:lineRule="auto"/>
      <w:ind w:left="0" w:firstLine="0"/>
    </w:pPr>
    <w:rPr>
      <w:rFonts w:ascii="仿宋_GB2312" w:hAnsi="仿宋_GB2312" w:eastAsia="仿宋_GB2312" w:cs="Arial"/>
      <w:szCs w:val="24"/>
      <w:lang w:val="en-US" w:eastAsia="zh-CN"/>
    </w:rPr>
  </w:style>
  <w:style w:type="paragraph" w:customStyle="1" w:styleId="136">
    <w:name w:val="xl90"/>
    <w:basedOn w:val="1"/>
    <w:autoRedefine/>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137">
    <w:name w:val="xl83"/>
    <w:basedOn w:val="1"/>
    <w:autoRedefine/>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138">
    <w:name w:val=" Char Char Char Char Char Char Char Char Char Char Char Char Char Char Char Char Char Char"/>
    <w:basedOn w:val="1"/>
    <w:autoRedefine/>
    <w:qFormat/>
    <w:uiPriority w:val="0"/>
    <w:pPr>
      <w:spacing w:before="156" w:beforeLines="50" w:after="312" w:afterLines="100" w:line="480" w:lineRule="exact"/>
      <w:jc w:val="center"/>
    </w:pPr>
    <w:rPr>
      <w:color w:val="000000"/>
      <w:sz w:val="28"/>
      <w:szCs w:val="52"/>
    </w:rPr>
  </w:style>
  <w:style w:type="paragraph" w:customStyle="1" w:styleId="139">
    <w:name w:val="列表项目符号 21"/>
    <w:basedOn w:val="1"/>
    <w:next w:val="1"/>
    <w:autoRedefine/>
    <w:qFormat/>
    <w:uiPriority w:val="0"/>
    <w:pPr>
      <w:widowControl/>
      <w:tabs>
        <w:tab w:val="left" w:pos="420"/>
      </w:tabs>
      <w:ind w:left="420" w:hanging="420"/>
    </w:pPr>
    <w:rPr>
      <w:color w:val="000000"/>
      <w:sz w:val="21"/>
    </w:rPr>
  </w:style>
  <w:style w:type="paragraph" w:customStyle="1" w:styleId="140">
    <w:name w:val="xl30"/>
    <w:basedOn w:val="1"/>
    <w:autoRedefine/>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b/>
      <w:color w:val="000000"/>
      <w:kern w:val="0"/>
      <w:sz w:val="20"/>
    </w:rPr>
  </w:style>
  <w:style w:type="paragraph" w:customStyle="1" w:styleId="14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42">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43">
    <w:name w:val="标准小四"/>
    <w:basedOn w:val="1"/>
    <w:autoRedefine/>
    <w:qFormat/>
    <w:uiPriority w:val="0"/>
    <w:pPr>
      <w:spacing w:line="360" w:lineRule="auto"/>
      <w:ind w:firstLine="480" w:firstLineChars="200"/>
    </w:pPr>
    <w:rPr>
      <w:rFonts w:ascii="Arial" w:hAnsi="Arial"/>
      <w:szCs w:val="21"/>
    </w:rPr>
  </w:style>
  <w:style w:type="paragraph" w:customStyle="1" w:styleId="144">
    <w:name w:val="章节标题4"/>
    <w:basedOn w:val="1"/>
    <w:autoRedefine/>
    <w:qFormat/>
    <w:uiPriority w:val="0"/>
    <w:pPr>
      <w:keepNext/>
      <w:keepLines/>
      <w:numPr>
        <w:ilvl w:val="3"/>
        <w:numId w:val="3"/>
      </w:numPr>
      <w:spacing w:before="280" w:after="290" w:line="377" w:lineRule="auto"/>
      <w:outlineLvl w:val="3"/>
    </w:pPr>
    <w:rPr>
      <w:b/>
      <w:bCs/>
      <w:sz w:val="28"/>
      <w:szCs w:val="28"/>
    </w:rPr>
  </w:style>
  <w:style w:type="paragraph" w:customStyle="1" w:styleId="145">
    <w:name w:val="文章标题 2"/>
    <w:basedOn w:val="2"/>
    <w:next w:val="1"/>
    <w:autoRedefine/>
    <w:qFormat/>
    <w:uiPriority w:val="0"/>
    <w:pPr>
      <w:numPr>
        <w:ilvl w:val="0"/>
        <w:numId w:val="0"/>
      </w:numPr>
      <w:spacing w:before="260" w:beforeLines="0" w:beforeAutospacing="0" w:after="260" w:afterLines="0" w:afterAutospacing="0" w:line="413" w:lineRule="auto"/>
    </w:pPr>
    <w:rPr>
      <w:rFonts w:ascii="黑体" w:hAnsi="Arial" w:eastAsia="黑体"/>
      <w:b w:val="0"/>
    </w:rPr>
  </w:style>
  <w:style w:type="paragraph" w:customStyle="1" w:styleId="146">
    <w:name w:val="xl70"/>
    <w:basedOn w:val="1"/>
    <w:autoRedefine/>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47">
    <w:name w:val="样式2"/>
    <w:basedOn w:val="3"/>
    <w:link w:val="445"/>
    <w:autoRedefine/>
    <w:qFormat/>
    <w:uiPriority w:val="0"/>
    <w:pPr>
      <w:keepNext/>
      <w:keepLines/>
      <w:pageBreakBefore w:val="0"/>
      <w:widowControl w:val="0"/>
      <w:tabs>
        <w:tab w:val="left" w:pos="1130"/>
        <w:tab w:val="clear" w:pos="478"/>
      </w:tabs>
      <w:autoSpaceDE/>
      <w:autoSpaceDN/>
      <w:spacing w:before="340" w:after="330" w:line="578" w:lineRule="auto"/>
      <w:ind w:left="1130" w:hanging="420"/>
      <w:jc w:val="both"/>
    </w:pPr>
    <w:rPr>
      <w:rFonts w:ascii="黑体" w:eastAsia="黑体"/>
      <w:b/>
      <w:bCs/>
      <w:color w:val="auto"/>
      <w:kern w:val="44"/>
      <w:sz w:val="32"/>
      <w:szCs w:val="32"/>
    </w:rPr>
  </w:style>
  <w:style w:type="paragraph" w:customStyle="1" w:styleId="148">
    <w:name w:val="flType"/>
    <w:basedOn w:val="1"/>
    <w:autoRedefine/>
    <w:qFormat/>
    <w:uiPriority w:val="0"/>
    <w:pPr>
      <w:adjustRightInd w:val="0"/>
      <w:spacing w:before="560" w:beforeLines="0" w:after="120" w:afterLines="0" w:line="360" w:lineRule="auto"/>
      <w:jc w:val="center"/>
      <w:textAlignment w:val="baseline"/>
    </w:pPr>
    <w:rPr>
      <w:rFonts w:ascii="Arial" w:eastAsia="黑体"/>
      <w:kern w:val="0"/>
      <w:sz w:val="28"/>
    </w:rPr>
  </w:style>
  <w:style w:type="paragraph" w:customStyle="1" w:styleId="149">
    <w:name w:val="正文文本样式"/>
    <w:link w:val="524"/>
    <w:autoRedefine/>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50">
    <w:name w:val="xl33"/>
    <w:basedOn w:val="1"/>
    <w:autoRedefine/>
    <w:qFormat/>
    <w:uiPriority w:val="0"/>
    <w:pPr>
      <w:widowControl/>
      <w:spacing w:before="100" w:beforeLines="0" w:beforeAutospacing="1" w:after="100" w:afterLines="0" w:afterAutospacing="1"/>
      <w:jc w:val="left"/>
    </w:pPr>
    <w:rPr>
      <w:rFonts w:ascii="宋体" w:hAnsi="宋体"/>
      <w:kern w:val="0"/>
      <w:szCs w:val="24"/>
    </w:rPr>
  </w:style>
  <w:style w:type="paragraph" w:customStyle="1" w:styleId="151">
    <w:name w:val="标题4——4"/>
    <w:basedOn w:val="5"/>
    <w:next w:val="1"/>
    <w:autoRedefine/>
    <w:qFormat/>
    <w:uiPriority w:val="0"/>
    <w:pPr>
      <w:tabs>
        <w:tab w:val="clear" w:pos="1198"/>
      </w:tabs>
      <w:spacing w:beforeLines="50"/>
      <w:ind w:left="0" w:right="2" w:firstLine="0"/>
    </w:pPr>
    <w:rPr>
      <w:rFonts w:ascii="Arial" w:hAnsi="Arial" w:eastAsia="楷体_GB2312"/>
      <w:szCs w:val="30"/>
      <w:lang w:val="en-US" w:eastAsia="zh-CN"/>
    </w:rPr>
  </w:style>
  <w:style w:type="paragraph" w:customStyle="1" w:styleId="152">
    <w:name w:val="标题6"/>
    <w:basedOn w:val="1"/>
    <w:next w:val="3"/>
    <w:autoRedefine/>
    <w:qFormat/>
    <w:uiPriority w:val="0"/>
    <w:pPr>
      <w:widowControl/>
      <w:snapToGrid w:val="0"/>
      <w:spacing w:before="156" w:beforeLines="50" w:beforeAutospacing="0" w:after="156" w:afterLines="50" w:afterAutospacing="0" w:line="520" w:lineRule="atLeast"/>
      <w:ind w:firstLine="200" w:firstLineChars="200"/>
    </w:pPr>
  </w:style>
  <w:style w:type="paragraph" w:customStyle="1" w:styleId="153">
    <w:name w:val="xl24"/>
    <w:basedOn w:val="1"/>
    <w:autoRedefine/>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b/>
      <w:color w:val="000000"/>
      <w:kern w:val="0"/>
      <w:sz w:val="20"/>
    </w:rPr>
  </w:style>
  <w:style w:type="paragraph" w:customStyle="1" w:styleId="154">
    <w:name w:val="此正文"/>
    <w:basedOn w:val="1"/>
    <w:next w:val="1"/>
    <w:autoRedefine/>
    <w:qFormat/>
    <w:uiPriority w:val="0"/>
    <w:pPr>
      <w:widowControl/>
      <w:spacing w:line="360" w:lineRule="auto"/>
      <w:ind w:firstLine="480"/>
    </w:pPr>
    <w:rPr>
      <w:color w:val="000000"/>
    </w:rPr>
  </w:style>
  <w:style w:type="paragraph" w:customStyle="1" w:styleId="155">
    <w:name w:val="样式 正文文本缩进 2 + Century Gothic 四号 行距: 多倍行距 1.75 字行"/>
    <w:basedOn w:val="1"/>
    <w:autoRedefine/>
    <w:qFormat/>
    <w:uiPriority w:val="0"/>
    <w:pPr>
      <w:adjustRightInd w:val="0"/>
      <w:snapToGrid w:val="0"/>
      <w:spacing w:line="396" w:lineRule="auto"/>
      <w:ind w:firstLine="207" w:firstLineChars="207"/>
    </w:pPr>
    <w:rPr>
      <w:rFonts w:ascii="Century Gothic"/>
      <w:sz w:val="28"/>
    </w:rPr>
  </w:style>
  <w:style w:type="paragraph" w:customStyle="1" w:styleId="156">
    <w:name w:val="标题 2-2"/>
    <w:basedOn w:val="2"/>
    <w:autoRedefine/>
    <w:qFormat/>
    <w:uiPriority w:val="0"/>
    <w:pPr>
      <w:snapToGrid w:val="0"/>
      <w:spacing w:after="156" w:afterLines="50" w:line="360" w:lineRule="auto"/>
    </w:pPr>
    <w:rPr>
      <w:rFonts w:ascii="仿宋_GB2312" w:hAnsi="Times New Roman" w:eastAsia="仿宋_GB2312" w:cs="宋体"/>
      <w:i/>
      <w:lang w:eastAsia="zh-CN"/>
    </w:rPr>
  </w:style>
  <w:style w:type="paragraph" w:customStyle="1" w:styleId="157">
    <w:name w:val="font5"/>
    <w:basedOn w:val="1"/>
    <w:autoRedefine/>
    <w:qFormat/>
    <w:uiPriority w:val="0"/>
    <w:pPr>
      <w:widowControl/>
      <w:adjustRightInd w:val="0"/>
      <w:spacing w:before="100" w:beforeLines="0" w:after="100" w:afterLines="0"/>
      <w:jc w:val="left"/>
      <w:textAlignment w:val="baseline"/>
    </w:pPr>
    <w:rPr>
      <w:rFonts w:ascii="宋体" w:hAnsi="宋体"/>
      <w:color w:val="000000"/>
      <w:kern w:val="0"/>
      <w:sz w:val="21"/>
    </w:rPr>
  </w:style>
  <w:style w:type="paragraph" w:customStyle="1" w:styleId="158">
    <w:name w:val="IBM 正文"/>
    <w:basedOn w:val="1"/>
    <w:autoRedefine/>
    <w:qFormat/>
    <w:uiPriority w:val="0"/>
    <w:pPr>
      <w:spacing w:line="400" w:lineRule="exact"/>
    </w:pPr>
    <w:rPr>
      <w:spacing w:val="20"/>
    </w:rPr>
  </w:style>
  <w:style w:type="paragraph" w:customStyle="1" w:styleId="159">
    <w:name w:val="xl80"/>
    <w:basedOn w:val="1"/>
    <w:autoRedefine/>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60">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1">
    <w:name w:val="xl78"/>
    <w:basedOn w:val="1"/>
    <w:autoRedefine/>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162">
    <w:name w:val="标准正文"/>
    <w:basedOn w:val="1"/>
    <w:next w:val="1"/>
    <w:autoRedefine/>
    <w:qFormat/>
    <w:uiPriority w:val="0"/>
    <w:pPr>
      <w:widowControl/>
      <w:spacing w:after="50" w:afterLines="0" w:afterAutospacing="0"/>
      <w:ind w:firstLine="200"/>
    </w:pPr>
    <w:rPr>
      <w:color w:val="000000"/>
    </w:rPr>
  </w:style>
  <w:style w:type="paragraph" w:customStyle="1" w:styleId="163">
    <w:name w:val="超链接1"/>
    <w:basedOn w:val="1"/>
    <w:next w:val="1"/>
    <w:autoRedefine/>
    <w:qFormat/>
    <w:uiPriority w:val="0"/>
    <w:pPr>
      <w:widowControl/>
    </w:pPr>
    <w:rPr>
      <w:color w:val="0000FF"/>
      <w:sz w:val="21"/>
      <w:u w:val="single" w:color="000000"/>
    </w:rPr>
  </w:style>
  <w:style w:type="paragraph" w:customStyle="1" w:styleId="164">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5">
    <w:name w:val="font23"/>
    <w:basedOn w:val="1"/>
    <w:autoRedefine/>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66">
    <w:name w:val="正文11"/>
    <w:basedOn w:val="1"/>
    <w:autoRedefine/>
    <w:qFormat/>
    <w:uiPriority w:val="0"/>
    <w:pPr>
      <w:adjustRightInd w:val="0"/>
      <w:spacing w:before="80" w:after="80" w:line="312" w:lineRule="atLeast"/>
      <w:ind w:firstLine="425"/>
    </w:pPr>
    <w:rPr>
      <w:kern w:val="0"/>
      <w:sz w:val="21"/>
    </w:rPr>
  </w:style>
  <w:style w:type="paragraph" w:customStyle="1" w:styleId="167">
    <w:name w:val="默认段落字体 Para Char Char Char Char Char Char Char Char Char1 Char Char Char Char"/>
    <w:basedOn w:val="1"/>
    <w:autoRedefine/>
    <w:qFormat/>
    <w:uiPriority w:val="0"/>
    <w:rPr>
      <w:rFonts w:ascii="Tahoma" w:hAnsi="Tahoma"/>
    </w:rPr>
  </w:style>
  <w:style w:type="paragraph" w:customStyle="1" w:styleId="168">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69">
    <w:name w:val="普通表格2"/>
    <w:basedOn w:val="1"/>
    <w:next w:val="1"/>
    <w:autoRedefine/>
    <w:qFormat/>
    <w:uiPriority w:val="0"/>
    <w:pPr>
      <w:widowControl/>
      <w:jc w:val="left"/>
    </w:pPr>
    <w:rPr>
      <w:color w:val="000000"/>
      <w:kern w:val="0"/>
    </w:rPr>
  </w:style>
  <w:style w:type="paragraph" w:customStyle="1" w:styleId="170">
    <w:name w:val="章节标题5"/>
    <w:basedOn w:val="1"/>
    <w:autoRedefine/>
    <w:qFormat/>
    <w:uiPriority w:val="0"/>
    <w:pPr>
      <w:keepNext/>
      <w:keepLines/>
      <w:numPr>
        <w:ilvl w:val="4"/>
        <w:numId w:val="3"/>
      </w:numPr>
      <w:spacing w:before="50" w:beforeLines="50" w:after="50" w:afterLines="50" w:line="377" w:lineRule="auto"/>
      <w:outlineLvl w:val="4"/>
    </w:pPr>
    <w:rPr>
      <w:b/>
      <w:bCs/>
      <w:szCs w:val="24"/>
    </w:rPr>
  </w:style>
  <w:style w:type="paragraph" w:customStyle="1" w:styleId="171">
    <w:name w:val="WPSOffice手动目录 1"/>
    <w:autoRedefine/>
    <w:qFormat/>
    <w:uiPriority w:val="0"/>
    <w:rPr>
      <w:rFonts w:ascii="Times New Roman" w:hAnsi="Times New Roman" w:eastAsia="宋体" w:cs="Times New Roman"/>
      <w:lang w:val="en-US" w:eastAsia="zh-CN" w:bidi="ar-SA"/>
    </w:rPr>
  </w:style>
  <w:style w:type="paragraph" w:customStyle="1" w:styleId="172">
    <w:name w:val="xl4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173">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74">
    <w:name w:val="font18"/>
    <w:basedOn w:val="1"/>
    <w:autoRedefine/>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75">
    <w:name w:val="文字缩进 2"/>
    <w:basedOn w:val="31"/>
    <w:autoRedefine/>
    <w:qFormat/>
    <w:uiPriority w:val="0"/>
    <w:pPr>
      <w:autoSpaceDE/>
      <w:autoSpaceDN/>
      <w:spacing w:before="100" w:beforeLines="0" w:beforeAutospacing="1" w:after="100" w:afterLines="0" w:afterAutospacing="1" w:line="400" w:lineRule="atLeast"/>
      <w:ind w:left="851"/>
      <w:jc w:val="both"/>
      <w:textAlignment w:val="baseline"/>
    </w:pPr>
    <w:rPr>
      <w:rFonts w:ascii="Times New Roman"/>
      <w:color w:val="auto"/>
    </w:rPr>
  </w:style>
  <w:style w:type="paragraph" w:customStyle="1" w:styleId="176">
    <w:name w:val="小标题"/>
    <w:basedOn w:val="1"/>
    <w:next w:val="1"/>
    <w:autoRedefine/>
    <w:qFormat/>
    <w:uiPriority w:val="0"/>
    <w:pPr>
      <w:spacing w:line="360" w:lineRule="auto"/>
      <w:ind w:firstLine="200" w:firstLineChars="200"/>
      <w:jc w:val="left"/>
    </w:pPr>
    <w:rPr>
      <w:rFonts w:ascii="宋体" w:hAnsi="宋体"/>
      <w:b/>
      <w:bCs/>
      <w:sz w:val="21"/>
      <w:szCs w:val="24"/>
    </w:rPr>
  </w:style>
  <w:style w:type="paragraph" w:customStyle="1" w:styleId="177">
    <w:name w:val="图号"/>
    <w:basedOn w:val="1"/>
    <w:autoRedefine/>
    <w:qFormat/>
    <w:uiPriority w:val="0"/>
    <w:pPr>
      <w:widowControl/>
      <w:overflowPunct w:val="0"/>
      <w:autoSpaceDE w:val="0"/>
      <w:autoSpaceDN w:val="0"/>
      <w:adjustRightInd w:val="0"/>
      <w:snapToGrid w:val="0"/>
      <w:jc w:val="right"/>
    </w:pPr>
    <w:rPr>
      <w:rFonts w:hint="eastAsia" w:ascii="宋体"/>
      <w:kern w:val="0"/>
      <w:sz w:val="21"/>
    </w:rPr>
  </w:style>
  <w:style w:type="paragraph" w:customStyle="1" w:styleId="178">
    <w:name w:val="表格1"/>
    <w:basedOn w:val="1"/>
    <w:autoRedefine/>
    <w:qFormat/>
    <w:uiPriority w:val="0"/>
    <w:pPr>
      <w:widowControl/>
      <w:topLinePunct/>
      <w:spacing w:line="360" w:lineRule="auto"/>
    </w:pPr>
    <w:rPr>
      <w:rFonts w:ascii="楷体_GB2312" w:eastAsia="楷体_GB2312"/>
      <w:kern w:val="0"/>
      <w:sz w:val="21"/>
      <w:szCs w:val="21"/>
    </w:rPr>
  </w:style>
  <w:style w:type="paragraph" w:customStyle="1" w:styleId="179">
    <w:name w:val="GP正文(无首行缩进)"/>
    <w:autoRedefine/>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180">
    <w:name w:val="投标文件3"/>
    <w:basedOn w:val="1"/>
    <w:autoRedefine/>
    <w:qFormat/>
    <w:uiPriority w:val="0"/>
    <w:pPr>
      <w:widowControl/>
      <w:spacing w:line="360" w:lineRule="auto"/>
    </w:pPr>
    <w:rPr>
      <w:rFonts w:ascii="宋体" w:hAnsi="Courier New" w:eastAsia="黑体"/>
      <w:b/>
      <w:sz w:val="30"/>
    </w:rPr>
  </w:style>
  <w:style w:type="paragraph" w:customStyle="1" w:styleId="181">
    <w:name w:val="Char Char Char Char Char Char Char Char Char Char"/>
    <w:basedOn w:val="24"/>
    <w:autoRedefine/>
    <w:qFormat/>
    <w:uiPriority w:val="0"/>
    <w:rPr>
      <w:rFonts w:ascii="Tahoma" w:hAnsi="Tahoma"/>
    </w:rPr>
  </w:style>
  <w:style w:type="paragraph" w:customStyle="1" w:styleId="182">
    <w:name w:val="xl112"/>
    <w:basedOn w:val="1"/>
    <w:autoRedefine/>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83">
    <w:name w:val="xl99"/>
    <w:basedOn w:val="1"/>
    <w:autoRedefine/>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184">
    <w:name w:val="_Style 179"/>
    <w:basedOn w:val="3"/>
    <w:next w:val="1"/>
    <w:autoRedefine/>
    <w:qFormat/>
    <w:uiPriority w:val="0"/>
    <w:pPr>
      <w:keepNext/>
      <w:keepLines/>
      <w:pageBreakBefore w:val="0"/>
      <w:tabs>
        <w:tab w:val="clear" w:pos="478"/>
      </w:tabs>
      <w:autoSpaceDE/>
      <w:autoSpaceDN/>
      <w:spacing w:before="480" w:beforeLines="0" w:after="0" w:afterLines="0" w:line="276" w:lineRule="auto"/>
      <w:ind w:left="0" w:firstLine="0"/>
      <w:jc w:val="left"/>
      <w:outlineLvl w:val="9"/>
    </w:pPr>
    <w:rPr>
      <w:rFonts w:ascii="Cambria" w:hAnsi="Cambria"/>
      <w:b/>
      <w:bCs/>
      <w:color w:val="365F91"/>
      <w:sz w:val="28"/>
      <w:szCs w:val="28"/>
      <w:lang w:val="en-US" w:eastAsia="zh-CN"/>
    </w:rPr>
  </w:style>
  <w:style w:type="paragraph" w:customStyle="1" w:styleId="185">
    <w:name w:val="样式 仿宋_GB2312 四号 黑色 行距: 1.5 倍行距"/>
    <w:basedOn w:val="1"/>
    <w:autoRedefine/>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186">
    <w:name w:val="2 Char Char Char Char Char Char Char"/>
    <w:basedOn w:val="1"/>
    <w:autoRedefine/>
    <w:qFormat/>
    <w:uiPriority w:val="0"/>
    <w:rPr>
      <w:rFonts w:ascii="Tahoma" w:hAnsi="Tahoma"/>
    </w:rPr>
  </w:style>
  <w:style w:type="paragraph" w:customStyle="1" w:styleId="187">
    <w:name w:val="--规划正文"/>
    <w:basedOn w:val="1"/>
    <w:autoRedefine/>
    <w:qFormat/>
    <w:uiPriority w:val="0"/>
    <w:pPr>
      <w:spacing w:line="360" w:lineRule="auto"/>
      <w:ind w:firstLine="200" w:firstLineChars="200"/>
    </w:pPr>
    <w:rPr>
      <w:sz w:val="21"/>
      <w:szCs w:val="20"/>
    </w:rPr>
  </w:style>
  <w:style w:type="paragraph" w:customStyle="1" w:styleId="188">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方点"/>
    <w:basedOn w:val="1"/>
    <w:autoRedefine/>
    <w:qFormat/>
    <w:uiPriority w:val="0"/>
    <w:pPr>
      <w:spacing w:before="156" w:beforeLines="50"/>
    </w:pPr>
    <w:rPr>
      <w:b/>
      <w:bCs/>
    </w:rPr>
  </w:style>
  <w:style w:type="paragraph" w:customStyle="1" w:styleId="190">
    <w:name w:val="xl91"/>
    <w:basedOn w:val="1"/>
    <w:autoRedefine/>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191">
    <w:name w:val="抬头"/>
    <w:basedOn w:val="1"/>
    <w:autoRedefine/>
    <w:qFormat/>
    <w:uiPriority w:val="0"/>
    <w:pPr>
      <w:widowControl/>
      <w:topLinePunct/>
      <w:ind w:firstLine="600" w:firstLineChars="200"/>
      <w:jc w:val="center"/>
    </w:pPr>
    <w:rPr>
      <w:kern w:val="0"/>
      <w:sz w:val="30"/>
      <w:szCs w:val="30"/>
    </w:rPr>
  </w:style>
  <w:style w:type="paragraph" w:customStyle="1" w:styleId="192">
    <w:name w:val="desp"/>
    <w:basedOn w:val="1"/>
    <w:autoRedefine/>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193">
    <w:name w:val="默认段落字体 Para Char Char Char Char"/>
    <w:basedOn w:val="1"/>
    <w:autoRedefine/>
    <w:qFormat/>
    <w:uiPriority w:val="0"/>
    <w:pPr>
      <w:spacing w:line="240" w:lineRule="atLeast"/>
      <w:ind w:left="420" w:firstLine="420"/>
    </w:pPr>
    <w:rPr>
      <w:kern w:val="0"/>
      <w:sz w:val="21"/>
      <w:szCs w:val="21"/>
    </w:rPr>
  </w:style>
  <w:style w:type="paragraph" w:customStyle="1" w:styleId="194">
    <w:name w:val="五级条标题"/>
    <w:basedOn w:val="195"/>
    <w:next w:val="121"/>
    <w:autoRedefine/>
    <w:qFormat/>
    <w:uiPriority w:val="0"/>
    <w:pPr>
      <w:numPr>
        <w:ilvl w:val="6"/>
        <w:numId w:val="7"/>
      </w:numPr>
      <w:outlineLvl w:val="6"/>
    </w:pPr>
  </w:style>
  <w:style w:type="paragraph" w:customStyle="1" w:styleId="195">
    <w:name w:val="四级条标题"/>
    <w:basedOn w:val="196"/>
    <w:next w:val="121"/>
    <w:autoRedefine/>
    <w:qFormat/>
    <w:uiPriority w:val="0"/>
    <w:pPr>
      <w:numPr>
        <w:ilvl w:val="5"/>
        <w:numId w:val="7"/>
      </w:numPr>
      <w:outlineLvl w:val="5"/>
    </w:pPr>
  </w:style>
  <w:style w:type="paragraph" w:customStyle="1" w:styleId="196">
    <w:name w:val="三级条标题"/>
    <w:basedOn w:val="197"/>
    <w:next w:val="121"/>
    <w:autoRedefine/>
    <w:qFormat/>
    <w:uiPriority w:val="0"/>
    <w:pPr>
      <w:numPr>
        <w:ilvl w:val="4"/>
        <w:numId w:val="7"/>
      </w:numPr>
      <w:outlineLvl w:val="4"/>
    </w:pPr>
  </w:style>
  <w:style w:type="paragraph" w:customStyle="1" w:styleId="197">
    <w:name w:val="二级条标题"/>
    <w:basedOn w:val="198"/>
    <w:next w:val="121"/>
    <w:autoRedefine/>
    <w:qFormat/>
    <w:uiPriority w:val="0"/>
    <w:pPr>
      <w:numPr>
        <w:ilvl w:val="3"/>
        <w:numId w:val="7"/>
      </w:numPr>
      <w:outlineLvl w:val="3"/>
    </w:pPr>
  </w:style>
  <w:style w:type="paragraph" w:customStyle="1" w:styleId="198">
    <w:name w:val="一级条标题"/>
    <w:next w:val="121"/>
    <w:autoRedefine/>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199">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00">
    <w:name w:val="标题3定义"/>
    <w:basedOn w:val="1"/>
    <w:qFormat/>
    <w:uiPriority w:val="0"/>
    <w:pPr>
      <w:tabs>
        <w:tab w:val="left" w:pos="360"/>
      </w:tabs>
      <w:ind w:left="360" w:hanging="360"/>
    </w:pPr>
    <w:rPr>
      <w:rFonts w:ascii="Calibri" w:hAnsi="Calibri"/>
      <w:sz w:val="21"/>
      <w:szCs w:val="22"/>
    </w:rPr>
  </w:style>
  <w:style w:type="paragraph" w:customStyle="1" w:styleId="201">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202">
    <w:name w:val="样式 标题 2 + 宋体 小四 段前: 5 磅 段后: 5 磅 行距: 单倍行距"/>
    <w:basedOn w:val="2"/>
    <w:qFormat/>
    <w:uiPriority w:val="0"/>
    <w:pPr>
      <w:tabs>
        <w:tab w:val="left" w:pos="720"/>
        <w:tab w:val="clear" w:pos="358"/>
      </w:tabs>
      <w:adjustRightInd w:val="0"/>
      <w:spacing w:before="100" w:beforeLines="0" w:beforeAutospacing="1" w:after="100" w:afterLines="0" w:afterAutospacing="1" w:line="240" w:lineRule="auto"/>
      <w:ind w:left="0" w:firstLine="0"/>
      <w:jc w:val="left"/>
      <w:textAlignment w:val="baseline"/>
    </w:pPr>
    <w:rPr>
      <w:rFonts w:ascii="宋体" w:hAnsi="宋体"/>
      <w:b w:val="0"/>
      <w:kern w:val="0"/>
      <w:sz w:val="28"/>
    </w:rPr>
  </w:style>
  <w:style w:type="paragraph" w:customStyle="1" w:styleId="203">
    <w:name w:val="Body Text 2"/>
    <w:basedOn w:val="1"/>
    <w:qFormat/>
    <w:uiPriority w:val="0"/>
    <w:pPr>
      <w:adjustRightInd w:val="0"/>
      <w:spacing w:line="300" w:lineRule="auto"/>
      <w:jc w:val="center"/>
    </w:pPr>
    <w:rPr>
      <w:rFonts w:hint="eastAsia" w:ascii="宋体" w:hAnsi="宋体"/>
    </w:rPr>
  </w:style>
  <w:style w:type="paragraph" w:customStyle="1" w:styleId="204">
    <w:name w:val="List Paragraph2"/>
    <w:basedOn w:val="1"/>
    <w:qFormat/>
    <w:uiPriority w:val="0"/>
    <w:pPr>
      <w:ind w:firstLine="420" w:firstLineChars="200"/>
    </w:pPr>
    <w:rPr>
      <w:rFonts w:ascii="Calibri" w:hAnsi="Calibri"/>
      <w:sz w:val="21"/>
      <w:szCs w:val="22"/>
    </w:rPr>
  </w:style>
  <w:style w:type="paragraph" w:customStyle="1" w:styleId="205">
    <w:name w:val="xl109"/>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206">
    <w:name w:val="xl79"/>
    <w:basedOn w:val="1"/>
    <w:autoRedefine/>
    <w:qFormat/>
    <w:uiPriority w:val="0"/>
    <w:pPr>
      <w:widowControl/>
      <w:shd w:val="clear" w:color="auto" w:fill="CCFFCC"/>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07">
    <w:name w:val="xl108"/>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208">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209">
    <w:name w:val="章标题"/>
    <w:next w:val="121"/>
    <w:qFormat/>
    <w:uiPriority w:val="0"/>
    <w:pPr>
      <w:numPr>
        <w:ilvl w:val="1"/>
        <w:numId w:val="7"/>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10">
    <w:name w:val="正文文字缩进3"/>
    <w:basedOn w:val="31"/>
    <w:qFormat/>
    <w:uiPriority w:val="0"/>
    <w:pPr>
      <w:autoSpaceDE/>
      <w:autoSpaceDN/>
      <w:spacing w:before="100" w:beforeLines="0" w:beforeAutospacing="1" w:after="100" w:afterLines="0" w:afterAutospacing="1" w:line="400" w:lineRule="atLeast"/>
      <w:ind w:left="600" w:leftChars="600"/>
      <w:jc w:val="both"/>
      <w:textAlignment w:val="baseline"/>
    </w:pPr>
    <w:rPr>
      <w:rFonts w:ascii="Times New Roman"/>
      <w:color w:val="auto"/>
    </w:rPr>
  </w:style>
  <w:style w:type="paragraph" w:customStyle="1" w:styleId="211">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21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213">
    <w:name w:val="样式1"/>
    <w:basedOn w:val="1"/>
    <w:link w:val="508"/>
    <w:qFormat/>
    <w:uiPriority w:val="0"/>
    <w:pPr>
      <w:jc w:val="center"/>
    </w:pPr>
    <w:rPr>
      <w:rFonts w:ascii="宋体" w:hAnsi="宋体"/>
      <w:b/>
      <w:bCs/>
      <w:sz w:val="44"/>
      <w:szCs w:val="24"/>
    </w:rPr>
  </w:style>
  <w:style w:type="paragraph" w:customStyle="1" w:styleId="214">
    <w:name w:val="List2"/>
    <w:basedOn w:val="1"/>
    <w:qFormat/>
    <w:uiPriority w:val="0"/>
    <w:pPr>
      <w:tabs>
        <w:tab w:val="left" w:pos="643"/>
        <w:tab w:val="left" w:pos="840"/>
      </w:tabs>
      <w:spacing w:line="360" w:lineRule="auto"/>
      <w:ind w:left="643" w:hanging="420"/>
    </w:pPr>
  </w:style>
  <w:style w:type="paragraph" w:customStyle="1" w:styleId="2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16">
    <w:name w:val="正文两字缩进"/>
    <w:basedOn w:val="78"/>
    <w:qFormat/>
    <w:uiPriority w:val="0"/>
    <w:pPr>
      <w:tabs>
        <w:tab w:val="right" w:leader="dot" w:pos="8302"/>
      </w:tabs>
      <w:spacing w:before="156" w:beforeLines="50" w:beforeAutospacing="0" w:after="156" w:afterLines="50" w:afterAutospacing="0" w:line="360" w:lineRule="auto"/>
      <w:ind w:left="0" w:leftChars="0" w:firstLine="480"/>
      <w:jc w:val="left"/>
    </w:pPr>
    <w:rPr>
      <w:rFonts w:ascii="宋体" w:hAnsi="宋体"/>
    </w:rPr>
  </w:style>
  <w:style w:type="paragraph" w:customStyle="1" w:styleId="217">
    <w:name w:val="font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8">
    <w:name w:val="文章标题 1"/>
    <w:basedOn w:val="3"/>
    <w:next w:val="1"/>
    <w:qFormat/>
    <w:uiPriority w:val="0"/>
    <w:pPr>
      <w:keepNext/>
      <w:keepLines/>
      <w:widowControl w:val="0"/>
      <w:numPr>
        <w:ilvl w:val="0"/>
        <w:numId w:val="0"/>
      </w:numPr>
      <w:autoSpaceDE/>
      <w:autoSpaceDN/>
      <w:spacing w:before="120" w:beforeLines="0" w:beforeAutospacing="0" w:after="480" w:afterLines="0" w:afterAutospacing="0" w:line="360" w:lineRule="auto"/>
      <w:textAlignment w:val="top"/>
    </w:pPr>
    <w:rPr>
      <w:rFonts w:hint="default" w:ascii="Times New Roman" w:eastAsia="黑体"/>
      <w:color w:val="auto"/>
      <w:kern w:val="2"/>
      <w:sz w:val="44"/>
    </w:rPr>
  </w:style>
  <w:style w:type="paragraph" w:customStyle="1" w:styleId="219">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kern w:val="0"/>
      <w:sz w:val="21"/>
    </w:rPr>
  </w:style>
  <w:style w:type="paragraph" w:customStyle="1" w:styleId="220">
    <w:name w:val="Char Char Char Char1"/>
    <w:basedOn w:val="1"/>
    <w:qFormat/>
    <w:uiPriority w:val="0"/>
    <w:rPr>
      <w:rFonts w:ascii="Tahoma" w:hAnsi="Tahoma"/>
    </w:rPr>
  </w:style>
  <w:style w:type="paragraph" w:customStyle="1" w:styleId="221">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222">
    <w:name w:val="xl74"/>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3">
    <w:name w:val="样式29"/>
    <w:basedOn w:val="1"/>
    <w:qFormat/>
    <w:uiPriority w:val="0"/>
    <w:pPr>
      <w:widowControl/>
      <w:spacing w:line="440" w:lineRule="exact"/>
      <w:ind w:firstLine="200" w:firstLineChars="200"/>
      <w:jc w:val="left"/>
    </w:pPr>
    <w:rPr>
      <w:spacing w:val="6"/>
      <w:kern w:val="0"/>
    </w:rPr>
  </w:style>
  <w:style w:type="paragraph" w:customStyle="1" w:styleId="224">
    <w:name w:val="xl85"/>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225">
    <w:name w:val="标书正文:  0.74 厘米"/>
    <w:basedOn w:val="1"/>
    <w:link w:val="482"/>
    <w:qFormat/>
    <w:uiPriority w:val="0"/>
    <w:pPr>
      <w:snapToGrid w:val="0"/>
      <w:spacing w:line="360" w:lineRule="auto"/>
      <w:ind w:firstLine="420"/>
    </w:pPr>
  </w:style>
  <w:style w:type="paragraph" w:customStyle="1" w:styleId="226">
    <w:name w:val="文档正文"/>
    <w:basedOn w:val="1"/>
    <w:qFormat/>
    <w:uiPriority w:val="0"/>
    <w:pPr>
      <w:adjustRightInd w:val="0"/>
      <w:spacing w:line="480" w:lineRule="atLeast"/>
      <w:ind w:firstLine="567" w:firstLineChars="200"/>
    </w:pPr>
    <w:rPr>
      <w:rFonts w:hint="eastAsia" w:ascii="宋体" w:hAnsi="宋体"/>
      <w:kern w:val="0"/>
      <w:sz w:val="28"/>
    </w:rPr>
  </w:style>
  <w:style w:type="paragraph" w:customStyle="1" w:styleId="227">
    <w:name w:val="xl73"/>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8">
    <w:name w:val="TABLE3"/>
    <w:basedOn w:val="1"/>
    <w:next w:val="1"/>
    <w:qFormat/>
    <w:uiPriority w:val="0"/>
    <w:pPr>
      <w:jc w:val="center"/>
    </w:pPr>
    <w:rPr>
      <w:snapToGrid/>
      <w:sz w:val="24"/>
      <w:szCs w:val="24"/>
    </w:rPr>
  </w:style>
  <w:style w:type="paragraph" w:customStyle="1" w:styleId="229">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0">
    <w:name w:val="flName"/>
    <w:basedOn w:val="231"/>
    <w:qFormat/>
    <w:uiPriority w:val="0"/>
    <w:rPr>
      <w:sz w:val="32"/>
    </w:rPr>
  </w:style>
  <w:style w:type="paragraph" w:customStyle="1" w:styleId="231">
    <w:name w:val="flNote"/>
    <w:basedOn w:val="1"/>
    <w:qFormat/>
    <w:uiPriority w:val="0"/>
    <w:pPr>
      <w:adjustRightInd w:val="0"/>
      <w:spacing w:before="320" w:beforeLines="0" w:after="160" w:afterLines="0" w:line="360" w:lineRule="auto"/>
      <w:jc w:val="center"/>
      <w:textAlignment w:val="baseline"/>
    </w:pPr>
    <w:rPr>
      <w:rFonts w:ascii="Arial" w:eastAsia="黑体"/>
      <w:kern w:val="0"/>
      <w:sz w:val="30"/>
    </w:rPr>
  </w:style>
  <w:style w:type="paragraph" w:customStyle="1" w:styleId="23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33">
    <w:name w:val="font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5">
    <w:name w:val="自定义正文"/>
    <w:basedOn w:val="1"/>
    <w:link w:val="468"/>
    <w:qFormat/>
    <w:uiPriority w:val="0"/>
    <w:pPr>
      <w:spacing w:before="120" w:after="120" w:line="480" w:lineRule="exact"/>
      <w:ind w:firstLine="200" w:firstLineChars="200"/>
      <w:jc w:val="left"/>
    </w:pPr>
    <w:rPr>
      <w:rFonts w:ascii="仿宋_GB2312" w:eastAsia="仿宋_GB2312"/>
      <w:kern w:val="0"/>
    </w:rPr>
  </w:style>
  <w:style w:type="paragraph" w:customStyle="1" w:styleId="23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3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38">
    <w:name w:val="章节标题6"/>
    <w:basedOn w:val="1"/>
    <w:qFormat/>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239">
    <w:name w:val="UserStyle_89"/>
    <w:basedOn w:val="1"/>
    <w:qFormat/>
    <w:uiPriority w:val="0"/>
    <w:pPr>
      <w:ind w:firstLine="420"/>
      <w:jc w:val="left"/>
    </w:pPr>
    <w:rPr>
      <w:kern w:val="0"/>
    </w:rPr>
  </w:style>
  <w:style w:type="paragraph" w:customStyle="1" w:styleId="240">
    <w:name w:val="Char3 Char Char Char"/>
    <w:basedOn w:val="1"/>
    <w:qFormat/>
    <w:uiPriority w:val="0"/>
    <w:pPr>
      <w:widowControl/>
      <w:spacing w:after="160" w:line="240" w:lineRule="exact"/>
      <w:ind w:firstLine="200" w:firstLineChars="200"/>
      <w:jc w:val="left"/>
    </w:pPr>
    <w:rPr>
      <w:szCs w:val="24"/>
    </w:rPr>
  </w:style>
  <w:style w:type="paragraph" w:customStyle="1" w:styleId="241">
    <w:name w:val="简单回函地址"/>
    <w:basedOn w:val="1"/>
    <w:qFormat/>
    <w:uiPriority w:val="0"/>
    <w:rPr>
      <w:sz w:val="21"/>
      <w:szCs w:val="24"/>
    </w:rPr>
  </w:style>
  <w:style w:type="paragraph" w:customStyle="1" w:styleId="242">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kern w:val="0"/>
    </w:rPr>
  </w:style>
  <w:style w:type="paragraph" w:customStyle="1" w:styleId="243">
    <w:name w:val="标准文本"/>
    <w:basedOn w:val="1"/>
    <w:link w:val="450"/>
    <w:qFormat/>
    <w:uiPriority w:val="0"/>
    <w:pPr>
      <w:spacing w:line="360" w:lineRule="auto"/>
      <w:ind w:firstLine="480" w:firstLineChars="200"/>
    </w:pPr>
    <w:rPr>
      <w:kern w:val="0"/>
    </w:rPr>
  </w:style>
  <w:style w:type="paragraph" w:customStyle="1" w:styleId="244">
    <w:name w:val="样式 样式 标题 1 + 黑体 三号 + 段前: 1 行 段后: 1 行"/>
    <w:basedOn w:val="1"/>
    <w:autoRedefine/>
    <w:qFormat/>
    <w:uiPriority w:val="0"/>
    <w:pPr>
      <w:keepNext/>
      <w:keepLines/>
      <w:tabs>
        <w:tab w:val="left" w:pos="1021"/>
      </w:tabs>
      <w:spacing w:before="312" w:beforeLines="100" w:beforeAutospacing="0" w:after="312" w:afterLines="100" w:afterAutospacing="0" w:line="360" w:lineRule="auto"/>
      <w:ind w:firstLine="482"/>
      <w:outlineLvl w:val="0"/>
    </w:pPr>
    <w:rPr>
      <w:rFonts w:ascii="Arial" w:hAnsi="Arial" w:eastAsia="黑体"/>
      <w:b/>
      <w:spacing w:val="10"/>
      <w:kern w:val="44"/>
      <w:sz w:val="32"/>
    </w:rPr>
  </w:style>
  <w:style w:type="paragraph" w:customStyle="1" w:styleId="245">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246">
    <w:name w:val="样式5"/>
    <w:basedOn w:val="1"/>
    <w:link w:val="494"/>
    <w:qFormat/>
    <w:uiPriority w:val="0"/>
    <w:pPr>
      <w:spacing w:before="50" w:beforeLines="0" w:beforeAutospacing="0" w:after="75" w:afterLines="0" w:afterAutospacing="0"/>
      <w:outlineLvl w:val="2"/>
    </w:pPr>
    <w:rPr>
      <w:rFonts w:ascii="宋体" w:hAnsi="宋体"/>
      <w:b/>
      <w:bCs/>
      <w:color w:val="000000"/>
      <w:kern w:val="44"/>
      <w:sz w:val="28"/>
      <w:szCs w:val="32"/>
    </w:rPr>
  </w:style>
  <w:style w:type="paragraph" w:customStyle="1" w:styleId="247">
    <w:name w:val="样式 首行缩进:  2 字符"/>
    <w:basedOn w:val="1"/>
    <w:qFormat/>
    <w:uiPriority w:val="0"/>
    <w:pPr>
      <w:spacing w:after="120" w:afterLines="0" w:afterAutospacing="0" w:line="360" w:lineRule="auto"/>
      <w:ind w:firstLine="480" w:firstLineChars="200"/>
    </w:pPr>
  </w:style>
  <w:style w:type="paragraph" w:customStyle="1" w:styleId="248">
    <w:name w:val="首行缩进:  2 字符"/>
    <w:basedOn w:val="1"/>
    <w:next w:val="1"/>
    <w:link w:val="518"/>
    <w:qFormat/>
    <w:uiPriority w:val="0"/>
    <w:pPr>
      <w:widowControl/>
      <w:spacing w:line="440" w:lineRule="exact"/>
      <w:ind w:firstLine="480" w:firstLineChars="200"/>
      <w:jc w:val="left"/>
    </w:pPr>
    <w:rPr>
      <w:rFonts w:eastAsia="仿宋_GB2312" w:cs="宋体"/>
      <w:kern w:val="0"/>
    </w:rPr>
  </w:style>
  <w:style w:type="paragraph" w:customStyle="1" w:styleId="249">
    <w:name w:val="文章标题 3 Char"/>
    <w:basedOn w:val="4"/>
    <w:next w:val="1"/>
    <w:link w:val="474"/>
    <w:qFormat/>
    <w:uiPriority w:val="0"/>
    <w:pPr>
      <w:numPr>
        <w:ilvl w:val="0"/>
        <w:numId w:val="0"/>
      </w:numPr>
      <w:spacing w:before="260" w:beforeLines="0" w:beforeAutospacing="0" w:after="260" w:afterLines="0" w:afterAutospacing="0" w:line="413" w:lineRule="auto"/>
      <w:ind w:left="-7" w:firstLine="567"/>
    </w:pPr>
    <w:rPr>
      <w:rFonts w:hAnsi="Arial" w:eastAsia="黑体"/>
      <w:b w:val="0"/>
    </w:rPr>
  </w:style>
  <w:style w:type="paragraph" w:customStyle="1" w:styleId="250">
    <w:name w:val="样式 标题 3h33rd levelH3Level 3 Headsect1.2.3BOD 0l3CTHeadi..."/>
    <w:basedOn w:val="4"/>
    <w:qFormat/>
    <w:uiPriority w:val="0"/>
    <w:pPr>
      <w:numPr>
        <w:ilvl w:val="0"/>
        <w:numId w:val="0"/>
      </w:numPr>
      <w:tabs>
        <w:tab w:val="left" w:pos="420"/>
        <w:tab w:val="clear" w:pos="778"/>
      </w:tabs>
      <w:spacing w:before="200" w:beforeLines="0" w:beforeAutospacing="0" w:after="0" w:afterLines="0" w:afterAutospacing="0"/>
      <w:ind w:left="420" w:hanging="420"/>
    </w:pPr>
    <w:rPr>
      <w:rFonts w:ascii="宋体" w:eastAsia="楷体_GB2312"/>
      <w:sz w:val="24"/>
    </w:rPr>
  </w:style>
  <w:style w:type="paragraph" w:customStyle="1" w:styleId="251">
    <w:name w:val="表格项目符号 2"/>
    <w:basedOn w:val="1"/>
    <w:next w:val="1"/>
    <w:qFormat/>
    <w:uiPriority w:val="0"/>
    <w:pPr>
      <w:widowControl/>
      <w:tabs>
        <w:tab w:val="left" w:pos="624"/>
      </w:tabs>
      <w:snapToGrid w:val="0"/>
      <w:spacing w:line="300" w:lineRule="auto"/>
      <w:ind w:left="623" w:hanging="374"/>
    </w:pPr>
    <w:rPr>
      <w:color w:val="000000"/>
      <w:sz w:val="21"/>
    </w:rPr>
  </w:style>
  <w:style w:type="paragraph" w:customStyle="1" w:styleId="252">
    <w:name w:val="p1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53">
    <w:name w:val=" Char"/>
    <w:basedOn w:val="24"/>
    <w:link w:val="537"/>
    <w:qFormat/>
    <w:uiPriority w:val="0"/>
    <w:rPr>
      <w:rFonts w:ascii="宋体"/>
      <w:color w:val="FF0000"/>
      <w:kern w:val="0"/>
      <w:lang w:val="en-US" w:eastAsia="zh-CN"/>
    </w:rPr>
  </w:style>
  <w:style w:type="paragraph" w:customStyle="1" w:styleId="254">
    <w:name w:val="p0"/>
    <w:basedOn w:val="1"/>
    <w:qFormat/>
    <w:uiPriority w:val="99"/>
    <w:pPr>
      <w:widowControl/>
      <w:spacing w:before="100" w:beforeLines="0" w:beforeAutospacing="1" w:after="100" w:afterLines="0" w:afterAutospacing="1"/>
      <w:jc w:val="left"/>
    </w:pPr>
    <w:rPr>
      <w:rFonts w:ascii="宋体" w:hAnsi="宋体"/>
      <w:kern w:val="0"/>
    </w:rPr>
  </w:style>
  <w:style w:type="paragraph" w:customStyle="1" w:styleId="255">
    <w:name w:val="xl97"/>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56">
    <w:name w:val="xl72"/>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257">
    <w:name w:val="indent"/>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8">
    <w:name w:val="文档结构图1"/>
    <w:basedOn w:val="1"/>
    <w:next w:val="1"/>
    <w:qFormat/>
    <w:uiPriority w:val="0"/>
    <w:pPr>
      <w:widowControl/>
      <w:shd w:val="clear" w:color="auto" w:fill="000080"/>
    </w:pPr>
    <w:rPr>
      <w:color w:val="000000"/>
      <w:sz w:val="21"/>
    </w:rPr>
  </w:style>
  <w:style w:type="paragraph" w:customStyle="1" w:styleId="259">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4"/>
    </w:rPr>
  </w:style>
  <w:style w:type="paragraph" w:customStyle="1" w:styleId="260">
    <w:name w:val="纯文本2"/>
    <w:basedOn w:val="1"/>
    <w:next w:val="1"/>
    <w:qFormat/>
    <w:uiPriority w:val="0"/>
    <w:rPr>
      <w:rFonts w:ascii="宋体"/>
      <w:color w:val="000000"/>
      <w:sz w:val="21"/>
    </w:rPr>
  </w:style>
  <w:style w:type="paragraph" w:customStyle="1" w:styleId="26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2">
    <w:name w:val="font11"/>
    <w:basedOn w:val="1"/>
    <w:qFormat/>
    <w:uiPriority w:val="0"/>
    <w:pPr>
      <w:widowControl/>
      <w:spacing w:before="100" w:beforeLines="0" w:beforeAutospacing="1" w:after="100" w:afterLines="0" w:afterAutospacing="1"/>
      <w:jc w:val="left"/>
    </w:pPr>
    <w:rPr>
      <w:kern w:val="0"/>
      <w:sz w:val="20"/>
    </w:rPr>
  </w:style>
  <w:style w:type="paragraph" w:customStyle="1" w:styleId="263">
    <w:name w:val="font1"/>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2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5">
    <w:name w:val="正文 + 12 磅"/>
    <w:basedOn w:val="19"/>
    <w:qFormat/>
    <w:uiPriority w:val="0"/>
    <w:pPr>
      <w:spacing w:line="360" w:lineRule="auto"/>
      <w:ind w:firstLine="560"/>
    </w:pPr>
    <w:rPr>
      <w:rFonts w:ascii="宋体" w:hAnsi="宋体"/>
      <w:sz w:val="24"/>
    </w:rPr>
  </w:style>
  <w:style w:type="paragraph" w:customStyle="1" w:styleId="266">
    <w:name w:val="缺省文本"/>
    <w:basedOn w:val="1"/>
    <w:qFormat/>
    <w:uiPriority w:val="0"/>
    <w:pPr>
      <w:autoSpaceDE w:val="0"/>
      <w:autoSpaceDN w:val="0"/>
      <w:adjustRightInd w:val="0"/>
      <w:jc w:val="left"/>
    </w:pPr>
    <w:rPr>
      <w:kern w:val="0"/>
    </w:rPr>
  </w:style>
  <w:style w:type="paragraph" w:customStyle="1" w:styleId="267">
    <w:name w:val="font2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68">
    <w:name w:val="样式10"/>
    <w:basedOn w:val="1"/>
    <w:qFormat/>
    <w:uiPriority w:val="0"/>
    <w:pPr>
      <w:tabs>
        <w:tab w:val="left" w:pos="987"/>
      </w:tabs>
      <w:ind w:left="987" w:firstLine="199"/>
    </w:pPr>
    <w:rPr>
      <w:b/>
      <w:sz w:val="21"/>
    </w:rPr>
  </w:style>
  <w:style w:type="paragraph" w:customStyle="1" w:styleId="269">
    <w:name w:val="Char Char Char"/>
    <w:basedOn w:val="1"/>
    <w:qFormat/>
    <w:uiPriority w:val="0"/>
    <w:rPr>
      <w:rFonts w:ascii="Tahoma" w:hAnsi="Tahoma"/>
    </w:rPr>
  </w:style>
  <w:style w:type="paragraph" w:customStyle="1" w:styleId="270">
    <w:name w:val="xl94"/>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71">
    <w:name w:val="xl98"/>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272">
    <w:name w:val="My正文"/>
    <w:basedOn w:val="1"/>
    <w:qFormat/>
    <w:uiPriority w:val="0"/>
    <w:pPr>
      <w:adjustRightInd w:val="0"/>
      <w:spacing w:before="120" w:beforeLines="0" w:beforeAutospacing="0" w:line="360" w:lineRule="auto"/>
      <w:ind w:firstLine="567"/>
    </w:pPr>
    <w:rPr>
      <w:rFonts w:ascii="Arial" w:hAnsi="Arial"/>
      <w:kern w:val="0"/>
    </w:rPr>
  </w:style>
  <w:style w:type="paragraph" w:customStyle="1" w:styleId="273">
    <w:name w:val="样式 标题 2 + 段前: 1 行 段后: 1 行"/>
    <w:basedOn w:val="2"/>
    <w:qFormat/>
    <w:uiPriority w:val="0"/>
    <w:pPr>
      <w:tabs>
        <w:tab w:val="left" w:pos="840"/>
        <w:tab w:val="clear" w:pos="358"/>
      </w:tabs>
      <w:spacing w:before="312" w:beforeLines="100" w:beforeAutospacing="0" w:after="312" w:afterLines="100" w:afterAutospacing="0"/>
      <w:ind w:left="840"/>
    </w:pPr>
    <w:rPr>
      <w:rFonts w:ascii="Arial" w:hAnsi="Arial" w:eastAsia="黑体"/>
      <w:spacing w:val="10"/>
      <w:sz w:val="30"/>
    </w:rPr>
  </w:style>
  <w:style w:type="paragraph" w:customStyle="1" w:styleId="274">
    <w:name w:val="表格文字"/>
    <w:basedOn w:val="1"/>
    <w:next w:val="31"/>
    <w:qFormat/>
    <w:uiPriority w:val="0"/>
    <w:rPr>
      <w:rFonts w:ascii="Arial" w:hAnsi="Arial"/>
      <w:snapToGrid/>
      <w:kern w:val="2"/>
      <w:szCs w:val="21"/>
    </w:rPr>
  </w:style>
  <w:style w:type="paragraph" w:customStyle="1" w:styleId="275">
    <w:name w:val="font8"/>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276">
    <w:name w:val="正文文字4"/>
    <w:basedOn w:val="1"/>
    <w:qFormat/>
    <w:uiPriority w:val="0"/>
    <w:pPr>
      <w:spacing w:before="60" w:beforeLines="0" w:after="60" w:afterLines="0" w:line="500" w:lineRule="exact"/>
      <w:ind w:left="1436" w:firstLine="592"/>
    </w:pPr>
    <w:rPr>
      <w:sz w:val="28"/>
    </w:rPr>
  </w:style>
  <w:style w:type="paragraph" w:customStyle="1" w:styleId="27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8">
    <w:name w:val="Char1"/>
    <w:basedOn w:val="1"/>
    <w:qFormat/>
    <w:uiPriority w:val="0"/>
    <w:rPr>
      <w:rFonts w:ascii="仿宋_GB2312" w:eastAsia="仿宋_GB2312"/>
      <w:b/>
      <w:sz w:val="32"/>
      <w:szCs w:val="32"/>
    </w:rPr>
  </w:style>
  <w:style w:type="paragraph" w:customStyle="1" w:styleId="279">
    <w:name w:val="font1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0">
    <w:name w:val="默认段落字体 Para Char Char Char Char Char Char Char"/>
    <w:basedOn w:val="1"/>
    <w:qFormat/>
    <w:uiPriority w:val="0"/>
    <w:rPr>
      <w:rFonts w:ascii="Tahoma" w:hAnsi="Tahoma"/>
      <w:b/>
    </w:rPr>
  </w:style>
  <w:style w:type="paragraph" w:customStyle="1" w:styleId="281">
    <w:name w:val="序号正文"/>
    <w:basedOn w:val="1"/>
    <w:qFormat/>
    <w:uiPriority w:val="0"/>
    <w:pPr>
      <w:numPr>
        <w:ilvl w:val="0"/>
        <w:numId w:val="8"/>
      </w:numPr>
      <w:spacing w:line="300" w:lineRule="auto"/>
    </w:pPr>
    <w:rPr>
      <w:rFonts w:ascii="宋体" w:hAnsi="宋体"/>
    </w:rPr>
  </w:style>
  <w:style w:type="paragraph" w:customStyle="1" w:styleId="282">
    <w:name w:val="My标题4"/>
    <w:basedOn w:val="4"/>
    <w:next w:val="1"/>
    <w:qFormat/>
    <w:uiPriority w:val="0"/>
    <w:pPr>
      <w:numPr>
        <w:ilvl w:val="0"/>
        <w:numId w:val="0"/>
      </w:numPr>
      <w:tabs>
        <w:tab w:val="left" w:pos="425"/>
        <w:tab w:val="clear" w:pos="778"/>
      </w:tabs>
      <w:spacing w:before="260" w:beforeLines="0" w:beforeAutospacing="0" w:after="260" w:afterLines="0" w:afterAutospacing="0" w:line="413" w:lineRule="auto"/>
      <w:ind w:left="425" w:hanging="425"/>
    </w:pPr>
    <w:rPr>
      <w:rFonts w:ascii="Times New Roman" w:hAnsi="Times New Roman" w:eastAsia="宋体"/>
      <w:b w:val="0"/>
      <w:sz w:val="24"/>
    </w:rPr>
  </w:style>
  <w:style w:type="paragraph" w:customStyle="1" w:styleId="283">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284">
    <w:name w:val="_Style 3"/>
    <w:basedOn w:val="1"/>
    <w:qFormat/>
    <w:uiPriority w:val="0"/>
    <w:pPr>
      <w:spacing w:line="360" w:lineRule="auto"/>
      <w:ind w:firstLine="420" w:firstLineChars="200"/>
    </w:pPr>
    <w:rPr>
      <w:szCs w:val="24"/>
    </w:rPr>
  </w:style>
  <w:style w:type="paragraph" w:customStyle="1" w:styleId="285">
    <w:name w:val=" Char Char Char Char Char"/>
    <w:basedOn w:val="1"/>
    <w:qFormat/>
    <w:uiPriority w:val="0"/>
    <w:pPr>
      <w:tabs>
        <w:tab w:val="left" w:pos="980"/>
      </w:tabs>
      <w:ind w:left="980" w:hanging="420"/>
    </w:pPr>
    <w:rPr>
      <w:rFonts w:ascii="Tahoma" w:hAnsi="Tahoma"/>
    </w:rPr>
  </w:style>
  <w:style w:type="paragraph" w:customStyle="1" w:styleId="286">
    <w:name w:val="PP 行"/>
    <w:basedOn w:val="52"/>
    <w:qFormat/>
    <w:uiPriority w:val="0"/>
  </w:style>
  <w:style w:type="paragraph" w:customStyle="1" w:styleId="28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88">
    <w:name w:val="My标题3"/>
    <w:basedOn w:val="4"/>
    <w:next w:val="1"/>
    <w:qFormat/>
    <w:uiPriority w:val="0"/>
    <w:pPr>
      <w:numPr>
        <w:ilvl w:val="0"/>
        <w:numId w:val="0"/>
      </w:numPr>
      <w:tabs>
        <w:tab w:val="left" w:pos="1080"/>
        <w:tab w:val="clear" w:pos="778"/>
      </w:tabs>
      <w:spacing w:before="260" w:beforeLines="0" w:beforeAutospacing="0" w:after="260" w:afterLines="0" w:afterAutospacing="0" w:line="413" w:lineRule="auto"/>
      <w:ind w:left="709" w:hanging="709"/>
    </w:pPr>
    <w:rPr>
      <w:rFonts w:ascii="Arial" w:hAnsi="Arial" w:eastAsia="宋体"/>
      <w:b w:val="0"/>
      <w:sz w:val="24"/>
    </w:rPr>
  </w:style>
  <w:style w:type="paragraph" w:customStyle="1" w:styleId="289">
    <w:name w:val="正文2"/>
    <w:basedOn w:val="1"/>
    <w:link w:val="455"/>
    <w:qFormat/>
    <w:uiPriority w:val="99"/>
    <w:pPr>
      <w:spacing w:before="60" w:beforeLines="0" w:beforeAutospacing="0" w:after="60" w:afterLines="0" w:afterAutospacing="0" w:line="360" w:lineRule="auto"/>
      <w:outlineLvl w:val="7"/>
    </w:pPr>
  </w:style>
  <w:style w:type="paragraph" w:customStyle="1" w:styleId="290">
    <w:name w:val="正文缩进 2"/>
    <w:basedOn w:val="1"/>
    <w:qFormat/>
    <w:uiPriority w:val="0"/>
    <w:pPr>
      <w:adjustRightInd w:val="0"/>
      <w:spacing w:line="400" w:lineRule="atLeast"/>
      <w:ind w:left="400" w:leftChars="400" w:firstLine="454"/>
      <w:textAlignment w:val="baseline"/>
    </w:pPr>
    <w:rPr>
      <w:kern w:val="0"/>
    </w:rPr>
  </w:style>
  <w:style w:type="paragraph" w:customStyle="1" w:styleId="291">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292">
    <w:name w:val="character"/>
    <w:basedOn w:val="1"/>
    <w:qFormat/>
    <w:uiPriority w:val="0"/>
    <w:pPr>
      <w:ind w:firstLine="480" w:firstLineChars="200"/>
    </w:pPr>
    <w:rPr>
      <w:rFonts w:ascii="Arial" w:hAnsi="Arial"/>
      <w:szCs w:val="21"/>
    </w:rPr>
  </w:style>
  <w:style w:type="paragraph" w:customStyle="1" w:styleId="293">
    <w:name w:val="font26"/>
    <w:basedOn w:val="1"/>
    <w:qFormat/>
    <w:uiPriority w:val="0"/>
    <w:pPr>
      <w:widowControl/>
      <w:spacing w:before="100" w:beforeLines="0" w:beforeAutospacing="1" w:after="100" w:afterLines="0" w:afterAutospacing="1"/>
      <w:jc w:val="left"/>
    </w:pPr>
    <w:rPr>
      <w:rFonts w:ascii="Courier New" w:hAnsi="Courier New" w:cs="Courier New"/>
      <w:kern w:val="0"/>
      <w:szCs w:val="24"/>
    </w:rPr>
  </w:style>
  <w:style w:type="paragraph" w:customStyle="1" w:styleId="294">
    <w:name w:val="样式 宋体"/>
    <w:basedOn w:val="1"/>
    <w:next w:val="1"/>
    <w:qFormat/>
    <w:uiPriority w:val="0"/>
    <w:pPr>
      <w:widowControl/>
    </w:pPr>
    <w:rPr>
      <w:rFonts w:ascii="宋体"/>
      <w:color w:val="000000"/>
    </w:rPr>
  </w:style>
  <w:style w:type="paragraph" w:customStyle="1" w:styleId="29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9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29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9">
    <w:name w:val="Char"/>
    <w:basedOn w:val="24"/>
    <w:qFormat/>
    <w:uiPriority w:val="0"/>
    <w:rPr>
      <w:rFonts w:ascii="Tahoma" w:hAnsi="Tahoma"/>
    </w:rPr>
  </w:style>
  <w:style w:type="paragraph" w:customStyle="1" w:styleId="300">
    <w:name w:val="系统标题"/>
    <w:basedOn w:val="1"/>
    <w:qFormat/>
    <w:uiPriority w:val="0"/>
    <w:pPr>
      <w:tabs>
        <w:tab w:val="left" w:pos="780"/>
      </w:tabs>
      <w:ind w:left="780" w:hanging="360"/>
    </w:pPr>
    <w:rPr>
      <w:sz w:val="21"/>
      <w:szCs w:val="24"/>
    </w:rPr>
  </w:style>
  <w:style w:type="paragraph" w:customStyle="1" w:styleId="301">
    <w:name w:val="注"/>
    <w:basedOn w:val="1"/>
    <w:qFormat/>
    <w:uiPriority w:val="0"/>
    <w:pPr>
      <w:adjustRightInd w:val="0"/>
      <w:spacing w:line="360" w:lineRule="atLeast"/>
      <w:ind w:left="840" w:hanging="420"/>
      <w:textAlignment w:val="baseline"/>
    </w:pPr>
    <w:rPr>
      <w:kern w:val="0"/>
      <w:sz w:val="21"/>
    </w:rPr>
  </w:style>
  <w:style w:type="paragraph" w:customStyle="1" w:styleId="302">
    <w:name w:val="wtext"/>
    <w:basedOn w:val="1"/>
    <w:qFormat/>
    <w:uiPriority w:val="0"/>
    <w:pPr>
      <w:widowControl/>
      <w:spacing w:before="100" w:beforeLines="0" w:beforeAutospacing="1" w:after="100" w:afterLines="0" w:afterAutospacing="1"/>
      <w:jc w:val="left"/>
    </w:pPr>
    <w:rPr>
      <w:rFonts w:ascii="宋体" w:hAnsi="宋体"/>
      <w:kern w:val="0"/>
    </w:rPr>
  </w:style>
  <w:style w:type="paragraph" w:customStyle="1" w:styleId="303">
    <w:name w:val="font13"/>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04">
    <w:name w:val="heading"/>
    <w:basedOn w:val="1"/>
    <w:next w:val="1"/>
    <w:qFormat/>
    <w:uiPriority w:val="0"/>
    <w:pPr>
      <w:keepNext/>
      <w:keepLines/>
      <w:spacing w:before="260" w:beforeLines="0" w:beforeAutospacing="0" w:after="260" w:afterLines="0" w:afterAutospacing="0" w:line="413" w:lineRule="auto"/>
    </w:pPr>
    <w:rPr>
      <w:rFonts w:ascii="Arial" w:hAnsi="Arial" w:eastAsia="黑体"/>
      <w:b/>
      <w:sz w:val="32"/>
    </w:rPr>
  </w:style>
  <w:style w:type="paragraph" w:customStyle="1" w:styleId="305">
    <w:name w:val="正文文本缩进 31"/>
    <w:basedOn w:val="1"/>
    <w:next w:val="1"/>
    <w:qFormat/>
    <w:uiPriority w:val="0"/>
    <w:pPr>
      <w:widowControl/>
      <w:spacing w:line="360" w:lineRule="auto"/>
      <w:ind w:firstLine="420"/>
    </w:pPr>
    <w:rPr>
      <w:rFonts w:ascii="宋体"/>
      <w:color w:val="000000"/>
    </w:rPr>
  </w:style>
  <w:style w:type="paragraph" w:customStyle="1" w:styleId="306">
    <w:name w:val="样式 左 首行缩进:  0.74 厘米 段前: 5 磅 段后: 5 磅 行距: 1.5 倍行距"/>
    <w:basedOn w:val="1"/>
    <w:autoRedefine/>
    <w:qFormat/>
    <w:uiPriority w:val="0"/>
    <w:pPr>
      <w:spacing w:before="100" w:beforeLines="0" w:beforeAutospacing="0" w:after="100" w:afterLines="0" w:afterAutospacing="0" w:line="360" w:lineRule="auto"/>
      <w:ind w:firstLine="420"/>
      <w:jc w:val="left"/>
    </w:pPr>
  </w:style>
  <w:style w:type="paragraph" w:customStyle="1" w:styleId="307">
    <w:name w:val="Char Char1 Char Char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308">
    <w:name w:val="排列"/>
    <w:basedOn w:val="1"/>
    <w:qFormat/>
    <w:uiPriority w:val="0"/>
    <w:pPr>
      <w:jc w:val="center"/>
    </w:pPr>
    <w:rPr>
      <w:rFonts w:ascii="楷体_GB2312" w:hAnsi="Courier New" w:eastAsia="楷体_GB2312"/>
      <w:sz w:val="21"/>
    </w:rPr>
  </w:style>
  <w:style w:type="paragraph" w:customStyle="1" w:styleId="309">
    <w:name w:val="样式 标题 1H1 + 三号"/>
    <w:basedOn w:val="3"/>
    <w:qFormat/>
    <w:uiPriority w:val="0"/>
    <w:pPr>
      <w:keepNext/>
      <w:keepLines/>
      <w:widowControl w:val="0"/>
      <w:numPr>
        <w:ilvl w:val="0"/>
        <w:numId w:val="0"/>
      </w:numPr>
      <w:tabs>
        <w:tab w:val="left" w:pos="425"/>
        <w:tab w:val="clear" w:pos="478"/>
      </w:tabs>
      <w:autoSpaceDE/>
      <w:autoSpaceDN/>
      <w:spacing w:before="340" w:beforeLines="0" w:beforeAutospacing="0" w:after="330" w:afterLines="0" w:afterAutospacing="0" w:line="576" w:lineRule="auto"/>
      <w:ind w:left="425" w:hanging="425"/>
      <w:jc w:val="both"/>
    </w:pPr>
    <w:rPr>
      <w:rFonts w:hint="default" w:ascii="Times New Roman"/>
      <w:b/>
      <w:color w:val="auto"/>
      <w:kern w:val="44"/>
      <w:sz w:val="32"/>
    </w:rPr>
  </w:style>
  <w:style w:type="paragraph" w:customStyle="1" w:styleId="310">
    <w:name w:val="默认段落字体1 Char Char"/>
    <w:basedOn w:val="1"/>
    <w:qFormat/>
    <w:uiPriority w:val="0"/>
    <w:rPr>
      <w:rFonts w:ascii="仿宋_GB2312" w:eastAsia="仿宋_GB2312"/>
      <w:b/>
      <w:sz w:val="32"/>
      <w:szCs w:val="32"/>
    </w:rPr>
  </w:style>
  <w:style w:type="paragraph" w:customStyle="1" w:styleId="311">
    <w:name w:val="font25"/>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12">
    <w:name w:val=" Char1"/>
    <w:basedOn w:val="1"/>
    <w:qFormat/>
    <w:uiPriority w:val="0"/>
    <w:rPr>
      <w:rFonts w:ascii="仿宋_GB2312" w:eastAsia="仿宋_GB2312"/>
      <w:b/>
      <w:sz w:val="32"/>
    </w:rPr>
  </w:style>
  <w:style w:type="paragraph" w:customStyle="1" w:styleId="313">
    <w:name w:val="font24"/>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14">
    <w:name w:val="font10"/>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1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316">
    <w:name w:val="font9"/>
    <w:basedOn w:val="1"/>
    <w:qFormat/>
    <w:uiPriority w:val="0"/>
    <w:pPr>
      <w:widowControl/>
      <w:adjustRightInd w:val="0"/>
      <w:spacing w:before="100" w:beforeLines="0" w:after="100" w:afterLines="0"/>
      <w:jc w:val="left"/>
      <w:textAlignment w:val="baseline"/>
    </w:pPr>
    <w:rPr>
      <w:rFonts w:ascii="宋体" w:hAnsi="宋体"/>
      <w:kern w:val="0"/>
      <w:sz w:val="18"/>
    </w:rPr>
  </w:style>
  <w:style w:type="paragraph" w:customStyle="1" w:styleId="317">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18">
    <w:name w:val="正文编号4"/>
    <w:basedOn w:val="1"/>
    <w:qFormat/>
    <w:uiPriority w:val="0"/>
    <w:pPr>
      <w:spacing w:before="60" w:beforeLines="0" w:after="60" w:afterLines="0" w:line="500" w:lineRule="exact"/>
      <w:ind w:left="1404" w:hanging="432"/>
    </w:pPr>
    <w:rPr>
      <w:sz w:val="28"/>
    </w:rPr>
  </w:style>
  <w:style w:type="paragraph" w:customStyle="1" w:styleId="319">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color w:val="000000"/>
      <w:kern w:val="0"/>
      <w:sz w:val="21"/>
    </w:rPr>
  </w:style>
  <w:style w:type="paragraph" w:customStyle="1" w:styleId="320">
    <w:name w:val="正文样式"/>
    <w:basedOn w:val="1"/>
    <w:link w:val="542"/>
    <w:qFormat/>
    <w:uiPriority w:val="0"/>
    <w:pPr>
      <w:spacing w:line="360" w:lineRule="auto"/>
      <w:ind w:firstLine="200" w:firstLineChars="200"/>
    </w:pPr>
    <w:rPr>
      <w:rFonts w:cs="宋体"/>
      <w:sz w:val="21"/>
    </w:rPr>
  </w:style>
  <w:style w:type="paragraph" w:customStyle="1" w:styleId="321">
    <w:name w:val="正文文字1"/>
    <w:basedOn w:val="31"/>
    <w:qFormat/>
    <w:uiPriority w:val="0"/>
    <w:pPr>
      <w:autoSpaceDE/>
      <w:autoSpaceDN/>
      <w:spacing w:line="360" w:lineRule="atLeast"/>
      <w:ind w:left="72" w:right="72"/>
      <w:jc w:val="both"/>
      <w:textAlignment w:val="baseline"/>
    </w:pPr>
    <w:rPr>
      <w:rFonts w:ascii="Times New Roman"/>
      <w:color w:val="auto"/>
      <w:sz w:val="21"/>
      <w:lang w:val="en-US" w:eastAsia="zh-CN"/>
    </w:rPr>
  </w:style>
  <w:style w:type="paragraph" w:customStyle="1" w:styleId="322">
    <w:name w:val="功能列表"/>
    <w:basedOn w:val="1"/>
    <w:qFormat/>
    <w:uiPriority w:val="0"/>
    <w:pPr>
      <w:tabs>
        <w:tab w:val="left" w:pos="720"/>
        <w:tab w:val="left" w:pos="900"/>
      </w:tabs>
      <w:spacing w:line="360" w:lineRule="auto"/>
      <w:ind w:left="900" w:hanging="420"/>
    </w:pPr>
  </w:style>
  <w:style w:type="paragraph" w:customStyle="1" w:styleId="323">
    <w:name w:val="xl107"/>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24">
    <w:name w:val="标题 8 +"/>
    <w:basedOn w:val="9"/>
    <w:qFormat/>
    <w:uiPriority w:val="0"/>
    <w:rPr>
      <w:kern w:val="0"/>
    </w:rPr>
  </w:style>
  <w:style w:type="paragraph" w:customStyle="1" w:styleId="325">
    <w:name w:val="xl96"/>
    <w:basedOn w:val="1"/>
    <w:qFormat/>
    <w:uiPriority w:val="0"/>
    <w:pPr>
      <w:widowControl/>
      <w:spacing w:before="100" w:beforeLines="0" w:beforeAutospacing="1" w:after="100" w:afterLines="0" w:afterAutospacing="1"/>
      <w:jc w:val="center"/>
      <w:textAlignment w:val="bottom"/>
    </w:pPr>
    <w:rPr>
      <w:rFonts w:ascii="幼圆" w:hAnsi="宋体" w:eastAsia="幼圆" w:cs="宋体"/>
      <w:kern w:val="0"/>
      <w:szCs w:val="24"/>
    </w:rPr>
  </w:style>
  <w:style w:type="paragraph" w:customStyle="1" w:styleId="326">
    <w:name w:val="样式4"/>
    <w:basedOn w:val="32"/>
    <w:qFormat/>
    <w:uiPriority w:val="0"/>
    <w:pPr>
      <w:snapToGrid w:val="0"/>
      <w:spacing w:before="0" w:after="0"/>
      <w:ind w:firstLine="539"/>
    </w:pPr>
    <w:rPr>
      <w:rFonts w:ascii="Times New Roman"/>
      <w:lang w:val="en-US" w:eastAsia="zh-CN"/>
    </w:rPr>
  </w:style>
  <w:style w:type="paragraph" w:customStyle="1" w:styleId="327">
    <w:name w:val="xl46"/>
    <w:basedOn w:val="1"/>
    <w:qFormat/>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328">
    <w:name w:val="font15"/>
    <w:basedOn w:val="1"/>
    <w:qFormat/>
    <w:uiPriority w:val="0"/>
    <w:pPr>
      <w:widowControl/>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2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330">
    <w:name w:val="xl89"/>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31">
    <w:name w:val="style1"/>
    <w:basedOn w:val="1"/>
    <w:qFormat/>
    <w:uiPriority w:val="0"/>
    <w:pPr>
      <w:widowControl/>
      <w:spacing w:before="100" w:beforeLines="0" w:beforeAutospacing="1" w:after="100" w:afterLines="0" w:afterAutospacing="1" w:line="360" w:lineRule="auto"/>
      <w:ind w:firstLine="200" w:firstLineChars="200"/>
      <w:jc w:val="left"/>
    </w:pPr>
    <w:rPr>
      <w:rFonts w:ascii="宋体" w:hAnsi="宋体" w:cs="宋体"/>
      <w:color w:val="FFFFFF"/>
      <w:kern w:val="0"/>
      <w:sz w:val="28"/>
      <w:szCs w:val="24"/>
    </w:rPr>
  </w:style>
  <w:style w:type="paragraph" w:customStyle="1" w:styleId="332">
    <w:name w:val="样式 标题 2 + 段前: 自动 段后: 自动 行距: 1.5 倍行距"/>
    <w:basedOn w:val="2"/>
    <w:qFormat/>
    <w:uiPriority w:val="0"/>
    <w:pPr>
      <w:numPr>
        <w:ilvl w:val="0"/>
        <w:numId w:val="0"/>
      </w:numPr>
      <w:tabs>
        <w:tab w:val="left" w:pos="567"/>
        <w:tab w:val="clear" w:pos="358"/>
      </w:tabs>
      <w:adjustRightInd w:val="0"/>
      <w:spacing w:before="100" w:beforeLines="0" w:beforeAutospacing="1" w:after="100" w:afterLines="0" w:afterAutospacing="1"/>
      <w:ind w:left="567" w:hanging="567"/>
      <w:jc w:val="left"/>
      <w:textAlignment w:val="baseline"/>
    </w:pPr>
    <w:rPr>
      <w:rFonts w:ascii="Arial" w:hAnsi="Arial"/>
      <w:b w:val="0"/>
      <w:kern w:val="0"/>
      <w:sz w:val="30"/>
    </w:rPr>
  </w:style>
  <w:style w:type="paragraph" w:customStyle="1" w:styleId="333">
    <w:name w:val="无列表1"/>
    <w:basedOn w:val="1"/>
    <w:next w:val="1"/>
    <w:qFormat/>
    <w:uiPriority w:val="0"/>
    <w:pPr>
      <w:widowControl/>
      <w:jc w:val="left"/>
    </w:pPr>
    <w:rPr>
      <w:color w:val="000000"/>
      <w:kern w:val="0"/>
    </w:rPr>
  </w:style>
  <w:style w:type="paragraph" w:customStyle="1" w:styleId="334">
    <w:name w:val="xl82"/>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335">
    <w:name w:val=" Char Char1 Char Char Char Char Char Char Char Char"/>
    <w:basedOn w:val="1"/>
    <w:qFormat/>
    <w:uiPriority w:val="0"/>
    <w:pPr>
      <w:widowControl/>
      <w:spacing w:after="160" w:line="240" w:lineRule="exact"/>
      <w:jc w:val="left"/>
    </w:pPr>
    <w:rPr>
      <w:sz w:val="21"/>
      <w:szCs w:val="24"/>
    </w:rPr>
  </w:style>
  <w:style w:type="paragraph" w:customStyle="1" w:styleId="336">
    <w:name w:val="标题5"/>
    <w:basedOn w:val="5"/>
    <w:next w:val="1"/>
    <w:qFormat/>
    <w:uiPriority w:val="0"/>
    <w:pPr>
      <w:keepLines w:val="0"/>
      <w:tabs>
        <w:tab w:val="clear" w:pos="1198"/>
      </w:tabs>
      <w:spacing w:before="312" w:beforeLines="100"/>
      <w:ind w:left="0" w:firstLine="0"/>
    </w:pPr>
    <w:rPr>
      <w:rFonts w:ascii="宋体" w:hAnsi="宋体"/>
      <w:bCs/>
      <w:sz w:val="24"/>
      <w:szCs w:val="24"/>
      <w:lang w:val="en-US" w:eastAsia="zh-CN"/>
    </w:rPr>
  </w:style>
  <w:style w:type="paragraph" w:customStyle="1" w:styleId="337">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38">
    <w:name w:val="PlainText"/>
    <w:basedOn w:val="1"/>
    <w:next w:val="1"/>
    <w:qFormat/>
    <w:uiPriority w:val="0"/>
    <w:rPr>
      <w:rFonts w:ascii="宋体" w:hAnsi="Courier New"/>
      <w:sz w:val="21"/>
    </w:rPr>
  </w:style>
  <w:style w:type="paragraph" w:customStyle="1" w:styleId="339">
    <w:name w:val="My标题1"/>
    <w:basedOn w:val="3"/>
    <w:next w:val="1"/>
    <w:qFormat/>
    <w:uiPriority w:val="0"/>
    <w:pPr>
      <w:keepNext/>
      <w:keepLines/>
      <w:pageBreakBefore w:val="0"/>
      <w:widowControl w:val="0"/>
      <w:numPr>
        <w:ilvl w:val="0"/>
        <w:numId w:val="0"/>
      </w:numPr>
      <w:tabs>
        <w:tab w:val="left" w:pos="425"/>
        <w:tab w:val="clear" w:pos="478"/>
      </w:tabs>
      <w:autoSpaceDE/>
      <w:autoSpaceDN/>
      <w:adjustRightInd w:val="0"/>
      <w:spacing w:before="120" w:beforeLines="0" w:beforeAutospacing="0" w:after="360" w:afterLines="0" w:afterAutospacing="0" w:line="360" w:lineRule="auto"/>
      <w:ind w:left="425" w:hanging="425"/>
      <w:jc w:val="left"/>
      <w:textAlignment w:val="baseline"/>
    </w:pPr>
    <w:rPr>
      <w:rFonts w:hint="default" w:ascii="Arial" w:hAnsi="Arial"/>
      <w:b/>
      <w:color w:val="auto"/>
      <w:kern w:val="44"/>
      <w:sz w:val="32"/>
    </w:rPr>
  </w:style>
  <w:style w:type="paragraph" w:customStyle="1" w:styleId="340">
    <w:name w:val="Plain Text"/>
    <w:basedOn w:val="141"/>
    <w:qFormat/>
    <w:uiPriority w:val="0"/>
    <w:pPr>
      <w:numPr>
        <w:ilvl w:val="0"/>
        <w:numId w:val="9"/>
      </w:numPr>
      <w:autoSpaceDE w:val="0"/>
      <w:autoSpaceDN w:val="0"/>
      <w:adjustRightInd w:val="0"/>
      <w:ind w:left="0" w:firstLine="0"/>
      <w:textAlignment w:val="baseline"/>
    </w:pPr>
    <w:rPr>
      <w:rFonts w:ascii="宋体" w:hAnsi="Tms Rmn"/>
      <w:kern w:val="0"/>
      <w:sz w:val="21"/>
    </w:rPr>
  </w:style>
  <w:style w:type="paragraph" w:customStyle="1" w:styleId="341">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color w:val="000000"/>
      <w:kern w:val="0"/>
      <w:sz w:val="21"/>
    </w:rPr>
  </w:style>
  <w:style w:type="paragraph" w:customStyle="1" w:styleId="342">
    <w:name w:val="正文文本缩进1"/>
    <w:basedOn w:val="1"/>
    <w:next w:val="1"/>
    <w:qFormat/>
    <w:uiPriority w:val="0"/>
    <w:pPr>
      <w:widowControl/>
      <w:spacing w:after="120" w:afterLines="0" w:afterAutospacing="0"/>
      <w:ind w:left="420"/>
    </w:pPr>
    <w:rPr>
      <w:color w:val="000000"/>
      <w:sz w:val="21"/>
    </w:rPr>
  </w:style>
  <w:style w:type="paragraph" w:customStyle="1" w:styleId="343">
    <w:name w:val="my标题5"/>
    <w:basedOn w:val="1"/>
    <w:qFormat/>
    <w:uiPriority w:val="0"/>
    <w:pPr>
      <w:tabs>
        <w:tab w:val="left" w:pos="992"/>
      </w:tabs>
      <w:ind w:left="992" w:hanging="992"/>
    </w:pPr>
  </w:style>
  <w:style w:type="paragraph" w:customStyle="1" w:styleId="344">
    <w:name w:val="无缩进正文"/>
    <w:basedOn w:val="1"/>
    <w:qFormat/>
    <w:uiPriority w:val="0"/>
    <w:pPr>
      <w:adjustRightInd w:val="0"/>
      <w:textAlignment w:val="baseline"/>
    </w:pPr>
    <w:rPr>
      <w:kern w:val="0"/>
      <w:sz w:val="21"/>
    </w:rPr>
  </w:style>
  <w:style w:type="paragraph" w:customStyle="1" w:styleId="345">
    <w:name w:val="xl84"/>
    <w:basedOn w:val="1"/>
    <w:qFormat/>
    <w:uiPriority w:val="0"/>
    <w:pPr>
      <w:widowControl/>
      <w:shd w:val="clear" w:color="auto" w:fill="C0C0C0"/>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34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48">
    <w:name w:val="正文文字3"/>
    <w:basedOn w:val="1"/>
    <w:qFormat/>
    <w:uiPriority w:val="0"/>
    <w:pPr>
      <w:spacing w:before="60" w:beforeLines="0" w:after="60" w:afterLines="0" w:line="500" w:lineRule="exact"/>
      <w:ind w:left="1020" w:firstLine="592"/>
    </w:pPr>
    <w:rPr>
      <w:sz w:val="28"/>
    </w:rPr>
  </w:style>
  <w:style w:type="paragraph" w:customStyle="1" w:styleId="349">
    <w:name w:val="List Paragraph1"/>
    <w:basedOn w:val="1"/>
    <w:qFormat/>
    <w:uiPriority w:val="99"/>
    <w:pPr>
      <w:ind w:firstLine="420" w:firstLineChars="200"/>
    </w:pPr>
    <w:rPr>
      <w:szCs w:val="21"/>
    </w:rPr>
  </w:style>
  <w:style w:type="paragraph" w:customStyle="1" w:styleId="350">
    <w:name w:val="正文3"/>
    <w:basedOn w:val="1"/>
    <w:autoRedefine/>
    <w:qFormat/>
    <w:uiPriority w:val="0"/>
    <w:pPr>
      <w:spacing w:before="60" w:beforeLines="0" w:beforeAutospacing="0" w:after="60" w:afterLines="0" w:afterAutospacing="0" w:line="360" w:lineRule="auto"/>
      <w:outlineLvl w:val="8"/>
    </w:pPr>
  </w:style>
  <w:style w:type="paragraph" w:customStyle="1" w:styleId="35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2">
    <w:name w:val="无列表2"/>
    <w:basedOn w:val="1"/>
    <w:next w:val="1"/>
    <w:qFormat/>
    <w:uiPriority w:val="0"/>
    <w:pPr>
      <w:jc w:val="left"/>
    </w:pPr>
    <w:rPr>
      <w:color w:val="000000"/>
      <w:kern w:val="0"/>
    </w:rPr>
  </w:style>
  <w:style w:type="paragraph" w:customStyle="1" w:styleId="353">
    <w:name w:val="正文文字缩进2"/>
    <w:basedOn w:val="31"/>
    <w:qFormat/>
    <w:uiPriority w:val="0"/>
    <w:pPr>
      <w:autoSpaceDE/>
      <w:autoSpaceDN/>
      <w:spacing w:before="100" w:beforeLines="0" w:beforeAutospacing="1" w:after="100" w:afterLines="0" w:afterAutospacing="1" w:line="400" w:lineRule="atLeast"/>
      <w:ind w:left="400" w:leftChars="400"/>
      <w:jc w:val="both"/>
      <w:textAlignment w:val="baseline"/>
    </w:pPr>
    <w:rPr>
      <w:rFonts w:ascii="Times New Roman"/>
      <w:color w:val="auto"/>
    </w:rPr>
  </w:style>
  <w:style w:type="paragraph" w:customStyle="1" w:styleId="3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55">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56">
    <w:name w:val="xl39"/>
    <w:basedOn w:val="1"/>
    <w:qFormat/>
    <w:uiPriority w:val="0"/>
    <w:pPr>
      <w:widowControl/>
      <w:spacing w:before="100" w:beforeLines="0" w:beforeAutospacing="1" w:after="100" w:afterLines="0" w:afterAutospacing="1"/>
      <w:jc w:val="center"/>
    </w:pPr>
    <w:rPr>
      <w:rFonts w:hint="eastAsia" w:ascii="宋体" w:hAnsi="宋体"/>
      <w:kern w:val="0"/>
    </w:rPr>
  </w:style>
  <w:style w:type="paragraph" w:customStyle="1" w:styleId="357">
    <w:name w:val="xl93"/>
    <w:basedOn w:val="1"/>
    <w:qFormat/>
    <w:uiPriority w:val="0"/>
    <w:pPr>
      <w:widowControl/>
      <w:shd w:val="clear" w:color="auto" w:fill="99CCFF"/>
      <w:spacing w:before="100" w:beforeLines="0" w:beforeAutospacing="1" w:after="100" w:afterLines="0" w:afterAutospacing="1"/>
      <w:jc w:val="left"/>
    </w:pPr>
    <w:rPr>
      <w:rFonts w:ascii="宋体" w:hAnsi="宋体" w:cs="宋体"/>
      <w:b/>
      <w:bCs/>
      <w:color w:val="000000"/>
      <w:kern w:val="0"/>
      <w:szCs w:val="24"/>
    </w:rPr>
  </w:style>
  <w:style w:type="paragraph" w:customStyle="1" w:styleId="358">
    <w:name w:val="Char Char Char Char Char Char Char"/>
    <w:basedOn w:val="1"/>
    <w:qFormat/>
    <w:uiPriority w:val="0"/>
    <w:pPr>
      <w:widowControl/>
      <w:spacing w:after="160" w:afterLines="0" w:afterAutospacing="0" w:line="240" w:lineRule="exact"/>
      <w:jc w:val="left"/>
    </w:pPr>
    <w:rPr>
      <w:rFonts w:ascii="Arial" w:hAnsi="Arial" w:eastAsia="Times New Roman"/>
      <w:b/>
      <w:kern w:val="0"/>
      <w:lang w:eastAsia="en-US"/>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360">
    <w:name w:val="样式 仿宋_GB2312 行距: 1.5 倍行距"/>
    <w:basedOn w:val="1"/>
    <w:qFormat/>
    <w:uiPriority w:val="0"/>
    <w:pPr>
      <w:spacing w:line="360" w:lineRule="auto"/>
      <w:ind w:firstLine="480" w:firstLineChars="200"/>
    </w:pPr>
    <w:rPr>
      <w:rFonts w:ascii="宋体" w:hAnsi="宋体"/>
    </w:rPr>
  </w:style>
  <w:style w:type="paragraph" w:customStyle="1" w:styleId="361">
    <w:name w:val="正文缩进 3"/>
    <w:basedOn w:val="1"/>
    <w:qFormat/>
    <w:uiPriority w:val="0"/>
    <w:pPr>
      <w:adjustRightInd w:val="0"/>
      <w:spacing w:line="400" w:lineRule="atLeast"/>
      <w:ind w:left="600" w:leftChars="600" w:firstLine="454"/>
      <w:textAlignment w:val="baseline"/>
    </w:pPr>
    <w:rPr>
      <w:kern w:val="0"/>
    </w:rPr>
  </w:style>
  <w:style w:type="paragraph" w:customStyle="1" w:styleId="362">
    <w:name w:val="font17"/>
    <w:basedOn w:val="1"/>
    <w:qFormat/>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363">
    <w:name w:val="页码1"/>
    <w:basedOn w:val="1"/>
    <w:next w:val="1"/>
    <w:qFormat/>
    <w:uiPriority w:val="0"/>
    <w:pPr>
      <w:widowControl/>
    </w:pPr>
    <w:rPr>
      <w:color w:val="000000"/>
      <w:sz w:val="21"/>
    </w:rPr>
  </w:style>
  <w:style w:type="paragraph" w:customStyle="1" w:styleId="364">
    <w:name w:val="xl75"/>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65">
    <w:name w:val="My标题2"/>
    <w:basedOn w:val="2"/>
    <w:next w:val="1"/>
    <w:qFormat/>
    <w:uiPriority w:val="0"/>
    <w:pPr>
      <w:numPr>
        <w:ilvl w:val="0"/>
        <w:numId w:val="0"/>
      </w:numPr>
      <w:tabs>
        <w:tab w:val="left" w:pos="720"/>
        <w:tab w:val="clear" w:pos="358"/>
      </w:tabs>
      <w:adjustRightInd w:val="0"/>
      <w:spacing w:before="360" w:beforeLines="0" w:beforeAutospacing="0" w:after="120" w:afterLines="0" w:afterAutospacing="0"/>
      <w:ind w:left="567" w:hanging="567"/>
      <w:jc w:val="left"/>
      <w:textAlignment w:val="baseline"/>
    </w:pPr>
    <w:rPr>
      <w:rFonts w:ascii="Arial" w:hAnsi="Arial"/>
      <w:kern w:val="0"/>
      <w:sz w:val="24"/>
    </w:rPr>
  </w:style>
  <w:style w:type="paragraph" w:customStyle="1" w:styleId="366">
    <w:name w:val="xl76"/>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367">
    <w:name w:val="standdate"/>
    <w:basedOn w:val="49"/>
    <w:qFormat/>
    <w:uiPriority w:val="0"/>
    <w:rPr>
      <w:szCs w:val="18"/>
      <w:lang w:val="en-US" w:eastAsia="zh-CN"/>
    </w:rPr>
  </w:style>
  <w:style w:type="paragraph" w:customStyle="1" w:styleId="368">
    <w:name w:val="xl10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69">
    <w:name w:val="xl38"/>
    <w:basedOn w:val="1"/>
    <w:autoRedefine/>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370">
    <w:name w:val="font20"/>
    <w:basedOn w:val="1"/>
    <w:qFormat/>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371">
    <w:name w:val="font6"/>
    <w:basedOn w:val="1"/>
    <w:qFormat/>
    <w:uiPriority w:val="0"/>
    <w:pPr>
      <w:widowControl/>
      <w:adjustRightInd w:val="0"/>
      <w:spacing w:before="100" w:beforeLines="0" w:after="100" w:afterLines="0"/>
      <w:jc w:val="left"/>
      <w:textAlignment w:val="baseline"/>
    </w:pPr>
    <w:rPr>
      <w:color w:val="000000"/>
      <w:kern w:val="0"/>
      <w:sz w:val="21"/>
    </w:rPr>
  </w:style>
  <w:style w:type="paragraph" w:customStyle="1" w:styleId="372">
    <w:name w:val=" Char Char Char Char Char Char Char Char Char Char"/>
    <w:basedOn w:val="1"/>
    <w:qFormat/>
    <w:uiPriority w:val="0"/>
    <w:rPr>
      <w:sz w:val="21"/>
    </w:rPr>
  </w:style>
  <w:style w:type="paragraph" w:customStyle="1" w:styleId="373">
    <w:name w:val="图脚"/>
    <w:basedOn w:val="1"/>
    <w:qFormat/>
    <w:uiPriority w:val="0"/>
    <w:pPr>
      <w:tabs>
        <w:tab w:val="left" w:pos="900"/>
      </w:tabs>
      <w:ind w:left="900" w:hanging="420"/>
      <w:jc w:val="center"/>
    </w:pPr>
    <w:rPr>
      <w:rFonts w:eastAsia="黑体"/>
    </w:rPr>
  </w:style>
  <w:style w:type="paragraph" w:customStyle="1" w:styleId="374">
    <w:name w:val="Headings Font"/>
    <w:basedOn w:val="1"/>
    <w:next w:val="31"/>
    <w:qFormat/>
    <w:uiPriority w:val="0"/>
    <w:pPr>
      <w:keepNext/>
      <w:spacing w:line="280" w:lineRule="atLeast"/>
      <w:jc w:val="left"/>
    </w:pPr>
    <w:rPr>
      <w:rFonts w:ascii="Arial" w:hAnsi="Arial"/>
      <w:kern w:val="0"/>
      <w:sz w:val="22"/>
      <w:szCs w:val="24"/>
      <w:lang w:val="en-GB"/>
    </w:rPr>
  </w:style>
  <w:style w:type="paragraph" w:customStyle="1" w:styleId="375">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76">
    <w:name w:val="3 Char"/>
    <w:basedOn w:val="1"/>
    <w:qFormat/>
    <w:uiPriority w:val="0"/>
    <w:pPr>
      <w:widowControl/>
      <w:spacing w:line="400" w:lineRule="exact"/>
      <w:jc w:val="center"/>
    </w:pPr>
    <w:rPr>
      <w:rFonts w:ascii="Verdana" w:hAnsi="Verdana"/>
      <w:kern w:val="0"/>
      <w:sz w:val="21"/>
      <w:lang w:eastAsia="en-US"/>
    </w:rPr>
  </w:style>
  <w:style w:type="paragraph" w:customStyle="1" w:styleId="377">
    <w:name w:val="xl71"/>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78">
    <w:name w:val="正文文本1"/>
    <w:basedOn w:val="1"/>
    <w:qFormat/>
    <w:uiPriority w:val="0"/>
    <w:pPr>
      <w:spacing w:after="120" w:afterLines="0" w:afterAutospacing="0"/>
    </w:pPr>
    <w:rPr>
      <w:sz w:val="21"/>
    </w:rPr>
  </w:style>
  <w:style w:type="paragraph" w:customStyle="1" w:styleId="379">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color w:val="000000"/>
      <w:kern w:val="0"/>
      <w:sz w:val="21"/>
    </w:rPr>
  </w:style>
  <w:style w:type="paragraph" w:customStyle="1" w:styleId="380">
    <w:name w:val="样式编号"/>
    <w:basedOn w:val="31"/>
    <w:qFormat/>
    <w:uiPriority w:val="0"/>
    <w:pPr>
      <w:widowControl/>
      <w:autoSpaceDE/>
      <w:autoSpaceDN/>
      <w:adjustRightInd/>
      <w:spacing w:after="156" w:afterLines="50" w:line="300" w:lineRule="auto"/>
      <w:jc w:val="both"/>
    </w:pPr>
    <w:rPr>
      <w:rFonts w:ascii="Times New Roman" w:eastAsia="仿宋_GB2312"/>
      <w:color w:val="auto"/>
      <w:spacing w:val="-10"/>
      <w:szCs w:val="24"/>
      <w:lang w:val="en-US" w:eastAsia="zh-CN"/>
    </w:rPr>
  </w:style>
  <w:style w:type="paragraph" w:customStyle="1" w:styleId="381">
    <w:name w:val="xl10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382">
    <w:name w:val="目录"/>
    <w:basedOn w:val="1"/>
    <w:qFormat/>
    <w:uiPriority w:val="0"/>
    <w:pPr>
      <w:widowControl/>
      <w:spacing w:line="480" w:lineRule="auto"/>
      <w:jc w:val="center"/>
    </w:pPr>
    <w:rPr>
      <w:rFonts w:ascii="宋体"/>
      <w:b/>
      <w:kern w:val="0"/>
    </w:rPr>
  </w:style>
  <w:style w:type="paragraph" w:customStyle="1" w:styleId="383">
    <w:name w:val="已访问的超链接1"/>
    <w:basedOn w:val="1"/>
    <w:next w:val="1"/>
    <w:qFormat/>
    <w:uiPriority w:val="0"/>
    <w:pPr>
      <w:widowControl/>
    </w:pPr>
    <w:rPr>
      <w:color w:val="800080"/>
      <w:sz w:val="21"/>
      <w:u w:val="single" w:color="000000"/>
    </w:rPr>
  </w:style>
  <w:style w:type="paragraph" w:customStyle="1" w:styleId="384">
    <w:name w:val="xl86"/>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385">
    <w:name w:val="font7"/>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386">
    <w:name w:val="文档正文（外部）"/>
    <w:basedOn w:val="1"/>
    <w:qFormat/>
    <w:uiPriority w:val="0"/>
    <w:pPr>
      <w:spacing w:line="360" w:lineRule="auto"/>
    </w:pPr>
    <w:rPr>
      <w:sz w:val="28"/>
    </w:rPr>
  </w:style>
  <w:style w:type="paragraph" w:customStyle="1" w:styleId="387">
    <w:name w:val="xl95"/>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388">
    <w:name w:val="样式 样式 正文首行缩进 2 + 首行缩进:  2 字符 + 首行缩进:  2 字符"/>
    <w:basedOn w:val="1"/>
    <w:qFormat/>
    <w:uiPriority w:val="0"/>
    <w:pPr>
      <w:spacing w:line="360" w:lineRule="auto"/>
      <w:ind w:firstLine="480" w:firstLineChars="200"/>
    </w:pPr>
  </w:style>
  <w:style w:type="paragraph" w:customStyle="1" w:styleId="389">
    <w:name w:val="xl105"/>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90">
    <w:name w:val="产品正文 Char1 Char"/>
    <w:basedOn w:val="1"/>
    <w:qFormat/>
    <w:uiPriority w:val="0"/>
    <w:pPr>
      <w:numPr>
        <w:ilvl w:val="0"/>
        <w:numId w:val="10"/>
      </w:numPr>
      <w:spacing w:line="360" w:lineRule="auto"/>
      <w:ind w:left="0" w:firstLine="200" w:firstLineChars="200"/>
    </w:pPr>
    <w:rPr>
      <w:bCs/>
      <w:sz w:val="18"/>
      <w:szCs w:val="18"/>
    </w:rPr>
  </w:style>
  <w:style w:type="paragraph" w:customStyle="1" w:styleId="391">
    <w:name w:val="章节标题1"/>
    <w:basedOn w:val="1"/>
    <w:next w:val="115"/>
    <w:qFormat/>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392">
    <w:name w:val="文本正文"/>
    <w:basedOn w:val="1"/>
    <w:qFormat/>
    <w:uiPriority w:val="0"/>
    <w:pPr>
      <w:spacing w:before="156" w:beforeLines="0" w:beforeAutospacing="0" w:after="156" w:afterLines="0" w:afterAutospacing="0" w:line="360" w:lineRule="auto"/>
      <w:ind w:firstLine="480"/>
    </w:pPr>
    <w:rPr>
      <w:color w:val="000000"/>
      <w:sz w:val="21"/>
    </w:rPr>
  </w:style>
  <w:style w:type="paragraph" w:customStyle="1" w:styleId="393">
    <w:name w:val=" Char Char Char"/>
    <w:basedOn w:val="1"/>
    <w:qFormat/>
    <w:uiPriority w:val="0"/>
    <w:rPr>
      <w:rFonts w:ascii="Tahoma" w:hAnsi="Tahoma"/>
    </w:rPr>
  </w:style>
  <w:style w:type="paragraph" w:customStyle="1" w:styleId="394">
    <w:name w:val="样式3"/>
    <w:basedOn w:val="1"/>
    <w:qFormat/>
    <w:uiPriority w:val="0"/>
    <w:pPr>
      <w:ind w:left="1980"/>
    </w:pPr>
    <w:rPr>
      <w:sz w:val="21"/>
    </w:rPr>
  </w:style>
  <w:style w:type="paragraph" w:customStyle="1" w:styleId="395">
    <w:name w:val="样式 首行缩进:  0.74 厘米"/>
    <w:basedOn w:val="1"/>
    <w:qFormat/>
    <w:uiPriority w:val="0"/>
    <w:pPr>
      <w:spacing w:line="360" w:lineRule="auto"/>
      <w:ind w:firstLine="420"/>
    </w:pPr>
    <w:rPr>
      <w:sz w:val="21"/>
    </w:rPr>
  </w:style>
  <w:style w:type="paragraph" w:customStyle="1" w:styleId="396">
    <w:name w:val="myp1111"/>
    <w:basedOn w:val="1"/>
    <w:next w:val="1"/>
    <w:qFormat/>
    <w:uiPriority w:val="0"/>
    <w:pPr>
      <w:widowControl/>
    </w:pPr>
    <w:rPr>
      <w:rFonts w:ascii="ˎ̥" w:hAnsi="ˎ̥"/>
      <w:color w:val="000000"/>
      <w:sz w:val="20"/>
    </w:rPr>
  </w:style>
  <w:style w:type="paragraph" w:customStyle="1" w:styleId="397">
    <w:name w:val="正文字缩2字"/>
    <w:basedOn w:val="1"/>
    <w:qFormat/>
    <w:uiPriority w:val="0"/>
    <w:pPr>
      <w:spacing w:before="60" w:beforeLines="0" w:beforeAutospacing="0" w:after="60" w:afterLines="0" w:afterAutospacing="0" w:line="360" w:lineRule="auto"/>
      <w:ind w:left="200" w:leftChars="200" w:firstLine="200" w:firstLineChars="200"/>
    </w:pPr>
  </w:style>
  <w:style w:type="paragraph" w:customStyle="1" w:styleId="398">
    <w:name w:val="文字缩进 3"/>
    <w:basedOn w:val="31"/>
    <w:qFormat/>
    <w:uiPriority w:val="0"/>
    <w:pPr>
      <w:autoSpaceDE/>
      <w:autoSpaceDN/>
      <w:spacing w:before="100" w:beforeLines="0" w:beforeAutospacing="1" w:after="100" w:afterLines="0" w:afterAutospacing="1" w:line="400" w:lineRule="atLeast"/>
      <w:ind w:left="1276"/>
      <w:jc w:val="both"/>
      <w:textAlignment w:val="baseline"/>
    </w:pPr>
    <w:rPr>
      <w:rFonts w:ascii="Times New Roman"/>
      <w:color w:val="auto"/>
    </w:rPr>
  </w:style>
  <w:style w:type="paragraph" w:customStyle="1" w:styleId="399">
    <w:name w:val="xl92"/>
    <w:basedOn w:val="1"/>
    <w:qFormat/>
    <w:uiPriority w:val="0"/>
    <w:pPr>
      <w:widowControl/>
      <w:spacing w:before="100" w:beforeLines="0" w:beforeAutospacing="1" w:after="100" w:afterLines="0" w:afterAutospacing="1"/>
      <w:jc w:val="center"/>
    </w:pPr>
    <w:rPr>
      <w:rFonts w:ascii="宋体" w:hAnsi="宋体" w:cs="宋体"/>
      <w:kern w:val="0"/>
      <w:szCs w:val="24"/>
    </w:rPr>
  </w:style>
  <w:style w:type="paragraph" w:customStyle="1" w:styleId="400">
    <w:name w:val="样式 首行缩进:  0.85 厘米"/>
    <w:basedOn w:val="1"/>
    <w:qFormat/>
    <w:uiPriority w:val="0"/>
    <w:pPr>
      <w:tabs>
        <w:tab w:val="left" w:pos="1080"/>
        <w:tab w:val="left" w:pos="1200"/>
      </w:tabs>
      <w:spacing w:before="156" w:beforeLines="50" w:beforeAutospacing="0" w:after="156" w:afterLines="50" w:afterAutospacing="0" w:line="360" w:lineRule="auto"/>
      <w:ind w:left="420" w:firstLine="120"/>
      <w:jc w:val="left"/>
    </w:pPr>
    <w:rPr>
      <w:rFonts w:ascii="Arial"/>
    </w:rPr>
  </w:style>
  <w:style w:type="paragraph" w:customStyle="1" w:styleId="401">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02">
    <w:name w:val=" Char Char Char Char Char Char Char"/>
    <w:basedOn w:val="1"/>
    <w:qFormat/>
    <w:uiPriority w:val="0"/>
    <w:rPr>
      <w:rFonts w:ascii="仿宋_GB2312" w:eastAsia="仿宋_GB2312"/>
      <w:b/>
      <w:sz w:val="32"/>
    </w:rPr>
  </w:style>
  <w:style w:type="paragraph" w:customStyle="1" w:styleId="403">
    <w:name w:val="xl88"/>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04">
    <w:name w:val="列表编号 31"/>
    <w:basedOn w:val="1"/>
    <w:next w:val="1"/>
    <w:qFormat/>
    <w:uiPriority w:val="0"/>
    <w:pPr>
      <w:widowControl/>
      <w:tabs>
        <w:tab w:val="left" w:pos="482"/>
        <w:tab w:val="left" w:pos="840"/>
      </w:tabs>
      <w:spacing w:after="50" w:afterLines="0" w:afterAutospacing="0"/>
      <w:ind w:left="482" w:hanging="340"/>
      <w:jc w:val="left"/>
    </w:pPr>
    <w:rPr>
      <w:color w:val="000000"/>
      <w:kern w:val="0"/>
    </w:rPr>
  </w:style>
  <w:style w:type="paragraph" w:customStyle="1" w:styleId="405">
    <w:name w:val="font1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406">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07">
    <w:name w:val="表正文"/>
    <w:basedOn w:val="1"/>
    <w:next w:val="41"/>
    <w:qFormat/>
    <w:uiPriority w:val="0"/>
    <w:rPr>
      <w:rFonts w:ascii="宋体" w:hAnsi="Courier New"/>
      <w:sz w:val="21"/>
    </w:rPr>
  </w:style>
  <w:style w:type="paragraph" w:customStyle="1" w:styleId="408">
    <w:name w:val="文字缩进"/>
    <w:basedOn w:val="31"/>
    <w:qFormat/>
    <w:uiPriority w:val="0"/>
    <w:pPr>
      <w:autoSpaceDE/>
      <w:autoSpaceDN/>
      <w:spacing w:before="100" w:beforeLines="0" w:beforeAutospacing="1" w:after="100" w:afterLines="0" w:afterAutospacing="1" w:line="400" w:lineRule="atLeast"/>
      <w:ind w:left="425"/>
      <w:jc w:val="both"/>
      <w:textAlignment w:val="baseline"/>
    </w:pPr>
    <w:rPr>
      <w:rFonts w:ascii="Times New Roman"/>
      <w:color w:val="auto"/>
    </w:rPr>
  </w:style>
  <w:style w:type="paragraph" w:customStyle="1" w:styleId="409">
    <w:name w:val="Char Char Char Char Char Char Char Char Char Char Char Char Char Char Char"/>
    <w:basedOn w:val="1"/>
    <w:qFormat/>
    <w:uiPriority w:val="0"/>
    <w:pPr>
      <w:widowControl/>
      <w:spacing w:line="400" w:lineRule="exact"/>
      <w:jc w:val="center"/>
    </w:pPr>
    <w:rPr>
      <w:rFonts w:ascii="Verdana" w:hAnsi="Verdana"/>
      <w:kern w:val="0"/>
      <w:sz w:val="21"/>
      <w:lang w:eastAsia="en-US"/>
    </w:rPr>
  </w:style>
  <w:style w:type="paragraph" w:customStyle="1" w:styleId="410">
    <w:name w:val="文本正文2"/>
    <w:basedOn w:val="1"/>
    <w:qFormat/>
    <w:uiPriority w:val="0"/>
    <w:pPr>
      <w:spacing w:before="156" w:beforeLines="0" w:beforeAutospacing="0" w:after="156" w:afterLines="0" w:afterAutospacing="0" w:line="360" w:lineRule="auto"/>
    </w:pPr>
    <w:rPr>
      <w:color w:val="000000"/>
      <w:sz w:val="21"/>
    </w:rPr>
  </w:style>
  <w:style w:type="paragraph" w:customStyle="1" w:styleId="411">
    <w:name w:val="My编号1"/>
    <w:basedOn w:val="1"/>
    <w:qFormat/>
    <w:uiPriority w:val="0"/>
    <w:pPr>
      <w:adjustRightInd w:val="0"/>
      <w:spacing w:before="120" w:beforeLines="0" w:beforeAutospacing="0" w:line="360" w:lineRule="auto"/>
      <w:textAlignment w:val="baseline"/>
    </w:pPr>
    <w:rPr>
      <w:rFonts w:ascii="Arial" w:hAnsi="Arial"/>
      <w:kern w:val="0"/>
    </w:rPr>
  </w:style>
  <w:style w:type="paragraph" w:customStyle="1" w:styleId="412">
    <w:name w:val="页头专用"/>
    <w:basedOn w:val="1"/>
    <w:next w:val="1"/>
    <w:qFormat/>
    <w:uiPriority w:val="0"/>
    <w:pPr>
      <w:spacing w:line="360" w:lineRule="auto"/>
      <w:ind w:firstLine="200" w:firstLineChars="200"/>
      <w:jc w:val="left"/>
    </w:pPr>
    <w:rPr>
      <w:rFonts w:ascii="宋体" w:hAnsi="宋体"/>
      <w:b/>
      <w:sz w:val="28"/>
      <w:szCs w:val="24"/>
      <w:u w:val="single"/>
    </w:rPr>
  </w:style>
  <w:style w:type="paragraph" w:customStyle="1" w:styleId="413">
    <w:name w:val="正文首行缩进 21"/>
    <w:basedOn w:val="1"/>
    <w:next w:val="1"/>
    <w:autoRedefine/>
    <w:qFormat/>
    <w:uiPriority w:val="0"/>
    <w:pPr>
      <w:widowControl/>
      <w:spacing w:after="120" w:afterLines="0" w:afterAutospacing="0"/>
      <w:ind w:firstLine="210"/>
    </w:pPr>
    <w:rPr>
      <w:color w:val="000000"/>
      <w:sz w:val="21"/>
    </w:rPr>
  </w:style>
  <w:style w:type="paragraph" w:customStyle="1" w:styleId="414">
    <w:name w:val="xl87"/>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15">
    <w:name w:val="正文图标题"/>
    <w:next w:val="121"/>
    <w:qFormat/>
    <w:uiPriority w:val="0"/>
    <w:pPr>
      <w:jc w:val="center"/>
    </w:pPr>
    <w:rPr>
      <w:rFonts w:ascii="黑体" w:hAnsi="Times New Roman" w:eastAsia="黑体" w:cs="Times New Roman"/>
      <w:sz w:val="21"/>
      <w:lang w:val="en-US" w:eastAsia="zh-CN" w:bidi="ar-SA"/>
    </w:rPr>
  </w:style>
  <w:style w:type="paragraph" w:customStyle="1" w:styleId="416">
    <w:name w:val="普通表格1"/>
    <w:basedOn w:val="1"/>
    <w:next w:val="1"/>
    <w:qFormat/>
    <w:uiPriority w:val="0"/>
    <w:pPr>
      <w:widowControl/>
      <w:jc w:val="left"/>
    </w:pPr>
    <w:rPr>
      <w:color w:val="000000"/>
      <w:kern w:val="0"/>
    </w:rPr>
  </w:style>
  <w:style w:type="paragraph" w:customStyle="1" w:styleId="417">
    <w:name w:val=" Char Char Char Char Char Char Char Char Char Char Char Char Char Char Char Char"/>
    <w:basedOn w:val="1"/>
    <w:qFormat/>
    <w:uiPriority w:val="0"/>
    <w:rPr>
      <w:rFonts w:ascii="Tahoma" w:hAnsi="Tahoma"/>
    </w:rPr>
  </w:style>
  <w:style w:type="paragraph" w:customStyle="1" w:styleId="418">
    <w:name w:val="表格2"/>
    <w:basedOn w:val="1"/>
    <w:qFormat/>
    <w:uiPriority w:val="0"/>
    <w:pPr>
      <w:keepLines/>
      <w:widowControl/>
      <w:topLinePunct/>
      <w:adjustRightInd w:val="0"/>
      <w:snapToGrid w:val="0"/>
      <w:spacing w:before="100" w:beforeAutospacing="1" w:after="100" w:afterAutospacing="1"/>
    </w:pPr>
    <w:rPr>
      <w:rFonts w:ascii="宋体" w:hAnsi="宋体"/>
      <w:kern w:val="0"/>
      <w:szCs w:val="21"/>
    </w:rPr>
  </w:style>
  <w:style w:type="paragraph" w:styleId="419">
    <w:name w:val="List Paragraph"/>
    <w:basedOn w:val="1"/>
    <w:qFormat/>
    <w:uiPriority w:val="34"/>
    <w:pPr>
      <w:ind w:firstLine="420" w:firstLineChars="200"/>
    </w:pPr>
    <w:rPr>
      <w:rFonts w:ascii="Verdana" w:hAnsi="Verdana" w:eastAsia="微软雅黑"/>
      <w:sz w:val="21"/>
    </w:rPr>
  </w:style>
  <w:style w:type="paragraph" w:customStyle="1" w:styleId="420">
    <w:name w:val="样式 标题 22nd levelh22Header 2H2 + 四号 段前: 6 磅 段后: 6 磅 行距: 1..."/>
    <w:basedOn w:val="2"/>
    <w:qFormat/>
    <w:uiPriority w:val="0"/>
    <w:pPr>
      <w:numPr>
        <w:ilvl w:val="0"/>
        <w:numId w:val="0"/>
      </w:numPr>
      <w:tabs>
        <w:tab w:val="left" w:pos="425"/>
        <w:tab w:val="clear" w:pos="358"/>
      </w:tabs>
      <w:spacing w:before="120" w:beforeLines="0" w:beforeAutospacing="0" w:after="120" w:afterLines="0" w:afterAutospacing="0"/>
      <w:ind w:left="425" w:hanging="425"/>
    </w:pPr>
    <w:rPr>
      <w:rFonts w:ascii="Arial" w:hAnsi="Arial"/>
      <w:sz w:val="28"/>
    </w:rPr>
  </w:style>
  <w:style w:type="paragraph" w:customStyle="1" w:styleId="421">
    <w:name w:val="样式 标题 1H1章节1l0Section HeadHeader1h1Level 1 HeadPIM 1He..."/>
    <w:basedOn w:val="3"/>
    <w:qFormat/>
    <w:uiPriority w:val="0"/>
    <w:pPr>
      <w:keepNext/>
      <w:keepLines/>
      <w:pageBreakBefore w:val="0"/>
      <w:widowControl w:val="0"/>
      <w:numPr>
        <w:ilvl w:val="0"/>
        <w:numId w:val="0"/>
      </w:numPr>
      <w:autoSpaceDE/>
      <w:autoSpaceDN/>
      <w:spacing w:before="340" w:beforeLines="0" w:beforeAutospacing="0" w:after="330" w:afterLines="0" w:afterAutospacing="0" w:line="576" w:lineRule="auto"/>
      <w:jc w:val="both"/>
    </w:pPr>
    <w:rPr>
      <w:rFonts w:hint="default" w:ascii="Times New Roman"/>
      <w:b/>
      <w:color w:val="auto"/>
      <w:kern w:val="44"/>
      <w:sz w:val="44"/>
    </w:rPr>
  </w:style>
  <w:style w:type="paragraph" w:customStyle="1" w:styleId="422">
    <w:name w:val="xl103"/>
    <w:basedOn w:val="1"/>
    <w:qFormat/>
    <w:uiPriority w:val="0"/>
    <w:pPr>
      <w:widowControl/>
      <w:spacing w:before="100" w:beforeLines="0" w:beforeAutospacing="1" w:after="100" w:afterLines="0" w:afterAutospacing="1"/>
      <w:jc w:val="left"/>
    </w:pPr>
    <w:rPr>
      <w:rFonts w:ascii="Arial" w:hAnsi="Arial" w:cs="Arial"/>
      <w:kern w:val="0"/>
      <w:szCs w:val="24"/>
    </w:rPr>
  </w:style>
  <w:style w:type="paragraph" w:customStyle="1" w:styleId="423">
    <w:name w:val="纯文本1"/>
    <w:basedOn w:val="1"/>
    <w:qFormat/>
    <w:uiPriority w:val="0"/>
    <w:pPr>
      <w:widowControl/>
      <w:tabs>
        <w:tab w:val="left" w:pos="840"/>
      </w:tabs>
      <w:spacing w:line="360" w:lineRule="auto"/>
      <w:ind w:left="840" w:hanging="420"/>
    </w:pPr>
    <w:rPr>
      <w:rFonts w:ascii="宋体"/>
      <w:color w:val="000000"/>
    </w:rPr>
  </w:style>
  <w:style w:type="paragraph" w:customStyle="1" w:styleId="424">
    <w:name w:val="xl77"/>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425">
    <w:name w:val="gb23121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26">
    <w:name w:val="华宇段落1"/>
    <w:basedOn w:val="1"/>
    <w:qFormat/>
    <w:uiPriority w:val="0"/>
    <w:pPr>
      <w:spacing w:before="156" w:beforeLines="50" w:after="156" w:afterLines="50" w:line="360" w:lineRule="auto"/>
      <w:ind w:firstLine="480" w:firstLineChars="200"/>
    </w:pPr>
    <w:rPr>
      <w:rFonts w:eastAsia="仿宋_GB2312"/>
      <w:bCs/>
      <w:sz w:val="28"/>
      <w:szCs w:val="24"/>
    </w:rPr>
  </w:style>
  <w:style w:type="paragraph" w:customStyle="1" w:styleId="427">
    <w:name w:val="标段"/>
    <w:basedOn w:val="1"/>
    <w:qFormat/>
    <w:uiPriority w:val="0"/>
    <w:pPr>
      <w:widowControl/>
      <w:topLinePunct/>
      <w:ind w:firstLine="200" w:firstLineChars="200"/>
      <w:outlineLvl w:val="1"/>
    </w:pPr>
    <w:rPr>
      <w:rFonts w:ascii="宋体" w:hAnsi="宋体"/>
      <w:kern w:val="0"/>
      <w:szCs w:val="21"/>
      <w:u w:val="thick"/>
    </w:rPr>
  </w:style>
  <w:style w:type="character" w:customStyle="1" w:styleId="428">
    <w:name w:val="正文段 Char"/>
    <w:link w:val="107"/>
    <w:qFormat/>
    <w:uiPriority w:val="0"/>
    <w:rPr>
      <w:sz w:val="24"/>
    </w:rPr>
  </w:style>
  <w:style w:type="character" w:customStyle="1" w:styleId="429">
    <w:name w:val="p121"/>
    <w:qFormat/>
    <w:uiPriority w:val="0"/>
    <w:rPr>
      <w:rFonts w:hint="default" w:ascii="_x000B__x000C_" w:hAnsi="_x000B__x000C_"/>
      <w:sz w:val="24"/>
      <w:szCs w:val="24"/>
    </w:rPr>
  </w:style>
  <w:style w:type="character" w:customStyle="1" w:styleId="430">
    <w:name w:val="highlight"/>
    <w:basedOn w:val="82"/>
    <w:qFormat/>
    <w:uiPriority w:val="0"/>
  </w:style>
  <w:style w:type="character" w:customStyle="1" w:styleId="431">
    <w:name w:val="正文文本缩进 Char"/>
    <w:link w:val="32"/>
    <w:qFormat/>
    <w:uiPriority w:val="99"/>
    <w:rPr>
      <w:rFonts w:ascii="宋体"/>
      <w:kern w:val="2"/>
      <w:sz w:val="24"/>
    </w:rPr>
  </w:style>
  <w:style w:type="character" w:customStyle="1" w:styleId="432">
    <w:name w:val="b1"/>
    <w:autoRedefine/>
    <w:qFormat/>
    <w:uiPriority w:val="0"/>
    <w:rPr>
      <w:rFonts w:hint="default" w:ascii="Courier New" w:hAnsi="Courier New"/>
      <w:b/>
      <w:color w:val="FF0000"/>
      <w:u w:val="none"/>
    </w:rPr>
  </w:style>
  <w:style w:type="character" w:customStyle="1" w:styleId="433">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434">
    <w:name w:val="标题 9 Char"/>
    <w:link w:val="11"/>
    <w:qFormat/>
    <w:uiPriority w:val="0"/>
    <w:rPr>
      <w:rFonts w:ascii="Arial" w:hAnsi="Arial" w:eastAsia="黑体"/>
      <w:kern w:val="2"/>
      <w:sz w:val="21"/>
      <w:lang w:val="en-US" w:eastAsia="zh-CN" w:bidi="ar-SA"/>
    </w:rPr>
  </w:style>
  <w:style w:type="character" w:customStyle="1" w:styleId="435">
    <w:name w:val="Footer Char"/>
    <w:qFormat/>
    <w:locked/>
    <w:uiPriority w:val="0"/>
    <w:rPr>
      <w:rFonts w:cs="Times New Roman"/>
      <w:sz w:val="18"/>
      <w:szCs w:val="18"/>
    </w:rPr>
  </w:style>
  <w:style w:type="character" w:customStyle="1" w:styleId="436">
    <w:name w:val="mc2"/>
    <w:qFormat/>
    <w:uiPriority w:val="0"/>
    <w:rPr>
      <w:color w:val="0E2DCD"/>
      <w:sz w:val="21"/>
      <w:szCs w:val="21"/>
    </w:rPr>
  </w:style>
  <w:style w:type="character" w:customStyle="1" w:styleId="437">
    <w:name w:val="样式 标题 4 + 小四 Char Char"/>
    <w:link w:val="95"/>
    <w:qFormat/>
    <w:uiPriority w:val="0"/>
    <w:rPr>
      <w:rFonts w:ascii="Arial" w:hAnsi="Arial" w:eastAsia="楷体_GB2312" w:cs="Arial"/>
      <w:b/>
      <w:bCs/>
      <w:kern w:val="2"/>
      <w:sz w:val="24"/>
      <w:szCs w:val="28"/>
      <w:lang w:val="en-US" w:eastAsia="zh-CN" w:bidi="ar-SA"/>
    </w:rPr>
  </w:style>
  <w:style w:type="character" w:customStyle="1" w:styleId="438">
    <w:name w:val="Char Char3"/>
    <w:qFormat/>
    <w:uiPriority w:val="0"/>
    <w:rPr>
      <w:rFonts w:eastAsia="宋体"/>
      <w:kern w:val="2"/>
      <w:sz w:val="21"/>
      <w:szCs w:val="24"/>
      <w:lang w:val="en-US" w:eastAsia="zh-CN" w:bidi="ar-SA"/>
    </w:rPr>
  </w:style>
  <w:style w:type="character" w:customStyle="1" w:styleId="439">
    <w:name w:val="普通文字 Char Char"/>
    <w:qFormat/>
    <w:uiPriority w:val="0"/>
    <w:rPr>
      <w:rFonts w:ascii="宋体" w:hAnsi="Courier New" w:eastAsia="宋体"/>
      <w:kern w:val="2"/>
      <w:sz w:val="21"/>
      <w:lang w:val="en-US" w:eastAsia="zh-CN"/>
    </w:rPr>
  </w:style>
  <w:style w:type="character" w:customStyle="1" w:styleId="440">
    <w:name w:val="节 Char"/>
    <w:qFormat/>
    <w:uiPriority w:val="0"/>
    <w:rPr>
      <w:rFonts w:ascii="Arial" w:hAnsi="Arial" w:eastAsia="宋体"/>
      <w:b/>
      <w:spacing w:val="14"/>
      <w:kern w:val="24"/>
      <w:sz w:val="32"/>
      <w:lang w:val="en-US" w:eastAsia="zh-CN" w:bidi="ar-SA"/>
    </w:rPr>
  </w:style>
  <w:style w:type="character" w:customStyle="1" w:styleId="441">
    <w:name w:val="第三层条 Char"/>
    <w:qFormat/>
    <w:uiPriority w:val="0"/>
    <w:rPr>
      <w:rFonts w:ascii="Arial" w:hAnsi="Arial" w:eastAsia="黑体"/>
      <w:b/>
      <w:kern w:val="2"/>
      <w:sz w:val="28"/>
      <w:lang w:val="en-US" w:eastAsia="zh-CN" w:bidi="ar-SA"/>
    </w:rPr>
  </w:style>
  <w:style w:type="character" w:customStyle="1" w:styleId="442">
    <w:name w:val="font131"/>
    <w:basedOn w:val="82"/>
    <w:qFormat/>
    <w:uiPriority w:val="0"/>
    <w:rPr>
      <w:rFonts w:ascii="Calibri" w:hAnsi="Calibri" w:cs="Calibri"/>
      <w:color w:val="000000"/>
      <w:sz w:val="22"/>
      <w:szCs w:val="22"/>
      <w:u w:val="none"/>
    </w:rPr>
  </w:style>
  <w:style w:type="character" w:customStyle="1" w:styleId="443">
    <w:name w:val="point_normal1"/>
    <w:qFormat/>
    <w:uiPriority w:val="0"/>
    <w:rPr>
      <w:rFonts w:hint="default" w:ascii="Arial" w:hAnsi="Arial"/>
      <w:sz w:val="22"/>
    </w:rPr>
  </w:style>
  <w:style w:type="character" w:customStyle="1" w:styleId="444">
    <w:name w:val="styletemp1"/>
    <w:qFormat/>
    <w:uiPriority w:val="0"/>
    <w:rPr>
      <w:color w:val="282828"/>
      <w:spacing w:val="15"/>
      <w:sz w:val="18"/>
    </w:rPr>
  </w:style>
  <w:style w:type="character" w:customStyle="1" w:styleId="445">
    <w:name w:val="样式2 Char"/>
    <w:link w:val="147"/>
    <w:qFormat/>
    <w:uiPriority w:val="0"/>
    <w:rPr>
      <w:rFonts w:ascii="黑体" w:hAnsi="Calibri" w:eastAsia="黑体"/>
      <w:b/>
      <w:bCs/>
      <w:kern w:val="44"/>
      <w:sz w:val="32"/>
      <w:szCs w:val="32"/>
    </w:rPr>
  </w:style>
  <w:style w:type="character" w:customStyle="1" w:styleId="446">
    <w:name w:val="Body Text Indent Char"/>
    <w:qFormat/>
    <w:locked/>
    <w:uiPriority w:val="0"/>
    <w:rPr>
      <w:rFonts w:ascii="Times New Roman" w:hAnsi="Times New Roman"/>
      <w:sz w:val="24"/>
    </w:rPr>
  </w:style>
  <w:style w:type="character" w:customStyle="1" w:styleId="447">
    <w:name w:val="title-blue"/>
    <w:basedOn w:val="82"/>
    <w:qFormat/>
    <w:uiPriority w:val="0"/>
  </w:style>
  <w:style w:type="character" w:customStyle="1" w:styleId="448">
    <w:name w:val="标题 1 Char"/>
    <w:qFormat/>
    <w:uiPriority w:val="0"/>
    <w:rPr>
      <w:rFonts w:ascii="宋体" w:hAnsi="宋体"/>
      <w:b/>
      <w:bCs/>
      <w:kern w:val="44"/>
      <w:sz w:val="28"/>
      <w:szCs w:val="28"/>
    </w:rPr>
  </w:style>
  <w:style w:type="character" w:customStyle="1" w:styleId="449">
    <w:name w:val="font21"/>
    <w:basedOn w:val="82"/>
    <w:qFormat/>
    <w:uiPriority w:val="0"/>
    <w:rPr>
      <w:rFonts w:hint="default" w:ascii="Times New Roman" w:hAnsi="Times New Roman" w:cs="Times New Roman"/>
      <w:color w:val="000000"/>
      <w:sz w:val="22"/>
      <w:szCs w:val="22"/>
      <w:u w:val="none"/>
    </w:rPr>
  </w:style>
  <w:style w:type="character" w:customStyle="1" w:styleId="450">
    <w:name w:val="标准文本 Char Char"/>
    <w:link w:val="243"/>
    <w:qFormat/>
    <w:locked/>
    <w:uiPriority w:val="0"/>
    <w:rPr>
      <w:sz w:val="24"/>
      <w:lang w:bidi="ar-SA"/>
    </w:rPr>
  </w:style>
  <w:style w:type="character" w:customStyle="1" w:styleId="451">
    <w:name w:val="style91"/>
    <w:qFormat/>
    <w:uiPriority w:val="0"/>
    <w:rPr>
      <w:sz w:val="21"/>
      <w:szCs w:val="21"/>
    </w:rPr>
  </w:style>
  <w:style w:type="character" w:customStyle="1" w:styleId="452">
    <w:name w:val="HTML 预设格式 Char"/>
    <w:link w:val="72"/>
    <w:qFormat/>
    <w:uiPriority w:val="99"/>
    <w:rPr>
      <w:rFonts w:ascii="Courier New" w:hAnsi="Courier New" w:eastAsia="楷体_GB2312" w:cs="Courier New"/>
      <w:kern w:val="2"/>
    </w:rPr>
  </w:style>
  <w:style w:type="character" w:customStyle="1" w:styleId="453">
    <w:name w:val="HTML 预设格式 Char1"/>
    <w:semiHidden/>
    <w:qFormat/>
    <w:uiPriority w:val="99"/>
    <w:rPr>
      <w:rFonts w:ascii="Courier New" w:hAnsi="Courier New" w:cs="Courier New"/>
      <w:kern w:val="2"/>
    </w:rPr>
  </w:style>
  <w:style w:type="character" w:customStyle="1" w:styleId="454">
    <w:name w:val="标题 2字符"/>
    <w:qFormat/>
    <w:uiPriority w:val="0"/>
    <w:rPr>
      <w:b/>
      <w:kern w:val="2"/>
      <w:sz w:val="32"/>
    </w:rPr>
  </w:style>
  <w:style w:type="character" w:customStyle="1" w:styleId="455">
    <w:name w:val="正文2 Char"/>
    <w:link w:val="289"/>
    <w:qFormat/>
    <w:locked/>
    <w:uiPriority w:val="99"/>
    <w:rPr>
      <w:kern w:val="2"/>
      <w:sz w:val="24"/>
    </w:rPr>
  </w:style>
  <w:style w:type="character" w:customStyle="1" w:styleId="456">
    <w:name w:val="纯文本 Char"/>
    <w:link w:val="41"/>
    <w:qFormat/>
    <w:uiPriority w:val="99"/>
    <w:rPr>
      <w:rFonts w:ascii="宋体" w:hAnsi="Courier New"/>
      <w:kern w:val="2"/>
      <w:sz w:val="21"/>
    </w:rPr>
  </w:style>
  <w:style w:type="character" w:customStyle="1" w:styleId="457">
    <w:name w:val="main1"/>
    <w:qFormat/>
    <w:uiPriority w:val="0"/>
    <w:rPr>
      <w:rFonts w:hint="default" w:ascii="ˎ̥" w:hAnsi="ˎ̥"/>
      <w:sz w:val="21"/>
    </w:rPr>
  </w:style>
  <w:style w:type="character" w:customStyle="1" w:styleId="458">
    <w:name w:val="title14"/>
    <w:qFormat/>
    <w:uiPriority w:val="0"/>
  </w:style>
  <w:style w:type="character" w:customStyle="1" w:styleId="459">
    <w:name w:val="Heading 2 Char"/>
    <w:qFormat/>
    <w:locked/>
    <w:uiPriority w:val="0"/>
    <w:rPr>
      <w:rFonts w:ascii="Cambria" w:hAnsi="Cambria" w:eastAsia="黑体" w:cs="Times New Roman"/>
      <w:b/>
      <w:bCs/>
      <w:sz w:val="32"/>
      <w:szCs w:val="32"/>
    </w:rPr>
  </w:style>
  <w:style w:type="character" w:customStyle="1" w:styleId="460">
    <w:name w:val="title_sub_blue1"/>
    <w:qFormat/>
    <w:uiPriority w:val="0"/>
    <w:rPr>
      <w:rFonts w:hint="default" w:ascii="Arial" w:hAnsi="Arial" w:cs="Arial"/>
      <w:b/>
      <w:bCs/>
      <w:color w:val="16344F"/>
      <w:spacing w:val="0"/>
      <w:sz w:val="20"/>
      <w:szCs w:val="20"/>
      <w:u w:val="none"/>
    </w:rPr>
  </w:style>
  <w:style w:type="character" w:customStyle="1" w:styleId="461">
    <w:name w:val="ptb181"/>
    <w:qFormat/>
    <w:uiPriority w:val="0"/>
    <w:rPr>
      <w:rFonts w:ascii="Verdana" w:hAnsi="Verdana"/>
      <w:b/>
      <w:color w:val="000000"/>
      <w:sz w:val="27"/>
    </w:rPr>
  </w:style>
  <w:style w:type="character" w:customStyle="1" w:styleId="462">
    <w:name w:val="txt_cn_121"/>
    <w:qFormat/>
    <w:uiPriority w:val="0"/>
    <w:rPr>
      <w:rFonts w:hint="default" w:ascii="Arial" w:hAnsi="Arial" w:cs="Arial"/>
      <w:color w:val="666666"/>
      <w:sz w:val="18"/>
      <w:szCs w:val="18"/>
      <w:u w:val="none"/>
    </w:rPr>
  </w:style>
  <w:style w:type="character" w:customStyle="1" w:styleId="463">
    <w:name w:val="font31"/>
    <w:basedOn w:val="82"/>
    <w:qFormat/>
    <w:uiPriority w:val="0"/>
    <w:rPr>
      <w:rFonts w:hint="eastAsia" w:ascii="仿宋_GB2312" w:eastAsia="仿宋_GB2312"/>
      <w:color w:val="000000"/>
      <w:sz w:val="22"/>
      <w:szCs w:val="22"/>
      <w:u w:val="none"/>
    </w:rPr>
  </w:style>
  <w:style w:type="character" w:customStyle="1" w:styleId="464">
    <w:name w:val="标题 Char"/>
    <w:link w:val="75"/>
    <w:qFormat/>
    <w:uiPriority w:val="0"/>
    <w:rPr>
      <w:rFonts w:ascii="Arial" w:hAnsi="Arial" w:eastAsia="楷体_GB2312" w:cs="Arial"/>
      <w:b/>
      <w:bCs/>
      <w:kern w:val="2"/>
      <w:sz w:val="32"/>
      <w:szCs w:val="32"/>
      <w:lang w:val="en-US" w:eastAsia="zh-CN" w:bidi="ar-SA"/>
    </w:rPr>
  </w:style>
  <w:style w:type="character" w:customStyle="1" w:styleId="465">
    <w:name w:val="正文文本 Char"/>
    <w:link w:val="31"/>
    <w:qFormat/>
    <w:uiPriority w:val="0"/>
    <w:rPr>
      <w:rFonts w:ascii="宋体"/>
      <w:color w:val="FF0000"/>
      <w:sz w:val="24"/>
    </w:rPr>
  </w:style>
  <w:style w:type="character" w:customStyle="1" w:styleId="466">
    <w:name w:val="标题 3 Char1"/>
    <w:link w:val="4"/>
    <w:qFormat/>
    <w:uiPriority w:val="0"/>
    <w:rPr>
      <w:rFonts w:ascii="Arial" w:hAnsi="宋体"/>
      <w:b/>
      <w:kern w:val="2"/>
      <w:sz w:val="28"/>
    </w:rPr>
  </w:style>
  <w:style w:type="character" w:customStyle="1" w:styleId="467">
    <w:name w:val="标题 4 Char Char Char"/>
    <w:qFormat/>
    <w:uiPriority w:val="0"/>
    <w:rPr>
      <w:rFonts w:ascii="Arial" w:hAnsi="Arial" w:eastAsia="黑体"/>
      <w:b/>
      <w:bCs/>
      <w:kern w:val="2"/>
      <w:sz w:val="28"/>
      <w:szCs w:val="28"/>
      <w:lang w:val="en-US" w:eastAsia="zh-CN" w:bidi="ar-SA"/>
    </w:rPr>
  </w:style>
  <w:style w:type="character" w:customStyle="1" w:styleId="468">
    <w:name w:val="自定义正文 Char"/>
    <w:link w:val="235"/>
    <w:qFormat/>
    <w:locked/>
    <w:uiPriority w:val="0"/>
    <w:rPr>
      <w:rFonts w:ascii="仿宋_GB2312" w:eastAsia="仿宋_GB2312"/>
      <w:sz w:val="24"/>
      <w:lang w:bidi="ar-SA"/>
    </w:rPr>
  </w:style>
  <w:style w:type="character" w:customStyle="1" w:styleId="469">
    <w:name w:val=" Char Char7"/>
    <w:qFormat/>
    <w:uiPriority w:val="0"/>
    <w:rPr>
      <w:rFonts w:ascii="Times New Roman" w:hAnsi="Times New Roman"/>
      <w:kern w:val="2"/>
      <w:sz w:val="24"/>
      <w:szCs w:val="24"/>
    </w:rPr>
  </w:style>
  <w:style w:type="character" w:customStyle="1" w:styleId="470">
    <w:name w:val="正文缩进1 Char"/>
    <w:qFormat/>
    <w:uiPriority w:val="0"/>
    <w:rPr>
      <w:rFonts w:eastAsia="宋体"/>
      <w:kern w:val="2"/>
      <w:sz w:val="21"/>
      <w:lang w:val="en-US" w:eastAsia="zh-CN"/>
    </w:rPr>
  </w:style>
  <w:style w:type="character" w:customStyle="1" w:styleId="471">
    <w:name w:val=" Char Char13"/>
    <w:qFormat/>
    <w:uiPriority w:val="0"/>
    <w:rPr>
      <w:rFonts w:ascii="Arial" w:hAnsi="Arial" w:eastAsia="仿宋_GB2312"/>
      <w:b/>
      <w:bCs/>
      <w:kern w:val="2"/>
      <w:sz w:val="28"/>
      <w:szCs w:val="32"/>
    </w:rPr>
  </w:style>
  <w:style w:type="character" w:customStyle="1" w:styleId="472">
    <w:name w:val="正文文本缩进 3 Char"/>
    <w:link w:val="64"/>
    <w:qFormat/>
    <w:uiPriority w:val="0"/>
    <w:rPr>
      <w:rFonts w:ascii="Arial" w:hAnsi="Arial"/>
      <w:color w:val="FF0000"/>
      <w:kern w:val="2"/>
      <w:sz w:val="24"/>
    </w:rPr>
  </w:style>
  <w:style w:type="character" w:customStyle="1" w:styleId="473">
    <w:name w:val=" Char Char24"/>
    <w:qFormat/>
    <w:uiPriority w:val="0"/>
    <w:rPr>
      <w:rFonts w:ascii="Arial" w:hAnsi="宋体"/>
      <w:b/>
      <w:kern w:val="2"/>
      <w:sz w:val="28"/>
    </w:rPr>
  </w:style>
  <w:style w:type="character" w:customStyle="1" w:styleId="474">
    <w:name w:val="文章标题 3 Char Char Char"/>
    <w:link w:val="249"/>
    <w:qFormat/>
    <w:uiPriority w:val="0"/>
    <w:rPr>
      <w:rFonts w:ascii="Arial" w:hAnsi="Arial" w:eastAsia="黑体"/>
      <w:kern w:val="2"/>
      <w:sz w:val="28"/>
      <w:lang w:val="en-US" w:eastAsia="zh-CN"/>
    </w:rPr>
  </w:style>
  <w:style w:type="character" w:customStyle="1" w:styleId="475">
    <w:name w:val="font01"/>
    <w:basedOn w:val="82"/>
    <w:qFormat/>
    <w:uiPriority w:val="0"/>
    <w:rPr>
      <w:rFonts w:hint="default" w:ascii="Times New Roman" w:hAnsi="Times New Roman" w:cs="Times New Roman"/>
      <w:color w:val="000000"/>
      <w:sz w:val="21"/>
      <w:szCs w:val="21"/>
      <w:u w:val="none"/>
    </w:rPr>
  </w:style>
  <w:style w:type="character" w:customStyle="1" w:styleId="476">
    <w:name w:val="H5 Char"/>
    <w:qFormat/>
    <w:uiPriority w:val="0"/>
    <w:rPr>
      <w:rFonts w:ascii="宋体" w:eastAsia="宋体"/>
      <w:b/>
      <w:color w:val="FF0000"/>
      <w:kern w:val="2"/>
      <w:sz w:val="24"/>
      <w:lang w:val="en-US" w:eastAsia="zh-CN"/>
    </w:rPr>
  </w:style>
  <w:style w:type="character" w:customStyle="1" w:styleId="477">
    <w:name w:val="TITRE1 Char"/>
    <w:qFormat/>
    <w:uiPriority w:val="0"/>
    <w:rPr>
      <w:rFonts w:eastAsia="宋体"/>
      <w:b/>
      <w:bCs/>
      <w:kern w:val="44"/>
      <w:sz w:val="44"/>
      <w:szCs w:val="44"/>
      <w:lang w:val="en-US" w:eastAsia="zh-CN" w:bidi="ar-SA"/>
    </w:rPr>
  </w:style>
  <w:style w:type="character" w:customStyle="1" w:styleId="478">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479">
    <w:name w:val="font3"/>
    <w:basedOn w:val="82"/>
    <w:qFormat/>
    <w:uiPriority w:val="0"/>
  </w:style>
  <w:style w:type="character" w:customStyle="1" w:styleId="480">
    <w:name w:val="Heading 4 Char"/>
    <w:qFormat/>
    <w:locked/>
    <w:uiPriority w:val="0"/>
    <w:rPr>
      <w:rFonts w:ascii="Cambria" w:hAnsi="Cambria" w:eastAsia="黑体" w:cs="Times New Roman"/>
      <w:b/>
      <w:bCs/>
      <w:sz w:val="28"/>
      <w:szCs w:val="28"/>
    </w:rPr>
  </w:style>
  <w:style w:type="character" w:customStyle="1" w:styleId="481">
    <w:name w:val="tx1"/>
    <w:qFormat/>
    <w:uiPriority w:val="0"/>
    <w:rPr>
      <w:b/>
    </w:rPr>
  </w:style>
  <w:style w:type="character" w:customStyle="1" w:styleId="482">
    <w:name w:val="标书正文:  0.74 厘米 Char"/>
    <w:link w:val="225"/>
    <w:qFormat/>
    <w:uiPriority w:val="0"/>
    <w:rPr>
      <w:rFonts w:eastAsia="宋体"/>
      <w:kern w:val="2"/>
      <w:sz w:val="24"/>
      <w:lang w:val="en-US" w:eastAsia="zh-CN" w:bidi="ar-SA"/>
    </w:rPr>
  </w:style>
  <w:style w:type="character" w:customStyle="1" w:styleId="483">
    <w:name w:val="标题 1 Char Char"/>
    <w:qFormat/>
    <w:uiPriority w:val="0"/>
    <w:rPr>
      <w:rFonts w:eastAsia="宋体"/>
      <w:b/>
      <w:spacing w:val="-2"/>
      <w:sz w:val="24"/>
      <w:lang w:val="en-US" w:eastAsia="zh-CN" w:bidi="ar-SA"/>
    </w:rPr>
  </w:style>
  <w:style w:type="character" w:customStyle="1" w:styleId="484">
    <w:name w:val="标题 2 Char"/>
    <w:link w:val="2"/>
    <w:qFormat/>
    <w:uiPriority w:val="0"/>
    <w:rPr>
      <w:b/>
      <w:kern w:val="2"/>
      <w:sz w:val="32"/>
    </w:rPr>
  </w:style>
  <w:style w:type="character" w:customStyle="1" w:styleId="485">
    <w:name w:val="title_emph1"/>
    <w:qFormat/>
    <w:uiPriority w:val="0"/>
    <w:rPr>
      <w:rFonts w:hint="default" w:ascii="Arial" w:hAnsi="Arial"/>
      <w:b/>
      <w:sz w:val="18"/>
    </w:rPr>
  </w:style>
  <w:style w:type="character" w:customStyle="1" w:styleId="486">
    <w:name w:val="标题 1 Char1"/>
    <w:link w:val="3"/>
    <w:qFormat/>
    <w:uiPriority w:val="0"/>
    <w:rPr>
      <w:rFonts w:ascii="宋体"/>
      <w:color w:val="000000"/>
      <w:sz w:val="36"/>
    </w:rPr>
  </w:style>
  <w:style w:type="character" w:customStyle="1" w:styleId="487">
    <w:name w:val="Heading 1 Char"/>
    <w:qFormat/>
    <w:locked/>
    <w:uiPriority w:val="0"/>
    <w:rPr>
      <w:rFonts w:ascii="Times New Roman" w:hAnsi="Times New Roman" w:eastAsia="宋体" w:cs="Times New Roman"/>
      <w:b/>
      <w:bCs/>
      <w:kern w:val="44"/>
      <w:sz w:val="44"/>
      <w:szCs w:val="44"/>
    </w:rPr>
  </w:style>
  <w:style w:type="character" w:customStyle="1" w:styleId="488">
    <w:name w:val="textfont1"/>
    <w:qFormat/>
    <w:uiPriority w:val="0"/>
    <w:rPr>
      <w:spacing w:val="31680"/>
      <w:sz w:val="26"/>
    </w:rPr>
  </w:style>
  <w:style w:type="character" w:customStyle="1" w:styleId="489">
    <w:name w:val="font101"/>
    <w:basedOn w:val="82"/>
    <w:autoRedefine/>
    <w:qFormat/>
    <w:uiPriority w:val="0"/>
    <w:rPr>
      <w:rFonts w:hint="default" w:ascii="Arial" w:hAnsi="Arial" w:cs="Arial"/>
      <w:color w:val="000000"/>
      <w:sz w:val="22"/>
      <w:szCs w:val="22"/>
      <w:u w:val="none"/>
    </w:rPr>
  </w:style>
  <w:style w:type="character" w:customStyle="1" w:styleId="490">
    <w:name w:val="Normal Indent Char"/>
    <w:autoRedefine/>
    <w:qFormat/>
    <w:locked/>
    <w:uiPriority w:val="0"/>
    <w:rPr>
      <w:rFonts w:ascii="Times New Roman" w:hAnsi="Times New Roman"/>
    </w:rPr>
  </w:style>
  <w:style w:type="character" w:customStyle="1" w:styleId="491">
    <w:name w:val="pi1"/>
    <w:qFormat/>
    <w:uiPriority w:val="0"/>
    <w:rPr>
      <w:color w:val="0000FF"/>
    </w:rPr>
  </w:style>
  <w:style w:type="character" w:customStyle="1" w:styleId="492">
    <w:name w:val="b titlename wangputoptitle"/>
    <w:qFormat/>
    <w:uiPriority w:val="0"/>
  </w:style>
  <w:style w:type="character" w:customStyle="1" w:styleId="493">
    <w:name w:val="正文缩进4"/>
    <w:qFormat/>
    <w:uiPriority w:val="0"/>
    <w:rPr>
      <w:rFonts w:eastAsia="宋体"/>
      <w:sz w:val="24"/>
      <w:lang w:val="en-US" w:eastAsia="zh-CN"/>
    </w:rPr>
  </w:style>
  <w:style w:type="character" w:customStyle="1" w:styleId="494">
    <w:name w:val="样式5 Char"/>
    <w:link w:val="246"/>
    <w:qFormat/>
    <w:uiPriority w:val="0"/>
    <w:rPr>
      <w:rFonts w:ascii="宋体" w:hAnsi="宋体" w:eastAsia="宋体"/>
      <w:b/>
      <w:bCs/>
      <w:color w:val="000000"/>
      <w:kern w:val="44"/>
      <w:sz w:val="28"/>
      <w:szCs w:val="32"/>
      <w:lang w:val="en-US" w:eastAsia="zh-CN" w:bidi="ar-SA"/>
    </w:rPr>
  </w:style>
  <w:style w:type="character" w:customStyle="1" w:styleId="495">
    <w:name w:val="Date Char"/>
    <w:autoRedefine/>
    <w:qFormat/>
    <w:locked/>
    <w:uiPriority w:val="0"/>
    <w:rPr>
      <w:rFonts w:ascii="楷体_GB2312" w:eastAsia="楷体_GB2312" w:cs="Times New Roman"/>
      <w:sz w:val="32"/>
    </w:rPr>
  </w:style>
  <w:style w:type="character" w:customStyle="1" w:styleId="496">
    <w:name w:val="Header Char"/>
    <w:qFormat/>
    <w:locked/>
    <w:uiPriority w:val="0"/>
    <w:rPr>
      <w:rFonts w:cs="Times New Roman"/>
      <w:sz w:val="18"/>
      <w:szCs w:val="18"/>
    </w:rPr>
  </w:style>
  <w:style w:type="character" w:customStyle="1" w:styleId="497">
    <w:name w:val="unnamed51"/>
    <w:qFormat/>
    <w:uiPriority w:val="0"/>
    <w:rPr>
      <w:sz w:val="22"/>
      <w:szCs w:val="22"/>
    </w:rPr>
  </w:style>
  <w:style w:type="character" w:customStyle="1" w:styleId="498">
    <w:name w:val="H6 Char"/>
    <w:qFormat/>
    <w:uiPriority w:val="0"/>
    <w:rPr>
      <w:rFonts w:ascii="Arial" w:hAnsi="Arial" w:eastAsia="黑体"/>
      <w:b/>
      <w:kern w:val="2"/>
      <w:sz w:val="24"/>
      <w:lang w:val="en-US" w:eastAsia="zh-CN" w:bidi="ar-SA"/>
    </w:rPr>
  </w:style>
  <w:style w:type="character" w:customStyle="1" w:styleId="499">
    <w:name w:val="正文缩进 Char"/>
    <w:link w:val="19"/>
    <w:qFormat/>
    <w:uiPriority w:val="0"/>
    <w:rPr>
      <w:rFonts w:eastAsia="宋体"/>
      <w:kern w:val="2"/>
      <w:sz w:val="21"/>
      <w:lang w:val="en-US" w:eastAsia="zh-CN"/>
    </w:rPr>
  </w:style>
  <w:style w:type="character" w:customStyle="1" w:styleId="500">
    <w:name w:val="font122"/>
    <w:basedOn w:val="82"/>
    <w:qFormat/>
    <w:uiPriority w:val="0"/>
    <w:rPr>
      <w:rFonts w:hint="eastAsia" w:ascii="宋体" w:hAnsi="宋体" w:eastAsia="宋体" w:cs="宋体"/>
      <w:color w:val="000000"/>
      <w:sz w:val="22"/>
      <w:szCs w:val="22"/>
      <w:u w:val="none"/>
    </w:rPr>
  </w:style>
  <w:style w:type="character" w:customStyle="1" w:styleId="501">
    <w:name w:val="sony121"/>
    <w:qFormat/>
    <w:uiPriority w:val="0"/>
    <w:rPr>
      <w:rFonts w:hint="eastAsia" w:ascii="宋体" w:hAnsi="宋体" w:eastAsia="宋体"/>
      <w:sz w:val="18"/>
      <w:szCs w:val="18"/>
    </w:rPr>
  </w:style>
  <w:style w:type="character" w:customStyle="1" w:styleId="502">
    <w:name w:val="t1"/>
    <w:autoRedefine/>
    <w:qFormat/>
    <w:uiPriority w:val="0"/>
    <w:rPr>
      <w:color w:val="990000"/>
    </w:rPr>
  </w:style>
  <w:style w:type="character" w:customStyle="1" w:styleId="503">
    <w:name w:val="文档结构图 Char"/>
    <w:link w:val="24"/>
    <w:qFormat/>
    <w:uiPriority w:val="0"/>
    <w:rPr>
      <w:kern w:val="2"/>
      <w:sz w:val="24"/>
      <w:shd w:val="clear" w:color="auto" w:fill="000080"/>
    </w:rPr>
  </w:style>
  <w:style w:type="character" w:customStyle="1" w:styleId="504">
    <w:name w:val=" Char Char11"/>
    <w:qFormat/>
    <w:uiPriority w:val="0"/>
    <w:rPr>
      <w:sz w:val="18"/>
      <w:szCs w:val="18"/>
    </w:rPr>
  </w:style>
  <w:style w:type="character" w:customStyle="1" w:styleId="505">
    <w:name w:val="NormalCharacter"/>
    <w:semiHidden/>
    <w:qFormat/>
    <w:uiPriority w:val="0"/>
  </w:style>
  <w:style w:type="character" w:customStyle="1" w:styleId="506">
    <w:name w:val="highlight1"/>
    <w:qFormat/>
    <w:uiPriority w:val="0"/>
    <w:rPr>
      <w:sz w:val="21"/>
    </w:rPr>
  </w:style>
  <w:style w:type="character" w:customStyle="1" w:styleId="507">
    <w:name w:val="抬头 Char"/>
    <w:qFormat/>
    <w:uiPriority w:val="0"/>
    <w:rPr>
      <w:rFonts w:eastAsia="宋体"/>
      <w:sz w:val="30"/>
      <w:szCs w:val="30"/>
      <w:lang w:val="en-US" w:eastAsia="zh-CN" w:bidi="ar-SA"/>
    </w:rPr>
  </w:style>
  <w:style w:type="character" w:customStyle="1" w:styleId="508">
    <w:name w:val="样式1 Char"/>
    <w:link w:val="213"/>
    <w:qFormat/>
    <w:uiPriority w:val="0"/>
    <w:rPr>
      <w:rFonts w:ascii="宋体" w:hAnsi="宋体" w:eastAsia="宋体"/>
      <w:b/>
      <w:bCs/>
      <w:kern w:val="2"/>
      <w:sz w:val="44"/>
      <w:szCs w:val="24"/>
      <w:lang w:val="en-US" w:eastAsia="zh-CN" w:bidi="ar-SA"/>
    </w:rPr>
  </w:style>
  <w:style w:type="character" w:customStyle="1" w:styleId="509">
    <w:name w:val="标段 Char"/>
    <w:qFormat/>
    <w:uiPriority w:val="0"/>
    <w:rPr>
      <w:rFonts w:ascii="宋体" w:hAnsi="宋体" w:eastAsia="宋体"/>
      <w:sz w:val="24"/>
      <w:szCs w:val="21"/>
      <w:u w:val="thick"/>
      <w:lang w:val="en-US" w:eastAsia="zh-CN" w:bidi="ar-SA"/>
    </w:rPr>
  </w:style>
  <w:style w:type="character" w:customStyle="1" w:styleId="510">
    <w:name w:val="普通(网站) Char"/>
    <w:link w:val="73"/>
    <w:qFormat/>
    <w:uiPriority w:val="0"/>
    <w:rPr>
      <w:rFonts w:ascii="宋体" w:hAnsi="宋体"/>
      <w:sz w:val="22"/>
    </w:rPr>
  </w:style>
  <w:style w:type="character" w:customStyle="1" w:styleId="511">
    <w:name w:val="正文文本缩进字符"/>
    <w:qFormat/>
    <w:uiPriority w:val="0"/>
    <w:rPr>
      <w:rFonts w:ascii="宋体"/>
      <w:kern w:val="2"/>
      <w:sz w:val="24"/>
    </w:rPr>
  </w:style>
  <w:style w:type="character" w:customStyle="1" w:styleId="512">
    <w:name w:val="标题 4 Char Char"/>
    <w:qFormat/>
    <w:uiPriority w:val="0"/>
    <w:rPr>
      <w:rFonts w:ascii="Arial" w:hAnsi="Arial" w:eastAsia="黑体"/>
      <w:b/>
      <w:kern w:val="2"/>
      <w:sz w:val="28"/>
      <w:lang w:val="en-US" w:eastAsia="zh-CN"/>
    </w:rPr>
  </w:style>
  <w:style w:type="character" w:customStyle="1" w:styleId="513">
    <w:name w:val=" Char Char14"/>
    <w:qFormat/>
    <w:uiPriority w:val="0"/>
    <w:rPr>
      <w:rFonts w:ascii="Times New Roman" w:hAnsi="Times New Roman" w:eastAsia="仿宋_GB2312"/>
      <w:b/>
      <w:bCs/>
      <w:kern w:val="44"/>
      <w:sz w:val="30"/>
      <w:szCs w:val="44"/>
    </w:rPr>
  </w:style>
  <w:style w:type="character" w:customStyle="1" w:styleId="514">
    <w:name w:val="Char Char1"/>
    <w:qFormat/>
    <w:uiPriority w:val="0"/>
    <w:rPr>
      <w:kern w:val="2"/>
      <w:sz w:val="21"/>
      <w:szCs w:val="24"/>
    </w:rPr>
  </w:style>
  <w:style w:type="character" w:customStyle="1" w:styleId="515">
    <w:name w:val="font51"/>
    <w:basedOn w:val="82"/>
    <w:qFormat/>
    <w:uiPriority w:val="0"/>
    <w:rPr>
      <w:rFonts w:hint="eastAsia" w:ascii="宋体" w:hAnsi="宋体" w:eastAsia="宋体" w:cs="宋体"/>
      <w:b/>
      <w:color w:val="000000"/>
      <w:sz w:val="24"/>
      <w:szCs w:val="24"/>
      <w:u w:val="none"/>
    </w:rPr>
  </w:style>
  <w:style w:type="character" w:customStyle="1" w:styleId="516">
    <w:name w:val="ask-title2"/>
    <w:basedOn w:val="82"/>
    <w:qFormat/>
    <w:uiPriority w:val="0"/>
  </w:style>
  <w:style w:type="character" w:customStyle="1" w:styleId="517">
    <w:name w:val="页眉 Char"/>
    <w:link w:val="51"/>
    <w:autoRedefine/>
    <w:qFormat/>
    <w:uiPriority w:val="99"/>
    <w:rPr>
      <w:sz w:val="18"/>
    </w:rPr>
  </w:style>
  <w:style w:type="character" w:customStyle="1" w:styleId="518">
    <w:name w:val="首行缩进:  2 字符 Char Char"/>
    <w:link w:val="248"/>
    <w:qFormat/>
    <w:uiPriority w:val="0"/>
    <w:rPr>
      <w:rFonts w:eastAsia="仿宋_GB2312" w:cs="宋体"/>
      <w:sz w:val="24"/>
      <w:lang w:val="en-US" w:eastAsia="zh-CN" w:bidi="ar-SA"/>
    </w:rPr>
  </w:style>
  <w:style w:type="character" w:customStyle="1" w:styleId="519">
    <w:name w:val="日期 Char"/>
    <w:link w:val="45"/>
    <w:qFormat/>
    <w:uiPriority w:val="99"/>
    <w:rPr>
      <w:rFonts w:ascii="楷体_GB2312" w:eastAsia="楷体_GB2312"/>
      <w:sz w:val="32"/>
    </w:rPr>
  </w:style>
  <w:style w:type="character" w:customStyle="1" w:styleId="520">
    <w:name w:val="ns1"/>
    <w:qFormat/>
    <w:uiPriority w:val="0"/>
    <w:rPr>
      <w:color w:val="FF0000"/>
    </w:rPr>
  </w:style>
  <w:style w:type="character" w:customStyle="1" w:styleId="521">
    <w:name w:val="m1"/>
    <w:qFormat/>
    <w:uiPriority w:val="0"/>
    <w:rPr>
      <w:color w:val="0000FF"/>
    </w:rPr>
  </w:style>
  <w:style w:type="character" w:customStyle="1" w:styleId="522">
    <w:name w:val="标题 7 Char"/>
    <w:link w:val="9"/>
    <w:qFormat/>
    <w:uiPriority w:val="0"/>
    <w:rPr>
      <w:rFonts w:eastAsia="宋体"/>
      <w:b/>
      <w:kern w:val="2"/>
      <w:sz w:val="24"/>
      <w:lang w:val="en-US" w:eastAsia="zh-CN" w:bidi="ar-SA"/>
    </w:rPr>
  </w:style>
  <w:style w:type="character" w:customStyle="1" w:styleId="523">
    <w:name w:val=" Char Char8"/>
    <w:qFormat/>
    <w:uiPriority w:val="0"/>
    <w:rPr>
      <w:rFonts w:ascii="Times New Roman" w:hAnsi="Times New Roman"/>
      <w:kern w:val="2"/>
      <w:sz w:val="24"/>
      <w:szCs w:val="21"/>
    </w:rPr>
  </w:style>
  <w:style w:type="character" w:customStyle="1" w:styleId="524">
    <w:name w:val="正文文本样式 Char"/>
    <w:link w:val="149"/>
    <w:qFormat/>
    <w:uiPriority w:val="0"/>
    <w:rPr>
      <w:rFonts w:ascii="Arial" w:hAnsi="Arial"/>
      <w:kern w:val="2"/>
      <w:sz w:val="24"/>
      <w:szCs w:val="22"/>
      <w:lang w:val="en-US" w:eastAsia="zh-CN" w:bidi="ar-SA"/>
    </w:rPr>
  </w:style>
  <w:style w:type="character" w:customStyle="1" w:styleId="525">
    <w:name w:val="页脚 Char"/>
    <w:link w:val="49"/>
    <w:qFormat/>
    <w:uiPriority w:val="99"/>
    <w:rPr>
      <w:kern w:val="2"/>
      <w:sz w:val="18"/>
    </w:rPr>
  </w:style>
  <w:style w:type="character" w:customStyle="1" w:styleId="526">
    <w:name w:val="标题 8 Char"/>
    <w:link w:val="10"/>
    <w:autoRedefine/>
    <w:qFormat/>
    <w:uiPriority w:val="0"/>
    <w:rPr>
      <w:rFonts w:ascii="Arial" w:hAnsi="Arial" w:eastAsia="黑体"/>
      <w:kern w:val="2"/>
      <w:sz w:val="24"/>
      <w:lang w:val="en-US" w:eastAsia="zh-CN" w:bidi="ar-SA"/>
    </w:rPr>
  </w:style>
  <w:style w:type="character" w:customStyle="1" w:styleId="527">
    <w:name w:val="标题 6 Char"/>
    <w:link w:val="8"/>
    <w:qFormat/>
    <w:uiPriority w:val="0"/>
    <w:rPr>
      <w:rFonts w:ascii="Arial" w:hAnsi="Arial" w:eastAsia="黑体"/>
      <w:kern w:val="2"/>
      <w:sz w:val="24"/>
    </w:rPr>
  </w:style>
  <w:style w:type="character" w:customStyle="1" w:styleId="528">
    <w:name w:val="正文文本缩进 2 Char"/>
    <w:link w:val="46"/>
    <w:qFormat/>
    <w:uiPriority w:val="0"/>
    <w:rPr>
      <w:rFonts w:ascii="Arial" w:hAnsi="Arial" w:eastAsia="LineDraw"/>
      <w:kern w:val="2"/>
      <w:sz w:val="24"/>
    </w:rPr>
  </w:style>
  <w:style w:type="character" w:customStyle="1" w:styleId="529">
    <w:name w:val="标题一 Char"/>
    <w:qFormat/>
    <w:uiPriority w:val="0"/>
    <w:rPr>
      <w:rFonts w:ascii="宋体" w:hAnsi="宋体" w:eastAsia="宋体"/>
      <w:b/>
      <w:sz w:val="28"/>
      <w:szCs w:val="21"/>
      <w:lang w:val="en-US" w:eastAsia="zh-CN" w:bidi="ar-SA"/>
    </w:rPr>
  </w:style>
  <w:style w:type="character" w:customStyle="1" w:styleId="530">
    <w:name w:val="题注 Char"/>
    <w:link w:val="20"/>
    <w:qFormat/>
    <w:uiPriority w:val="0"/>
    <w:rPr>
      <w:rFonts w:ascii="Arial" w:hAnsi="Arial" w:eastAsia="黑体"/>
      <w:spacing w:val="10"/>
      <w:kern w:val="2"/>
    </w:rPr>
  </w:style>
  <w:style w:type="character" w:customStyle="1" w:styleId="531">
    <w:name w:val="正文首行缩进 Char"/>
    <w:link w:val="77"/>
    <w:qFormat/>
    <w:uiPriority w:val="0"/>
    <w:rPr>
      <w:kern w:val="2"/>
      <w:sz w:val="24"/>
    </w:rPr>
  </w:style>
  <w:style w:type="character" w:customStyle="1" w:styleId="532">
    <w:name w:val="标题 4 Char"/>
    <w:link w:val="5"/>
    <w:qFormat/>
    <w:uiPriority w:val="0"/>
    <w:rPr>
      <w:b/>
      <w:kern w:val="2"/>
      <w:sz w:val="28"/>
    </w:rPr>
  </w:style>
  <w:style w:type="character" w:customStyle="1" w:styleId="533">
    <w:name w:val="标题 5 Char"/>
    <w:link w:val="6"/>
    <w:qFormat/>
    <w:uiPriority w:val="0"/>
    <w:rPr>
      <w:b/>
      <w:kern w:val="2"/>
      <w:sz w:val="24"/>
    </w:rPr>
  </w:style>
  <w:style w:type="character" w:customStyle="1" w:styleId="534">
    <w:name w:val="批注文字 Char"/>
    <w:link w:val="26"/>
    <w:qFormat/>
    <w:uiPriority w:val="0"/>
    <w:rPr>
      <w:kern w:val="2"/>
      <w:sz w:val="24"/>
    </w:rPr>
  </w:style>
  <w:style w:type="character" w:customStyle="1" w:styleId="535">
    <w:name w:val="批注框文本 Char"/>
    <w:link w:val="48"/>
    <w:semiHidden/>
    <w:qFormat/>
    <w:uiPriority w:val="99"/>
    <w:rPr>
      <w:rFonts w:ascii="宋体" w:eastAsia="宋体"/>
      <w:color w:val="FF0000"/>
      <w:kern w:val="2"/>
      <w:sz w:val="24"/>
      <w:lang w:val="en-US" w:eastAsia="zh-CN" w:bidi="ar-SA"/>
    </w:rPr>
  </w:style>
  <w:style w:type="character" w:customStyle="1" w:styleId="536">
    <w:name w:val="特点标题 Char"/>
    <w:qFormat/>
    <w:uiPriority w:val="0"/>
    <w:rPr>
      <w:rFonts w:ascii="宋体"/>
      <w:kern w:val="2"/>
      <w:sz w:val="24"/>
    </w:rPr>
  </w:style>
  <w:style w:type="character" w:customStyle="1" w:styleId="537">
    <w:name w:val=" Char Char Char Char Char Char Char Char Char"/>
    <w:link w:val="253"/>
    <w:qFormat/>
    <w:uiPriority w:val="0"/>
    <w:rPr>
      <w:rFonts w:ascii="宋体" w:eastAsia="宋体"/>
      <w:color w:val="FF0000"/>
      <w:sz w:val="24"/>
      <w:lang w:val="en-US" w:eastAsia="zh-CN"/>
    </w:rPr>
  </w:style>
  <w:style w:type="character" w:customStyle="1" w:styleId="538">
    <w:name w:val="标题 3 Char"/>
    <w:qFormat/>
    <w:uiPriority w:val="0"/>
    <w:rPr>
      <w:rFonts w:hint="eastAsia" w:ascii="宋体" w:hAnsi="宋体" w:eastAsia="宋体"/>
      <w:b/>
      <w:bCs/>
      <w:kern w:val="2"/>
      <w:sz w:val="21"/>
      <w:szCs w:val="32"/>
      <w:lang w:val="en-US" w:eastAsia="zh-CN" w:bidi="ar-SA"/>
    </w:rPr>
  </w:style>
  <w:style w:type="character" w:customStyle="1" w:styleId="539">
    <w:name w:val="p12"/>
    <w:basedOn w:val="82"/>
    <w:qFormat/>
    <w:uiPriority w:val="0"/>
  </w:style>
  <w:style w:type="character" w:customStyle="1" w:styleId="540">
    <w:name w:val="Heading 3 Char"/>
    <w:autoRedefine/>
    <w:qFormat/>
    <w:locked/>
    <w:uiPriority w:val="0"/>
    <w:rPr>
      <w:rFonts w:ascii="Times New Roman" w:hAnsi="Times New Roman" w:eastAsia="黑体" w:cs="Times New Roman"/>
      <w:b/>
      <w:bCs/>
      <w:sz w:val="32"/>
      <w:szCs w:val="32"/>
    </w:rPr>
  </w:style>
  <w:style w:type="character" w:customStyle="1" w:styleId="541">
    <w:name w:val="text_121"/>
    <w:qFormat/>
    <w:uiPriority w:val="0"/>
    <w:rPr>
      <w:rFonts w:hint="default" w:ascii="sө_x0002_" w:hAnsi="sө_x0002_"/>
      <w:color w:val="000000"/>
      <w:sz w:val="15"/>
      <w:szCs w:val="15"/>
    </w:rPr>
  </w:style>
  <w:style w:type="character" w:customStyle="1" w:styleId="542">
    <w:name w:val="正文样式 Char"/>
    <w:link w:val="320"/>
    <w:qFormat/>
    <w:uiPriority w:val="0"/>
    <w:rPr>
      <w:rFonts w:eastAsia="宋体" w:cs="宋体"/>
      <w:kern w:val="2"/>
      <w:sz w:val="21"/>
      <w:lang w:val="en-US" w:eastAsia="zh-CN" w:bidi="ar-SA"/>
    </w:rPr>
  </w:style>
  <w:style w:type="character" w:customStyle="1" w:styleId="543">
    <w:name w:val=" Char Char12"/>
    <w:qFormat/>
    <w:uiPriority w:val="0"/>
    <w:rPr>
      <w:sz w:val="18"/>
      <w:szCs w:val="18"/>
    </w:rPr>
  </w:style>
  <w:style w:type="character" w:customStyle="1" w:styleId="544">
    <w:name w:val="font111"/>
    <w:basedOn w:val="82"/>
    <w:qFormat/>
    <w:uiPriority w:val="0"/>
    <w:rPr>
      <w:rFonts w:hint="eastAsia" w:ascii="黑体" w:hAnsi="宋体" w:eastAsia="黑体" w:cs="黑体"/>
      <w:color w:val="000000"/>
      <w:sz w:val="22"/>
      <w:szCs w:val="22"/>
      <w:u w:val="none"/>
    </w:rPr>
  </w:style>
  <w:style w:type="character" w:customStyle="1" w:styleId="545">
    <w:name w:val="font151"/>
    <w:basedOn w:val="82"/>
    <w:qFormat/>
    <w:uiPriority w:val="0"/>
    <w:rPr>
      <w:rFonts w:hint="default" w:ascii="Calibri" w:hAnsi="Calibri" w:cs="Calibri"/>
      <w:color w:val="000000"/>
      <w:sz w:val="22"/>
      <w:szCs w:val="22"/>
      <w:u w:val="none"/>
    </w:rPr>
  </w:style>
  <w:style w:type="character" w:customStyle="1" w:styleId="546">
    <w:name w:val="font141"/>
    <w:basedOn w:val="82"/>
    <w:qFormat/>
    <w:uiPriority w:val="0"/>
    <w:rPr>
      <w:rFonts w:hint="eastAsia" w:ascii="黑体" w:hAnsi="宋体" w:eastAsia="黑体" w:cs="黑体"/>
      <w:color w:val="000000"/>
      <w:sz w:val="22"/>
      <w:szCs w:val="22"/>
      <w:u w:val="none"/>
    </w:rPr>
  </w:style>
  <w:style w:type="character" w:customStyle="1" w:styleId="547">
    <w:name w:val="font91"/>
    <w:basedOn w:val="82"/>
    <w:qFormat/>
    <w:uiPriority w:val="0"/>
    <w:rPr>
      <w:rFonts w:ascii="Segoe UI Symbol" w:hAnsi="Segoe UI Symbol" w:eastAsia="Segoe UI Symbol" w:cs="Segoe UI Symbol"/>
      <w:color w:val="000000"/>
      <w:sz w:val="22"/>
      <w:szCs w:val="22"/>
      <w:u w:val="none"/>
    </w:rPr>
  </w:style>
  <w:style w:type="paragraph" w:customStyle="1" w:styleId="548">
    <w:name w:val="list number ＋left spaceing"/>
    <w:basedOn w:val="18"/>
    <w:qFormat/>
    <w:uiPriority w:val="0"/>
    <w:pPr>
      <w:widowControl/>
      <w:tabs>
        <w:tab w:val="left" w:pos="360"/>
      </w:tabs>
      <w:spacing w:line="360" w:lineRule="auto"/>
      <w:ind w:left="0"/>
      <w:jc w:val="left"/>
    </w:pPr>
    <w:rPr>
      <w:rFonts w:ascii="Times New Roman" w:hAnsi="Times New Roman" w:eastAsia="宋体" w:cs="Times New Roman"/>
      <w:kern w:val="0"/>
    </w:rPr>
  </w:style>
  <w:style w:type="character" w:customStyle="1" w:styleId="549">
    <w:name w:val="font61"/>
    <w:basedOn w:val="82"/>
    <w:qFormat/>
    <w:uiPriority w:val="0"/>
    <w:rPr>
      <w:rFonts w:hint="eastAsia" w:ascii="宋体" w:hAnsi="宋体" w:eastAsia="宋体" w:cs="宋体"/>
      <w:color w:val="000000"/>
      <w:sz w:val="21"/>
      <w:szCs w:val="21"/>
      <w:u w:val="none"/>
    </w:rPr>
  </w:style>
  <w:style w:type="character" w:customStyle="1" w:styleId="550">
    <w:name w:val="font41"/>
    <w:basedOn w:val="82"/>
    <w:qFormat/>
    <w:uiPriority w:val="0"/>
    <w:rPr>
      <w:rFonts w:hint="eastAsia" w:ascii="宋体" w:hAnsi="宋体" w:eastAsia="宋体" w:cs="宋体"/>
      <w:bCs/>
      <w:color w:val="000000"/>
      <w:sz w:val="18"/>
      <w:szCs w:val="18"/>
      <w:u w:val="none"/>
    </w:rPr>
  </w:style>
  <w:style w:type="paragraph" w:customStyle="1" w:styleId="551">
    <w:name w:val="Body Text First Indent 2"/>
    <w:basedOn w:val="552"/>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52">
    <w:name w:val="Body Text Indent1"/>
    <w:basedOn w:val="1"/>
    <w:next w:val="1"/>
    <w:qFormat/>
    <w:uiPriority w:val="0"/>
    <w:pPr>
      <w:spacing w:after="120" w:afterLines="0"/>
      <w:ind w:left="420" w:leftChars="200"/>
    </w:pPr>
    <w:rPr>
      <w:color w:val="000000"/>
      <w:sz w:val="21"/>
      <w:szCs w:val="21"/>
    </w:rPr>
  </w:style>
  <w:style w:type="paragraph" w:customStyle="1" w:styleId="553">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4">
    <w:name w:val="索引 11"/>
    <w:basedOn w:val="1"/>
    <w:next w:val="1"/>
    <w:qFormat/>
    <w:uiPriority w:val="99"/>
    <w:pPr>
      <w:adjustRightInd/>
      <w:spacing w:line="360" w:lineRule="auto"/>
    </w:pPr>
    <w:rPr>
      <w:rFonts w:ascii="仿宋_GB2312" w:eastAsia="仿宋_GB2312"/>
      <w:sz w:val="24"/>
      <w:szCs w:val="20"/>
    </w:rPr>
  </w:style>
  <w:style w:type="paragraph" w:customStyle="1" w:styleId="555">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556">
    <w:name w:val="font81"/>
    <w:basedOn w:val="82"/>
    <w:qFormat/>
    <w:uiPriority w:val="0"/>
    <w:rPr>
      <w:rFonts w:ascii="Symbol" w:hAnsi="Symbol" w:cs="Symbol"/>
      <w:color w:val="000000"/>
      <w:sz w:val="22"/>
      <w:szCs w:val="22"/>
      <w:u w:val="none"/>
    </w:rPr>
  </w:style>
  <w:style w:type="paragraph" w:customStyle="1" w:styleId="557">
    <w:name w:val="列表段落1"/>
    <w:basedOn w:val="1"/>
    <w:next w:val="26"/>
    <w:autoRedefine/>
    <w:qFormat/>
    <w:uiPriority w:val="0"/>
    <w:pPr>
      <w:ind w:firstLine="420" w:firstLineChars="200"/>
    </w:pPr>
  </w:style>
  <w:style w:type="paragraph" w:customStyle="1" w:styleId="558">
    <w:name w:val=" Char Char1"/>
    <w:basedOn w:val="1"/>
    <w:qFormat/>
    <w:uiPriority w:val="0"/>
    <w:rPr>
      <w:rFonts w:ascii="Tahoma" w:hAnsi="Tahoma"/>
      <w:sz w:val="24"/>
      <w:szCs w:val="20"/>
    </w:rPr>
  </w:style>
  <w:style w:type="paragraph" w:customStyle="1" w:styleId="559">
    <w:name w:val="纯文本_0_0"/>
    <w:basedOn w:val="560"/>
    <w:unhideWhenUsed/>
    <w:qFormat/>
    <w:uiPriority w:val="0"/>
    <w:pPr>
      <w:spacing w:beforeLines="0" w:afterLines="0"/>
    </w:pPr>
    <w:rPr>
      <w:rFonts w:hint="eastAsia" w:ascii="宋体" w:hAnsi="Courier New"/>
      <w:sz w:val="21"/>
      <w:szCs w:val="21"/>
    </w:rPr>
  </w:style>
  <w:style w:type="paragraph" w:customStyle="1" w:styleId="560">
    <w:name w:val="正文_1_0"/>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561">
    <w:name w:val="部分1"/>
    <w:basedOn w:val="1"/>
    <w:unhideWhenUsed/>
    <w:qFormat/>
    <w:uiPriority w:val="0"/>
    <w:pPr>
      <w:keepNext/>
      <w:pageBreakBefore/>
      <w:tabs>
        <w:tab w:val="left" w:pos="720"/>
      </w:tabs>
      <w:spacing w:beforeLines="0" w:afterLines="0" w:line="360" w:lineRule="auto"/>
      <w:jc w:val="center"/>
      <w:outlineLvl w:val="0"/>
    </w:pPr>
    <w:rPr>
      <w:rFonts w:hint="default" w:ascii="Times New Roman" w:hAnsi="Times New Roman" w:eastAsia="黑体"/>
      <w:b/>
      <w:kern w:val="44"/>
      <w:sz w:val="36"/>
      <w:szCs w:val="24"/>
    </w:rPr>
  </w:style>
  <w:style w:type="paragraph" w:customStyle="1" w:styleId="562">
    <w:name w:val="DAS正文"/>
    <w:basedOn w:val="1"/>
    <w:qFormat/>
    <w:uiPriority w:val="0"/>
    <w:pPr>
      <w:spacing w:line="360" w:lineRule="auto"/>
      <w:ind w:right="181" w:firstLine="480" w:firstLineChars="200"/>
    </w:pPr>
    <w:rPr>
      <w:rFonts w:ascii="Verdana" w:hAnsi="Verdana"/>
      <w:sz w:val="24"/>
      <w:szCs w:val="24"/>
    </w:rPr>
  </w:style>
  <w:style w:type="paragraph" w:customStyle="1" w:styleId="563">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564">
    <w:name w:val="列出段落"/>
    <w:basedOn w:val="1"/>
    <w:qFormat/>
    <w:uiPriority w:val="34"/>
    <w:pPr>
      <w:ind w:firstLine="420" w:firstLineChars="200"/>
    </w:pPr>
    <w:rPr>
      <w:rFonts w:ascii="Verdana" w:hAnsi="Verdana" w:eastAsia="微软雅黑"/>
      <w:sz w:val="21"/>
    </w:rPr>
  </w:style>
  <w:style w:type="character" w:customStyle="1" w:styleId="565">
    <w:name w:val="Book Title"/>
    <w:basedOn w:val="82"/>
    <w:qFormat/>
    <w:uiPriority w:val="33"/>
    <w:rPr>
      <w:b/>
      <w:bCs/>
      <w:smallCaps/>
      <w:spacing w:val="5"/>
    </w:rPr>
  </w:style>
  <w:style w:type="paragraph" w:customStyle="1" w:styleId="566">
    <w:name w:val="*正文"/>
    <w:basedOn w:val="1"/>
    <w:qFormat/>
    <w:uiPriority w:val="0"/>
    <w:pPr>
      <w:spacing w:line="360" w:lineRule="auto"/>
      <w:ind w:firstLine="200" w:firstLineChars="200"/>
    </w:pPr>
    <w:rPr>
      <w:rFonts w:ascii="宋体" w:hAnsi="宋体" w:cs="仿宋_GB2312"/>
      <w:sz w:val="24"/>
    </w:rPr>
  </w:style>
  <w:style w:type="character" w:customStyle="1" w:styleId="567">
    <w:name w:val="font71"/>
    <w:basedOn w:val="82"/>
    <w:qFormat/>
    <w:uiPriority w:val="0"/>
    <w:rPr>
      <w:rFonts w:hint="eastAsia" w:ascii="宋体" w:hAnsi="宋体" w:eastAsia="宋体" w:cs="宋体"/>
      <w:color w:val="000000"/>
      <w:sz w:val="22"/>
      <w:szCs w:val="22"/>
      <w:u w:val="none"/>
    </w:rPr>
  </w:style>
  <w:style w:type="paragraph" w:customStyle="1" w:styleId="568">
    <w:name w:val="表3"/>
    <w:basedOn w:val="1"/>
    <w:qFormat/>
    <w:uiPriority w:val="0"/>
    <w:pPr>
      <w:autoSpaceDE w:val="0"/>
      <w:autoSpaceDN w:val="0"/>
      <w:adjustRightInd w:val="0"/>
      <w:jc w:val="center"/>
      <w:textAlignment w:val="baseline"/>
    </w:pPr>
    <w:rPr>
      <w:rFonts w:ascii="宋体" w:hAnsi="宋体"/>
      <w:b/>
      <w:bCs/>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21016</Words>
  <Characters>22582</Characters>
  <Lines>228</Lines>
  <Paragraphs>64</Paragraphs>
  <TotalTime>63</TotalTime>
  <ScaleCrop>false</ScaleCrop>
  <LinksUpToDate>false</LinksUpToDate>
  <CharactersWithSpaces>22882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2021-03-22T03:02:00Z</dcterms:created>
  <dc:creator>zlj</dc:creator>
  <cp:lastModifiedBy>佳</cp:lastModifiedBy>
  <cp:lastPrinted>2025-03-03T03:25:00Z</cp:lastPrinted>
  <dcterms:modified xsi:type="dcterms:W3CDTF">2025-03-03T08:23:51Z</dcterms:modified>
  <dc:title>sxwh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A553ADC8153A4205BDDB895392C6A67B_13</vt:lpwstr>
  </property>
  <property fmtid="{D5CDD505-2E9C-101B-9397-08002B2CF9AE}" pid="4" name="KSOTemplateDocerSaveRecord">
    <vt:lpwstr>eyJoZGlkIjoiMTM3MTc4MjI0MTMwMDA2NWZhYjczYzNhNzM1YzM5NTMiLCJ1c2VySWQiOiIxMTc5MTczNzMwIn0=</vt:lpwstr>
  </property>
</Properties>
</file>