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DA973">
      <w:pPr>
        <w:autoSpaceDE/>
        <w:autoSpaceDN/>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lang w:eastAsia="zh-CN"/>
        </w:rPr>
        <w:t>诸暨市交投公路工程有限公司玄武岩石料、石灰岩矿粉采购项目（第二次）</w:t>
      </w:r>
    </w:p>
    <w:p w14:paraId="604A0340">
      <w:pPr>
        <w:autoSpaceDE/>
        <w:autoSpaceDN/>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（编号</w:t>
      </w:r>
      <w:r>
        <w:rPr>
          <w:rFonts w:hint="eastAsia" w:asciiTheme="minorEastAsia" w:hAnsiTheme="minorEastAsia" w:eastAsiaTheme="minorEastAsia" w:cstheme="minorEastAsia"/>
          <w:b/>
          <w:bCs/>
          <w:color w:val="auto"/>
          <w:sz w:val="32"/>
          <w:szCs w:val="32"/>
          <w:lang w:eastAsia="zh-CN"/>
        </w:rPr>
        <w:t>：</w:t>
      </w:r>
      <w:r>
        <w:rPr>
          <w:rFonts w:hint="eastAsia" w:asciiTheme="minorEastAsia" w:hAnsiTheme="minorEastAsia" w:eastAsiaTheme="minorEastAsia" w:cstheme="minorEastAsia"/>
          <w:b/>
          <w:bCs/>
          <w:color w:val="auto"/>
          <w:sz w:val="32"/>
          <w:szCs w:val="32"/>
        </w:rPr>
        <w:t>诸杰虎2024</w:t>
      </w:r>
      <w:r>
        <w:rPr>
          <w:rFonts w:hint="eastAsia" w:asciiTheme="minorEastAsia" w:hAnsiTheme="minorEastAsia" w:eastAsiaTheme="minorEastAsia" w:cstheme="minorEastAsia"/>
          <w:b/>
          <w:bCs/>
          <w:color w:val="auto"/>
          <w:sz w:val="32"/>
          <w:szCs w:val="32"/>
          <w:lang w:val="en-US" w:eastAsia="zh-CN"/>
        </w:rPr>
        <w:t>-10-01</w:t>
      </w:r>
      <w:r>
        <w:rPr>
          <w:rFonts w:hint="eastAsia" w:asciiTheme="minorEastAsia" w:hAnsiTheme="minorEastAsia" w:eastAsiaTheme="minorEastAsia" w:cstheme="minorEastAsia"/>
          <w:b/>
          <w:bCs/>
          <w:color w:val="auto"/>
          <w:sz w:val="32"/>
          <w:szCs w:val="32"/>
          <w:lang w:eastAsia="zh-CN"/>
        </w:rPr>
        <w:t xml:space="preserve"> </w:t>
      </w:r>
      <w:r>
        <w:rPr>
          <w:rFonts w:hint="eastAsia" w:asciiTheme="minorEastAsia" w:hAnsiTheme="minorEastAsia" w:eastAsiaTheme="minorEastAsia" w:cstheme="minorEastAsia"/>
          <w:b/>
          <w:bCs/>
          <w:color w:val="auto"/>
          <w:sz w:val="32"/>
          <w:szCs w:val="32"/>
        </w:rPr>
        <w:t>）</w:t>
      </w:r>
    </w:p>
    <w:p w14:paraId="6371AC23">
      <w:pPr>
        <w:autoSpaceDE/>
        <w:autoSpaceDN/>
        <w:jc w:val="center"/>
        <w:rPr>
          <w:rFonts w:hint="eastAsia" w:ascii="宋体" w:hAnsi="宋体" w:eastAsia="仿宋_GB2312" w:cs="宋体"/>
          <w:color w:val="auto"/>
        </w:rPr>
      </w:pPr>
    </w:p>
    <w:p w14:paraId="62021DA4">
      <w:pPr>
        <w:autoSpaceDE/>
        <w:autoSpaceDN/>
        <w:jc w:val="center"/>
        <w:rPr>
          <w:rFonts w:hint="eastAsia" w:asciiTheme="minorEastAsia" w:hAnsiTheme="minorEastAsia" w:eastAsiaTheme="minorEastAsia" w:cstheme="minorEastAsia"/>
          <w:b/>
          <w:bCs/>
          <w:color w:val="auto"/>
          <w:sz w:val="72"/>
          <w:szCs w:val="72"/>
        </w:rPr>
      </w:pPr>
      <w:r>
        <w:rPr>
          <w:rFonts w:hint="eastAsia" w:asciiTheme="minorEastAsia" w:hAnsiTheme="minorEastAsia" w:eastAsiaTheme="minorEastAsia" w:cstheme="minorEastAsia"/>
          <w:b/>
          <w:bCs/>
          <w:color w:val="auto"/>
          <w:sz w:val="72"/>
          <w:szCs w:val="72"/>
        </w:rPr>
        <w:t>招</w:t>
      </w:r>
    </w:p>
    <w:p w14:paraId="18813917">
      <w:pPr>
        <w:autoSpaceDE/>
        <w:autoSpaceDN/>
        <w:jc w:val="center"/>
        <w:rPr>
          <w:rFonts w:hint="eastAsia" w:asciiTheme="minorEastAsia" w:hAnsiTheme="minorEastAsia" w:eastAsiaTheme="minorEastAsia" w:cstheme="minorEastAsia"/>
          <w:b/>
          <w:bCs/>
          <w:color w:val="auto"/>
          <w:sz w:val="72"/>
          <w:szCs w:val="72"/>
        </w:rPr>
      </w:pPr>
    </w:p>
    <w:p w14:paraId="26DFB0A0">
      <w:pPr>
        <w:autoSpaceDE/>
        <w:autoSpaceDN/>
        <w:jc w:val="center"/>
        <w:rPr>
          <w:rFonts w:hint="eastAsia" w:asciiTheme="minorEastAsia" w:hAnsiTheme="minorEastAsia" w:eastAsiaTheme="minorEastAsia" w:cstheme="minorEastAsia"/>
          <w:b/>
          <w:bCs/>
          <w:color w:val="auto"/>
          <w:sz w:val="72"/>
          <w:szCs w:val="72"/>
        </w:rPr>
      </w:pPr>
      <w:r>
        <w:rPr>
          <w:rFonts w:hint="eastAsia" w:asciiTheme="minorEastAsia" w:hAnsiTheme="minorEastAsia" w:eastAsiaTheme="minorEastAsia" w:cstheme="minorEastAsia"/>
          <w:b/>
          <w:bCs/>
          <w:color w:val="auto"/>
          <w:sz w:val="72"/>
          <w:szCs w:val="72"/>
        </w:rPr>
        <w:t>标</w:t>
      </w:r>
    </w:p>
    <w:p w14:paraId="79646D9B">
      <w:pPr>
        <w:autoSpaceDE/>
        <w:autoSpaceDN/>
        <w:jc w:val="center"/>
        <w:rPr>
          <w:rFonts w:hint="eastAsia" w:asciiTheme="minorEastAsia" w:hAnsiTheme="minorEastAsia" w:eastAsiaTheme="minorEastAsia" w:cstheme="minorEastAsia"/>
          <w:b/>
          <w:bCs/>
          <w:color w:val="auto"/>
          <w:sz w:val="72"/>
          <w:szCs w:val="72"/>
        </w:rPr>
      </w:pPr>
    </w:p>
    <w:p w14:paraId="35C5C72B">
      <w:pPr>
        <w:autoSpaceDE/>
        <w:autoSpaceDN/>
        <w:jc w:val="center"/>
        <w:rPr>
          <w:rFonts w:hint="eastAsia" w:asciiTheme="minorEastAsia" w:hAnsiTheme="minorEastAsia" w:eastAsiaTheme="minorEastAsia" w:cstheme="minorEastAsia"/>
          <w:b/>
          <w:bCs/>
          <w:color w:val="auto"/>
          <w:sz w:val="72"/>
          <w:szCs w:val="72"/>
        </w:rPr>
      </w:pPr>
      <w:r>
        <w:rPr>
          <w:rFonts w:hint="eastAsia" w:asciiTheme="minorEastAsia" w:hAnsiTheme="minorEastAsia" w:eastAsiaTheme="minorEastAsia" w:cstheme="minorEastAsia"/>
          <w:b/>
          <w:bCs/>
          <w:color w:val="auto"/>
          <w:sz w:val="72"/>
          <w:szCs w:val="72"/>
        </w:rPr>
        <w:t>文</w:t>
      </w:r>
    </w:p>
    <w:p w14:paraId="175C7319">
      <w:pPr>
        <w:autoSpaceDE/>
        <w:autoSpaceDN/>
        <w:jc w:val="center"/>
        <w:rPr>
          <w:rFonts w:hint="eastAsia" w:asciiTheme="minorEastAsia" w:hAnsiTheme="minorEastAsia" w:eastAsiaTheme="minorEastAsia" w:cstheme="minorEastAsia"/>
          <w:b/>
          <w:bCs/>
          <w:color w:val="auto"/>
          <w:sz w:val="72"/>
          <w:szCs w:val="72"/>
        </w:rPr>
      </w:pPr>
    </w:p>
    <w:p w14:paraId="6CC70388">
      <w:pPr>
        <w:autoSpaceDE/>
        <w:autoSpaceDN/>
        <w:jc w:val="center"/>
        <w:rPr>
          <w:rFonts w:hint="eastAsia" w:asciiTheme="minorEastAsia" w:hAnsiTheme="minorEastAsia" w:eastAsiaTheme="minorEastAsia" w:cstheme="minorEastAsia"/>
          <w:b/>
          <w:bCs/>
          <w:color w:val="auto"/>
          <w:sz w:val="72"/>
          <w:szCs w:val="72"/>
        </w:rPr>
      </w:pPr>
      <w:r>
        <w:rPr>
          <w:rFonts w:hint="eastAsia" w:asciiTheme="minorEastAsia" w:hAnsiTheme="minorEastAsia" w:eastAsiaTheme="minorEastAsia" w:cstheme="minorEastAsia"/>
          <w:b/>
          <w:bCs/>
          <w:color w:val="auto"/>
          <w:sz w:val="72"/>
          <w:szCs w:val="72"/>
        </w:rPr>
        <w:t>件</w:t>
      </w:r>
    </w:p>
    <w:p w14:paraId="62DFCA9D">
      <w:pPr>
        <w:pStyle w:val="11"/>
        <w:snapToGrid w:val="0"/>
        <w:spacing w:before="120" w:after="120" w:line="360" w:lineRule="auto"/>
        <w:rPr>
          <w:rFonts w:hint="eastAsia" w:asciiTheme="minorEastAsia" w:hAnsiTheme="minorEastAsia" w:eastAsiaTheme="minorEastAsia" w:cstheme="minorEastAsia"/>
          <w:b/>
          <w:bCs/>
          <w:color w:val="auto"/>
          <w:spacing w:val="70"/>
          <w:w w:val="95"/>
          <w:sz w:val="30"/>
          <w:szCs w:val="30"/>
        </w:rPr>
      </w:pPr>
    </w:p>
    <w:p w14:paraId="3546DD59">
      <w:pPr>
        <w:spacing w:line="360" w:lineRule="auto"/>
        <w:ind w:firstLine="1285" w:firstLineChars="400"/>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rPr>
        <w:t>采 购 单 位：</w:t>
      </w:r>
      <w:r>
        <w:rPr>
          <w:rFonts w:hint="eastAsia" w:asciiTheme="minorEastAsia" w:hAnsiTheme="minorEastAsia" w:eastAsiaTheme="minorEastAsia" w:cstheme="minorEastAsia"/>
          <w:b/>
          <w:bCs/>
          <w:color w:val="auto"/>
          <w:sz w:val="32"/>
          <w:szCs w:val="32"/>
          <w:lang w:eastAsia="zh-CN"/>
        </w:rPr>
        <w:t xml:space="preserve"> 诸暨市交投公路工程有限公司</w:t>
      </w:r>
    </w:p>
    <w:p w14:paraId="3AA417E1">
      <w:pPr>
        <w:spacing w:line="360" w:lineRule="auto"/>
        <w:ind w:firstLine="1285" w:firstLineChars="400"/>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rPr>
        <w:t>采购代理机构：</w:t>
      </w:r>
      <w:r>
        <w:rPr>
          <w:rFonts w:hint="eastAsia" w:asciiTheme="minorEastAsia" w:hAnsiTheme="minorEastAsia" w:eastAsiaTheme="minorEastAsia" w:cstheme="minorEastAsia"/>
          <w:b/>
          <w:bCs/>
          <w:color w:val="auto"/>
          <w:sz w:val="32"/>
          <w:szCs w:val="32"/>
          <w:lang w:eastAsia="zh-CN"/>
        </w:rPr>
        <w:t>诸暨市杰虎工程咨询有限公司</w:t>
      </w:r>
    </w:p>
    <w:p w14:paraId="51943D6D">
      <w:pPr>
        <w:pStyle w:val="11"/>
        <w:snapToGrid w:val="0"/>
        <w:spacing w:before="120" w:after="120" w:line="360" w:lineRule="auto"/>
        <w:jc w:val="center"/>
        <w:rPr>
          <w:rFonts w:hint="eastAsia" w:asciiTheme="minorEastAsia" w:hAnsiTheme="minorEastAsia" w:eastAsiaTheme="minorEastAsia" w:cstheme="minorEastAsia"/>
          <w:b/>
          <w:color w:val="auto"/>
          <w:w w:val="95"/>
          <w:sz w:val="32"/>
          <w:szCs w:val="32"/>
        </w:rPr>
      </w:pPr>
      <w:r>
        <w:rPr>
          <w:rFonts w:hint="eastAsia" w:asciiTheme="minorEastAsia" w:hAnsiTheme="minorEastAsia" w:eastAsiaTheme="minorEastAsia" w:cstheme="minorEastAsia"/>
          <w:b/>
          <w:color w:val="auto"/>
          <w:w w:val="95"/>
          <w:sz w:val="32"/>
          <w:szCs w:val="32"/>
        </w:rPr>
        <w:t>二〇二</w:t>
      </w:r>
      <w:r>
        <w:rPr>
          <w:rFonts w:hint="eastAsia" w:asciiTheme="minorEastAsia" w:hAnsiTheme="minorEastAsia" w:eastAsiaTheme="minorEastAsia" w:cstheme="minorEastAsia"/>
          <w:b/>
          <w:color w:val="auto"/>
          <w:w w:val="95"/>
          <w:sz w:val="32"/>
          <w:szCs w:val="32"/>
          <w:lang w:val="en-US" w:eastAsia="zh-CN"/>
        </w:rPr>
        <w:t>四</w:t>
      </w:r>
      <w:r>
        <w:rPr>
          <w:rFonts w:hint="eastAsia" w:asciiTheme="minorEastAsia" w:hAnsiTheme="minorEastAsia" w:eastAsiaTheme="minorEastAsia" w:cstheme="minorEastAsia"/>
          <w:b/>
          <w:color w:val="auto"/>
          <w:w w:val="95"/>
          <w:sz w:val="32"/>
          <w:szCs w:val="32"/>
        </w:rPr>
        <w:t>年</w:t>
      </w:r>
      <w:r>
        <w:rPr>
          <w:rFonts w:hint="eastAsia" w:asciiTheme="minorEastAsia" w:hAnsiTheme="minorEastAsia" w:eastAsiaTheme="minorEastAsia" w:cstheme="minorEastAsia"/>
          <w:b/>
          <w:color w:val="auto"/>
          <w:w w:val="95"/>
          <w:sz w:val="32"/>
          <w:szCs w:val="32"/>
          <w:lang w:val="en-US" w:eastAsia="zh-CN"/>
        </w:rPr>
        <w:t>十</w:t>
      </w:r>
      <w:r>
        <w:rPr>
          <w:rFonts w:hint="eastAsia" w:asciiTheme="minorEastAsia" w:hAnsiTheme="minorEastAsia" w:eastAsiaTheme="minorEastAsia" w:cstheme="minorEastAsia"/>
          <w:b/>
          <w:color w:val="auto"/>
          <w:w w:val="95"/>
          <w:sz w:val="32"/>
          <w:szCs w:val="32"/>
        </w:rPr>
        <w:t>月</w:t>
      </w:r>
    </w:p>
    <w:p w14:paraId="3ABBAD01">
      <w:pPr>
        <w:jc w:val="center"/>
        <w:rPr>
          <w:rFonts w:hint="eastAsia" w:asciiTheme="minorEastAsia" w:hAnsiTheme="minorEastAsia" w:eastAsiaTheme="minorEastAsia" w:cstheme="minorEastAsia"/>
          <w:b/>
          <w:color w:val="auto"/>
          <w:sz w:val="44"/>
          <w:szCs w:val="44"/>
        </w:rPr>
      </w:pPr>
    </w:p>
    <w:p w14:paraId="56B2D2E6">
      <w:pPr>
        <w:jc w:val="center"/>
        <w:rPr>
          <w:rFonts w:hint="eastAsia" w:asciiTheme="minorEastAsia" w:hAnsiTheme="minorEastAsia" w:eastAsiaTheme="minorEastAsia" w:cstheme="minorEastAsia"/>
          <w:b/>
          <w:color w:val="auto"/>
          <w:sz w:val="44"/>
          <w:szCs w:val="44"/>
        </w:rPr>
        <w:sectPr>
          <w:footerReference r:id="rId3" w:type="default"/>
          <w:footerReference r:id="rId4" w:type="even"/>
          <w:pgSz w:w="11906" w:h="16838"/>
          <w:pgMar w:top="1236" w:right="1134" w:bottom="1236" w:left="1134" w:header="851" w:footer="907" w:gutter="0"/>
          <w:pgBorders>
            <w:top w:val="none" w:sz="0" w:space="0"/>
            <w:left w:val="none" w:sz="0" w:space="0"/>
            <w:bottom w:val="none" w:sz="0" w:space="0"/>
            <w:right w:val="none" w:sz="0" w:space="0"/>
          </w:pgBorders>
          <w:pgNumType w:start="0"/>
          <w:cols w:space="720" w:num="1"/>
          <w:titlePg/>
          <w:docGrid w:type="lines" w:linePitch="312" w:charSpace="0"/>
        </w:sectPr>
      </w:pPr>
    </w:p>
    <w:p w14:paraId="31FEA695">
      <w:pPr>
        <w:pStyle w:val="17"/>
        <w:rPr>
          <w:rFonts w:hint="eastAsia" w:asciiTheme="minorEastAsia" w:hAnsiTheme="minorEastAsia" w:eastAsiaTheme="minorEastAsia" w:cstheme="minorEastAsia"/>
          <w:color w:val="auto"/>
        </w:rPr>
      </w:pPr>
    </w:p>
    <w:p w14:paraId="410BDAD9">
      <w:pPr>
        <w:jc w:val="center"/>
        <w:rPr>
          <w:rFonts w:hint="eastAsia" w:asciiTheme="minorEastAsia" w:hAnsiTheme="minorEastAsia" w:eastAsiaTheme="minorEastAsia" w:cstheme="minorEastAsia"/>
          <w:b/>
          <w:color w:val="auto"/>
          <w:sz w:val="44"/>
          <w:szCs w:val="44"/>
        </w:rPr>
      </w:pPr>
    </w:p>
    <w:p w14:paraId="46B692B8">
      <w:pPr>
        <w:jc w:val="center"/>
        <w:rPr>
          <w:rFonts w:hint="eastAsia" w:asciiTheme="minorEastAsia" w:hAnsiTheme="minorEastAsia" w:eastAsiaTheme="minorEastAsia" w:cstheme="minorEastAsia"/>
          <w:b/>
          <w:color w:val="auto"/>
          <w:sz w:val="44"/>
          <w:szCs w:val="44"/>
        </w:rPr>
      </w:pPr>
    </w:p>
    <w:p w14:paraId="10E983A4">
      <w:pPr>
        <w:jc w:val="center"/>
        <w:rPr>
          <w:rFonts w:hint="eastAsia"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目录</w:t>
      </w:r>
    </w:p>
    <w:p w14:paraId="7A4DD814">
      <w:pPr>
        <w:jc w:val="center"/>
        <w:rPr>
          <w:rFonts w:hint="eastAsia" w:asciiTheme="minorEastAsia" w:hAnsiTheme="minorEastAsia" w:eastAsiaTheme="minorEastAsia" w:cstheme="minorEastAsia"/>
          <w:b/>
          <w:color w:val="auto"/>
          <w:sz w:val="44"/>
          <w:szCs w:val="44"/>
        </w:rPr>
      </w:pPr>
    </w:p>
    <w:p w14:paraId="4126E667">
      <w:pPr>
        <w:jc w:val="center"/>
        <w:rPr>
          <w:rFonts w:hint="eastAsia" w:asciiTheme="minorEastAsia" w:hAnsiTheme="minorEastAsia" w:eastAsiaTheme="minorEastAsia" w:cstheme="minorEastAsia"/>
          <w:color w:val="auto"/>
        </w:rPr>
      </w:pPr>
    </w:p>
    <w:p w14:paraId="0ACC06F5">
      <w:pPr>
        <w:snapToGrid w:val="0"/>
        <w:spacing w:line="480" w:lineRule="auto"/>
        <w:ind w:firstLine="1807" w:firstLineChars="500"/>
        <w:jc w:val="left"/>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第一章    招标公告</w:t>
      </w:r>
    </w:p>
    <w:p w14:paraId="58C519E2">
      <w:pPr>
        <w:snapToGrid w:val="0"/>
        <w:spacing w:line="480" w:lineRule="auto"/>
        <w:ind w:firstLine="1807" w:firstLineChars="500"/>
        <w:jc w:val="left"/>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第二章    投标须知</w:t>
      </w:r>
    </w:p>
    <w:p w14:paraId="6280E808">
      <w:pPr>
        <w:snapToGrid w:val="0"/>
        <w:spacing w:line="480" w:lineRule="auto"/>
        <w:ind w:firstLine="1807" w:firstLineChars="500"/>
        <w:jc w:val="left"/>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第三章    评标办法</w:t>
      </w:r>
    </w:p>
    <w:p w14:paraId="0905CC31">
      <w:pPr>
        <w:snapToGrid w:val="0"/>
        <w:spacing w:line="480" w:lineRule="auto"/>
        <w:ind w:firstLine="1807" w:firstLineChars="500"/>
        <w:jc w:val="left"/>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第四章    招标需求</w:t>
      </w:r>
    </w:p>
    <w:p w14:paraId="349A7E07">
      <w:pPr>
        <w:snapToGrid w:val="0"/>
        <w:spacing w:line="480" w:lineRule="auto"/>
        <w:ind w:firstLine="1807" w:firstLineChars="500"/>
        <w:jc w:val="left"/>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第五章    采购合同</w:t>
      </w:r>
    </w:p>
    <w:p w14:paraId="185D1E9E">
      <w:pPr>
        <w:snapToGrid w:val="0"/>
        <w:spacing w:line="480" w:lineRule="auto"/>
        <w:ind w:firstLine="1807" w:firstLineChars="500"/>
        <w:jc w:val="left"/>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第六章    应提交的有关格式范例</w:t>
      </w:r>
    </w:p>
    <w:p w14:paraId="04AD733D">
      <w:pPr>
        <w:spacing w:line="360" w:lineRule="auto"/>
        <w:ind w:firstLine="482" w:firstLineChars="200"/>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请各位投标人详细阅读</w:t>
      </w:r>
      <w:r>
        <w:rPr>
          <w:rFonts w:hint="eastAsia" w:asciiTheme="minorEastAsia" w:hAnsiTheme="minorEastAsia" w:eastAsiaTheme="minorEastAsia" w:cstheme="minorEastAsia"/>
          <w:b/>
          <w:color w:val="auto"/>
          <w:sz w:val="24"/>
          <w:lang w:val="en-US" w:eastAsia="zh-CN"/>
        </w:rPr>
        <w:t>招标文件</w:t>
      </w:r>
      <w:r>
        <w:rPr>
          <w:rFonts w:hint="eastAsia" w:asciiTheme="minorEastAsia" w:hAnsiTheme="minorEastAsia" w:eastAsiaTheme="minorEastAsia" w:cstheme="minorEastAsia"/>
          <w:b/>
          <w:color w:val="auto"/>
          <w:sz w:val="24"/>
        </w:rPr>
        <w:t>各项条款</w:t>
      </w:r>
    </w:p>
    <w:p w14:paraId="249FD895">
      <w:pPr>
        <w:rPr>
          <w:rFonts w:hint="eastAsia" w:ascii="宋体" w:hAnsi="宋体" w:eastAsia="仿宋_GB2312" w:cs="宋体"/>
          <w:color w:val="auto"/>
        </w:rPr>
      </w:pPr>
      <w:bookmarkStart w:id="0" w:name="_Toc125344501"/>
    </w:p>
    <w:p w14:paraId="1BA3A55F">
      <w:pPr>
        <w:rPr>
          <w:rFonts w:hint="eastAsia" w:ascii="宋体" w:hAnsi="宋体" w:eastAsia="仿宋_GB2312" w:cs="宋体"/>
          <w:color w:val="auto"/>
        </w:rPr>
      </w:pPr>
    </w:p>
    <w:p w14:paraId="7F18A6EE">
      <w:pPr>
        <w:rPr>
          <w:rFonts w:hint="eastAsia" w:ascii="宋体" w:hAnsi="宋体" w:eastAsia="仿宋_GB2312" w:cs="宋体"/>
          <w:color w:val="auto"/>
        </w:rPr>
      </w:pPr>
    </w:p>
    <w:p w14:paraId="35FECA56">
      <w:pPr>
        <w:rPr>
          <w:rFonts w:hint="eastAsia" w:ascii="宋体" w:hAnsi="宋体" w:eastAsia="仿宋_GB2312" w:cs="宋体"/>
          <w:color w:val="auto"/>
        </w:rPr>
      </w:pPr>
    </w:p>
    <w:bookmarkEnd w:id="0"/>
    <w:p w14:paraId="1187858A">
      <w:pPr>
        <w:pStyle w:val="3"/>
        <w:spacing w:line="280" w:lineRule="exact"/>
        <w:jc w:val="center"/>
        <w:rPr>
          <w:rFonts w:hint="eastAsia" w:ascii="宋体" w:hAnsi="宋体" w:eastAsia="宋体" w:cs="宋体"/>
          <w:color w:val="auto"/>
          <w:sz w:val="36"/>
          <w:szCs w:val="36"/>
        </w:rPr>
        <w:sectPr>
          <w:footerReference r:id="rId6" w:type="first"/>
          <w:footerReference r:id="rId5" w:type="default"/>
          <w:pgSz w:w="11906" w:h="16838"/>
          <w:pgMar w:top="1236" w:right="1134" w:bottom="1236" w:left="1134" w:header="851" w:footer="907"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09FF26C4">
      <w:pPr>
        <w:bidi w:val="0"/>
        <w:rPr>
          <w:rFonts w:hint="eastAsia"/>
        </w:rPr>
      </w:pPr>
    </w:p>
    <w:p w14:paraId="02D0BB8B">
      <w:pPr>
        <w:pStyle w:val="3"/>
        <w:spacing w:line="280" w:lineRule="exact"/>
        <w:jc w:val="center"/>
        <w:rPr>
          <w:rStyle w:val="21"/>
          <w:rFonts w:hint="eastAsia" w:ascii="宋体" w:hAnsi="宋体" w:eastAsia="宋体" w:cs="宋体"/>
          <w:b/>
          <w:bCs/>
          <w:i w:val="0"/>
          <w:iCs w:val="0"/>
          <w:caps w:val="0"/>
          <w:color w:val="auto"/>
          <w:spacing w:val="0"/>
          <w:sz w:val="36"/>
          <w:szCs w:val="36"/>
          <w:shd w:val="clear" w:color="auto" w:fill="FFFFFF"/>
        </w:rPr>
      </w:pPr>
      <w:r>
        <w:rPr>
          <w:rFonts w:hint="eastAsia" w:ascii="宋体" w:hAnsi="宋体" w:eastAsia="宋体" w:cs="宋体"/>
          <w:color w:val="auto"/>
          <w:sz w:val="36"/>
          <w:szCs w:val="36"/>
        </w:rPr>
        <w:t>第一章  招标公告（非政府采购）</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14:paraId="5289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9680" w:type="dxa"/>
            <w:noWrap w:val="0"/>
            <w:vAlign w:val="top"/>
          </w:tcPr>
          <w:p w14:paraId="752D664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60" w:beforeAutospacing="0" w:after="0" w:afterAutospacing="0" w:line="440" w:lineRule="exact"/>
              <w:ind w:right="0"/>
              <w:jc w:val="left"/>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项目概况</w:t>
            </w:r>
          </w:p>
          <w:p w14:paraId="6E903EA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60" w:beforeAutospacing="0" w:after="0" w:afterAutospacing="0" w:line="440" w:lineRule="exact"/>
              <w:ind w:left="0" w:right="0" w:firstLine="482"/>
              <w:jc w:val="left"/>
              <w:textAlignment w:val="auto"/>
              <w:rPr>
                <w:rFonts w:hint="eastAsia" w:ascii="宋体" w:hAnsi="宋体" w:eastAsia="宋体" w:cs="宋体"/>
                <w:b w:val="0"/>
                <w:bCs w:val="0"/>
                <w:i w:val="0"/>
                <w:iCs w:val="0"/>
                <w:color w:val="000000" w:themeColor="text1"/>
                <w:sz w:val="24"/>
                <w:szCs w:val="24"/>
                <w:highlight w:val="none"/>
                <w:vertAlign w:val="baseline"/>
                <w14:textFill>
                  <w14:solidFill>
                    <w14:schemeClr w14:val="tx1"/>
                  </w14:solidFill>
                </w14:textFill>
              </w:rPr>
            </w:pPr>
            <w:r>
              <w:rPr>
                <w:rFonts w:hint="eastAsia" w:ascii="宋体" w:hAnsi="宋体" w:cs="宋体"/>
                <w:i w:val="0"/>
                <w:iCs w:val="0"/>
                <w:caps w:val="0"/>
                <w:color w:val="000000" w:themeColor="text1"/>
                <w:spacing w:val="0"/>
                <w:sz w:val="24"/>
                <w:szCs w:val="24"/>
                <w:shd w:val="clear" w:color="auto" w:fill="FFFFFF"/>
                <w:lang w:eastAsia="zh-CN"/>
                <w14:textFill>
                  <w14:solidFill>
                    <w14:schemeClr w14:val="tx1"/>
                  </w14:solidFill>
                </w14:textFill>
              </w:rPr>
              <w:t>诸暨市交投公路工程有限公司玄武岩石料、石灰岩矿粉采购项目（第二次）</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招标的潜在投标人应在乐采云平台（https://www.lecaiyun.com/）获取（下载）招标文件，并于</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2024年</w:t>
            </w:r>
            <w:r>
              <w:rPr>
                <w:rFonts w:hint="eastAsia" w:ascii="宋体" w:hAnsi="宋体" w:cs="宋体"/>
                <w:i w:val="0"/>
                <w:iCs w:val="0"/>
                <w:caps w:val="0"/>
                <w:color w:val="000000" w:themeColor="text1"/>
                <w:spacing w:val="0"/>
                <w:sz w:val="24"/>
                <w:szCs w:val="24"/>
                <w:shd w:val="clear" w:color="auto"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月</w:t>
            </w:r>
            <w:r>
              <w:rPr>
                <w:rFonts w:hint="eastAsia" w:ascii="宋体" w:hAnsi="宋体" w:cs="宋体"/>
                <w:i w:val="0"/>
                <w:iCs w:val="0"/>
                <w:caps w:val="0"/>
                <w:color w:val="000000" w:themeColor="text1"/>
                <w:spacing w:val="0"/>
                <w:sz w:val="24"/>
                <w:szCs w:val="24"/>
                <w:shd w:val="clear" w:color="auto"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日</w:t>
            </w:r>
            <w:r>
              <w:rPr>
                <w:rFonts w:hint="eastAsia" w:ascii="宋体" w:hAnsi="宋体" w:cs="宋体"/>
                <w:i w:val="0"/>
                <w:iCs w:val="0"/>
                <w:caps w:val="0"/>
                <w:color w:val="000000" w:themeColor="text1"/>
                <w:spacing w:val="0"/>
                <w:sz w:val="24"/>
                <w:szCs w:val="24"/>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color="auto"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（北京时间）前递交（上传）投标文件。</w:t>
            </w:r>
          </w:p>
        </w:tc>
      </w:tr>
    </w:tbl>
    <w:p w14:paraId="4073DB5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204" w:beforeAutospacing="0" w:after="40" w:afterAutospacing="0" w:line="440" w:lineRule="exact"/>
        <w:ind w:left="0" w:right="0" w:firstLine="0"/>
        <w:jc w:val="both"/>
        <w:textAlignment w:val="auto"/>
        <w:rPr>
          <w:rFonts w:hint="eastAsia" w:ascii="宋体" w:hAnsi="宋体" w:eastAsia="宋体" w:cs="宋体"/>
          <w:i w:val="0"/>
          <w:iCs w:val="0"/>
          <w:caps w:val="0"/>
          <w:color w:val="auto"/>
          <w:spacing w:val="0"/>
          <w:sz w:val="18"/>
          <w:szCs w:val="18"/>
        </w:rPr>
      </w:pPr>
      <w:r>
        <w:rPr>
          <w:rStyle w:val="21"/>
          <w:rFonts w:hint="eastAsia" w:ascii="宋体" w:hAnsi="宋体" w:eastAsia="宋体" w:cs="宋体"/>
          <w:b/>
          <w:bCs/>
          <w:i w:val="0"/>
          <w:iCs w:val="0"/>
          <w:caps w:val="0"/>
          <w:color w:val="000000" w:themeColor="text1"/>
          <w:spacing w:val="0"/>
          <w:sz w:val="28"/>
          <w:szCs w:val="28"/>
          <w:shd w:val="clear" w:color="auto" w:fill="FFFFFF"/>
          <w14:textFill>
            <w14:solidFill>
              <w14:schemeClr w14:val="tx1"/>
            </w14:solidFill>
          </w14:textFill>
        </w:rPr>
        <w:t>一、项目基本情况</w:t>
      </w:r>
    </w:p>
    <w:p w14:paraId="3404F7F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采购组织类型：</w:t>
      </w:r>
      <w:r>
        <w:rPr>
          <w:rFonts w:hint="eastAsia" w:ascii="宋体" w:hAnsi="宋体" w:eastAsia="宋体" w:cs="宋体"/>
          <w:bCs/>
          <w:color w:val="auto"/>
          <w:sz w:val="24"/>
          <w:szCs w:val="24"/>
          <w:highlight w:val="none"/>
          <w:lang w:val="en-US" w:eastAsia="zh-CN"/>
        </w:rPr>
        <w:t>企业</w:t>
      </w:r>
      <w:r>
        <w:rPr>
          <w:rFonts w:hint="eastAsia" w:ascii="宋体" w:hAnsi="宋体" w:eastAsia="宋体" w:cs="宋体"/>
          <w:bCs/>
          <w:color w:val="auto"/>
          <w:sz w:val="24"/>
          <w:szCs w:val="24"/>
          <w:highlight w:val="none"/>
        </w:rPr>
        <w:t>采购委托代理</w:t>
      </w:r>
    </w:p>
    <w:p w14:paraId="6907ED8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项目编号：诸杰虎2024-</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 xml:space="preserve">    </w:t>
      </w:r>
    </w:p>
    <w:p w14:paraId="3889970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cs="宋体"/>
          <w:i w:val="0"/>
          <w:iCs w:val="0"/>
          <w:caps w:val="0"/>
          <w:color w:val="auto"/>
          <w:spacing w:val="0"/>
          <w:sz w:val="24"/>
          <w:szCs w:val="24"/>
          <w:shd w:val="clear" w:color="auto" w:fill="FFFFFF"/>
          <w:lang w:eastAsia="zh-CN"/>
        </w:rPr>
        <w:t>诸暨市交投公路工程有限公司玄武岩石料、石灰岩矿粉采购项目（第二次）</w:t>
      </w:r>
    </w:p>
    <w:p w14:paraId="0FE25DC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w:t>
      </w:r>
      <w:r>
        <w:rPr>
          <w:rFonts w:hint="eastAsia" w:ascii="宋体" w:hAnsi="宋体" w:eastAsia="宋体" w:cs="宋体"/>
          <w:color w:val="auto"/>
          <w:sz w:val="24"/>
          <w:szCs w:val="24"/>
          <w:lang w:val="en-US" w:eastAsia="zh-CN"/>
        </w:rPr>
        <w:t>1500万元</w:t>
      </w:r>
    </w:p>
    <w:p w14:paraId="41DA325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最高限价：</w:t>
      </w:r>
      <w:r>
        <w:rPr>
          <w:rFonts w:hint="eastAsia" w:ascii="宋体" w:hAnsi="宋体" w:eastAsia="宋体" w:cs="宋体"/>
          <w:color w:val="auto"/>
          <w:sz w:val="24"/>
          <w:szCs w:val="24"/>
          <w:lang w:val="en-US" w:eastAsia="zh-CN"/>
        </w:rPr>
        <w:t>1500万元</w:t>
      </w:r>
    </w:p>
    <w:p w14:paraId="273B7CDF">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sz w:val="24"/>
          <w:highlight w:val="none"/>
          <w:lang w:val="en-US" w:eastAsia="zh-CN"/>
        </w:rPr>
        <w:t>采购需求：</w:t>
      </w:r>
      <w:r>
        <w:rPr>
          <w:rFonts w:hint="eastAsia" w:ascii="宋体" w:hAnsi="宋体" w:eastAsia="宋体" w:cs="宋体"/>
          <w:color w:val="auto"/>
          <w:kern w:val="0"/>
          <w:sz w:val="24"/>
          <w:szCs w:val="21"/>
          <w:highlight w:val="none"/>
          <w:lang w:val="en-US" w:eastAsia="zh-CN" w:bidi="ar-SA"/>
        </w:rPr>
        <w:t xml:space="preserve"> 诸暨市交投公路工程有限公司沥青拌和用石料采购，采购内容为玄武岩石料、石灰岩矿粉，数量根据实际工程需要确定，总预算金</w:t>
      </w:r>
      <w:r>
        <w:rPr>
          <w:rFonts w:hint="eastAsia" w:ascii="宋体" w:hAnsi="宋体" w:cs="宋体"/>
          <w:color w:val="auto"/>
          <w:kern w:val="0"/>
          <w:sz w:val="24"/>
          <w:szCs w:val="21"/>
          <w:highlight w:val="none"/>
          <w:lang w:val="en-US" w:eastAsia="zh-CN" w:bidi="ar-SA"/>
        </w:rPr>
        <w:t>额为</w:t>
      </w:r>
      <w:r>
        <w:rPr>
          <w:rFonts w:hint="eastAsia" w:ascii="宋体" w:hAnsi="宋体" w:cs="宋体"/>
          <w:color w:val="auto"/>
          <w:sz w:val="24"/>
          <w:szCs w:val="24"/>
          <w:lang w:val="en-US" w:eastAsia="zh-CN"/>
        </w:rPr>
        <w:t>1500</w:t>
      </w:r>
      <w:r>
        <w:rPr>
          <w:rFonts w:hint="eastAsia" w:ascii="宋体" w:hAnsi="宋体" w:eastAsia="宋体" w:cs="宋体"/>
          <w:color w:val="auto"/>
          <w:sz w:val="24"/>
          <w:szCs w:val="24"/>
          <w:lang w:val="en-US" w:eastAsia="zh-CN"/>
        </w:rPr>
        <w:t>万元</w:t>
      </w:r>
      <w:r>
        <w:rPr>
          <w:rFonts w:hint="eastAsia" w:ascii="宋体" w:hAnsi="宋体" w:eastAsia="宋体" w:cs="宋体"/>
          <w:color w:val="auto"/>
          <w:kern w:val="0"/>
          <w:sz w:val="24"/>
          <w:szCs w:val="21"/>
          <w:highlight w:val="none"/>
          <w:lang w:val="en-US" w:eastAsia="zh-CN" w:bidi="ar-SA"/>
        </w:rPr>
        <w:t>，采购明细及最高单价限价等内容详见下表。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728"/>
        <w:gridCol w:w="1729"/>
        <w:gridCol w:w="2280"/>
        <w:gridCol w:w="1611"/>
      </w:tblGrid>
      <w:tr w14:paraId="1631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0"/>
            <w:vAlign w:val="center"/>
          </w:tcPr>
          <w:p w14:paraId="6F4895F5">
            <w:pPr>
              <w:pStyle w:val="11"/>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材料名称</w:t>
            </w:r>
          </w:p>
        </w:tc>
        <w:tc>
          <w:tcPr>
            <w:tcW w:w="1728" w:type="dxa"/>
            <w:noWrap w:val="0"/>
            <w:vAlign w:val="center"/>
          </w:tcPr>
          <w:p w14:paraId="15488C34">
            <w:pPr>
              <w:pStyle w:val="11"/>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规格</w:t>
            </w:r>
          </w:p>
        </w:tc>
        <w:tc>
          <w:tcPr>
            <w:tcW w:w="1729" w:type="dxa"/>
            <w:noWrap w:val="0"/>
            <w:vAlign w:val="center"/>
          </w:tcPr>
          <w:p w14:paraId="18A2608C">
            <w:pPr>
              <w:pStyle w:val="11"/>
              <w:spacing w:line="360" w:lineRule="auto"/>
              <w:jc w:val="center"/>
              <w:rPr>
                <w:rFonts w:hint="eastAsia" w:ascii="宋体" w:hAnsi="宋体" w:eastAsia="宋体" w:cs="宋体"/>
                <w:color w:val="auto"/>
              </w:rPr>
            </w:pPr>
            <w:r>
              <w:rPr>
                <w:rFonts w:hint="eastAsia" w:ascii="宋体" w:hAnsi="宋体" w:eastAsia="宋体" w:cs="宋体"/>
                <w:color w:val="auto"/>
              </w:rPr>
              <w:t>最高单价限价</w:t>
            </w:r>
          </w:p>
        </w:tc>
        <w:tc>
          <w:tcPr>
            <w:tcW w:w="2280" w:type="dxa"/>
            <w:noWrap w:val="0"/>
            <w:vAlign w:val="center"/>
          </w:tcPr>
          <w:p w14:paraId="3B92D60A">
            <w:pPr>
              <w:pStyle w:val="11"/>
              <w:spacing w:line="360" w:lineRule="auto"/>
              <w:jc w:val="center"/>
              <w:rPr>
                <w:rFonts w:hint="eastAsia" w:ascii="宋体" w:hAnsi="宋体" w:eastAsia="宋体" w:cs="宋体"/>
                <w:color w:val="auto"/>
              </w:rPr>
            </w:pPr>
            <w:r>
              <w:rPr>
                <w:rFonts w:hint="eastAsia" w:ascii="宋体" w:hAnsi="宋体" w:eastAsia="宋体" w:cs="宋体"/>
                <w:color w:val="auto"/>
              </w:rPr>
              <w:t>暂估采购数量</w:t>
            </w:r>
          </w:p>
        </w:tc>
        <w:tc>
          <w:tcPr>
            <w:tcW w:w="1611" w:type="dxa"/>
            <w:noWrap w:val="0"/>
            <w:vAlign w:val="center"/>
          </w:tcPr>
          <w:p w14:paraId="307182B7">
            <w:pPr>
              <w:pStyle w:val="11"/>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预算金额</w:t>
            </w:r>
          </w:p>
        </w:tc>
      </w:tr>
      <w:tr w14:paraId="2A2E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75" w:type="dxa"/>
            <w:vMerge w:val="restart"/>
            <w:noWrap w:val="0"/>
            <w:vAlign w:val="center"/>
          </w:tcPr>
          <w:p w14:paraId="19EE8E0B">
            <w:pPr>
              <w:pStyle w:val="11"/>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玄武岩石料</w:t>
            </w:r>
          </w:p>
        </w:tc>
        <w:tc>
          <w:tcPr>
            <w:tcW w:w="1728" w:type="dxa"/>
            <w:noWrap w:val="0"/>
            <w:vAlign w:val="center"/>
          </w:tcPr>
          <w:p w14:paraId="6849DE99">
            <w:pPr>
              <w:pStyle w:val="11"/>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5~10mm</w:t>
            </w:r>
          </w:p>
        </w:tc>
        <w:tc>
          <w:tcPr>
            <w:tcW w:w="1729" w:type="dxa"/>
            <w:noWrap w:val="0"/>
            <w:vAlign w:val="center"/>
          </w:tcPr>
          <w:p w14:paraId="36B67648">
            <w:pPr>
              <w:pStyle w:val="11"/>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346</w:t>
            </w:r>
            <w:r>
              <w:rPr>
                <w:rFonts w:hint="eastAsia" w:ascii="宋体" w:hAnsi="宋体" w:eastAsia="宋体" w:cs="宋体"/>
                <w:color w:val="auto"/>
                <w:highlight w:val="none"/>
                <w:lang w:val="en-US" w:eastAsia="zh-CN"/>
              </w:rPr>
              <w:t>元/吨</w:t>
            </w:r>
          </w:p>
        </w:tc>
        <w:tc>
          <w:tcPr>
            <w:tcW w:w="2280" w:type="dxa"/>
            <w:noWrap w:val="0"/>
            <w:vAlign w:val="center"/>
          </w:tcPr>
          <w:p w14:paraId="227755CA">
            <w:pPr>
              <w:pStyle w:val="11"/>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18000吨</w:t>
            </w:r>
          </w:p>
        </w:tc>
        <w:tc>
          <w:tcPr>
            <w:tcW w:w="1611" w:type="dxa"/>
            <w:vMerge w:val="restart"/>
            <w:noWrap w:val="0"/>
            <w:vAlign w:val="center"/>
          </w:tcPr>
          <w:p w14:paraId="1C1C0B26">
            <w:pPr>
              <w:pStyle w:val="11"/>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1500万元</w:t>
            </w:r>
          </w:p>
        </w:tc>
      </w:tr>
      <w:tr w14:paraId="7381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75" w:type="dxa"/>
            <w:vMerge w:val="continue"/>
            <w:noWrap w:val="0"/>
            <w:vAlign w:val="center"/>
          </w:tcPr>
          <w:p w14:paraId="6E903271">
            <w:pPr>
              <w:pStyle w:val="11"/>
              <w:spacing w:line="360" w:lineRule="auto"/>
              <w:jc w:val="center"/>
              <w:rPr>
                <w:rFonts w:hint="eastAsia" w:ascii="宋体" w:hAnsi="宋体" w:eastAsia="宋体" w:cs="宋体"/>
                <w:color w:val="auto"/>
                <w:lang w:val="en-US" w:eastAsia="zh-CN"/>
              </w:rPr>
            </w:pPr>
          </w:p>
        </w:tc>
        <w:tc>
          <w:tcPr>
            <w:tcW w:w="1728" w:type="dxa"/>
            <w:noWrap w:val="0"/>
            <w:vAlign w:val="center"/>
          </w:tcPr>
          <w:p w14:paraId="31EA3A27">
            <w:pPr>
              <w:pStyle w:val="11"/>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10~16mm</w:t>
            </w:r>
          </w:p>
        </w:tc>
        <w:tc>
          <w:tcPr>
            <w:tcW w:w="1729" w:type="dxa"/>
            <w:noWrap w:val="0"/>
            <w:vAlign w:val="center"/>
          </w:tcPr>
          <w:p w14:paraId="7A7FA434">
            <w:pPr>
              <w:pStyle w:val="11"/>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350</w:t>
            </w:r>
            <w:r>
              <w:rPr>
                <w:rFonts w:hint="eastAsia" w:ascii="宋体" w:hAnsi="宋体" w:eastAsia="宋体" w:cs="宋体"/>
                <w:color w:val="auto"/>
                <w:highlight w:val="none"/>
                <w:lang w:val="en-US" w:eastAsia="zh-CN"/>
              </w:rPr>
              <w:t>元/吨</w:t>
            </w:r>
          </w:p>
        </w:tc>
        <w:tc>
          <w:tcPr>
            <w:tcW w:w="2280" w:type="dxa"/>
            <w:noWrap w:val="0"/>
            <w:vAlign w:val="center"/>
          </w:tcPr>
          <w:p w14:paraId="61A605F6">
            <w:pPr>
              <w:pStyle w:val="11"/>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cs="宋体"/>
                <w:color w:val="auto"/>
                <w:lang w:val="en-US" w:eastAsia="zh-CN"/>
              </w:rPr>
              <w:t>3</w:t>
            </w:r>
            <w:r>
              <w:rPr>
                <w:rFonts w:hint="eastAsia" w:ascii="宋体" w:hAnsi="宋体" w:eastAsia="宋体" w:cs="宋体"/>
                <w:color w:val="auto"/>
                <w:lang w:val="en-US" w:eastAsia="zh-CN"/>
              </w:rPr>
              <w:t>000吨</w:t>
            </w:r>
          </w:p>
        </w:tc>
        <w:tc>
          <w:tcPr>
            <w:tcW w:w="1611" w:type="dxa"/>
            <w:vMerge w:val="continue"/>
            <w:noWrap w:val="0"/>
            <w:vAlign w:val="center"/>
          </w:tcPr>
          <w:p w14:paraId="40B5D1BB">
            <w:pPr>
              <w:pStyle w:val="11"/>
              <w:spacing w:line="360" w:lineRule="auto"/>
              <w:jc w:val="center"/>
              <w:rPr>
                <w:rFonts w:hint="eastAsia" w:ascii="宋体" w:hAnsi="宋体" w:eastAsia="宋体" w:cs="宋体"/>
                <w:color w:val="auto"/>
                <w:sz w:val="24"/>
                <w:szCs w:val="24"/>
                <w:lang w:val="en-US" w:eastAsia="zh-CN"/>
                <w:rPrChange w:id="0" w:author="1395191119" w:date="2023-06-14T07:58:00Z">
                  <w:rPr>
                    <w:rFonts w:hint="eastAsia" w:ascii="仿宋" w:hAnsi="仿宋" w:eastAsia="仿宋" w:cs="仿宋"/>
                    <w:color w:val="FF0000"/>
                    <w:sz w:val="24"/>
                    <w:szCs w:val="24"/>
                    <w:lang w:val="en-US" w:eastAsia="zh-CN"/>
                  </w:rPr>
                </w:rPrChange>
              </w:rPr>
            </w:pPr>
          </w:p>
        </w:tc>
      </w:tr>
      <w:tr w14:paraId="6C54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5" w:type="dxa"/>
            <w:noWrap w:val="0"/>
            <w:vAlign w:val="center"/>
          </w:tcPr>
          <w:p w14:paraId="384A37C6">
            <w:pPr>
              <w:pStyle w:val="11"/>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石灰岩矿粉</w:t>
            </w:r>
          </w:p>
        </w:tc>
        <w:tc>
          <w:tcPr>
            <w:tcW w:w="1728" w:type="dxa"/>
            <w:noWrap w:val="0"/>
            <w:vAlign w:val="center"/>
          </w:tcPr>
          <w:p w14:paraId="76F276B5">
            <w:pPr>
              <w:pStyle w:val="11"/>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tc>
        <w:tc>
          <w:tcPr>
            <w:tcW w:w="1729" w:type="dxa"/>
            <w:noWrap w:val="0"/>
            <w:vAlign w:val="center"/>
          </w:tcPr>
          <w:p w14:paraId="1FB4F4CA">
            <w:pPr>
              <w:pStyle w:val="11"/>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275</w:t>
            </w:r>
            <w:r>
              <w:rPr>
                <w:rFonts w:hint="eastAsia" w:ascii="宋体" w:hAnsi="宋体" w:eastAsia="宋体" w:cs="宋体"/>
                <w:color w:val="auto"/>
                <w:highlight w:val="none"/>
                <w:lang w:val="en-US" w:eastAsia="zh-CN"/>
              </w:rPr>
              <w:t>元/吨</w:t>
            </w:r>
          </w:p>
        </w:tc>
        <w:tc>
          <w:tcPr>
            <w:tcW w:w="2280" w:type="dxa"/>
            <w:noWrap w:val="0"/>
            <w:vAlign w:val="center"/>
          </w:tcPr>
          <w:p w14:paraId="37ACBF3D">
            <w:pPr>
              <w:pStyle w:val="11"/>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15000吨</w:t>
            </w:r>
          </w:p>
        </w:tc>
        <w:tc>
          <w:tcPr>
            <w:tcW w:w="1611" w:type="dxa"/>
            <w:vMerge w:val="continue"/>
            <w:noWrap w:val="0"/>
            <w:vAlign w:val="center"/>
          </w:tcPr>
          <w:p w14:paraId="4808A642">
            <w:pPr>
              <w:pStyle w:val="11"/>
              <w:spacing w:line="360" w:lineRule="auto"/>
              <w:jc w:val="center"/>
              <w:rPr>
                <w:rFonts w:hint="eastAsia" w:ascii="宋体" w:hAnsi="宋体" w:eastAsia="宋体" w:cs="宋体"/>
                <w:color w:val="auto"/>
                <w:lang w:val="en-US" w:eastAsia="zh-CN"/>
              </w:rPr>
            </w:pPr>
          </w:p>
        </w:tc>
      </w:tr>
      <w:tr w14:paraId="0DC8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23" w:type="dxa"/>
            <w:gridSpan w:val="5"/>
            <w:noWrap w:val="0"/>
            <w:vAlign w:val="center"/>
          </w:tcPr>
          <w:p w14:paraId="401825BC">
            <w:pPr>
              <w:pStyle w:val="11"/>
              <w:spacing w:line="360" w:lineRule="auto"/>
              <w:jc w:val="left"/>
              <w:rPr>
                <w:rFonts w:hint="eastAsia" w:ascii="宋体" w:hAnsi="宋体" w:eastAsia="宋体" w:cs="宋体"/>
                <w:color w:val="auto"/>
                <w:lang w:eastAsia="zh-CN"/>
              </w:rPr>
            </w:pPr>
            <w:r>
              <w:rPr>
                <w:rFonts w:hint="eastAsia" w:ascii="宋体" w:hAnsi="宋体" w:eastAsia="宋体" w:cs="宋体"/>
                <w:color w:val="auto"/>
              </w:rPr>
              <w:t>备注</w:t>
            </w:r>
            <w:r>
              <w:rPr>
                <w:rFonts w:hint="eastAsia" w:ascii="宋体" w:hAnsi="宋体" w:eastAsia="宋体" w:cs="宋体"/>
                <w:color w:val="auto"/>
                <w:lang w:eastAsia="zh-CN"/>
              </w:rPr>
              <w:t>：</w:t>
            </w:r>
          </w:p>
          <w:p w14:paraId="36A0B82E">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rPr>
              <w:t>1、本项目按单价</w:t>
            </w:r>
            <w:r>
              <w:rPr>
                <w:rFonts w:hint="eastAsia" w:ascii="宋体" w:hAnsi="宋体" w:eastAsia="宋体" w:cs="宋体"/>
                <w:color w:val="auto"/>
                <w:lang w:val="en-US" w:eastAsia="zh-CN"/>
              </w:rPr>
              <w:t>折扣率</w:t>
            </w:r>
            <w:r>
              <w:rPr>
                <w:rFonts w:hint="eastAsia" w:ascii="宋体" w:hAnsi="宋体" w:eastAsia="宋体" w:cs="宋体"/>
                <w:color w:val="auto"/>
              </w:rPr>
              <w:t>招标，数量按实结算。</w:t>
            </w:r>
          </w:p>
          <w:p w14:paraId="73DA9121">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auto"/>
                <w:sz w:val="24"/>
                <w:szCs w:val="24"/>
              </w:rPr>
              <w:t>2、服务期限自合同签订之日起</w:t>
            </w:r>
            <w:r>
              <w:rPr>
                <w:rFonts w:hint="eastAsia" w:ascii="宋体" w:hAnsi="宋体" w:eastAsia="宋体" w:cs="宋体"/>
                <w:color w:val="auto"/>
                <w:sz w:val="24"/>
                <w:szCs w:val="24"/>
                <w:lang w:val="en-US" w:eastAsia="zh-CN"/>
              </w:rPr>
              <w:t xml:space="preserve">一年或采购预算金额满为止，以先到时间为准， </w:t>
            </w:r>
            <w:r>
              <w:rPr>
                <w:rFonts w:hint="eastAsia" w:ascii="宋体" w:hAnsi="宋体" w:eastAsia="宋体" w:cs="宋体"/>
                <w:b w:val="0"/>
                <w:bCs w:val="0"/>
                <w:color w:val="000000" w:themeColor="text1"/>
                <w:sz w:val="24"/>
                <w:szCs w:val="24"/>
                <w:lang w:val="en-US" w:eastAsia="zh-CN"/>
                <w14:textFill>
                  <w14:solidFill>
                    <w14:schemeClr w14:val="tx1"/>
                  </w14:solidFill>
                </w14:textFill>
              </w:rPr>
              <w:t>诸暨市交投公路工程有限公司有权优先使用诸暨市建设集团有限公司自有矿山产品，</w:t>
            </w:r>
            <w:r>
              <w:rPr>
                <w:rFonts w:hint="eastAsia" w:ascii="宋体" w:hAnsi="宋体" w:eastAsia="宋体" w:cs="宋体"/>
                <w:color w:val="000000" w:themeColor="text1"/>
                <w:sz w:val="24"/>
                <w:szCs w:val="24"/>
                <w:lang w:val="en-US" w:eastAsia="zh-CN"/>
                <w14:textFill>
                  <w14:solidFill>
                    <w14:schemeClr w14:val="tx1"/>
                  </w14:solidFill>
                </w14:textFill>
              </w:rPr>
              <w:t>且不受本合同约束</w:t>
            </w:r>
            <w:r>
              <w:rPr>
                <w:rFonts w:hint="eastAsia" w:ascii="宋体" w:hAnsi="宋体" w:eastAsia="宋体" w:cs="宋体"/>
                <w:color w:val="000000" w:themeColor="text1"/>
                <w:sz w:val="24"/>
                <w:szCs w:val="24"/>
                <w14:textFill>
                  <w14:solidFill>
                    <w14:schemeClr w14:val="tx1"/>
                  </w14:solidFill>
                </w14:textFill>
              </w:rPr>
              <w:t>。</w:t>
            </w:r>
          </w:p>
          <w:p w14:paraId="60730D27">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3、本次采购数量为暂估数量，供应商需在编制投标报价时应充分考虑由于实际采购量未达到该数量而带来的风险。</w:t>
            </w:r>
          </w:p>
          <w:p w14:paraId="70F56940">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lang w:val="en-US" w:eastAsia="zh-CN"/>
              </w:rPr>
            </w:pPr>
            <w:r>
              <w:rPr>
                <w:rFonts w:hint="eastAsia" w:ascii="宋体"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投标报价包含供货所需的材料价款、到指定施工现场的运输及装卸费用、材料、质检（自检）、管理、保险、税费、人工费等一切为完成本项目的相关费用</w:t>
            </w:r>
            <w:r>
              <w:rPr>
                <w:rFonts w:hint="eastAsia" w:ascii="宋体" w:hAnsi="宋体" w:eastAsia="仿宋_GB2312" w:cs="宋体"/>
                <w:color w:val="000000" w:themeColor="text1"/>
                <w:sz w:val="24"/>
                <w:szCs w:val="24"/>
                <w:lang w:val="en-US" w:eastAsia="zh-CN"/>
                <w14:textFill>
                  <w14:solidFill>
                    <w14:schemeClr w14:val="tx1"/>
                  </w14:solidFill>
                </w14:textFill>
              </w:rPr>
              <w:t>。</w:t>
            </w:r>
          </w:p>
        </w:tc>
      </w:tr>
    </w:tbl>
    <w:p w14:paraId="77A7203D">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评标办法：</w:t>
      </w:r>
      <w:r>
        <w:rPr>
          <w:rFonts w:hint="eastAsia" w:ascii="宋体" w:hAnsi="宋体" w:eastAsia="宋体" w:cs="宋体"/>
          <w:b/>
          <w:bCs/>
          <w:color w:val="auto"/>
          <w:sz w:val="24"/>
          <w:szCs w:val="24"/>
          <w:highlight w:val="none"/>
          <w:lang w:eastAsia="zh-CN"/>
        </w:rPr>
        <w:t>最低评标价法</w:t>
      </w:r>
    </w:p>
    <w:p w14:paraId="2CB47EB8">
      <w:pPr>
        <w:keepNext w:val="0"/>
        <w:keepLines w:val="0"/>
        <w:pageBreakBefore w:val="0"/>
        <w:kinsoku/>
        <w:wordWrap/>
        <w:overflowPunct/>
        <w:topLinePunct w:val="0"/>
        <w:autoSpaceDE/>
        <w:autoSpaceDN/>
        <w:bidi w:val="0"/>
        <w:adjustRightInd/>
        <w:snapToGrid/>
        <w:spacing w:line="440" w:lineRule="exact"/>
        <w:textAlignment w:val="auto"/>
        <w:rPr>
          <w:rStyle w:val="21"/>
          <w:rFonts w:hint="eastAsia" w:ascii="宋体" w:hAnsi="宋体" w:eastAsia="宋体" w:cs="宋体"/>
          <w:b/>
          <w:bCs/>
          <w:i w:val="0"/>
          <w:iCs w:val="0"/>
          <w:caps w:val="0"/>
          <w:color w:val="auto"/>
          <w:spacing w:val="0"/>
          <w:sz w:val="28"/>
          <w:szCs w:val="28"/>
          <w:shd w:val="clear" w:color="auto" w:fill="FFFFFF"/>
          <w:lang w:val="en-US" w:eastAsia="zh-CN" w:bidi="ar-SA"/>
        </w:rPr>
      </w:pPr>
      <w:r>
        <w:rPr>
          <w:rStyle w:val="21"/>
          <w:rFonts w:hint="eastAsia" w:ascii="宋体" w:hAnsi="宋体" w:eastAsia="宋体" w:cs="宋体"/>
          <w:b/>
          <w:bCs/>
          <w:i w:val="0"/>
          <w:iCs w:val="0"/>
          <w:caps w:val="0"/>
          <w:color w:val="auto"/>
          <w:spacing w:val="0"/>
          <w:sz w:val="28"/>
          <w:szCs w:val="28"/>
          <w:shd w:val="clear" w:color="auto" w:fill="FFFFFF"/>
          <w:lang w:val="en-US" w:eastAsia="zh-CN" w:bidi="ar-SA"/>
        </w:rPr>
        <w:t>二、投标人（供应商）资格要求：</w:t>
      </w:r>
    </w:p>
    <w:p w14:paraId="0E8F8F4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1.符合下列要求：</w:t>
      </w:r>
    </w:p>
    <w:p w14:paraId="3A43F80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14:paraId="057EFB7E">
      <w:pPr>
        <w:bidi w:val="0"/>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（2）具有良好的商业信誉和健全的财务会计制度；</w:t>
      </w:r>
    </w:p>
    <w:p w14:paraId="31D44B13">
      <w:pPr>
        <w:bidi w:val="0"/>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（3）具有履行合同所必需的设备和专业技术能力；</w:t>
      </w:r>
    </w:p>
    <w:p w14:paraId="453752F1">
      <w:pPr>
        <w:bidi w:val="0"/>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（4）有依法缴纳税收和社会保障资金的良好记录；</w:t>
      </w:r>
    </w:p>
    <w:p w14:paraId="472A1CC3">
      <w:pPr>
        <w:bidi w:val="0"/>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（5）参加采购活动前三年内，在经营活动中没有重大违法记录；</w:t>
      </w:r>
    </w:p>
    <w:p w14:paraId="3D788623">
      <w:pPr>
        <w:bidi w:val="0"/>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（6）法律、行政法规规定的其他条件。</w:t>
      </w:r>
    </w:p>
    <w:p w14:paraId="39BEEC0E">
      <w:pPr>
        <w:bidi w:val="0"/>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2.未被“信用中国”（www.creditchina.gov.cn）、中国政府采购网（www.ccgp.gov.cn）列入失信被执行人、重大税收违法案件当事人名单、政府采购严重违法失信行为记录名单。</w:t>
      </w:r>
    </w:p>
    <w:p w14:paraId="6B88FB11">
      <w:pPr>
        <w:bidi w:val="0"/>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3.本项目不接受联合体投标。</w:t>
      </w:r>
    </w:p>
    <w:p w14:paraId="1FFA726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204" w:beforeAutospacing="0" w:after="40" w:afterAutospacing="0" w:line="440" w:lineRule="exact"/>
        <w:ind w:left="0" w:right="0" w:firstLine="0"/>
        <w:jc w:val="both"/>
        <w:textAlignment w:val="auto"/>
        <w:rPr>
          <w:rFonts w:hint="eastAsia" w:ascii="宋体" w:hAnsi="宋体" w:eastAsia="宋体" w:cs="宋体"/>
          <w:i w:val="0"/>
          <w:iCs w:val="0"/>
          <w:caps w:val="0"/>
          <w:color w:val="auto"/>
          <w:spacing w:val="0"/>
          <w:sz w:val="18"/>
          <w:szCs w:val="18"/>
        </w:rPr>
      </w:pPr>
      <w:r>
        <w:rPr>
          <w:rStyle w:val="21"/>
          <w:rFonts w:hint="eastAsia" w:ascii="宋体" w:hAnsi="宋体" w:eastAsia="宋体" w:cs="宋体"/>
          <w:b/>
          <w:bCs/>
          <w:i w:val="0"/>
          <w:iCs w:val="0"/>
          <w:caps w:val="0"/>
          <w:color w:val="auto"/>
          <w:spacing w:val="0"/>
          <w:sz w:val="28"/>
          <w:szCs w:val="28"/>
          <w:shd w:val="clear" w:color="auto" w:fill="FFFFFF"/>
        </w:rPr>
        <w:t>三、获取招标文件</w:t>
      </w:r>
    </w:p>
    <w:p w14:paraId="36997B3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Autospacing="0" w:after="0" w:afterAutospacing="0" w:line="440" w:lineRule="exact"/>
        <w:ind w:left="0" w:right="0" w:firstLine="482"/>
        <w:jc w:val="left"/>
        <w:textAlignment w:val="auto"/>
        <w:rPr>
          <w:rFonts w:hint="eastAsia" w:ascii="宋体" w:hAnsi="宋体" w:eastAsia="宋体" w:cs="宋体"/>
          <w:i w:val="0"/>
          <w:iCs w:val="0"/>
          <w:caps w:val="0"/>
          <w:color w:val="0000FF"/>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eastAsia="zh-CN"/>
        </w:rPr>
        <w:t>至202</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年</w:t>
      </w:r>
      <w:r>
        <w:rPr>
          <w:rFonts w:hint="eastAsia" w:ascii="宋体" w:hAnsi="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lang w:eastAsia="zh-CN"/>
        </w:rPr>
        <w:t>月</w:t>
      </w:r>
      <w:r>
        <w:rPr>
          <w:rFonts w:hint="eastAsia" w:ascii="宋体" w:hAnsi="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lang w:eastAsia="zh-CN"/>
        </w:rPr>
        <w:t>日</w:t>
      </w:r>
      <w:r>
        <w:rPr>
          <w:rFonts w:hint="eastAsia" w:ascii="宋体" w:hAnsi="宋体" w:eastAsia="宋体" w:cs="宋体"/>
          <w:i w:val="0"/>
          <w:iCs w:val="0"/>
          <w:caps w:val="0"/>
          <w:color w:val="auto"/>
          <w:spacing w:val="0"/>
          <w:sz w:val="24"/>
          <w:szCs w:val="24"/>
          <w:shd w:val="clear" w:color="auto" w:fill="FFFFFF"/>
        </w:rPr>
        <w:t>，每天上午00:00至12:00，下午12:00至23:59（北京时间</w:t>
      </w:r>
      <w:r>
        <w:rPr>
          <w:rFonts w:hint="eastAsia" w:ascii="宋体" w:hAnsi="宋体" w:cs="宋体"/>
          <w:i w:val="0"/>
          <w:iCs w:val="0"/>
          <w:caps w:val="0"/>
          <w:color w:val="auto"/>
          <w:spacing w:val="0"/>
          <w:sz w:val="24"/>
          <w:szCs w:val="24"/>
          <w:shd w:val="clear" w:color="auto" w:fill="FFFFFF"/>
          <w:lang w:eastAsia="zh-CN"/>
        </w:rPr>
        <w:t>）</w:t>
      </w:r>
    </w:p>
    <w:p w14:paraId="2F99D14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Autospacing="0" w:after="0" w:afterAutospacing="0" w:line="440" w:lineRule="exact"/>
        <w:ind w:left="0" w:right="0" w:firstLine="482"/>
        <w:jc w:val="left"/>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地点（网址）</w:t>
      </w:r>
      <w:r>
        <w:rPr>
          <w:rFonts w:hint="eastAsia" w:ascii="宋体" w:hAnsi="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乐采云平台（https://www.lecaiyun.com/）</w:t>
      </w:r>
    </w:p>
    <w:p w14:paraId="2BC9BCF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Autospacing="0" w:after="0" w:afterAutospacing="0" w:line="440" w:lineRule="exact"/>
        <w:ind w:left="0" w:right="0" w:firstLine="482"/>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方式</w:t>
      </w:r>
      <w:r>
        <w:rPr>
          <w:rFonts w:hint="eastAsia" w:ascii="宋体" w:hAnsi="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供应商登录乐采云平台（https://www.lecaiyun.com/）在线申请获取采购文件（进入“项目采购”应用，在获取采购文件菜单中选择项目，申请获取采购文件）。</w:t>
      </w:r>
    </w:p>
    <w:p w14:paraId="0C69BB4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204" w:beforeAutospacing="0" w:after="40" w:afterAutospacing="0" w:line="440" w:lineRule="exact"/>
        <w:ind w:left="0" w:right="0" w:firstLine="0"/>
        <w:jc w:val="both"/>
        <w:textAlignment w:val="auto"/>
        <w:rPr>
          <w:rFonts w:hint="eastAsia" w:ascii="宋体" w:hAnsi="宋体" w:eastAsia="宋体" w:cs="宋体"/>
          <w:i w:val="0"/>
          <w:iCs w:val="0"/>
          <w:caps w:val="0"/>
          <w:color w:val="auto"/>
          <w:spacing w:val="0"/>
          <w:sz w:val="18"/>
          <w:szCs w:val="18"/>
        </w:rPr>
      </w:pPr>
      <w:r>
        <w:rPr>
          <w:rStyle w:val="21"/>
          <w:rFonts w:hint="eastAsia" w:ascii="宋体" w:hAnsi="宋体" w:eastAsia="宋体" w:cs="宋体"/>
          <w:b/>
          <w:bCs/>
          <w:i w:val="0"/>
          <w:iCs w:val="0"/>
          <w:caps w:val="0"/>
          <w:color w:val="auto"/>
          <w:spacing w:val="0"/>
          <w:sz w:val="28"/>
          <w:szCs w:val="28"/>
          <w:shd w:val="clear" w:color="auto" w:fill="FFFFFF"/>
        </w:rPr>
        <w:t>四、提交投标文件截止时间、开标时间和地点</w:t>
      </w:r>
    </w:p>
    <w:p w14:paraId="7C7EDCC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Autospacing="0" w:after="0" w:afterAutospacing="0" w:line="440" w:lineRule="exact"/>
        <w:ind w:left="0" w:right="0" w:firstLine="482"/>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提交投标文件截止时间：</w:t>
      </w:r>
      <w:r>
        <w:rPr>
          <w:rFonts w:hint="eastAsia" w:ascii="宋体" w:hAnsi="宋体" w:eastAsia="宋体" w:cs="宋体"/>
          <w:i w:val="0"/>
          <w:iCs w:val="0"/>
          <w:caps w:val="0"/>
          <w:color w:val="auto"/>
          <w:spacing w:val="0"/>
          <w:sz w:val="24"/>
          <w:szCs w:val="24"/>
          <w:shd w:val="clear" w:color="auto" w:fill="FFFFFF"/>
          <w:lang w:eastAsia="zh-CN"/>
        </w:rPr>
        <w:t>202</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年</w:t>
      </w:r>
      <w:r>
        <w:rPr>
          <w:rFonts w:hint="eastAsia" w:ascii="宋体" w:hAnsi="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lang w:eastAsia="zh-CN"/>
        </w:rPr>
        <w:t>月</w:t>
      </w:r>
      <w:r>
        <w:rPr>
          <w:rFonts w:hint="eastAsia" w:ascii="宋体" w:hAnsi="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lang w:eastAsia="zh-CN"/>
        </w:rPr>
        <w:t>日</w:t>
      </w:r>
      <w:r>
        <w:rPr>
          <w:rFonts w:hint="eastAsia" w:ascii="宋体" w:hAnsi="宋体" w:eastAsia="宋体" w:cs="宋体"/>
          <w:i w:val="0"/>
          <w:iCs w:val="0"/>
          <w:caps w:val="0"/>
          <w:color w:val="auto"/>
          <w:spacing w:val="0"/>
          <w:sz w:val="24"/>
          <w:szCs w:val="24"/>
          <w:shd w:val="clear" w:color="auto" w:fill="FFFFFF"/>
        </w:rPr>
        <w:t xml:space="preserve"> </w:t>
      </w:r>
      <w:r>
        <w:rPr>
          <w:rFonts w:hint="eastAsia" w:ascii="宋体" w:hAnsi="宋体"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（北京时间）</w:t>
      </w:r>
    </w:p>
    <w:p w14:paraId="32FA3F2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Autospacing="0" w:after="0" w:afterAutospacing="0" w:line="440" w:lineRule="exact"/>
        <w:ind w:left="0" w:right="0" w:firstLine="482"/>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投标地点（网址）：乐采云平台（https://www.lecaiyun.com/）</w:t>
      </w:r>
    </w:p>
    <w:p w14:paraId="35A1CA5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Autospacing="0" w:after="0" w:afterAutospacing="0" w:line="440" w:lineRule="exact"/>
        <w:ind w:left="0" w:right="0" w:firstLine="482"/>
        <w:jc w:val="left"/>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color="auto" w:fill="FFFFFF"/>
        </w:rPr>
        <w:t>开标时间：</w:t>
      </w:r>
      <w:r>
        <w:rPr>
          <w:rFonts w:hint="eastAsia" w:ascii="宋体" w:hAnsi="宋体" w:eastAsia="宋体" w:cs="宋体"/>
          <w:i w:val="0"/>
          <w:iCs w:val="0"/>
          <w:caps w:val="0"/>
          <w:color w:val="auto"/>
          <w:spacing w:val="0"/>
          <w:sz w:val="24"/>
          <w:szCs w:val="24"/>
          <w:shd w:val="clear" w:color="auto" w:fill="FFFFFF"/>
          <w:lang w:eastAsia="zh-CN"/>
        </w:rPr>
        <w:t>202</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年</w:t>
      </w:r>
      <w:r>
        <w:rPr>
          <w:rFonts w:hint="eastAsia" w:ascii="宋体" w:hAnsi="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lang w:eastAsia="zh-CN"/>
        </w:rPr>
        <w:t>月</w:t>
      </w:r>
      <w:r>
        <w:rPr>
          <w:rFonts w:hint="eastAsia" w:ascii="宋体" w:hAnsi="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lang w:eastAsia="zh-CN"/>
        </w:rPr>
        <w:t>日</w:t>
      </w:r>
      <w:r>
        <w:rPr>
          <w:rFonts w:hint="eastAsia" w:ascii="宋体" w:hAnsi="宋体"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cs="宋体"/>
          <w:i w:val="0"/>
          <w:iCs w:val="0"/>
          <w:caps w:val="0"/>
          <w:color w:val="auto"/>
          <w:spacing w:val="0"/>
          <w:sz w:val="24"/>
          <w:szCs w:val="24"/>
          <w:shd w:val="clear" w:color="auto" w:fill="FFFFFF"/>
          <w:lang w:val="en-US" w:eastAsia="zh-CN"/>
        </w:rPr>
        <w:t>30</w:t>
      </w:r>
    </w:p>
    <w:p w14:paraId="1D5A66B7">
      <w:pPr>
        <w:bidi w:val="0"/>
        <w:spacing w:line="360" w:lineRule="auto"/>
        <w:ind w:firstLine="480" w:firstLineChars="200"/>
        <w:rPr>
          <w:rFonts w:hint="eastAsia"/>
          <w:sz w:val="24"/>
          <w:szCs w:val="24"/>
        </w:rPr>
      </w:pPr>
      <w:r>
        <w:rPr>
          <w:rFonts w:hint="eastAsia"/>
          <w:sz w:val="24"/>
          <w:szCs w:val="24"/>
        </w:rPr>
        <w:t>开标地点：诸暨市暨阳街道育英路157号诸暨新农都公寓24楼</w:t>
      </w:r>
      <w:r>
        <w:rPr>
          <w:rFonts w:hint="eastAsia"/>
          <w:sz w:val="24"/>
          <w:szCs w:val="24"/>
          <w:lang w:val="en-US" w:eastAsia="zh-CN"/>
        </w:rPr>
        <w:t>-</w:t>
      </w:r>
      <w:r>
        <w:rPr>
          <w:rFonts w:hint="eastAsia"/>
          <w:sz w:val="24"/>
          <w:szCs w:val="24"/>
          <w:lang w:eastAsia="zh-CN"/>
        </w:rPr>
        <w:t>诸暨市杰虎工程咨询有限公司</w:t>
      </w:r>
      <w:r>
        <w:rPr>
          <w:rFonts w:hint="eastAsia"/>
          <w:sz w:val="24"/>
          <w:szCs w:val="24"/>
        </w:rPr>
        <w:t>评标室（本项目通过“</w:t>
      </w:r>
      <w:r>
        <w:rPr>
          <w:rFonts w:hint="eastAsia" w:ascii="宋体" w:hAnsi="宋体" w:eastAsia="宋体" w:cs="宋体"/>
          <w:i w:val="0"/>
          <w:iCs w:val="0"/>
          <w:caps w:val="0"/>
          <w:color w:val="auto"/>
          <w:spacing w:val="0"/>
          <w:sz w:val="24"/>
          <w:szCs w:val="24"/>
          <w:shd w:val="clear" w:color="auto" w:fill="FFFFFF"/>
        </w:rPr>
        <w:t>乐采云平台（https://www.lecaiyun.com/）</w:t>
      </w:r>
      <w:r>
        <w:rPr>
          <w:rFonts w:hint="eastAsia"/>
          <w:sz w:val="24"/>
          <w:szCs w:val="24"/>
        </w:rPr>
        <w:t>”实行在线开标）。</w:t>
      </w:r>
    </w:p>
    <w:p w14:paraId="027A1503">
      <w:pPr>
        <w:bidi w:val="0"/>
        <w:spacing w:line="360" w:lineRule="auto"/>
        <w:rPr>
          <w:rFonts w:hint="eastAsia"/>
          <w:b/>
          <w:bCs/>
          <w:sz w:val="28"/>
          <w:szCs w:val="28"/>
        </w:rPr>
      </w:pPr>
      <w:r>
        <w:rPr>
          <w:rFonts w:hint="eastAsia"/>
          <w:b/>
          <w:bCs/>
          <w:sz w:val="28"/>
          <w:szCs w:val="28"/>
        </w:rPr>
        <w:t>五、公告期限</w:t>
      </w:r>
    </w:p>
    <w:p w14:paraId="7F6E4EC5">
      <w:pPr>
        <w:bidi w:val="0"/>
        <w:spacing w:line="360" w:lineRule="auto"/>
        <w:ind w:firstLine="480" w:firstLineChars="200"/>
        <w:rPr>
          <w:rFonts w:hint="eastAsia"/>
          <w:sz w:val="24"/>
          <w:szCs w:val="24"/>
        </w:rPr>
      </w:pPr>
      <w:r>
        <w:rPr>
          <w:rFonts w:hint="eastAsia"/>
          <w:sz w:val="24"/>
          <w:szCs w:val="24"/>
        </w:rPr>
        <w:t>自本公告发布之日起5个工作日。</w:t>
      </w:r>
    </w:p>
    <w:p w14:paraId="59DAC677">
      <w:pPr>
        <w:bidi w:val="0"/>
        <w:spacing w:line="360" w:lineRule="auto"/>
        <w:rPr>
          <w:rFonts w:hint="eastAsia"/>
          <w:b/>
          <w:bCs/>
          <w:sz w:val="28"/>
          <w:szCs w:val="28"/>
        </w:rPr>
      </w:pPr>
      <w:r>
        <w:rPr>
          <w:rFonts w:hint="eastAsia"/>
          <w:b/>
          <w:bCs/>
          <w:sz w:val="28"/>
          <w:szCs w:val="28"/>
        </w:rPr>
        <w:t>六、其他补充事宜</w:t>
      </w:r>
    </w:p>
    <w:p w14:paraId="18299BB6">
      <w:pPr>
        <w:bidi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w:t>
      </w:r>
      <w:r>
        <w:rPr>
          <w:rFonts w:hint="eastAsia"/>
          <w:sz w:val="24"/>
          <w:szCs w:val="24"/>
        </w:rPr>
        <w:t>以书面形式向采购人和采购代理机构提出质疑</w:t>
      </w:r>
      <w:r>
        <w:rPr>
          <w:rFonts w:hint="eastAsia"/>
          <w:sz w:val="24"/>
          <w:szCs w:val="24"/>
          <w:lang w:eastAsia="zh-CN"/>
        </w:rPr>
        <w:t>，</w:t>
      </w:r>
      <w:r>
        <w:rPr>
          <w:rFonts w:hint="eastAsia"/>
          <w:sz w:val="24"/>
          <w:szCs w:val="24"/>
        </w:rPr>
        <w:t>逾期提出的，采购代理机构不予受理、答复。采购代理机构与采购人研究后，</w:t>
      </w:r>
      <w:r>
        <w:rPr>
          <w:rFonts w:hint="eastAsia"/>
          <w:color w:val="000000" w:themeColor="text1"/>
          <w:sz w:val="24"/>
          <w:szCs w:val="24"/>
          <w14:textFill>
            <w14:solidFill>
              <w14:schemeClr w14:val="tx1"/>
            </w14:solidFill>
          </w14:textFill>
        </w:rPr>
        <w:t>对认为有必要回答的问题，采购人将在开标前将答疑内容以网上发布公告的形式通知所有投标人，投标人自行在网上查阅、下载答疑回复</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答疑内容是招标文件的组成部分。</w:t>
      </w:r>
    </w:p>
    <w:p w14:paraId="352F3694">
      <w:pPr>
        <w:bidi w:val="0"/>
        <w:spacing w:line="360" w:lineRule="auto"/>
        <w:ind w:firstLine="480" w:firstLineChars="200"/>
        <w:rPr>
          <w:rFonts w:hint="eastAsia"/>
          <w:sz w:val="24"/>
          <w:szCs w:val="24"/>
        </w:rPr>
      </w:pPr>
      <w:r>
        <w:rPr>
          <w:rFonts w:hint="eastAsia"/>
          <w:sz w:val="24"/>
          <w:szCs w:val="24"/>
        </w:rPr>
        <w:t>2、其他事项：详见招标文件。</w:t>
      </w:r>
    </w:p>
    <w:p w14:paraId="76C4FAC3">
      <w:pPr>
        <w:bidi w:val="0"/>
        <w:spacing w:line="360" w:lineRule="auto"/>
        <w:rPr>
          <w:rFonts w:hint="eastAsia"/>
          <w:b/>
          <w:bCs/>
          <w:sz w:val="28"/>
          <w:szCs w:val="28"/>
        </w:rPr>
      </w:pPr>
      <w:r>
        <w:rPr>
          <w:rFonts w:hint="eastAsia"/>
          <w:b/>
          <w:bCs/>
          <w:sz w:val="28"/>
          <w:szCs w:val="28"/>
        </w:rPr>
        <w:t>七、投标保证金：</w:t>
      </w:r>
    </w:p>
    <w:p w14:paraId="00DB8018">
      <w:pPr>
        <w:bidi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w:t>
      </w:r>
      <w:r>
        <w:rPr>
          <w:rFonts w:hint="eastAsia"/>
          <w:color w:val="000000" w:themeColor="text1"/>
          <w:sz w:val="24"/>
          <w:szCs w:val="24"/>
          <w:lang w:eastAsia="zh-CN"/>
          <w14:textFill>
            <w14:solidFill>
              <w14:schemeClr w14:val="tx1"/>
            </w14:solidFill>
          </w14:textFill>
        </w:rPr>
        <w:t>设投标保证金</w:t>
      </w:r>
      <w:r>
        <w:rPr>
          <w:rFonts w:hint="eastAsia"/>
          <w:color w:val="000000" w:themeColor="text1"/>
          <w:sz w:val="24"/>
          <w:szCs w:val="24"/>
          <w:lang w:val="en-US" w:eastAsia="zh-CN"/>
          <w14:textFill>
            <w14:solidFill>
              <w14:schemeClr w14:val="tx1"/>
            </w14:solidFill>
          </w14:textFill>
        </w:rPr>
        <w:t>15万元</w:t>
      </w:r>
      <w:r>
        <w:rPr>
          <w:rFonts w:hint="eastAsia"/>
          <w:color w:val="000000" w:themeColor="text1"/>
          <w:sz w:val="24"/>
          <w:szCs w:val="24"/>
          <w14:textFill>
            <w14:solidFill>
              <w14:schemeClr w14:val="tx1"/>
            </w14:solidFill>
          </w14:textFill>
        </w:rPr>
        <w:t>。</w:t>
      </w:r>
    </w:p>
    <w:p w14:paraId="11074E0D">
      <w:pPr>
        <w:bidi w:val="0"/>
        <w:spacing w:line="360" w:lineRule="auto"/>
        <w:ind w:firstLine="480" w:firstLineChars="200"/>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pPr>
      <w:r>
        <w:rPr>
          <w:rFonts w:hint="eastAsia"/>
          <w:sz w:val="24"/>
          <w:szCs w:val="24"/>
        </w:rPr>
        <w:t>投标保证金以投标人名义采用电汇、转账、汇票等非现金形式提交</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，以截止时间前到账为准，否则不予投标（以投标人单位名义汇款，不接受个人、分支机构、办事处、子公司或从他人账户汇款或存款方式）。</w:t>
      </w:r>
    </w:p>
    <w:p w14:paraId="50FDF27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100" w:beforeAutospacing="0" w:afterAutospacing="0" w:line="440" w:lineRule="exact"/>
        <w:ind w:left="0" w:right="0" w:firstLine="482" w:firstLineChars="200"/>
        <w:jc w:val="both"/>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收款账户信息：</w:t>
      </w:r>
      <w:r>
        <w:rPr>
          <w:rFonts w:hint="eastAsia" w:ascii="宋体" w:hAnsi="宋体"/>
          <w:b/>
          <w:color w:val="000000" w:themeColor="text1"/>
          <w:sz w:val="24"/>
          <w:szCs w:val="24"/>
          <w:highlight w:val="none"/>
          <w:lang w:eastAsia="zh-CN"/>
          <w14:textFill>
            <w14:solidFill>
              <w14:schemeClr w14:val="tx1"/>
            </w14:solidFill>
          </w14:textFill>
        </w:rPr>
        <w:t>诸暨市杰虎工程咨询有限公司</w:t>
      </w:r>
    </w:p>
    <w:p w14:paraId="7068CC7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100" w:beforeAutospacing="0" w:afterAutospacing="0" w:line="440" w:lineRule="exact"/>
        <w:ind w:left="0" w:right="0" w:firstLine="482" w:firstLineChars="200"/>
        <w:jc w:val="both"/>
        <w:textAlignment w:val="auto"/>
        <w:rPr>
          <w:rFonts w:hint="eastAsia" w:ascii="宋体" w:hAnsi="宋体"/>
          <w:b/>
          <w:color w:val="auto"/>
          <w:sz w:val="24"/>
          <w:szCs w:val="24"/>
          <w:highlight w:val="none"/>
        </w:rPr>
      </w:pPr>
      <w:r>
        <w:rPr>
          <w:rFonts w:hint="eastAsia" w:ascii="宋体" w:hAnsi="宋体"/>
          <w:b/>
          <w:color w:val="auto"/>
          <w:sz w:val="24"/>
          <w:szCs w:val="24"/>
          <w:highlight w:val="none"/>
        </w:rPr>
        <w:t>开户行：</w:t>
      </w:r>
      <w:r>
        <w:rPr>
          <w:rFonts w:hint="eastAsia" w:ascii="宋体" w:hAnsi="宋体"/>
          <w:b/>
          <w:color w:val="auto"/>
          <w:sz w:val="24"/>
          <w:szCs w:val="24"/>
          <w:highlight w:val="none"/>
          <w:lang w:eastAsia="zh-CN"/>
        </w:rPr>
        <w:t>杭州银行绍兴诸暨支行</w:t>
      </w:r>
    </w:p>
    <w:p w14:paraId="481A46B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100" w:beforeAutospacing="0" w:afterAutospacing="0" w:line="440" w:lineRule="exact"/>
        <w:ind w:left="0" w:right="0" w:firstLine="482" w:firstLineChars="200"/>
        <w:jc w:val="both"/>
        <w:textAlignment w:val="auto"/>
        <w:rPr>
          <w:rFonts w:hint="eastAsia" w:ascii="宋体" w:hAnsi="宋体"/>
          <w:b/>
          <w:color w:val="auto"/>
          <w:sz w:val="24"/>
          <w:szCs w:val="24"/>
          <w:highlight w:val="none"/>
          <w:lang w:val="en-US" w:eastAsia="zh-CN"/>
        </w:rPr>
      </w:pPr>
      <w:r>
        <w:rPr>
          <w:rFonts w:hint="eastAsia" w:ascii="宋体" w:hAnsi="宋体"/>
          <w:b/>
          <w:color w:val="auto"/>
          <w:sz w:val="24"/>
          <w:szCs w:val="24"/>
          <w:highlight w:val="none"/>
        </w:rPr>
        <w:t>账号：</w:t>
      </w:r>
      <w:r>
        <w:rPr>
          <w:rFonts w:hint="eastAsia" w:ascii="宋体" w:hAnsi="宋体"/>
          <w:b/>
          <w:color w:val="auto"/>
          <w:sz w:val="24"/>
          <w:szCs w:val="24"/>
          <w:highlight w:val="none"/>
          <w:lang w:val="en-US" w:eastAsia="zh-CN"/>
        </w:rPr>
        <w:t>3306040160000082505</w:t>
      </w:r>
    </w:p>
    <w:p w14:paraId="6CD29AA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100" w:beforeAutospacing="0" w:afterAutospacing="0" w:line="440" w:lineRule="exact"/>
        <w:ind w:right="0" w:firstLine="482" w:firstLineChars="200"/>
        <w:jc w:val="both"/>
        <w:textAlignment w:val="auto"/>
        <w:rPr>
          <w:rFonts w:hint="eastAsia" w:ascii="宋体" w:hAnsi="宋体" w:eastAsia="宋体" w:cs="Times New Roman"/>
          <w:b/>
          <w:color w:val="auto"/>
          <w:sz w:val="24"/>
          <w:szCs w:val="24"/>
          <w:highlight w:val="none"/>
          <w:lang w:val="en-US" w:eastAsia="zh-CN" w:bidi="ar-SA"/>
        </w:rPr>
      </w:pPr>
      <w:r>
        <w:rPr>
          <w:rFonts w:hint="eastAsia" w:ascii="宋体" w:hAnsi="宋体" w:eastAsia="宋体" w:cs="Times New Roman"/>
          <w:b/>
          <w:color w:val="auto"/>
          <w:sz w:val="24"/>
          <w:szCs w:val="24"/>
          <w:highlight w:val="none"/>
          <w:lang w:val="en-US" w:eastAsia="zh-CN" w:bidi="ar-SA"/>
        </w:rPr>
        <w:t>款项用途：注明所投项目的投标保证金，投标文件中须提供投标保证金缴纳凭证。</w:t>
      </w:r>
    </w:p>
    <w:p w14:paraId="5077721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100" w:beforeAutospacing="0" w:afterAutospacing="0" w:line="440" w:lineRule="exact"/>
        <w:ind w:left="0" w:right="0" w:firstLine="0"/>
        <w:jc w:val="both"/>
        <w:textAlignment w:val="auto"/>
        <w:rPr>
          <w:rFonts w:hint="eastAsia" w:ascii="宋体" w:hAnsi="宋体" w:eastAsia="宋体" w:cs="宋体"/>
          <w:i w:val="0"/>
          <w:iCs w:val="0"/>
          <w:caps w:val="0"/>
          <w:color w:val="auto"/>
          <w:spacing w:val="0"/>
          <w:sz w:val="18"/>
          <w:szCs w:val="18"/>
        </w:rPr>
      </w:pPr>
      <w:r>
        <w:rPr>
          <w:rStyle w:val="21"/>
          <w:rFonts w:hint="eastAsia" w:ascii="宋体" w:hAnsi="宋体" w:eastAsia="宋体" w:cs="宋体"/>
          <w:b/>
          <w:bCs/>
          <w:i w:val="0"/>
          <w:iCs w:val="0"/>
          <w:caps w:val="0"/>
          <w:color w:val="auto"/>
          <w:spacing w:val="0"/>
          <w:sz w:val="28"/>
          <w:szCs w:val="28"/>
          <w:shd w:val="clear" w:color="auto" w:fill="FFFFFF"/>
        </w:rPr>
        <w:t>八、其他注意事项：</w:t>
      </w:r>
    </w:p>
    <w:p w14:paraId="2E87177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60" w:beforeAutospacing="0" w:after="0" w:afterAutospacing="0" w:line="440" w:lineRule="exact"/>
        <w:ind w:left="0" w:right="0" w:firstLine="386"/>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shd w:val="clear" w:color="auto" w:fill="FFFFFF"/>
        </w:rPr>
        <w:t>投标人应于开标时间前按照电子投标要求将电子加密标书上传到“</w:t>
      </w:r>
      <w:r>
        <w:rPr>
          <w:rStyle w:val="21"/>
          <w:rFonts w:hint="eastAsia" w:ascii="宋体" w:hAnsi="宋体" w:cs="宋体"/>
          <w:b/>
          <w:bCs/>
          <w:i w:val="0"/>
          <w:iCs w:val="0"/>
          <w:caps w:val="0"/>
          <w:color w:val="auto"/>
          <w:spacing w:val="0"/>
          <w:sz w:val="24"/>
          <w:szCs w:val="24"/>
          <w:shd w:val="clear" w:color="auto" w:fill="FFFFFF"/>
          <w:lang w:eastAsia="zh-CN"/>
        </w:rPr>
        <w:t>乐采云</w:t>
      </w:r>
      <w:r>
        <w:rPr>
          <w:rStyle w:val="21"/>
          <w:rFonts w:hint="eastAsia" w:ascii="宋体" w:hAnsi="宋体" w:eastAsia="宋体" w:cs="宋体"/>
          <w:b/>
          <w:bCs/>
          <w:i w:val="0"/>
          <w:iCs w:val="0"/>
          <w:caps w:val="0"/>
          <w:color w:val="auto"/>
          <w:spacing w:val="0"/>
          <w:sz w:val="24"/>
          <w:szCs w:val="24"/>
          <w:shd w:val="clear" w:color="auto" w:fill="FFFFFF"/>
        </w:rPr>
        <w:t>”平台，逾期或未上传成功的将导致无法投标或投标无效。</w:t>
      </w:r>
      <w:r>
        <w:rPr>
          <w:rFonts w:hint="eastAsia" w:ascii="宋体" w:hAnsi="宋体" w:eastAsia="宋体" w:cs="宋体"/>
          <w:i w:val="0"/>
          <w:iCs w:val="0"/>
          <w:caps w:val="0"/>
          <w:color w:val="auto"/>
          <w:spacing w:val="0"/>
          <w:sz w:val="24"/>
          <w:szCs w:val="24"/>
          <w:shd w:val="clear" w:color="auto" w:fill="FFFFFF"/>
        </w:rPr>
        <w:t>备注：为确保采购项目顺利实施，避免因</w:t>
      </w:r>
      <w:r>
        <w:rPr>
          <w:rFonts w:hint="eastAsia" w:ascii="宋体" w:hAnsi="宋体" w:cs="宋体"/>
          <w:i w:val="0"/>
          <w:iCs w:val="0"/>
          <w:caps w:val="0"/>
          <w:color w:val="auto"/>
          <w:spacing w:val="0"/>
          <w:sz w:val="24"/>
          <w:szCs w:val="24"/>
          <w:shd w:val="clear" w:color="auto" w:fill="FFFFFF"/>
          <w:lang w:eastAsia="zh-CN"/>
        </w:rPr>
        <w:t>乐采云</w:t>
      </w:r>
      <w:r>
        <w:rPr>
          <w:rFonts w:hint="eastAsia" w:ascii="宋体" w:hAnsi="宋体" w:eastAsia="宋体" w:cs="宋体"/>
          <w:i w:val="0"/>
          <w:iCs w:val="0"/>
          <w:caps w:val="0"/>
          <w:color w:val="auto"/>
          <w:spacing w:val="0"/>
          <w:sz w:val="24"/>
          <w:szCs w:val="24"/>
          <w:shd w:val="clear" w:color="auto" w:fill="FFFFFF"/>
        </w:rPr>
        <w:t>上电子投标文件解密失败导致投标方投标无效，投标方可在开标时间前将在</w:t>
      </w:r>
      <w:r>
        <w:rPr>
          <w:rFonts w:hint="eastAsia" w:ascii="宋体" w:hAnsi="宋体" w:cs="宋体"/>
          <w:i w:val="0"/>
          <w:iCs w:val="0"/>
          <w:caps w:val="0"/>
          <w:color w:val="auto"/>
          <w:spacing w:val="0"/>
          <w:sz w:val="24"/>
          <w:szCs w:val="24"/>
          <w:shd w:val="clear" w:color="auto" w:fill="FFFFFF"/>
          <w:lang w:eastAsia="zh-CN"/>
        </w:rPr>
        <w:t>乐采云</w:t>
      </w:r>
      <w:r>
        <w:rPr>
          <w:rFonts w:hint="eastAsia" w:ascii="宋体" w:hAnsi="宋体" w:eastAsia="宋体" w:cs="宋体"/>
          <w:i w:val="0"/>
          <w:iCs w:val="0"/>
          <w:caps w:val="0"/>
          <w:color w:val="auto"/>
          <w:spacing w:val="0"/>
          <w:sz w:val="24"/>
          <w:szCs w:val="24"/>
          <w:shd w:val="clear" w:color="auto" w:fill="FFFFFF"/>
        </w:rPr>
        <w:t>平台上最后生成的具备电子签章的备份加密投标文件（文件名后缀为备份文件四字的首字母）以电子邮件方式传送至</w:t>
      </w:r>
      <w:r>
        <w:rPr>
          <w:rFonts w:hint="eastAsia" w:ascii="宋体" w:hAnsi="宋体" w:cs="宋体"/>
          <w:i w:val="0"/>
          <w:iCs w:val="0"/>
          <w:caps w:val="0"/>
          <w:color w:val="auto"/>
          <w:spacing w:val="0"/>
          <w:sz w:val="24"/>
          <w:szCs w:val="24"/>
          <w:shd w:val="clear" w:color="auto" w:fill="FFFFFF"/>
          <w:lang w:eastAsia="zh-CN"/>
        </w:rPr>
        <w:t>诸暨市杰虎工程咨询有限公司</w:t>
      </w:r>
      <w:r>
        <w:rPr>
          <w:rFonts w:hint="eastAsia" w:ascii="宋体" w:hAnsi="宋体" w:eastAsia="宋体" w:cs="宋体"/>
          <w:i w:val="0"/>
          <w:iCs w:val="0"/>
          <w:caps w:val="0"/>
          <w:color w:val="auto"/>
          <w:spacing w:val="0"/>
          <w:sz w:val="24"/>
          <w:szCs w:val="24"/>
          <w:shd w:val="clear" w:color="auto" w:fill="FFFFFF"/>
        </w:rPr>
        <w:t>邮箱</w:t>
      </w:r>
      <w:r>
        <w:rPr>
          <w:rFonts w:hint="eastAsia" w:ascii="宋体" w:hAnsi="宋体" w:cs="宋体"/>
          <w:i w:val="0"/>
          <w:iCs w:val="0"/>
          <w:caps w:val="0"/>
          <w:color w:val="auto"/>
          <w:spacing w:val="0"/>
          <w:sz w:val="24"/>
          <w:szCs w:val="24"/>
          <w:shd w:val="clear" w:color="auto" w:fill="FFFFFF"/>
          <w:lang w:val="en-US" w:eastAsia="zh-CN"/>
        </w:rPr>
        <w:t>867022569@qq.com</w:t>
      </w:r>
      <w:r>
        <w:rPr>
          <w:rFonts w:hint="eastAsia" w:ascii="宋体" w:hAnsi="宋体" w:eastAsia="宋体" w:cs="宋体"/>
          <w:i w:val="0"/>
          <w:iCs w:val="0"/>
          <w:caps w:val="0"/>
          <w:color w:val="auto"/>
          <w:spacing w:val="0"/>
          <w:sz w:val="24"/>
          <w:szCs w:val="24"/>
          <w:shd w:val="clear" w:color="auto" w:fill="FFFFFF"/>
        </w:rPr>
        <w:t>，传送的备份电子投标文件需打包压缩并加密，加密密码由投标方自行保管，如</w:t>
      </w:r>
      <w:r>
        <w:rPr>
          <w:rFonts w:hint="eastAsia" w:ascii="宋体" w:hAnsi="宋体" w:cs="宋体"/>
          <w:i w:val="0"/>
          <w:iCs w:val="0"/>
          <w:caps w:val="0"/>
          <w:color w:val="auto"/>
          <w:spacing w:val="0"/>
          <w:sz w:val="24"/>
          <w:szCs w:val="24"/>
          <w:shd w:val="clear" w:color="auto" w:fill="FFFFFF"/>
          <w:lang w:eastAsia="zh-CN"/>
        </w:rPr>
        <w:t>乐采云</w:t>
      </w:r>
      <w:r>
        <w:rPr>
          <w:rFonts w:hint="eastAsia" w:ascii="宋体" w:hAnsi="宋体" w:eastAsia="宋体" w:cs="宋体"/>
          <w:i w:val="0"/>
          <w:iCs w:val="0"/>
          <w:caps w:val="0"/>
          <w:color w:val="auto"/>
          <w:spacing w:val="0"/>
          <w:sz w:val="24"/>
          <w:szCs w:val="24"/>
          <w:shd w:val="clear" w:color="auto" w:fill="FFFFFF"/>
        </w:rPr>
        <w:t>上电子投标文件出现解密失败情况（开标后30分钟内进行解密），投标方可按照自身意愿确认是否同意提供加密密码解密传送至</w:t>
      </w:r>
      <w:r>
        <w:rPr>
          <w:rFonts w:hint="eastAsia" w:ascii="宋体" w:hAnsi="宋体" w:cs="宋体"/>
          <w:i w:val="0"/>
          <w:iCs w:val="0"/>
          <w:caps w:val="0"/>
          <w:color w:val="auto"/>
          <w:spacing w:val="0"/>
          <w:sz w:val="24"/>
          <w:szCs w:val="24"/>
          <w:shd w:val="clear" w:color="auto" w:fill="FFFFFF"/>
          <w:lang w:eastAsia="zh-CN"/>
        </w:rPr>
        <w:t>诸暨市杰虎工程咨询有限公司</w:t>
      </w:r>
      <w:r>
        <w:rPr>
          <w:rFonts w:hint="eastAsia" w:ascii="宋体" w:hAnsi="宋体" w:eastAsia="宋体" w:cs="宋体"/>
          <w:i w:val="0"/>
          <w:iCs w:val="0"/>
          <w:caps w:val="0"/>
          <w:color w:val="auto"/>
          <w:spacing w:val="0"/>
          <w:sz w:val="24"/>
          <w:szCs w:val="24"/>
          <w:shd w:val="clear" w:color="auto" w:fill="FFFFFF"/>
        </w:rPr>
        <w:t>邮箱的备份文件，并以备份文件作为替代电子投标文件，如投标方未按照规定时间前按要求提供有效备份文件，同时</w:t>
      </w:r>
      <w:r>
        <w:rPr>
          <w:rFonts w:hint="eastAsia" w:ascii="宋体" w:hAnsi="宋体" w:cs="宋体"/>
          <w:i w:val="0"/>
          <w:iCs w:val="0"/>
          <w:caps w:val="0"/>
          <w:color w:val="auto"/>
          <w:spacing w:val="0"/>
          <w:sz w:val="24"/>
          <w:szCs w:val="24"/>
          <w:shd w:val="clear" w:color="auto" w:fill="FFFFFF"/>
          <w:lang w:eastAsia="zh-CN"/>
        </w:rPr>
        <w:t>乐采云</w:t>
      </w:r>
      <w:r>
        <w:rPr>
          <w:rFonts w:hint="eastAsia" w:ascii="宋体" w:hAnsi="宋体" w:eastAsia="宋体" w:cs="宋体"/>
          <w:i w:val="0"/>
          <w:iCs w:val="0"/>
          <w:caps w:val="0"/>
          <w:color w:val="auto"/>
          <w:spacing w:val="0"/>
          <w:sz w:val="24"/>
          <w:szCs w:val="24"/>
          <w:shd w:val="clear" w:color="auto" w:fill="FFFFFF"/>
        </w:rPr>
        <w:t>上投标文件解密失败的，将导致投标无效。</w:t>
      </w:r>
    </w:p>
    <w:p w14:paraId="477ECED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60" w:beforeAutospacing="0" w:after="0" w:afterAutospacing="0" w:line="440" w:lineRule="exact"/>
        <w:ind w:left="0" w:right="0" w:firstLine="386"/>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shd w:val="clear" w:color="auto" w:fill="FFFFFF"/>
        </w:rPr>
        <w:t>投标方无需在开标当天到达开标现场对电子投标进行解密，可在公司办公场地在规定时间内对电子投标文件进行解密。</w:t>
      </w:r>
    </w:p>
    <w:p w14:paraId="43D2D41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60" w:beforeAutospacing="0" w:after="0" w:afterAutospacing="0" w:line="440" w:lineRule="exact"/>
        <w:ind w:left="0" w:right="0" w:firstLine="386"/>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shd w:val="clear" w:color="auto" w:fill="FFFFFF"/>
        </w:rPr>
        <w:t>开标时间后30分钟内供应商可以登录“</w:t>
      </w:r>
      <w:r>
        <w:rPr>
          <w:rStyle w:val="21"/>
          <w:rFonts w:hint="eastAsia" w:ascii="宋体" w:hAnsi="宋体" w:cs="宋体"/>
          <w:b/>
          <w:bCs/>
          <w:i w:val="0"/>
          <w:iCs w:val="0"/>
          <w:caps w:val="0"/>
          <w:color w:val="auto"/>
          <w:spacing w:val="0"/>
          <w:sz w:val="24"/>
          <w:szCs w:val="24"/>
          <w:shd w:val="clear" w:color="auto" w:fill="FFFFFF"/>
          <w:lang w:eastAsia="zh-CN"/>
        </w:rPr>
        <w:t>乐采云</w:t>
      </w:r>
      <w:r>
        <w:rPr>
          <w:rStyle w:val="21"/>
          <w:rFonts w:hint="eastAsia" w:ascii="宋体" w:hAnsi="宋体" w:eastAsia="宋体" w:cs="宋体"/>
          <w:b/>
          <w:bCs/>
          <w:i w:val="0"/>
          <w:iCs w:val="0"/>
          <w:caps w:val="0"/>
          <w:color w:val="auto"/>
          <w:spacing w:val="0"/>
          <w:sz w:val="24"/>
          <w:szCs w:val="24"/>
          <w:shd w:val="clear" w:color="auto" w:fill="FFFFFF"/>
        </w:rPr>
        <w:t>”平台进行投标文件解密。若供应商在规定时间内无法解密或解密失败，将导致投标无效或失败。投标人制作电子投标文件和解密投标文件的需为同一把CA。同时为保障项目开标的连贯性、减少电子投标的意外事件，制作</w:t>
      </w:r>
      <w:r>
        <w:rPr>
          <w:rStyle w:val="21"/>
          <w:rFonts w:hint="eastAsia" w:ascii="宋体" w:hAnsi="宋体" w:eastAsia="宋体" w:cs="宋体"/>
          <w:b/>
          <w:bCs/>
          <w:i w:val="0"/>
          <w:iCs w:val="0"/>
          <w:caps w:val="0"/>
          <w:color w:val="auto"/>
          <w:spacing w:val="0"/>
          <w:sz w:val="24"/>
          <w:szCs w:val="24"/>
          <w:shd w:val="clear" w:color="auto" w:fill="FFFFFF"/>
          <w:lang w:val="en-US" w:eastAsia="zh-CN"/>
        </w:rPr>
        <w:t>及上传投标文件的人员</w:t>
      </w:r>
      <w:r>
        <w:rPr>
          <w:rStyle w:val="21"/>
          <w:rFonts w:hint="eastAsia" w:ascii="宋体" w:hAnsi="宋体" w:eastAsia="宋体" w:cs="宋体"/>
          <w:b/>
          <w:bCs/>
          <w:i w:val="0"/>
          <w:iCs w:val="0"/>
          <w:caps w:val="0"/>
          <w:color w:val="auto"/>
          <w:spacing w:val="0"/>
          <w:sz w:val="24"/>
          <w:szCs w:val="24"/>
          <w:shd w:val="clear" w:color="auto" w:fill="FFFFFF"/>
        </w:rPr>
        <w:t>与开标人员最好为同一人，预留同一手机号码。</w:t>
      </w:r>
    </w:p>
    <w:p w14:paraId="2DD0973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204" w:beforeAutospacing="0" w:after="40" w:afterAutospacing="0" w:line="440" w:lineRule="exact"/>
        <w:ind w:left="0" w:right="0" w:firstLine="0"/>
        <w:jc w:val="both"/>
        <w:textAlignment w:val="auto"/>
        <w:rPr>
          <w:rStyle w:val="21"/>
          <w:rFonts w:hint="eastAsia" w:ascii="宋体" w:hAnsi="宋体" w:eastAsia="宋体" w:cs="宋体"/>
          <w:b/>
          <w:bCs/>
          <w:i w:val="0"/>
          <w:iCs w:val="0"/>
          <w:caps w:val="0"/>
          <w:color w:val="auto"/>
          <w:spacing w:val="0"/>
          <w:sz w:val="28"/>
          <w:szCs w:val="28"/>
          <w:shd w:val="clear" w:color="auto" w:fill="FFFFFF"/>
          <w:lang w:eastAsia="zh-CN"/>
        </w:rPr>
      </w:pPr>
      <w:r>
        <w:rPr>
          <w:rStyle w:val="21"/>
          <w:rFonts w:hint="eastAsia" w:ascii="宋体" w:hAnsi="宋体" w:eastAsia="宋体" w:cs="宋体"/>
          <w:b/>
          <w:bCs/>
          <w:i w:val="0"/>
          <w:iCs w:val="0"/>
          <w:caps w:val="0"/>
          <w:color w:val="auto"/>
          <w:spacing w:val="0"/>
          <w:sz w:val="28"/>
          <w:szCs w:val="28"/>
          <w:shd w:val="clear" w:color="auto" w:fill="FFFFFF"/>
        </w:rPr>
        <w:t>九、</w:t>
      </w:r>
      <w:r>
        <w:rPr>
          <w:rStyle w:val="21"/>
          <w:rFonts w:hint="eastAsia" w:ascii="宋体" w:hAnsi="宋体" w:eastAsia="宋体" w:cs="宋体"/>
          <w:b/>
          <w:bCs/>
          <w:i w:val="0"/>
          <w:iCs w:val="0"/>
          <w:caps w:val="0"/>
          <w:color w:val="auto"/>
          <w:spacing w:val="0"/>
          <w:sz w:val="28"/>
          <w:szCs w:val="28"/>
          <w:shd w:val="clear" w:color="auto" w:fill="FFFFFF"/>
          <w:lang w:eastAsia="zh-CN"/>
        </w:rPr>
        <w:t>业务咨询：</w:t>
      </w:r>
    </w:p>
    <w:p w14:paraId="2C6116B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40" w:lineRule="exact"/>
        <w:ind w:left="0" w:right="0" w:firstLine="482"/>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1.采购单位联系人：沈</w:t>
      </w:r>
      <w:r>
        <w:rPr>
          <w:rFonts w:hint="eastAsia" w:ascii="宋体" w:hAnsi="宋体" w:cs="Times New Roman"/>
          <w:color w:val="auto"/>
          <w:kern w:val="2"/>
          <w:sz w:val="24"/>
          <w:szCs w:val="24"/>
          <w:lang w:val="en-US" w:eastAsia="zh-CN" w:bidi="ar-SA"/>
        </w:rPr>
        <w:t>工</w:t>
      </w:r>
    </w:p>
    <w:p w14:paraId="3347C22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40" w:lineRule="exact"/>
        <w:ind w:right="0" w:firstLine="720" w:firstLineChars="300"/>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采购单位联系电话：15157523742</w:t>
      </w:r>
    </w:p>
    <w:p w14:paraId="3B54904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40" w:lineRule="exact"/>
        <w:ind w:right="0" w:firstLine="720" w:firstLineChars="300"/>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采购单位地址：</w:t>
      </w:r>
      <w:r>
        <w:rPr>
          <w:rFonts w:hint="eastAsia" w:ascii="宋体" w:hAnsi="宋体" w:eastAsia="宋体" w:cs="Times New Roman"/>
          <w:color w:val="auto"/>
          <w:kern w:val="2"/>
          <w:sz w:val="24"/>
          <w:szCs w:val="24"/>
          <w:highlight w:val="none"/>
          <w:lang w:val="en-US" w:eastAsia="zh-CN" w:bidi="ar-SA"/>
        </w:rPr>
        <w:t>诸暨市浣东街道白马墩路9号</w:t>
      </w:r>
    </w:p>
    <w:p w14:paraId="74996F85">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40" w:lineRule="exact"/>
        <w:ind w:left="482" w:leftChars="0" w:right="0" w:rightChars="0"/>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2.代理机构联系人：</w:t>
      </w:r>
      <w:r>
        <w:rPr>
          <w:rFonts w:hint="eastAsia" w:ascii="宋体" w:hAnsi="宋体" w:cs="Times New Roman"/>
          <w:color w:val="auto"/>
          <w:kern w:val="2"/>
          <w:sz w:val="24"/>
          <w:szCs w:val="24"/>
          <w:lang w:val="en-US" w:eastAsia="zh-CN" w:bidi="ar-SA"/>
        </w:rPr>
        <w:t>陈工</w:t>
      </w:r>
    </w:p>
    <w:p w14:paraId="54BA781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40" w:lineRule="exact"/>
        <w:ind w:right="0" w:firstLine="720" w:firstLineChars="300"/>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代理机构联系电话：</w:t>
      </w:r>
      <w:r>
        <w:rPr>
          <w:rFonts w:hint="eastAsia" w:ascii="宋体" w:hAnsi="宋体" w:cs="Times New Roman"/>
          <w:color w:val="auto"/>
          <w:kern w:val="2"/>
          <w:sz w:val="24"/>
          <w:szCs w:val="24"/>
          <w:lang w:val="en-US" w:eastAsia="zh-CN" w:bidi="ar-SA"/>
        </w:rPr>
        <w:t>18967533106</w:t>
      </w:r>
    </w:p>
    <w:p w14:paraId="580A06A9">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40" w:lineRule="exact"/>
        <w:ind w:left="482" w:leftChars="0" w:right="0" w:rightChars="0" w:firstLine="240" w:firstLineChars="100"/>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邮箱：</w:t>
      </w:r>
      <w:r>
        <w:rPr>
          <w:rFonts w:hint="eastAsia" w:ascii="宋体" w:hAnsi="宋体" w:cs="Times New Roman"/>
          <w:color w:val="auto"/>
          <w:kern w:val="2"/>
          <w:sz w:val="24"/>
          <w:szCs w:val="24"/>
          <w:lang w:val="en-US" w:eastAsia="zh-CN" w:bidi="ar-SA"/>
        </w:rPr>
        <w:t>867022569@qq.com</w:t>
      </w:r>
    </w:p>
    <w:p w14:paraId="4DD2AD3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40" w:lineRule="exact"/>
        <w:ind w:right="0" w:firstLine="720" w:firstLineChars="3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代理机构办公地址：诸暨市暨阳街道育英路157号诸暨新农都公寓24楼</w:t>
      </w:r>
    </w:p>
    <w:p w14:paraId="4890D7A1">
      <w:pPr>
        <w:keepNext w:val="0"/>
        <w:keepLines w:val="0"/>
        <w:pageBreakBefore w:val="0"/>
        <w:kinsoku/>
        <w:wordWrap/>
        <w:overflowPunct/>
        <w:topLinePunct w:val="0"/>
        <w:autoSpaceDE w:val="0"/>
        <w:autoSpaceDN w:val="0"/>
        <w:bidi w:val="0"/>
        <w:adjustRightInd w:val="0"/>
        <w:snapToGrid/>
        <w:spacing w:line="440" w:lineRule="exact"/>
        <w:jc w:val="righ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 </w:t>
      </w:r>
    </w:p>
    <w:p w14:paraId="6BA8909F">
      <w:pPr>
        <w:keepNext w:val="0"/>
        <w:keepLines w:val="0"/>
        <w:pageBreakBefore w:val="0"/>
        <w:kinsoku/>
        <w:wordWrap/>
        <w:overflowPunct/>
        <w:topLinePunct w:val="0"/>
        <w:autoSpaceDE w:val="0"/>
        <w:autoSpaceDN w:val="0"/>
        <w:bidi w:val="0"/>
        <w:adjustRightInd w:val="0"/>
        <w:snapToGrid/>
        <w:spacing w:line="440" w:lineRule="exact"/>
        <w:jc w:val="righ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诸暨市交投公路工程有限公司</w:t>
      </w:r>
    </w:p>
    <w:p w14:paraId="7DBDC1E2">
      <w:pPr>
        <w:keepNext w:val="0"/>
        <w:keepLines w:val="0"/>
        <w:pageBreakBefore w:val="0"/>
        <w:kinsoku/>
        <w:wordWrap/>
        <w:overflowPunct/>
        <w:topLinePunct w:val="0"/>
        <w:autoSpaceDE w:val="0"/>
        <w:autoSpaceDN w:val="0"/>
        <w:bidi w:val="0"/>
        <w:adjustRightInd w:val="0"/>
        <w:snapToGrid/>
        <w:spacing w:line="440" w:lineRule="exact"/>
        <w:jc w:val="right"/>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诸暨市杰虎工程咨询有限公司</w:t>
      </w:r>
    </w:p>
    <w:p w14:paraId="418114A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40" w:lineRule="exact"/>
        <w:ind w:right="0" w:firstLine="720" w:firstLineChars="300"/>
        <w:jc w:val="righ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highlight w:val="none"/>
          <w:lang w:val="en-US"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09</w:t>
      </w:r>
      <w:r>
        <w:rPr>
          <w:rFonts w:hint="eastAsia" w:ascii="宋体" w:hAnsi="宋体"/>
          <w:color w:val="auto"/>
          <w:sz w:val="24"/>
          <w:szCs w:val="24"/>
          <w:highlight w:val="none"/>
        </w:rPr>
        <w:t>日</w:t>
      </w:r>
    </w:p>
    <w:p w14:paraId="23E3F8E9">
      <w:pPr>
        <w:pageBreakBefore w:val="0"/>
        <w:kinsoku/>
        <w:wordWrap/>
        <w:overflowPunct/>
        <w:topLinePunct w:val="0"/>
        <w:bidi w:val="0"/>
        <w:spacing w:line="36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若对项目采购电子交易系统操作有疑问，可致电乐采云平台技术支持热线咨询</w:t>
      </w:r>
      <w:r>
        <w:rPr>
          <w:rFonts w:hint="eastAsia" w:ascii="仿宋" w:hAnsi="仿宋" w:eastAsia="仿宋" w:cs="仿宋"/>
          <w:b/>
          <w:bCs/>
          <w:color w:val="auto"/>
          <w:sz w:val="24"/>
          <w:szCs w:val="24"/>
          <w:highlight w:val="none"/>
          <w:lang w:eastAsia="zh-CN"/>
        </w:rPr>
        <w:t>。</w:t>
      </w:r>
    </w:p>
    <w:p w14:paraId="4B6A420E">
      <w:pPr>
        <w:pageBreakBefore w:val="0"/>
        <w:kinsoku/>
        <w:wordWrap/>
        <w:overflowPunct/>
        <w:topLinePunct w:val="0"/>
        <w:bidi w:val="0"/>
        <w:spacing w:line="360" w:lineRule="auto"/>
        <w:jc w:val="center"/>
        <w:textAlignment w:val="auto"/>
        <w:rPr>
          <w:rFonts w:ascii="宋体" w:hAnsi="宋体"/>
          <w:color w:val="auto"/>
          <w:sz w:val="36"/>
          <w:szCs w:val="36"/>
          <w:highlight w:val="none"/>
        </w:rPr>
      </w:pPr>
      <w:r>
        <w:rPr>
          <w:rFonts w:hint="eastAsia" w:ascii="仿宋" w:hAnsi="仿宋" w:eastAsia="仿宋" w:cs="仿宋"/>
          <w:b/>
          <w:bCs/>
          <w:color w:val="auto"/>
          <w:sz w:val="24"/>
          <w:szCs w:val="24"/>
          <w:highlight w:val="none"/>
        </w:rPr>
        <w:t>联系方式：95763。</w:t>
      </w:r>
      <w:r>
        <w:rPr>
          <w:rFonts w:hint="eastAsia" w:ascii="宋体" w:hAnsi="宋体" w:eastAsia="宋体" w:cs="宋体"/>
          <w:b/>
          <w:bCs/>
          <w:color w:val="auto"/>
          <w:sz w:val="36"/>
          <w:szCs w:val="36"/>
          <w:highlight w:val="none"/>
        </w:rPr>
        <w:br w:type="page"/>
      </w:r>
      <w:bookmarkStart w:id="1" w:name="_Toc125344512"/>
      <w:r>
        <w:rPr>
          <w:rFonts w:hint="eastAsia" w:ascii="宋体" w:hAnsi="宋体"/>
          <w:b/>
          <w:bCs/>
          <w:color w:val="auto"/>
          <w:sz w:val="36"/>
          <w:szCs w:val="36"/>
          <w:highlight w:val="none"/>
        </w:rPr>
        <w:t>第二章   投标须知</w:t>
      </w:r>
    </w:p>
    <w:p w14:paraId="05972C2B">
      <w:pPr>
        <w:jc w:val="center"/>
        <w:rPr>
          <w:rFonts w:ascii="宋体" w:hAnsi="宋体"/>
          <w:bCs/>
          <w:color w:val="auto"/>
          <w:sz w:val="24"/>
          <w:szCs w:val="24"/>
          <w:highlight w:val="none"/>
        </w:rPr>
      </w:pPr>
      <w:r>
        <w:rPr>
          <w:rFonts w:hint="eastAsia" w:ascii="宋体" w:hAnsi="宋体"/>
          <w:bCs/>
          <w:color w:val="auto"/>
          <w:sz w:val="24"/>
          <w:szCs w:val="24"/>
          <w:highlight w:val="none"/>
        </w:rPr>
        <w:t>前  附  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14:paraId="12DA3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AB4955">
            <w:pPr>
              <w:pStyle w:val="11"/>
              <w:jc w:val="center"/>
              <w:rPr>
                <w:rFonts w:hint="eastAsia" w:ascii="宋体" w:hAnsi="宋体" w:cs="宋体"/>
                <w:b/>
                <w:color w:val="auto"/>
                <w:szCs w:val="24"/>
                <w:highlight w:val="none"/>
              </w:rPr>
            </w:pPr>
            <w:r>
              <w:rPr>
                <w:rFonts w:hint="eastAsia" w:ascii="宋体" w:hAnsi="宋体" w:cs="宋体"/>
                <w:b/>
                <w:color w:val="auto"/>
                <w:szCs w:val="24"/>
                <w:highlight w:val="none"/>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DF1C8C5">
            <w:pPr>
              <w:pStyle w:val="11"/>
              <w:jc w:val="center"/>
              <w:rPr>
                <w:rFonts w:hint="eastAsia" w:ascii="宋体" w:hAnsi="宋体" w:cs="宋体"/>
                <w:b/>
                <w:color w:val="auto"/>
                <w:szCs w:val="24"/>
                <w:highlight w:val="none"/>
              </w:rPr>
            </w:pPr>
            <w:r>
              <w:rPr>
                <w:rFonts w:hint="eastAsia" w:ascii="宋体" w:hAnsi="宋体" w:cs="宋体"/>
                <w:b/>
                <w:color w:val="auto"/>
                <w:szCs w:val="24"/>
                <w:highlight w:val="none"/>
              </w:rPr>
              <w:t>内容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38CBBB69">
            <w:pPr>
              <w:pStyle w:val="11"/>
              <w:jc w:val="center"/>
              <w:rPr>
                <w:rFonts w:hint="eastAsia" w:ascii="宋体" w:hAnsi="宋体" w:cs="宋体"/>
                <w:b/>
                <w:color w:val="auto"/>
                <w:szCs w:val="24"/>
                <w:highlight w:val="none"/>
              </w:rPr>
            </w:pPr>
            <w:r>
              <w:rPr>
                <w:rFonts w:hint="eastAsia" w:ascii="宋体" w:hAnsi="宋体" w:cs="宋体"/>
                <w:b/>
                <w:color w:val="auto"/>
                <w:szCs w:val="24"/>
                <w:highlight w:val="none"/>
              </w:rPr>
              <w:t>说明与要求</w:t>
            </w:r>
          </w:p>
        </w:tc>
      </w:tr>
      <w:tr w14:paraId="13436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A8D3216">
            <w:pPr>
              <w:pStyle w:val="11"/>
              <w:jc w:val="center"/>
              <w:rPr>
                <w:rFonts w:hint="eastAsia" w:ascii="宋体" w:hAnsi="宋体" w:cs="宋体"/>
                <w:b/>
                <w:color w:val="auto"/>
                <w:szCs w:val="24"/>
                <w:highlight w:val="none"/>
              </w:rPr>
            </w:pPr>
            <w:r>
              <w:rPr>
                <w:rFonts w:hint="eastAsia" w:ascii="宋体" w:hAnsi="宋体" w:cs="宋体"/>
                <w:b/>
                <w:color w:val="auto"/>
                <w:szCs w:val="24"/>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0545736">
            <w:pPr>
              <w:pStyle w:val="11"/>
              <w:jc w:val="center"/>
              <w:rPr>
                <w:rFonts w:hint="eastAsia" w:ascii="宋体" w:hAnsi="宋体" w:cs="宋体"/>
                <w:b/>
                <w:color w:val="auto"/>
                <w:szCs w:val="24"/>
                <w:highlight w:val="none"/>
              </w:rPr>
            </w:pPr>
            <w:r>
              <w:rPr>
                <w:rFonts w:hint="eastAsia" w:ascii="宋体" w:hAnsi="宋体" w:cs="宋体"/>
                <w:color w:val="auto"/>
                <w:szCs w:val="24"/>
                <w:highlight w:val="none"/>
              </w:rPr>
              <w:t>项目名称</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E23F6E7">
            <w:pPr>
              <w:autoSpaceDE/>
              <w:autoSpaceDN/>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诸暨市交投公路工程有限公司玄武岩石料、石灰岩矿粉采购项目</w:t>
            </w:r>
          </w:p>
          <w:p w14:paraId="672E93BA">
            <w:pPr>
              <w:autoSpaceDE/>
              <w:autoSpaceDN/>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（第二次）</w:t>
            </w:r>
          </w:p>
        </w:tc>
      </w:tr>
      <w:tr w14:paraId="79F03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0315B43">
            <w:pPr>
              <w:pStyle w:val="11"/>
              <w:jc w:val="center"/>
              <w:rPr>
                <w:rFonts w:hint="eastAsia" w:ascii="宋体" w:hAnsi="宋体" w:cs="宋体"/>
                <w:b/>
                <w:color w:val="auto"/>
                <w:szCs w:val="24"/>
                <w:highlight w:val="none"/>
              </w:rPr>
            </w:pPr>
            <w:r>
              <w:rPr>
                <w:rFonts w:hint="eastAsia" w:ascii="宋体" w:hAnsi="宋体" w:cs="宋体"/>
                <w:b/>
                <w:color w:val="auto"/>
                <w:szCs w:val="24"/>
                <w:highlight w:val="none"/>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58EDCDB">
            <w:pPr>
              <w:pStyle w:val="11"/>
              <w:jc w:val="center"/>
              <w:rPr>
                <w:rFonts w:hint="eastAsia" w:ascii="宋体" w:hAnsi="宋体" w:cs="宋体"/>
                <w:b/>
                <w:color w:val="auto"/>
                <w:szCs w:val="24"/>
                <w:highlight w:val="none"/>
              </w:rPr>
            </w:pPr>
            <w:r>
              <w:rPr>
                <w:rFonts w:hint="eastAsia" w:ascii="宋体" w:hAnsi="宋体" w:cs="宋体"/>
                <w:color w:val="auto"/>
                <w:szCs w:val="24"/>
                <w:highlight w:val="none"/>
              </w:rPr>
              <w:t>采购方式</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CABE55D">
            <w:pPr>
              <w:pStyle w:val="11"/>
              <w:ind w:right="-107" w:rightChars="-51"/>
              <w:rPr>
                <w:rFonts w:hint="eastAsia" w:ascii="宋体" w:hAnsi="宋体" w:cs="宋体"/>
                <w:color w:val="auto"/>
                <w:szCs w:val="24"/>
                <w:highlight w:val="none"/>
              </w:rPr>
            </w:pPr>
            <w:r>
              <w:rPr>
                <w:rFonts w:hint="eastAsia" w:ascii="宋体" w:hAnsi="宋体" w:cs="宋体"/>
                <w:color w:val="auto"/>
                <w:szCs w:val="24"/>
                <w:highlight w:val="none"/>
              </w:rPr>
              <w:t>公开招标</w:t>
            </w:r>
          </w:p>
        </w:tc>
      </w:tr>
      <w:tr w14:paraId="11DEF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5F8A9D1">
            <w:pPr>
              <w:pStyle w:val="11"/>
              <w:jc w:val="center"/>
              <w:rPr>
                <w:rFonts w:hint="eastAsia" w:ascii="宋体" w:hAnsi="宋体" w:cs="宋体"/>
                <w:b/>
                <w:color w:val="auto"/>
                <w:szCs w:val="24"/>
                <w:highlight w:val="none"/>
              </w:rPr>
            </w:pPr>
            <w:r>
              <w:rPr>
                <w:rFonts w:hint="eastAsia" w:ascii="宋体" w:hAnsi="宋体" w:cs="宋体"/>
                <w:b/>
                <w:color w:val="auto"/>
                <w:szCs w:val="24"/>
                <w:highlight w:val="none"/>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439A9C9">
            <w:pPr>
              <w:pStyle w:val="11"/>
              <w:jc w:val="center"/>
              <w:rPr>
                <w:rFonts w:hint="eastAsia" w:ascii="宋体" w:hAnsi="宋体" w:cs="宋体"/>
                <w:b/>
                <w:color w:val="auto"/>
                <w:szCs w:val="24"/>
                <w:highlight w:val="none"/>
              </w:rPr>
            </w:pPr>
            <w:r>
              <w:rPr>
                <w:rFonts w:hint="eastAsia" w:ascii="宋体" w:hAnsi="宋体" w:cs="宋体"/>
                <w:color w:val="auto"/>
                <w:szCs w:val="24"/>
                <w:highlight w:val="none"/>
              </w:rPr>
              <w:t>评标办法</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573024AF">
            <w:pPr>
              <w:pStyle w:val="11"/>
              <w:spacing w:line="240" w:lineRule="auto"/>
              <w:ind w:right="-107" w:rightChars="-51"/>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最低评标价法</w:t>
            </w:r>
          </w:p>
        </w:tc>
      </w:tr>
      <w:tr w14:paraId="25C98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AE4EB4C">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B7091D7">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最高限价</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5213C536">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最高单价限价：玄武岩石料（5~10mm)</w:t>
            </w:r>
            <w:r>
              <w:rPr>
                <w:rFonts w:hint="eastAsia" w:ascii="宋体" w:hAnsi="宋体" w:cs="宋体"/>
                <w:color w:val="000000" w:themeColor="text1"/>
                <w:sz w:val="24"/>
                <w:szCs w:val="24"/>
                <w:highlight w:val="none"/>
                <w:lang w:val="en-US" w:eastAsia="zh-CN"/>
                <w14:textFill>
                  <w14:solidFill>
                    <w14:schemeClr w14:val="tx1"/>
                  </w14:solidFill>
                </w14:textFill>
              </w:rPr>
              <w:t>346</w:t>
            </w:r>
            <w:r>
              <w:rPr>
                <w:rFonts w:hint="eastAsia" w:ascii="宋体" w:hAnsi="宋体" w:eastAsia="宋体" w:cs="宋体"/>
                <w:color w:val="000000" w:themeColor="text1"/>
                <w:sz w:val="24"/>
                <w:szCs w:val="24"/>
                <w:highlight w:val="none"/>
                <w:lang w:val="en-US" w:eastAsia="zh-CN"/>
                <w14:textFill>
                  <w14:solidFill>
                    <w14:schemeClr w14:val="tx1"/>
                  </w14:solidFill>
                </w14:textFill>
              </w:rPr>
              <w:t>元/吨</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玄武岩石料（10~16mm)</w:t>
            </w:r>
            <w:r>
              <w:rPr>
                <w:rFonts w:hint="eastAsia" w:ascii="宋体" w:hAnsi="宋体" w:cs="宋体"/>
                <w:color w:val="000000" w:themeColor="text1"/>
                <w:sz w:val="24"/>
                <w:szCs w:val="24"/>
                <w:highlight w:val="none"/>
                <w:lang w:val="en-US" w:eastAsia="zh-CN"/>
                <w14:textFill>
                  <w14:solidFill>
                    <w14:schemeClr w14:val="tx1"/>
                  </w14:solidFill>
                </w14:textFill>
              </w:rPr>
              <w:t>350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元/吨</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石灰岩矿粉</w:t>
            </w:r>
            <w:r>
              <w:rPr>
                <w:rFonts w:hint="eastAsia" w:ascii="宋体" w:hAnsi="宋体" w:cs="宋体"/>
                <w:color w:val="000000" w:themeColor="text1"/>
                <w:sz w:val="24"/>
                <w:szCs w:val="24"/>
                <w:highlight w:val="none"/>
                <w:lang w:val="en-US" w:eastAsia="zh-CN"/>
                <w14:textFill>
                  <w14:solidFill>
                    <w14:schemeClr w14:val="tx1"/>
                  </w14:solidFill>
                </w14:textFill>
              </w:rPr>
              <w:t>275</w:t>
            </w:r>
            <w:r>
              <w:rPr>
                <w:rFonts w:hint="eastAsia" w:ascii="宋体" w:hAnsi="宋体" w:eastAsia="宋体" w:cs="宋体"/>
                <w:color w:val="000000" w:themeColor="text1"/>
                <w:sz w:val="24"/>
                <w:szCs w:val="24"/>
                <w:highlight w:val="none"/>
                <w:lang w:val="en-US" w:eastAsia="zh-CN"/>
                <w14:textFill>
                  <w14:solidFill>
                    <w14:schemeClr w14:val="tx1"/>
                  </w14:solidFill>
                </w14:textFill>
              </w:rPr>
              <w:t>元/吨。</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本项目按单价统一折扣率报价，最高报价折扣率100%，任何超过最高报价折扣率的报价按无效报价处理。投标报价包含供货所需的材料价款、到指定施工现场的运输及装卸费用、材料、质检（自检）、管理、保险、税费、人工费等一切为完成本项目的相关费用</w:t>
            </w:r>
            <w:r>
              <w:rPr>
                <w:rFonts w:hint="eastAsia" w:ascii="宋体" w:hAnsi="宋体" w:eastAsia="仿宋_GB2312"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w:t>
            </w:r>
          </w:p>
        </w:tc>
      </w:tr>
      <w:tr w14:paraId="73A3E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5879C73">
            <w:pPr>
              <w:pStyle w:val="11"/>
              <w:jc w:val="center"/>
              <w:rPr>
                <w:rFonts w:hint="eastAsia" w:ascii="宋体" w:hAnsi="宋体" w:cs="宋体"/>
                <w:b/>
                <w:color w:val="auto"/>
                <w:szCs w:val="24"/>
                <w:highlight w:val="none"/>
              </w:rPr>
            </w:pPr>
            <w:r>
              <w:rPr>
                <w:rFonts w:hint="eastAsia" w:ascii="宋体" w:hAnsi="宋体" w:cs="宋体"/>
                <w:b/>
                <w:color w:val="auto"/>
                <w:szCs w:val="24"/>
                <w:highlight w:val="none"/>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C6C6E35">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投标人（供应商）资格要求</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091A21FF">
            <w:pPr>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43B77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F9BB32E">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lang w:val="en-US" w:eastAsia="zh-CN"/>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9171ECD">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标的划分</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9C823A1">
            <w:pPr>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本次招标共</w:t>
            </w:r>
            <w:r>
              <w:rPr>
                <w:rFonts w:hint="eastAsia" w:ascii="宋体" w:hAnsi="宋体" w:cs="宋体"/>
                <w:b/>
                <w:bCs/>
                <w:color w:val="auto"/>
                <w:sz w:val="24"/>
                <w:szCs w:val="24"/>
                <w:highlight w:val="none"/>
                <w:u w:val="single"/>
              </w:rPr>
              <w:t>1</w:t>
            </w:r>
            <w:r>
              <w:rPr>
                <w:rFonts w:hint="eastAsia" w:ascii="宋体" w:hAnsi="宋体" w:cs="宋体"/>
                <w:color w:val="auto"/>
                <w:sz w:val="24"/>
                <w:szCs w:val="24"/>
                <w:highlight w:val="none"/>
              </w:rPr>
              <w:t>个标的，采购人将整体择定中标人。</w:t>
            </w:r>
          </w:p>
        </w:tc>
      </w:tr>
      <w:tr w14:paraId="0375B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2D58FD">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lang w:val="en-US" w:eastAsia="zh-CN"/>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A40273A">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资格审查</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5929C0D">
            <w:pPr>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供应商资格采用资格后审方式，以确定投标人是否具备投标资格。</w:t>
            </w:r>
          </w:p>
        </w:tc>
      </w:tr>
      <w:tr w14:paraId="4D8FA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04" w:type="dxa"/>
            <w:tcBorders>
              <w:top w:val="single" w:color="auto" w:sz="4" w:space="0"/>
              <w:left w:val="single" w:color="auto" w:sz="4" w:space="0"/>
              <w:right w:val="single" w:color="auto" w:sz="4" w:space="0"/>
            </w:tcBorders>
            <w:noWrap w:val="0"/>
            <w:vAlign w:val="center"/>
          </w:tcPr>
          <w:p w14:paraId="2C3AFFE4">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lang w:val="en-US" w:eastAsia="zh-CN"/>
              </w:rPr>
              <w:t>8</w:t>
            </w:r>
          </w:p>
        </w:tc>
        <w:tc>
          <w:tcPr>
            <w:tcW w:w="1776" w:type="dxa"/>
            <w:tcBorders>
              <w:top w:val="single" w:color="auto" w:sz="4" w:space="0"/>
              <w:left w:val="single" w:color="auto" w:sz="4" w:space="0"/>
              <w:right w:val="single" w:color="auto" w:sz="4" w:space="0"/>
            </w:tcBorders>
            <w:noWrap w:val="0"/>
            <w:vAlign w:val="center"/>
          </w:tcPr>
          <w:p w14:paraId="42A03612">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招标文件的</w:t>
            </w:r>
          </w:p>
          <w:p w14:paraId="73D902A4">
            <w:pPr>
              <w:pStyle w:val="11"/>
              <w:jc w:val="center"/>
              <w:rPr>
                <w:rFonts w:hint="eastAsia" w:ascii="宋体" w:hAnsi="宋体" w:cs="宋体"/>
                <w:b/>
                <w:color w:val="auto"/>
                <w:szCs w:val="24"/>
                <w:highlight w:val="none"/>
              </w:rPr>
            </w:pPr>
            <w:r>
              <w:rPr>
                <w:rFonts w:hint="eastAsia" w:ascii="宋体" w:hAnsi="宋体" w:cs="宋体"/>
                <w:color w:val="auto"/>
                <w:szCs w:val="24"/>
                <w:highlight w:val="none"/>
              </w:rPr>
              <w:t>获取</w:t>
            </w:r>
          </w:p>
        </w:tc>
        <w:tc>
          <w:tcPr>
            <w:tcW w:w="7589" w:type="dxa"/>
            <w:tcBorders>
              <w:top w:val="single" w:color="auto" w:sz="4" w:space="0"/>
              <w:left w:val="single" w:color="auto" w:sz="4" w:space="0"/>
              <w:right w:val="single" w:color="auto" w:sz="4" w:space="0"/>
            </w:tcBorders>
            <w:noWrap w:val="0"/>
            <w:vAlign w:val="center"/>
          </w:tcPr>
          <w:p w14:paraId="3EB30063">
            <w:pPr>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53F2C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420BDD3">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lang w:val="en-US" w:eastAsia="zh-CN"/>
              </w:rPr>
              <w:t>9</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BEB3A01">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投标保证金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994005C">
            <w:pPr>
              <w:autoSpaceDE/>
              <w:autoSpaceDN/>
              <w:adjustRightInd/>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按招标公告要求</w:t>
            </w:r>
            <w:r>
              <w:rPr>
                <w:rFonts w:hint="eastAsia" w:ascii="宋体" w:hAnsi="宋体" w:cs="宋体"/>
                <w:color w:val="auto"/>
                <w:sz w:val="24"/>
                <w:szCs w:val="24"/>
                <w:highlight w:val="none"/>
              </w:rPr>
              <w:t>。</w:t>
            </w:r>
          </w:p>
        </w:tc>
      </w:tr>
      <w:tr w14:paraId="355A9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DBFE723">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0</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6D7A575">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资格文件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11D22675">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（1）营业执照复印件（加盖单位公章）；</w:t>
            </w:r>
          </w:p>
          <w:p w14:paraId="0B0081BC">
            <w:pPr>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特定的资格证明材料复印件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rPr>
              <w:t>加盖单位公章）；</w:t>
            </w:r>
          </w:p>
          <w:p w14:paraId="13D3B971">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（3）法定代表人授权委托书</w:t>
            </w:r>
            <w:r>
              <w:rPr>
                <w:rFonts w:hint="eastAsia" w:ascii="宋体" w:hAnsi="宋体" w:eastAsia="宋体" w:cs="宋体"/>
                <w:b/>
                <w:bCs/>
                <w:color w:val="auto"/>
                <w:sz w:val="24"/>
                <w:szCs w:val="24"/>
                <w:highlight w:val="none"/>
              </w:rPr>
              <w:t>（投标人代表若为授权委托代表须提供法定代表人授权委托书及双方身份证复印件；投标人代表若为法定代表人仅须提供法人身份证复印件）格式见附件</w:t>
            </w:r>
            <w:r>
              <w:rPr>
                <w:rFonts w:hint="eastAsia" w:ascii="宋体" w:hAnsi="宋体" w:eastAsia="宋体" w:cs="宋体"/>
                <w:color w:val="auto"/>
                <w:sz w:val="24"/>
                <w:szCs w:val="24"/>
                <w:highlight w:val="none"/>
              </w:rPr>
              <w:t>；</w:t>
            </w:r>
          </w:p>
          <w:p w14:paraId="7B68A6EF">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提供自招标公告发布之日起至投标截止日内任意时间的“信用中国”网站（www.creditchina.gov.cn）、中国政府采购网（www.ccgp.gov.cn）投标人信用查询网页截图。（以开标当日采购人或由采购人委托的评标委员会核实的查询结果为准）</w:t>
            </w:r>
            <w:r>
              <w:rPr>
                <w:rFonts w:hint="eastAsia" w:ascii="宋体" w:hAnsi="宋体" w:cs="宋体"/>
                <w:color w:val="auto"/>
                <w:sz w:val="24"/>
                <w:szCs w:val="24"/>
                <w:highlight w:val="none"/>
                <w:lang w:eastAsia="zh-CN"/>
              </w:rPr>
              <w:t>；</w:t>
            </w:r>
          </w:p>
          <w:p w14:paraId="7188FC2F">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）其他资格证书（若需要）。</w:t>
            </w:r>
          </w:p>
        </w:tc>
      </w:tr>
      <w:tr w14:paraId="50DFA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FBAA177">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17A8204">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商务技术文件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513E869">
            <w:pPr>
              <w:snapToGrid w:val="0"/>
              <w:jc w:val="left"/>
              <w:rPr>
                <w:rFonts w:hint="eastAsia" w:ascii="宋体" w:hAnsi="宋体"/>
                <w:color w:val="auto"/>
                <w:sz w:val="24"/>
                <w:szCs w:val="24"/>
                <w:highlight w:val="none"/>
              </w:rPr>
            </w:pPr>
            <w:r>
              <w:rPr>
                <w:rFonts w:hint="eastAsia" w:ascii="宋体" w:hAnsi="宋体"/>
                <w:color w:val="auto"/>
                <w:sz w:val="24"/>
                <w:szCs w:val="24"/>
                <w:highlight w:val="none"/>
              </w:rPr>
              <w:t>（1）投标人情况介绍；</w:t>
            </w:r>
          </w:p>
          <w:p w14:paraId="058E0830">
            <w:pPr>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r>
              <w:rPr>
                <w:rFonts w:hint="eastAsia" w:ascii="宋体" w:hAnsi="宋体"/>
                <w:color w:val="auto"/>
                <w:sz w:val="24"/>
                <w:szCs w:val="24"/>
                <w:highlight w:val="none"/>
              </w:rPr>
              <w:t>营业执照复印件（加盖单位公章）</w:t>
            </w:r>
            <w:r>
              <w:rPr>
                <w:rFonts w:hint="eastAsia" w:ascii="宋体" w:hAnsi="宋体"/>
                <w:color w:val="auto"/>
                <w:sz w:val="24"/>
                <w:szCs w:val="24"/>
                <w:highlight w:val="none"/>
                <w:lang w:eastAsia="zh-CN"/>
              </w:rPr>
              <w:t>；</w:t>
            </w:r>
          </w:p>
          <w:p w14:paraId="229FC716">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法定代表人授权委托书</w:t>
            </w:r>
            <w:r>
              <w:rPr>
                <w:rFonts w:hint="default" w:ascii="Times New Roman" w:hAnsi="Times New Roman" w:cs="Times New Roman"/>
                <w:color w:val="auto"/>
                <w:sz w:val="24"/>
                <w:szCs w:val="24"/>
              </w:rPr>
              <w:t>（除</w:t>
            </w:r>
            <w:r>
              <w:rPr>
                <w:rFonts w:hint="eastAsia" w:ascii="宋体" w:hAnsi="宋体" w:eastAsia="宋体" w:cs="宋体"/>
                <w:color w:val="auto"/>
                <w:sz w:val="24"/>
                <w:szCs w:val="24"/>
                <w:highlight w:val="none"/>
              </w:rPr>
              <w:t>法定代表人</w:t>
            </w:r>
            <w:r>
              <w:rPr>
                <w:rFonts w:hint="default" w:ascii="Times New Roman" w:hAnsi="Times New Roman" w:cs="Times New Roman"/>
                <w:color w:val="auto"/>
                <w:sz w:val="24"/>
                <w:szCs w:val="24"/>
              </w:rPr>
              <w:t>亲自参加外，格式见附件)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AF7C9A9">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）技术偏离表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格式详见第六章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w:t>
            </w:r>
          </w:p>
          <w:p w14:paraId="3FBAC472">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）相关资质证明或文件复印件（如有，加盖单位公章）；</w:t>
            </w:r>
          </w:p>
          <w:p w14:paraId="7DEDF7B5">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）成功案例和业绩证明（如有）；</w:t>
            </w:r>
          </w:p>
          <w:p w14:paraId="7611741B">
            <w:pPr>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）对本项</w:t>
            </w:r>
            <w:r>
              <w:rPr>
                <w:rFonts w:hint="eastAsia" w:ascii="宋体" w:hAnsi="宋体" w:eastAsia="宋体" w:cs="宋体"/>
                <w:color w:val="auto"/>
                <w:sz w:val="24"/>
                <w:szCs w:val="24"/>
                <w:highlight w:val="none"/>
              </w:rPr>
              <w:t>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方案说明（如需要）；</w:t>
            </w:r>
          </w:p>
          <w:p w14:paraId="7A78126B">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）保证项目质量的技术力量及技术措施（如需要）；</w:t>
            </w:r>
          </w:p>
          <w:p w14:paraId="1A5F0981">
            <w:pPr>
              <w:snapToGrid w:val="0"/>
              <w:jc w:val="left"/>
              <w:rPr>
                <w:rFonts w:hint="eastAsia" w:ascii="宋体" w:hAnsi="宋体" w:eastAsia="宋体" w:cs="宋体"/>
                <w:color w:val="auto"/>
                <w:sz w:val="24"/>
                <w:szCs w:val="24"/>
                <w:highlight w:val="none"/>
              </w:rPr>
            </w:pPr>
            <w:r>
              <w:rPr>
                <w:rFonts w:hint="eastAsia"/>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）投标人建议的</w:t>
            </w:r>
            <w:r>
              <w:rPr>
                <w:rFonts w:hint="eastAsia" w:ascii="宋体" w:hAnsi="宋体" w:eastAsia="宋体" w:cs="宋体"/>
                <w:color w:val="auto"/>
                <w:sz w:val="24"/>
                <w:szCs w:val="24"/>
                <w:highlight w:val="none"/>
                <w:lang w:val="en-US" w:eastAsia="zh-CN"/>
              </w:rPr>
              <w:t>项目实施</w:t>
            </w:r>
            <w:r>
              <w:rPr>
                <w:rFonts w:hint="eastAsia" w:ascii="宋体" w:hAnsi="宋体" w:eastAsia="宋体" w:cs="宋体"/>
                <w:color w:val="auto"/>
                <w:sz w:val="24"/>
                <w:szCs w:val="24"/>
                <w:highlight w:val="none"/>
              </w:rPr>
              <w:t>、验收方法或方案（如需要）；</w:t>
            </w:r>
          </w:p>
          <w:p w14:paraId="40F027EE">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）投标人需要说明的其他文件和说明。</w:t>
            </w:r>
          </w:p>
          <w:p w14:paraId="5801A37E">
            <w:pPr>
              <w:pStyle w:val="11"/>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投标人在“商务技术文件”中应对招标文件作实质性响应，该项内容将作为评标重要指标。</w:t>
            </w:r>
          </w:p>
        </w:tc>
      </w:tr>
      <w:tr w14:paraId="124F1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892A1DB">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5EA686A">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报价文件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5F2B9C9">
            <w:pPr>
              <w:tabs>
                <w:tab w:val="left" w:pos="3870"/>
                <w:tab w:val="left" w:pos="4085"/>
              </w:tabs>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（1）投标函（格式见附件）； </w:t>
            </w:r>
          </w:p>
          <w:p w14:paraId="7836D707">
            <w:pPr>
              <w:tabs>
                <w:tab w:val="left" w:pos="3870"/>
                <w:tab w:val="left" w:pos="4085"/>
              </w:tabs>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（2）开标一览表（格式见附件）；</w:t>
            </w:r>
          </w:p>
          <w:p w14:paraId="5550B45E">
            <w:pPr>
              <w:tabs>
                <w:tab w:val="left" w:pos="3870"/>
                <w:tab w:val="left" w:pos="4085"/>
              </w:tabs>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（3）投标承诺书（格式见附件）；</w:t>
            </w:r>
          </w:p>
          <w:p w14:paraId="287B6FE6">
            <w:pPr>
              <w:tabs>
                <w:tab w:val="left" w:pos="3870"/>
                <w:tab w:val="left" w:pos="4085"/>
              </w:tabs>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（4）投标人需要说明的其他文件和说明（格式自拟）。</w:t>
            </w:r>
          </w:p>
          <w:p w14:paraId="632C8041">
            <w:pPr>
              <w:tabs>
                <w:tab w:val="left" w:pos="3870"/>
                <w:tab w:val="left" w:pos="4085"/>
              </w:tabs>
              <w:snapToGrid w:val="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注：投标函、开标一览表必须加盖单位公章。</w:t>
            </w:r>
          </w:p>
        </w:tc>
      </w:tr>
      <w:tr w14:paraId="51122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B8E3847">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6C20948">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现场演示</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0115358">
            <w:pPr>
              <w:tabs>
                <w:tab w:val="left" w:pos="3870"/>
                <w:tab w:val="left" w:pos="4085"/>
              </w:tabs>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按招标文件相关要求执行。</w:t>
            </w:r>
          </w:p>
        </w:tc>
      </w:tr>
      <w:tr w14:paraId="013DB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EC98DFD">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C634054">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投标样品</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C80DC71">
            <w:pPr>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按招标文件相关要求执行。</w:t>
            </w:r>
          </w:p>
        </w:tc>
      </w:tr>
      <w:tr w14:paraId="16D40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F4F9CDD">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59DA9AC">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投标有效期</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374F848A">
            <w:pPr>
              <w:pStyle w:val="11"/>
              <w:rPr>
                <w:rFonts w:hint="eastAsia" w:ascii="宋体" w:hAnsi="宋体" w:cs="宋体"/>
                <w:color w:val="auto"/>
                <w:szCs w:val="24"/>
                <w:highlight w:val="none"/>
              </w:rPr>
            </w:pPr>
            <w:r>
              <w:rPr>
                <w:rFonts w:hint="eastAsia" w:ascii="宋体" w:hAnsi="宋体" w:cs="宋体"/>
                <w:color w:val="auto"/>
                <w:szCs w:val="24"/>
                <w:highlight w:val="none"/>
              </w:rPr>
              <w:t>自投标截止日起90天。如采购代理机构认为必要，可延长投标有效期。</w:t>
            </w:r>
          </w:p>
        </w:tc>
      </w:tr>
      <w:tr w14:paraId="23D0E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AE53A4B">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32799C6">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签订合同时间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5BDD68B9">
            <w:pPr>
              <w:pStyle w:val="11"/>
              <w:rPr>
                <w:rFonts w:hint="eastAsia" w:ascii="宋体" w:hAnsi="宋体" w:cs="宋体"/>
                <w:color w:val="auto"/>
                <w:szCs w:val="24"/>
                <w:highlight w:val="none"/>
              </w:rPr>
            </w:pPr>
            <w:r>
              <w:rPr>
                <w:rFonts w:hint="eastAsia" w:ascii="宋体" w:hAnsi="宋体" w:cs="宋体"/>
                <w:color w:val="auto"/>
                <w:szCs w:val="24"/>
                <w:highlight w:val="none"/>
              </w:rPr>
              <w:t>中标通知书发出后30日内。</w:t>
            </w:r>
          </w:p>
        </w:tc>
      </w:tr>
      <w:tr w14:paraId="7A225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C50BBEA">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7A3E305">
            <w:pPr>
              <w:pStyle w:val="11"/>
              <w:jc w:val="center"/>
              <w:rPr>
                <w:rFonts w:hint="eastAsia" w:ascii="宋体" w:hAnsi="宋体" w:cs="宋体"/>
                <w:b/>
                <w:color w:val="auto"/>
                <w:szCs w:val="24"/>
                <w:highlight w:val="none"/>
              </w:rPr>
            </w:pPr>
            <w:r>
              <w:rPr>
                <w:rFonts w:hint="eastAsia" w:ascii="宋体" w:hAnsi="宋体" w:cs="宋体"/>
                <w:color w:val="auto"/>
                <w:szCs w:val="24"/>
                <w:highlight w:val="none"/>
              </w:rPr>
              <w:t>转包与分包</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522BC302">
            <w:pPr>
              <w:pStyle w:val="11"/>
              <w:rPr>
                <w:rFonts w:hint="eastAsia" w:ascii="宋体" w:hAnsi="宋体" w:cs="宋体"/>
                <w:color w:val="auto"/>
                <w:szCs w:val="24"/>
                <w:highlight w:val="none"/>
              </w:rPr>
            </w:pPr>
            <w:r>
              <w:rPr>
                <w:rFonts w:hint="eastAsia" w:ascii="宋体" w:hAnsi="宋体" w:cs="宋体"/>
                <w:color w:val="auto"/>
                <w:szCs w:val="24"/>
                <w:highlight w:val="none"/>
              </w:rPr>
              <w:t>本项目不允许转包和分包。</w:t>
            </w:r>
          </w:p>
        </w:tc>
      </w:tr>
      <w:tr w14:paraId="7C5B9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5CA728">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6F79776">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履约保证金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0E926AC">
            <w:pPr>
              <w:pStyle w:val="11"/>
              <w:rPr>
                <w:rFonts w:hint="eastAsia" w:ascii="宋体" w:hAnsi="宋体" w:cs="宋体"/>
                <w:color w:val="auto"/>
                <w:szCs w:val="24"/>
                <w:highlight w:val="none"/>
              </w:rPr>
            </w:pPr>
            <w:r>
              <w:rPr>
                <w:rFonts w:hint="eastAsia" w:ascii="宋体" w:hAnsi="宋体" w:cs="宋体"/>
                <w:color w:val="auto"/>
                <w:szCs w:val="24"/>
                <w:highlight w:val="none"/>
              </w:rPr>
              <w:t>按采购需求执行。</w:t>
            </w:r>
          </w:p>
        </w:tc>
      </w:tr>
      <w:tr w14:paraId="2C2DB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9EAA143">
            <w:pPr>
              <w:pStyle w:val="11"/>
              <w:jc w:val="center"/>
              <w:rPr>
                <w:rFonts w:hint="default" w:ascii="宋体" w:hAnsi="宋体" w:eastAsia="宋体" w:cs="宋体"/>
                <w:b/>
                <w:color w:val="auto"/>
                <w:szCs w:val="24"/>
                <w:highlight w:val="none"/>
                <w:lang w:val="en-US" w:eastAsia="zh-CN"/>
              </w:rPr>
            </w:pPr>
            <w:r>
              <w:rPr>
                <w:rFonts w:hint="eastAsia" w:ascii="宋体" w:hAnsi="宋体" w:cs="宋体"/>
                <w:b/>
                <w:color w:val="auto"/>
                <w:szCs w:val="24"/>
                <w:highlight w:val="none"/>
                <w:lang w:val="en-US" w:eastAsia="zh-CN"/>
              </w:rPr>
              <w:t>19</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732935D">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投标文件递交截止时间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554181C5">
            <w:pPr>
              <w:snapToGrid w:val="0"/>
              <w:rPr>
                <w:rFonts w:hint="eastAsia" w:ascii="宋体" w:hAnsi="宋体" w:cs="宋体"/>
                <w:color w:val="auto"/>
                <w:kern w:val="2"/>
                <w:sz w:val="24"/>
                <w:szCs w:val="24"/>
                <w:highlight w:val="none"/>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rPr>
              <w:t>整。</w:t>
            </w:r>
          </w:p>
        </w:tc>
      </w:tr>
      <w:tr w14:paraId="6207A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48E52B2">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0</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42A1F21">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投标文件递交地点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2C94965">
            <w:pPr>
              <w:snapToGrid w:val="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乐采云平台（https://www.lecaiyun.com/）</w:t>
            </w:r>
          </w:p>
        </w:tc>
      </w:tr>
      <w:tr w14:paraId="5538D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A455F91">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324CFB8">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开标时间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5DA8D28">
            <w:pPr>
              <w:snapToGrid w:val="0"/>
              <w:rPr>
                <w:rFonts w:hint="eastAsia" w:ascii="宋体" w:hAnsi="宋体" w:cs="宋体"/>
                <w:color w:val="auto"/>
                <w:kern w:val="2"/>
                <w:sz w:val="24"/>
                <w:szCs w:val="24"/>
                <w:highlight w:val="none"/>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30</w:t>
            </w:r>
            <w:bookmarkStart w:id="12" w:name="_GoBack"/>
            <w:bookmarkEnd w:id="12"/>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rPr>
              <w:t>整。</w:t>
            </w:r>
          </w:p>
        </w:tc>
      </w:tr>
      <w:tr w14:paraId="749B1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A628F50">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14F4DD8">
            <w:pPr>
              <w:pStyle w:val="11"/>
              <w:jc w:val="center"/>
              <w:rPr>
                <w:rFonts w:hint="eastAsia" w:ascii="宋体" w:hAnsi="宋体" w:cs="宋体"/>
                <w:color w:val="auto"/>
                <w:szCs w:val="24"/>
                <w:highlight w:val="none"/>
              </w:rPr>
            </w:pPr>
            <w:r>
              <w:rPr>
                <w:rFonts w:hint="eastAsia" w:ascii="宋体" w:hAnsi="宋体" w:cs="宋体"/>
                <w:color w:val="auto"/>
                <w:szCs w:val="24"/>
                <w:highlight w:val="none"/>
              </w:rPr>
              <w:t>开标地点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C84A39A">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诸暨市暨阳街道育英路157号诸暨新农都公寓24楼</w:t>
            </w:r>
          </w:p>
          <w:p w14:paraId="57225BA1">
            <w:pPr>
              <w:snapToGrid w:val="0"/>
              <w:rPr>
                <w:rFonts w:hint="eastAsia" w:ascii="宋体" w:hAnsi="宋体" w:cs="宋体"/>
                <w:color w:val="auto"/>
                <w:kern w:val="2"/>
                <w:sz w:val="24"/>
                <w:szCs w:val="24"/>
                <w:highlight w:val="none"/>
              </w:rPr>
            </w:pPr>
            <w:r>
              <w:rPr>
                <w:rFonts w:hint="eastAsia" w:ascii="宋体" w:hAnsi="宋体" w:eastAsia="宋体" w:cs="宋体"/>
                <w:color w:val="auto"/>
                <w:sz w:val="24"/>
                <w:szCs w:val="24"/>
                <w:highlight w:val="none"/>
              </w:rPr>
              <w:t>（诸暨市杰虎工程咨询有限公司开标室）</w:t>
            </w:r>
          </w:p>
        </w:tc>
      </w:tr>
      <w:tr w14:paraId="01269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528CAAE">
            <w:pPr>
              <w:pStyle w:val="11"/>
              <w:jc w:val="center"/>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01E0C0F">
            <w:pPr>
              <w:pStyle w:val="11"/>
              <w:jc w:val="center"/>
              <w:rPr>
                <w:rFonts w:hint="eastAsia" w:ascii="宋体" w:hAnsi="宋体" w:cs="宋体"/>
                <w:b/>
                <w:bCs/>
                <w:color w:val="auto"/>
                <w:szCs w:val="24"/>
                <w:highlight w:val="none"/>
              </w:rPr>
            </w:pPr>
            <w:r>
              <w:rPr>
                <w:rFonts w:hint="eastAsia" w:ascii="宋体" w:hAnsi="宋体" w:cs="宋体"/>
                <w:b/>
                <w:bCs/>
                <w:color w:val="auto"/>
                <w:szCs w:val="24"/>
                <w:highlight w:val="none"/>
              </w:rPr>
              <w:t>其他</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622DF2A">
            <w:pPr>
              <w:snapToGrid w:val="0"/>
              <w:rPr>
                <w:rFonts w:hint="eastAsia" w:ascii="宋体" w:hAnsi="宋体"/>
                <w:b w:val="0"/>
                <w:bCs/>
                <w:color w:val="auto"/>
                <w:sz w:val="24"/>
                <w:szCs w:val="24"/>
              </w:rPr>
            </w:pPr>
            <w:r>
              <w:rPr>
                <w:rFonts w:hint="eastAsia" w:ascii="宋体" w:hAnsi="宋体"/>
                <w:b w:val="0"/>
                <w:bCs/>
                <w:color w:val="auto"/>
                <w:sz w:val="24"/>
                <w:szCs w:val="24"/>
              </w:rPr>
              <w:t>特别提醒：</w:t>
            </w:r>
          </w:p>
          <w:p w14:paraId="702F92E6">
            <w:pPr>
              <w:snapToGrid w:val="0"/>
              <w:rPr>
                <w:rFonts w:ascii="宋体" w:hAnsi="宋体"/>
                <w:b w:val="0"/>
                <w:bCs/>
                <w:color w:val="000000" w:themeColor="text1"/>
                <w:sz w:val="24"/>
                <w:szCs w:val="24"/>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1、本项目招标代理费由中标方支付，具体收费标准按诸国资办【2021】5号关于印发《诸暨市国有企业货物和服务采购管理办法》的通知文件执行，收费基数为标项合同总金额。不足3000元按3000元收取，最高不超过15000元。</w:t>
            </w:r>
          </w:p>
          <w:p w14:paraId="1D0EE207">
            <w:pPr>
              <w:snapToGrid w:val="0"/>
              <w:rPr>
                <w:rFonts w:hint="eastAsia" w:ascii="宋体" w:hAnsi="宋体"/>
                <w:b w:val="0"/>
                <w:bCs/>
                <w:color w:val="000000" w:themeColor="text1"/>
                <w:sz w:val="24"/>
                <w:szCs w:val="24"/>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2、以上费用在领取中标通知书前付清。</w:t>
            </w:r>
          </w:p>
          <w:p w14:paraId="75618751">
            <w:pPr>
              <w:snapToGrid w:val="0"/>
              <w:rPr>
                <w:rFonts w:hint="eastAsia" w:ascii="宋体" w:hAnsi="宋体" w:cs="宋体"/>
                <w:b/>
                <w:bCs/>
                <w:color w:val="auto"/>
                <w:sz w:val="24"/>
                <w:szCs w:val="24"/>
                <w:highlight w:val="none"/>
              </w:rPr>
            </w:pPr>
            <w:r>
              <w:rPr>
                <w:rFonts w:hint="eastAsia" w:ascii="宋体" w:hAnsi="宋体"/>
                <w:b w:val="0"/>
                <w:bCs/>
                <w:color w:val="auto"/>
                <w:sz w:val="24"/>
                <w:szCs w:val="24"/>
              </w:rPr>
              <w:t>3、</w:t>
            </w:r>
            <w:r>
              <w:rPr>
                <w:rFonts w:hint="eastAsia" w:ascii="宋体" w:hAnsi="宋体" w:eastAsia="宋体" w:cs="宋体"/>
                <w:b w:val="0"/>
                <w:bCs/>
                <w:color w:val="auto"/>
                <w:sz w:val="24"/>
                <w:szCs w:val="24"/>
              </w:rPr>
              <w:t>收款账户信息：</w:t>
            </w:r>
            <w:r>
              <w:rPr>
                <w:rFonts w:hint="eastAsia" w:ascii="宋体" w:hAnsi="宋体" w:eastAsia="宋体" w:cs="宋体"/>
                <w:b w:val="0"/>
                <w:bCs/>
                <w:color w:val="auto"/>
                <w:sz w:val="24"/>
                <w:szCs w:val="24"/>
                <w:lang w:eastAsia="zh-CN"/>
              </w:rPr>
              <w:t>诸暨市杰虎工程咨询有限公司</w:t>
            </w:r>
            <w:r>
              <w:rPr>
                <w:rFonts w:hint="eastAsia" w:ascii="宋体" w:hAnsi="宋体" w:eastAsia="宋体" w:cs="宋体"/>
                <w:b w:val="0"/>
                <w:bCs/>
                <w:color w:val="auto"/>
                <w:sz w:val="24"/>
                <w:szCs w:val="24"/>
              </w:rPr>
              <w:t>，开户行：</w:t>
            </w:r>
            <w:r>
              <w:rPr>
                <w:rFonts w:hint="eastAsia" w:ascii="宋体" w:hAnsi="宋体" w:eastAsia="宋体" w:cs="宋体"/>
                <w:b w:val="0"/>
                <w:bCs/>
                <w:color w:val="auto"/>
                <w:sz w:val="24"/>
                <w:szCs w:val="24"/>
                <w:lang w:eastAsia="zh-CN"/>
              </w:rPr>
              <w:t>杭州银行绍兴诸暨支行</w:t>
            </w:r>
            <w:r>
              <w:rPr>
                <w:rFonts w:hint="eastAsia" w:ascii="宋体" w:hAnsi="宋体" w:eastAsia="宋体" w:cs="宋体"/>
                <w:b w:val="0"/>
                <w:bCs/>
                <w:color w:val="auto"/>
                <w:sz w:val="24"/>
                <w:szCs w:val="24"/>
              </w:rPr>
              <w:t>，账号：</w:t>
            </w:r>
            <w:r>
              <w:rPr>
                <w:rFonts w:hint="eastAsia" w:ascii="宋体" w:hAnsi="宋体" w:eastAsia="宋体" w:cs="宋体"/>
                <w:b w:val="0"/>
                <w:bCs/>
                <w:color w:val="auto"/>
                <w:sz w:val="24"/>
                <w:szCs w:val="24"/>
                <w:lang w:val="en-US" w:eastAsia="zh-CN"/>
              </w:rPr>
              <w:t>3306040160000082505</w:t>
            </w:r>
          </w:p>
        </w:tc>
      </w:tr>
    </w:tbl>
    <w:p w14:paraId="72A27873">
      <w:pPr>
        <w:pStyle w:val="17"/>
        <w:ind w:firstLine="560"/>
        <w:rPr>
          <w:rFonts w:hint="eastAsia" w:ascii="宋体" w:hAnsi="宋体"/>
          <w:color w:val="auto"/>
          <w:sz w:val="28"/>
          <w:szCs w:val="28"/>
          <w:highlight w:val="none"/>
        </w:rPr>
      </w:pPr>
    </w:p>
    <w:p w14:paraId="6F5558C0">
      <w:pPr>
        <w:pStyle w:val="17"/>
        <w:ind w:left="0" w:leftChars="0" w:firstLine="0" w:firstLineChars="0"/>
        <w:rPr>
          <w:rFonts w:hint="eastAsia"/>
          <w:color w:val="auto"/>
        </w:rPr>
      </w:pPr>
    </w:p>
    <w:p w14:paraId="7271FE6C">
      <w:pPr>
        <w:pStyle w:val="17"/>
        <w:ind w:left="0" w:leftChars="0" w:firstLine="0" w:firstLineChars="0"/>
        <w:rPr>
          <w:rFonts w:hint="eastAsia"/>
          <w:color w:val="auto"/>
        </w:rPr>
      </w:pPr>
    </w:p>
    <w:p w14:paraId="0FEADBD1">
      <w:pPr>
        <w:pStyle w:val="4"/>
        <w:spacing w:line="360" w:lineRule="exact"/>
        <w:jc w:val="center"/>
        <w:rPr>
          <w:rFonts w:ascii="宋体" w:hAnsi="宋体" w:eastAsia="宋体"/>
          <w:color w:val="auto"/>
          <w:sz w:val="28"/>
          <w:szCs w:val="28"/>
          <w:highlight w:val="none"/>
        </w:rPr>
      </w:pPr>
      <w:r>
        <w:rPr>
          <w:rFonts w:hint="eastAsia" w:ascii="宋体" w:hAnsi="宋体" w:eastAsia="宋体"/>
          <w:color w:val="auto"/>
          <w:sz w:val="28"/>
          <w:szCs w:val="28"/>
          <w:highlight w:val="none"/>
        </w:rPr>
        <w:br w:type="page"/>
      </w:r>
      <w:r>
        <w:rPr>
          <w:rFonts w:hint="eastAsia" w:ascii="宋体" w:hAnsi="宋体" w:eastAsia="宋体"/>
          <w:color w:val="auto"/>
          <w:sz w:val="28"/>
          <w:szCs w:val="28"/>
          <w:highlight w:val="none"/>
        </w:rPr>
        <w:t>一、总   则</w:t>
      </w:r>
    </w:p>
    <w:p w14:paraId="5D68B01F">
      <w:pPr>
        <w:spacing w:line="360" w:lineRule="exact"/>
        <w:ind w:firstLine="482" w:firstLineChars="200"/>
        <w:rPr>
          <w:rFonts w:ascii="宋体" w:hAnsi="宋体"/>
          <w:color w:val="auto"/>
          <w:highlight w:val="none"/>
        </w:rPr>
      </w:pPr>
      <w:r>
        <w:rPr>
          <w:rFonts w:hint="eastAsia" w:ascii="宋体" w:hAnsi="宋体"/>
          <w:b/>
          <w:bCs/>
          <w:color w:val="auto"/>
          <w:sz w:val="24"/>
          <w:highlight w:val="none"/>
        </w:rPr>
        <w:t>1.</w:t>
      </w:r>
      <w:r>
        <w:rPr>
          <w:rFonts w:ascii="宋体" w:hAnsi="宋体"/>
          <w:b/>
          <w:color w:val="auto"/>
          <w:sz w:val="24"/>
          <w:highlight w:val="none"/>
        </w:rPr>
        <w:t>适用范围</w:t>
      </w:r>
    </w:p>
    <w:p w14:paraId="06A69D1E">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本招标文件适用于本次所述项目的招标。</w:t>
      </w:r>
    </w:p>
    <w:p w14:paraId="3C75F835">
      <w:pPr>
        <w:snapToGrid w:val="0"/>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2.定义</w:t>
      </w:r>
    </w:p>
    <w:p w14:paraId="4E6BE774">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2.1“采购</w:t>
      </w:r>
      <w:r>
        <w:rPr>
          <w:rFonts w:ascii="宋体" w:hAnsi="宋体"/>
          <w:color w:val="auto"/>
          <w:sz w:val="24"/>
          <w:highlight w:val="none"/>
        </w:rPr>
        <w:t>人</w:t>
      </w:r>
      <w:r>
        <w:rPr>
          <w:rFonts w:hint="eastAsia" w:ascii="宋体" w:hAnsi="宋体"/>
          <w:color w:val="auto"/>
          <w:sz w:val="24"/>
          <w:highlight w:val="none"/>
        </w:rPr>
        <w:t>”</w:t>
      </w:r>
      <w:r>
        <w:rPr>
          <w:rFonts w:ascii="宋体" w:hAnsi="宋体"/>
          <w:color w:val="auto"/>
          <w:sz w:val="24"/>
          <w:highlight w:val="none"/>
        </w:rPr>
        <w:t>系指</w:t>
      </w:r>
      <w:r>
        <w:rPr>
          <w:rFonts w:hint="eastAsia" w:ascii="宋体" w:hAnsi="宋体"/>
          <w:color w:val="auto"/>
          <w:sz w:val="24"/>
          <w:highlight w:val="none"/>
        </w:rPr>
        <w:t>组织</w:t>
      </w:r>
      <w:r>
        <w:rPr>
          <w:rFonts w:ascii="宋体" w:hAnsi="宋体"/>
          <w:color w:val="auto"/>
          <w:sz w:val="24"/>
          <w:highlight w:val="none"/>
        </w:rPr>
        <w:t>本次招标的</w:t>
      </w:r>
      <w:r>
        <w:rPr>
          <w:rFonts w:hint="eastAsia" w:ascii="宋体" w:hAnsi="宋体" w:cs="宋体"/>
          <w:color w:val="auto"/>
          <w:sz w:val="24"/>
          <w:highlight w:val="none"/>
        </w:rPr>
        <w:t>采购单位</w:t>
      </w:r>
      <w:r>
        <w:rPr>
          <w:rFonts w:ascii="宋体" w:hAnsi="宋体"/>
          <w:color w:val="auto"/>
          <w:sz w:val="24"/>
          <w:highlight w:val="none"/>
        </w:rPr>
        <w:t>。</w:t>
      </w:r>
    </w:p>
    <w:p w14:paraId="714E246E">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”系指</w:t>
      </w:r>
      <w:r>
        <w:rPr>
          <w:rFonts w:hint="eastAsia" w:ascii="宋体" w:hAnsi="宋体"/>
          <w:color w:val="auto"/>
          <w:sz w:val="24"/>
          <w:highlight w:val="none"/>
          <w:lang w:eastAsia="zh-CN"/>
        </w:rPr>
        <w:t>诸暨市杰虎工程咨询有限公司</w:t>
      </w:r>
      <w:r>
        <w:rPr>
          <w:rFonts w:ascii="宋体" w:hAnsi="宋体"/>
          <w:color w:val="auto"/>
          <w:sz w:val="24"/>
          <w:highlight w:val="none"/>
        </w:rPr>
        <w:t>。</w:t>
      </w:r>
    </w:p>
    <w:p w14:paraId="3DFA8841">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投标人”系指向</w:t>
      </w:r>
      <w:r>
        <w:rPr>
          <w:rFonts w:hint="eastAsia" w:ascii="宋体" w:hAnsi="宋体"/>
          <w:color w:val="auto"/>
          <w:sz w:val="24"/>
          <w:highlight w:val="none"/>
        </w:rPr>
        <w:t>采购人和采购代理机构</w:t>
      </w:r>
      <w:r>
        <w:rPr>
          <w:rFonts w:ascii="宋体" w:hAnsi="宋体"/>
          <w:color w:val="auto"/>
          <w:sz w:val="24"/>
          <w:highlight w:val="none"/>
        </w:rPr>
        <w:t>提交投标文件的</w:t>
      </w:r>
      <w:r>
        <w:rPr>
          <w:rFonts w:hint="eastAsia" w:ascii="宋体" w:hAnsi="宋体"/>
          <w:color w:val="auto"/>
          <w:sz w:val="24"/>
          <w:highlight w:val="none"/>
        </w:rPr>
        <w:t>供应商</w:t>
      </w:r>
      <w:r>
        <w:rPr>
          <w:rFonts w:ascii="宋体" w:hAnsi="宋体"/>
          <w:color w:val="auto"/>
          <w:sz w:val="24"/>
          <w:highlight w:val="none"/>
        </w:rPr>
        <w:t>。</w:t>
      </w:r>
    </w:p>
    <w:p w14:paraId="4CC21A41">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2.4</w:t>
      </w:r>
      <w:r>
        <w:rPr>
          <w:rFonts w:ascii="宋体" w:hAnsi="宋体"/>
          <w:color w:val="auto"/>
          <w:sz w:val="24"/>
          <w:highlight w:val="none"/>
        </w:rPr>
        <w:t>“</w:t>
      </w:r>
      <w:r>
        <w:rPr>
          <w:rFonts w:hint="eastAsia" w:ascii="宋体" w:hAnsi="宋体"/>
          <w:color w:val="auto"/>
          <w:sz w:val="24"/>
          <w:highlight w:val="none"/>
        </w:rPr>
        <w:t>货物</w:t>
      </w:r>
      <w:r>
        <w:rPr>
          <w:rFonts w:ascii="宋体" w:hAnsi="宋体"/>
          <w:color w:val="auto"/>
          <w:sz w:val="24"/>
          <w:highlight w:val="none"/>
        </w:rPr>
        <w:t>”系指供方按招标文件规定，须向采购人提供的一切设备、保险、税</w:t>
      </w:r>
      <w:r>
        <w:rPr>
          <w:rFonts w:hint="eastAsia" w:ascii="宋体" w:hAnsi="宋体"/>
          <w:color w:val="auto"/>
          <w:sz w:val="24"/>
          <w:highlight w:val="none"/>
        </w:rPr>
        <w:t xml:space="preserve"> </w:t>
      </w:r>
      <w:r>
        <w:rPr>
          <w:rFonts w:ascii="宋体" w:hAnsi="宋体"/>
          <w:color w:val="auto"/>
          <w:sz w:val="24"/>
          <w:highlight w:val="none"/>
        </w:rPr>
        <w:t>金、备品备件、工具、手册及其它有关技术资料和材料。</w:t>
      </w:r>
    </w:p>
    <w:p w14:paraId="06899CC5">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2.5</w:t>
      </w:r>
      <w:r>
        <w:rPr>
          <w:rFonts w:ascii="宋体" w:hAnsi="宋体"/>
          <w:color w:val="auto"/>
          <w:sz w:val="24"/>
          <w:highlight w:val="none"/>
        </w:rPr>
        <w:t>“服务”系指招标文件规定投标人须承担的安装、调试、技术协助、校准、培训、技术指导以及其他类似的义务。</w:t>
      </w:r>
    </w:p>
    <w:p w14:paraId="17E16B86">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“项目”系指投标人按招标文件规定向采购人提供的</w:t>
      </w:r>
      <w:r>
        <w:rPr>
          <w:rFonts w:hint="eastAsia" w:ascii="宋体" w:hAnsi="宋体"/>
          <w:color w:val="auto"/>
          <w:sz w:val="24"/>
          <w:highlight w:val="none"/>
        </w:rPr>
        <w:t>货物</w:t>
      </w:r>
      <w:r>
        <w:rPr>
          <w:rFonts w:ascii="宋体" w:hAnsi="宋体"/>
          <w:color w:val="auto"/>
          <w:sz w:val="24"/>
          <w:highlight w:val="none"/>
        </w:rPr>
        <w:t>和服务。</w:t>
      </w:r>
    </w:p>
    <w:p w14:paraId="1C93608D">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2.7</w:t>
      </w:r>
      <w:r>
        <w:rPr>
          <w:rFonts w:ascii="宋体" w:hAnsi="宋体"/>
          <w:color w:val="auto"/>
          <w:sz w:val="24"/>
          <w:highlight w:val="none"/>
        </w:rPr>
        <w:t>“书面形式”包括信函、传真、电报等。</w:t>
      </w:r>
    </w:p>
    <w:p w14:paraId="48772740">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2.8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23293904">
      <w:pPr>
        <w:snapToGrid w:val="0"/>
        <w:ind w:firstLine="482" w:firstLineChars="200"/>
        <w:jc w:val="left"/>
        <w:rPr>
          <w:rFonts w:ascii="宋体" w:hAnsi="宋体"/>
          <w:b/>
          <w:color w:val="auto"/>
          <w:sz w:val="24"/>
          <w:highlight w:val="none"/>
        </w:rPr>
      </w:pPr>
      <w:r>
        <w:rPr>
          <w:rFonts w:hint="eastAsia" w:ascii="宋体" w:hAnsi="宋体"/>
          <w:b/>
          <w:color w:val="auto"/>
          <w:sz w:val="24"/>
          <w:highlight w:val="none"/>
        </w:rPr>
        <w:t>3.采购方式</w:t>
      </w:r>
    </w:p>
    <w:p w14:paraId="411E7F05">
      <w:pPr>
        <w:snapToGrid w:val="0"/>
        <w:ind w:firstLine="480" w:firstLineChars="200"/>
        <w:jc w:val="left"/>
        <w:rPr>
          <w:rFonts w:ascii="宋体" w:hAnsi="宋体"/>
          <w:color w:val="auto"/>
          <w:sz w:val="24"/>
          <w:highlight w:val="none"/>
        </w:rPr>
      </w:pPr>
      <w:r>
        <w:rPr>
          <w:rFonts w:ascii="宋体" w:hAnsi="宋体"/>
          <w:color w:val="auto"/>
          <w:sz w:val="24"/>
          <w:highlight w:val="none"/>
        </w:rPr>
        <w:t>本次</w:t>
      </w:r>
      <w:r>
        <w:rPr>
          <w:rFonts w:hint="eastAsia" w:ascii="宋体" w:hAnsi="宋体"/>
          <w:color w:val="auto"/>
          <w:sz w:val="24"/>
          <w:highlight w:val="none"/>
        </w:rPr>
        <w:t>采购</w:t>
      </w:r>
      <w:r>
        <w:rPr>
          <w:rFonts w:ascii="宋体" w:hAnsi="宋体"/>
          <w:color w:val="auto"/>
          <w:sz w:val="24"/>
          <w:highlight w:val="none"/>
        </w:rPr>
        <w:t>采用公开招标方式进行。</w:t>
      </w:r>
    </w:p>
    <w:p w14:paraId="6050BC80">
      <w:pPr>
        <w:snapToGrid w:val="0"/>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4.投标人及投标委托有关说明</w:t>
      </w:r>
    </w:p>
    <w:p w14:paraId="37A16569">
      <w:pPr>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投标人代表不是法定代表人</w:t>
      </w:r>
      <w:r>
        <w:rPr>
          <w:rFonts w:hint="eastAsia" w:ascii="宋体" w:hAnsi="宋体" w:eastAsia="宋体" w:cs="宋体"/>
          <w:color w:val="auto"/>
          <w:sz w:val="24"/>
          <w:highlight w:val="none"/>
          <w:lang w:val="en-US" w:eastAsia="zh-CN"/>
        </w:rPr>
        <w:t>或单位负责人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投标文件中提供</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或单位负责人</w:t>
      </w:r>
      <w:r>
        <w:rPr>
          <w:rFonts w:hint="eastAsia" w:ascii="宋体" w:hAnsi="宋体" w:eastAsia="宋体" w:cs="宋体"/>
          <w:color w:val="auto"/>
          <w:sz w:val="24"/>
          <w:highlight w:val="none"/>
        </w:rPr>
        <w:t>的授权委托书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投标人代表</w:t>
      </w:r>
      <w:r>
        <w:rPr>
          <w:rFonts w:hint="eastAsia" w:ascii="宋体" w:hAnsi="宋体" w:eastAsia="宋体" w:cs="宋体"/>
          <w:color w:val="auto"/>
          <w:sz w:val="24"/>
          <w:highlight w:val="none"/>
          <w:lang w:val="en-US" w:eastAsia="zh-CN"/>
        </w:rPr>
        <w:t>为</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或单位负责人只需提供身份证复印件</w:t>
      </w:r>
      <w:r>
        <w:rPr>
          <w:rFonts w:hint="eastAsia" w:ascii="宋体" w:hAnsi="宋体" w:eastAsia="宋体" w:cs="宋体"/>
          <w:color w:val="auto"/>
          <w:sz w:val="24"/>
          <w:highlight w:val="none"/>
        </w:rPr>
        <w:t>。</w:t>
      </w:r>
    </w:p>
    <w:p w14:paraId="18F43A3E">
      <w:pPr>
        <w:snapToGrid w:val="0"/>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5.投标费用</w:t>
      </w:r>
    </w:p>
    <w:p w14:paraId="0905556D">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投标人应自行承担获得招标文件和编制、提交投标文件所涉及的一切费用。不论投标结果如何，投标人均应自行承担所有与投标有关的全部费用。</w:t>
      </w:r>
      <w:r>
        <w:rPr>
          <w:rFonts w:hint="eastAsia" w:ascii="宋体" w:hAnsi="宋体"/>
          <w:b/>
          <w:bCs/>
          <w:color w:val="auto"/>
          <w:sz w:val="24"/>
          <w:highlight w:val="none"/>
        </w:rPr>
        <w:t>对中标人收取</w:t>
      </w:r>
      <w:r>
        <w:rPr>
          <w:rFonts w:hint="eastAsia" w:ascii="宋体" w:hAnsi="宋体"/>
          <w:b/>
          <w:bCs/>
          <w:color w:val="auto"/>
          <w:sz w:val="24"/>
          <w:highlight w:val="none"/>
          <w:lang w:eastAsia="zh-CN"/>
        </w:rPr>
        <w:t>采购</w:t>
      </w:r>
      <w:r>
        <w:rPr>
          <w:rFonts w:hint="eastAsia" w:ascii="宋体" w:hAnsi="宋体"/>
          <w:b/>
          <w:bCs/>
          <w:color w:val="auto"/>
          <w:sz w:val="24"/>
          <w:highlight w:val="none"/>
        </w:rPr>
        <w:t>代理服务费。</w:t>
      </w:r>
    </w:p>
    <w:p w14:paraId="6887FD60">
      <w:pPr>
        <w:snapToGrid w:val="0"/>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6.特别说明：</w:t>
      </w:r>
    </w:p>
    <w:p w14:paraId="7ED8F40C">
      <w:pPr>
        <w:pStyle w:val="11"/>
        <w:snapToGrid w:val="0"/>
        <w:ind w:firstLine="480" w:firstLineChars="200"/>
        <w:jc w:val="left"/>
        <w:rPr>
          <w:rFonts w:ascii="宋体" w:hAnsi="宋体"/>
          <w:color w:val="auto"/>
          <w:highlight w:val="none"/>
        </w:rPr>
      </w:pPr>
      <w:r>
        <w:rPr>
          <w:rFonts w:hint="eastAsia" w:ascii="宋体" w:hAnsi="宋体"/>
          <w:color w:val="auto"/>
          <w:highlight w:val="none"/>
        </w:rPr>
        <w:t>6.1</w:t>
      </w:r>
      <w:r>
        <w:rPr>
          <w:rFonts w:ascii="宋体" w:hAnsi="宋体"/>
          <w:color w:val="auto"/>
          <w:highlight w:val="none"/>
        </w:rPr>
        <w:t>投标人应仔细阅读招标文件的所有内容，按照招标文件的要求提交投标文件，并对所提供的全部资料的真实性承担法律责任。</w:t>
      </w:r>
    </w:p>
    <w:p w14:paraId="0160A182">
      <w:pPr>
        <w:pStyle w:val="11"/>
        <w:snapToGrid w:val="0"/>
        <w:ind w:firstLine="480" w:firstLineChars="200"/>
        <w:jc w:val="left"/>
        <w:rPr>
          <w:rFonts w:ascii="宋体" w:hAnsi="宋体"/>
          <w:color w:val="auto"/>
          <w:highlight w:val="none"/>
        </w:rPr>
      </w:pPr>
      <w:r>
        <w:rPr>
          <w:rFonts w:hint="eastAsia" w:ascii="宋体" w:hAnsi="宋体"/>
          <w:color w:val="auto"/>
          <w:highlight w:val="none"/>
        </w:rPr>
        <w:t>6.</w:t>
      </w:r>
      <w:r>
        <w:rPr>
          <w:rFonts w:ascii="宋体" w:hAnsi="宋体"/>
          <w:color w:val="auto"/>
          <w:highlight w:val="none"/>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1F05FD0">
      <w:pPr>
        <w:pStyle w:val="11"/>
        <w:snapToGrid w:val="0"/>
        <w:ind w:firstLine="480" w:firstLineChars="200"/>
        <w:jc w:val="left"/>
        <w:rPr>
          <w:rFonts w:ascii="宋体" w:hAnsi="宋体"/>
          <w:color w:val="auto"/>
          <w:highlight w:val="none"/>
        </w:rPr>
      </w:pPr>
      <w:r>
        <w:rPr>
          <w:rFonts w:hint="eastAsia" w:ascii="宋体" w:hAnsi="宋体"/>
          <w:color w:val="auto"/>
          <w:highlight w:val="none"/>
        </w:rPr>
        <w:t>6.</w:t>
      </w:r>
      <w:r>
        <w:rPr>
          <w:rFonts w:ascii="宋体" w:hAnsi="宋体"/>
          <w:color w:val="auto"/>
          <w:highlight w:val="none"/>
        </w:rPr>
        <w:t>3</w:t>
      </w:r>
      <w:r>
        <w:rPr>
          <w:rFonts w:hint="eastAsia" w:ascii="宋体" w:hAnsi="宋体"/>
          <w:color w:val="auto"/>
          <w:highlight w:val="none"/>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2707EE9D">
      <w:pPr>
        <w:pStyle w:val="11"/>
        <w:snapToGrid w:val="0"/>
        <w:ind w:left="2" w:leftChars="1" w:firstLine="480" w:firstLineChars="200"/>
        <w:rPr>
          <w:rFonts w:ascii="宋体" w:hAnsi="宋体"/>
          <w:color w:val="auto"/>
          <w:highlight w:val="none"/>
        </w:rPr>
      </w:pPr>
      <w:r>
        <w:rPr>
          <w:rFonts w:hint="eastAsia" w:ascii="宋体" w:hAnsi="宋体"/>
          <w:color w:val="auto"/>
          <w:highlight w:val="none"/>
        </w:rPr>
        <w:t>6.4供应商在</w:t>
      </w:r>
      <w:r>
        <w:rPr>
          <w:rFonts w:hint="eastAsia" w:ascii="宋体" w:hAnsi="宋体"/>
          <w:color w:val="auto"/>
          <w:highlight w:val="none"/>
          <w:lang w:eastAsia="zh-CN"/>
        </w:rPr>
        <w:t>采购</w:t>
      </w:r>
      <w:r>
        <w:rPr>
          <w:rFonts w:hint="eastAsia" w:ascii="宋体" w:hAnsi="宋体"/>
          <w:color w:val="auto"/>
          <w:highlight w:val="none"/>
        </w:rPr>
        <w:t>项目投标过程中应诚实守信，不弄虚作假，不隐瞒真实情况，不围标串标，不恶意质疑投诉。如违反上述要求，经核实后，供应商的投标将作废，将该供应商列入不良记录名单并在网上曝光，同时提请</w:t>
      </w:r>
      <w:r>
        <w:rPr>
          <w:rFonts w:hint="eastAsia" w:ascii="宋体" w:hAnsi="宋体"/>
          <w:color w:val="auto"/>
          <w:highlight w:val="none"/>
          <w:lang w:eastAsia="zh-CN"/>
        </w:rPr>
        <w:t>采购</w:t>
      </w:r>
      <w:r>
        <w:rPr>
          <w:rFonts w:hint="eastAsia" w:ascii="宋体" w:hAnsi="宋体"/>
          <w:color w:val="auto"/>
          <w:highlight w:val="none"/>
        </w:rPr>
        <w:t>监督管理部门给予一定年限内禁止参加</w:t>
      </w:r>
      <w:r>
        <w:rPr>
          <w:rFonts w:hint="eastAsia" w:ascii="宋体" w:hAnsi="宋体"/>
          <w:color w:val="auto"/>
          <w:highlight w:val="none"/>
          <w:lang w:eastAsia="zh-CN"/>
        </w:rPr>
        <w:t>采购</w:t>
      </w:r>
      <w:r>
        <w:rPr>
          <w:rFonts w:hint="eastAsia" w:ascii="宋体" w:hAnsi="宋体"/>
          <w:color w:val="auto"/>
          <w:highlight w:val="none"/>
        </w:rPr>
        <w:t>活动的处罚或其他处罚。</w:t>
      </w:r>
    </w:p>
    <w:p w14:paraId="69D913AB">
      <w:pPr>
        <w:pStyle w:val="11"/>
        <w:snapToGrid w:val="0"/>
        <w:ind w:left="2" w:leftChars="1" w:firstLine="48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5</w:t>
      </w:r>
      <w:r>
        <w:rPr>
          <w:rFonts w:hint="eastAsia" w:ascii="宋体" w:hAnsi="宋体"/>
          <w:color w:val="auto"/>
          <w:highlight w:val="none"/>
        </w:rPr>
        <w:t>本项目涉及采购货物必须是全新、未使用过的原装合格正品（包括零部件），如安装或配置了软件的，须为正版软件。</w:t>
      </w:r>
    </w:p>
    <w:p w14:paraId="678073AD">
      <w:pPr>
        <w:pStyle w:val="11"/>
        <w:snapToGrid w:val="0"/>
        <w:ind w:left="2" w:leftChars="1" w:firstLine="480" w:firstLineChars="200"/>
        <w:rPr>
          <w:rFonts w:ascii="宋体" w:hAnsi="宋体"/>
          <w:color w:val="auto"/>
          <w:highlight w:val="none"/>
        </w:rPr>
      </w:pPr>
      <w:r>
        <w:rPr>
          <w:rFonts w:hint="eastAsia" w:ascii="宋体" w:hAnsi="宋体"/>
          <w:color w:val="auto"/>
          <w:highlight w:val="none"/>
        </w:rPr>
        <w:t>6.6国产的货物及其有关服务必须符合中华人民共和国的设计和制造生产标准或行业标准。招标公告有其他要求的，亦应符合其要求。</w:t>
      </w:r>
    </w:p>
    <w:p w14:paraId="37969C41">
      <w:pPr>
        <w:pStyle w:val="11"/>
        <w:snapToGrid w:val="0"/>
        <w:ind w:left="2" w:leftChars="1" w:firstLine="480" w:firstLineChars="200"/>
        <w:rPr>
          <w:rFonts w:ascii="宋体" w:hAnsi="宋体"/>
          <w:color w:val="auto"/>
          <w:highlight w:val="none"/>
        </w:rPr>
      </w:pPr>
      <w:r>
        <w:rPr>
          <w:rFonts w:hint="eastAsia" w:ascii="宋体" w:hAnsi="宋体"/>
          <w:color w:val="auto"/>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C873BA9">
      <w:pPr>
        <w:snapToGrid w:val="0"/>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7.</w:t>
      </w:r>
      <w:r>
        <w:rPr>
          <w:rFonts w:ascii="宋体" w:hAnsi="宋体"/>
          <w:b/>
          <w:color w:val="auto"/>
          <w:sz w:val="24"/>
          <w:highlight w:val="none"/>
        </w:rPr>
        <w:t>质疑和投诉</w:t>
      </w:r>
    </w:p>
    <w:p w14:paraId="36DD9BC8">
      <w:pPr>
        <w:pStyle w:val="11"/>
        <w:snapToGrid w:val="0"/>
        <w:ind w:left="1" w:firstLine="480" w:firstLineChars="200"/>
        <w:rPr>
          <w:rFonts w:ascii="宋体" w:hAnsi="宋体"/>
          <w:color w:val="auto"/>
          <w:highlight w:val="none"/>
        </w:rPr>
      </w:pPr>
      <w:r>
        <w:rPr>
          <w:rFonts w:hint="eastAsia" w:ascii="宋体" w:hAnsi="宋体"/>
          <w:bCs/>
          <w:color w:val="auto"/>
          <w:highlight w:val="none"/>
        </w:rPr>
        <w:t>7.</w:t>
      </w:r>
      <w:r>
        <w:rPr>
          <w:rFonts w:ascii="宋体" w:hAnsi="宋体"/>
          <w:bCs/>
          <w:color w:val="auto"/>
          <w:highlight w:val="none"/>
        </w:rPr>
        <w:t>1投标人认为招标文件、招标过程和中标结果使自己的合法权益受到损害的，应当在知道或者</w:t>
      </w:r>
      <w:r>
        <w:rPr>
          <w:rFonts w:ascii="宋体" w:hAnsi="宋体"/>
          <w:color w:val="auto"/>
          <w:highlight w:val="none"/>
        </w:rPr>
        <w:t>应知其权益受到损害之日起七个工作日内，以书面形式向采购人、采购代理机构提出质疑。</w:t>
      </w:r>
      <w:r>
        <w:rPr>
          <w:rFonts w:hint="eastAsia" w:ascii="宋体" w:hAnsi="宋体" w:eastAsia="宋体" w:cs="宋体"/>
          <w:color w:val="auto"/>
          <w:highlight w:val="none"/>
        </w:rPr>
        <w:t>投标人对采购人的质疑答复不满意或者采购人未在规定时间内作出答复的，可以在答复期满后十五个工作日内向同级采购监管部门投诉。逾期提出的，采购代理机构不予受理、答复。</w:t>
      </w:r>
    </w:p>
    <w:p w14:paraId="00A6F536">
      <w:pPr>
        <w:pStyle w:val="11"/>
        <w:snapToGrid w:val="0"/>
        <w:ind w:left="1" w:firstLine="480" w:firstLineChars="200"/>
        <w:rPr>
          <w:rFonts w:ascii="宋体" w:hAnsi="宋体"/>
          <w:color w:val="auto"/>
          <w:highlight w:val="none"/>
        </w:rPr>
      </w:pPr>
      <w:r>
        <w:rPr>
          <w:rFonts w:hint="eastAsia" w:ascii="宋体" w:hAnsi="宋体"/>
          <w:bCs/>
          <w:color w:val="auto"/>
          <w:highlight w:val="none"/>
        </w:rPr>
        <w:t>7.</w:t>
      </w:r>
      <w:r>
        <w:rPr>
          <w:rFonts w:ascii="宋体" w:hAnsi="宋体"/>
          <w:bCs/>
          <w:color w:val="auto"/>
          <w:highlight w:val="none"/>
        </w:rPr>
        <w:t>2质疑、投诉应当采用书面形式，质疑书、投诉书均应明确阐述招标文件、招标过程和中标结果中使自己合法权益受到损害的实质性内容，提供相关事实、依据和证据及</w:t>
      </w:r>
      <w:r>
        <w:rPr>
          <w:rFonts w:ascii="宋体" w:hAnsi="宋体"/>
          <w:color w:val="auto"/>
          <w:highlight w:val="none"/>
        </w:rPr>
        <w:t>其来源或线索，便于有关单位调查、答复和处理</w:t>
      </w:r>
      <w:r>
        <w:rPr>
          <w:rFonts w:hint="eastAsia" w:ascii="宋体" w:hAnsi="宋体"/>
          <w:color w:val="auto"/>
          <w:highlight w:val="none"/>
        </w:rPr>
        <w:t>。</w:t>
      </w:r>
    </w:p>
    <w:p w14:paraId="6EEA2469">
      <w:pPr>
        <w:pStyle w:val="11"/>
        <w:snapToGrid w:val="0"/>
        <w:ind w:left="1" w:firstLine="480" w:firstLineChars="200"/>
        <w:rPr>
          <w:rFonts w:ascii="宋体" w:hAnsi="宋体"/>
          <w:color w:val="auto"/>
          <w:szCs w:val="24"/>
          <w:highlight w:val="none"/>
        </w:rPr>
      </w:pPr>
      <w:r>
        <w:rPr>
          <w:rFonts w:hint="eastAsia" w:ascii="宋体" w:hAnsi="宋体"/>
          <w:color w:val="auto"/>
          <w:highlight w:val="none"/>
        </w:rPr>
        <w:t>7.3</w:t>
      </w:r>
      <w:r>
        <w:rPr>
          <w:rFonts w:hint="eastAsia" w:ascii="宋体" w:hAnsi="宋体"/>
          <w:color w:val="auto"/>
          <w:szCs w:val="24"/>
          <w:highlight w:val="none"/>
        </w:rPr>
        <w:t>采购代理机构与采购人研究后，对认为有必要回答的问题，采购人和采购代理机构将补充（更正）以网上发布公告的形式通知所有投标人，补充（更正）是招标文件的组成部份。</w:t>
      </w:r>
    </w:p>
    <w:p w14:paraId="2D0E3BAA">
      <w:pPr>
        <w:pStyle w:val="11"/>
        <w:snapToGrid w:val="0"/>
        <w:ind w:left="1" w:firstLine="480" w:firstLineChars="200"/>
        <w:rPr>
          <w:rFonts w:ascii="宋体" w:hAnsi="宋体"/>
          <w:color w:val="auto"/>
          <w:szCs w:val="24"/>
          <w:highlight w:val="none"/>
        </w:rPr>
      </w:pPr>
      <w:r>
        <w:rPr>
          <w:rFonts w:hint="eastAsia" w:ascii="宋体" w:hAnsi="宋体"/>
          <w:color w:val="auto"/>
          <w:szCs w:val="24"/>
          <w:highlight w:val="none"/>
        </w:rPr>
        <w:t>7.4</w:t>
      </w:r>
      <w:r>
        <w:rPr>
          <w:rFonts w:hint="eastAsia"/>
          <w:b/>
          <w:color w:val="auto"/>
          <w:highlight w:val="none"/>
          <w:u w:val="single"/>
        </w:rPr>
        <w:t>质疑供应商</w:t>
      </w:r>
      <w:r>
        <w:rPr>
          <w:b/>
          <w:color w:val="auto"/>
          <w:highlight w:val="none"/>
          <w:u w:val="single"/>
        </w:rPr>
        <w:t>在收到该</w:t>
      </w:r>
      <w:r>
        <w:rPr>
          <w:rFonts w:hint="eastAsia" w:hAnsi="宋体"/>
          <w:b/>
          <w:color w:val="auto"/>
          <w:highlight w:val="none"/>
          <w:u w:val="single"/>
        </w:rPr>
        <w:t>更正（补充）</w:t>
      </w:r>
      <w:r>
        <w:rPr>
          <w:rFonts w:hint="eastAsia"/>
          <w:b/>
          <w:color w:val="auto"/>
          <w:highlight w:val="none"/>
          <w:u w:val="single"/>
        </w:rPr>
        <w:t>公告</w:t>
      </w:r>
      <w:r>
        <w:rPr>
          <w:b/>
          <w:color w:val="auto"/>
          <w:highlight w:val="none"/>
          <w:u w:val="single"/>
        </w:rPr>
        <w:t>后应于1日内，以书面或传真形式（签署意见并加盖公章）向</w:t>
      </w:r>
      <w:r>
        <w:rPr>
          <w:rFonts w:hint="eastAsia"/>
          <w:b/>
          <w:color w:val="auto"/>
          <w:highlight w:val="none"/>
          <w:u w:val="single"/>
        </w:rPr>
        <w:t>采购</w:t>
      </w:r>
      <w:r>
        <w:rPr>
          <w:b/>
          <w:color w:val="auto"/>
          <w:highlight w:val="none"/>
          <w:u w:val="single"/>
        </w:rPr>
        <w:t>代理机构回函给予确认。过期未回复的，视为默认接受。</w:t>
      </w:r>
    </w:p>
    <w:p w14:paraId="28C81721">
      <w:pPr>
        <w:pStyle w:val="4"/>
        <w:spacing w:line="360" w:lineRule="exact"/>
        <w:jc w:val="center"/>
        <w:rPr>
          <w:rFonts w:ascii="宋体" w:hAnsi="宋体" w:eastAsia="宋体"/>
          <w:color w:val="auto"/>
          <w:sz w:val="28"/>
          <w:szCs w:val="28"/>
          <w:highlight w:val="none"/>
        </w:rPr>
      </w:pPr>
      <w:bookmarkStart w:id="2" w:name="_Toc125344504"/>
      <w:r>
        <w:rPr>
          <w:rFonts w:hint="eastAsia" w:ascii="宋体" w:hAnsi="宋体" w:eastAsia="宋体"/>
          <w:color w:val="auto"/>
          <w:sz w:val="28"/>
          <w:szCs w:val="28"/>
          <w:highlight w:val="none"/>
        </w:rPr>
        <w:t>二、招标文件</w:t>
      </w:r>
      <w:bookmarkEnd w:id="2"/>
    </w:p>
    <w:p w14:paraId="307E49C0">
      <w:pPr>
        <w:snapToGrid w:val="0"/>
        <w:ind w:firstLine="354" w:firstLineChars="147"/>
        <w:jc w:val="left"/>
        <w:rPr>
          <w:rFonts w:ascii="宋体" w:hAnsi="宋体"/>
          <w:b/>
          <w:color w:val="auto"/>
          <w:sz w:val="24"/>
          <w:highlight w:val="none"/>
        </w:rPr>
      </w:pPr>
      <w:r>
        <w:rPr>
          <w:rFonts w:hint="eastAsia" w:ascii="宋体" w:hAnsi="宋体"/>
          <w:b/>
          <w:color w:val="auto"/>
          <w:sz w:val="24"/>
          <w:highlight w:val="none"/>
        </w:rPr>
        <w:t>8.招标文件的构成。</w:t>
      </w:r>
    </w:p>
    <w:p w14:paraId="408611CE">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本招标文件由以下部份组成：</w:t>
      </w:r>
    </w:p>
    <w:p w14:paraId="75DFCFE3">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1招标公告</w:t>
      </w:r>
      <w:r>
        <w:rPr>
          <w:rFonts w:hint="eastAsia" w:ascii="宋体" w:hAnsi="宋体"/>
          <w:color w:val="auto"/>
          <w:sz w:val="24"/>
          <w:highlight w:val="none"/>
        </w:rPr>
        <w:t>；</w:t>
      </w:r>
    </w:p>
    <w:p w14:paraId="281ADC9B">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8.2投标须知；</w:t>
      </w:r>
    </w:p>
    <w:p w14:paraId="5642A01B">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8.3评标办法；</w:t>
      </w:r>
    </w:p>
    <w:p w14:paraId="213E761E">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8.4采购需求；</w:t>
      </w:r>
    </w:p>
    <w:p w14:paraId="413E0227">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8.5应提交的有关格式范例；</w:t>
      </w:r>
    </w:p>
    <w:p w14:paraId="53DF43DF">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8.6本项目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w:t>
      </w:r>
    </w:p>
    <w:p w14:paraId="00257E60">
      <w:pPr>
        <w:snapToGrid w:val="0"/>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9.投标人的风险</w:t>
      </w:r>
    </w:p>
    <w:p w14:paraId="094C3168">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53FDE7A3">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5046B085">
      <w:pPr>
        <w:snapToGrid w:val="0"/>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10.招标文件的澄清与修改</w:t>
      </w:r>
      <w:r>
        <w:rPr>
          <w:rFonts w:ascii="宋体" w:hAnsi="宋体"/>
          <w:b/>
          <w:color w:val="auto"/>
          <w:sz w:val="24"/>
          <w:highlight w:val="none"/>
        </w:rPr>
        <w:t xml:space="preserve"> </w:t>
      </w:r>
    </w:p>
    <w:p w14:paraId="466E35C8">
      <w:pPr>
        <w:pStyle w:val="11"/>
        <w:snapToGrid w:val="0"/>
        <w:ind w:firstLine="480" w:firstLineChars="200"/>
        <w:rPr>
          <w:rFonts w:ascii="宋体" w:hAnsi="宋体"/>
          <w:color w:val="auto"/>
          <w:szCs w:val="24"/>
          <w:highlight w:val="none"/>
        </w:rPr>
      </w:pPr>
      <w:r>
        <w:rPr>
          <w:rFonts w:hint="eastAsia" w:ascii="宋体" w:hAnsi="宋体"/>
          <w:color w:val="auto"/>
          <w:highlight w:val="none"/>
        </w:rPr>
        <w:t>10.1</w:t>
      </w:r>
      <w:r>
        <w:rPr>
          <w:rFonts w:ascii="宋体" w:hAnsi="宋体"/>
          <w:bCs/>
          <w:color w:val="auto"/>
          <w:highlight w:val="none"/>
        </w:rPr>
        <w:t>投标人</w:t>
      </w:r>
      <w:r>
        <w:rPr>
          <w:rFonts w:hint="eastAsia" w:ascii="宋体" w:hAnsi="宋体"/>
          <w:bCs/>
          <w:color w:val="auto"/>
          <w:highlight w:val="none"/>
        </w:rPr>
        <w:t>下载招标文件后，</w:t>
      </w:r>
      <w:r>
        <w:rPr>
          <w:rFonts w:ascii="宋体" w:hAnsi="宋体"/>
          <w:bCs/>
          <w:color w:val="auto"/>
          <w:highlight w:val="none"/>
        </w:rPr>
        <w:t>应认真阅读本招标文件</w:t>
      </w:r>
      <w:r>
        <w:rPr>
          <w:rFonts w:hint="eastAsia" w:ascii="宋体" w:hAnsi="宋体"/>
          <w:bCs/>
          <w:color w:val="auto"/>
          <w:highlight w:val="none"/>
        </w:rPr>
        <w:t>的所有内容</w:t>
      </w:r>
      <w:r>
        <w:rPr>
          <w:rFonts w:ascii="宋体" w:hAnsi="宋体"/>
          <w:bCs/>
          <w:color w:val="auto"/>
          <w:highlight w:val="none"/>
        </w:rPr>
        <w:t>，发现其中有误或有不合理要求的，投标人必须</w:t>
      </w:r>
      <w:r>
        <w:rPr>
          <w:rFonts w:hint="eastAsia" w:ascii="宋体" w:hAnsi="宋体"/>
          <w:bCs/>
          <w:color w:val="auto"/>
          <w:highlight w:val="none"/>
        </w:rPr>
        <w:t>按前附表规定的时间</w:t>
      </w:r>
      <w:r>
        <w:rPr>
          <w:rFonts w:ascii="宋体" w:hAnsi="宋体"/>
          <w:bCs/>
          <w:color w:val="auto"/>
          <w:highlight w:val="none"/>
        </w:rPr>
        <w:t>前以书面形</w:t>
      </w:r>
      <w:r>
        <w:rPr>
          <w:rFonts w:hint="eastAsia" w:ascii="宋体" w:hAnsi="宋体"/>
          <w:bCs/>
          <w:color w:val="auto"/>
          <w:highlight w:val="none"/>
        </w:rPr>
        <w:t>式要求采购人澄清</w:t>
      </w:r>
      <w:r>
        <w:rPr>
          <w:rFonts w:hint="eastAsia" w:ascii="宋体" w:hAnsi="宋体"/>
          <w:color w:val="auto"/>
          <w:highlight w:val="none"/>
        </w:rPr>
        <w:t>。逾期提出的，采购人将不予受理。</w:t>
      </w:r>
      <w:r>
        <w:rPr>
          <w:rFonts w:hint="eastAsia" w:ascii="宋体" w:hAnsi="宋体"/>
          <w:color w:val="auto"/>
          <w:szCs w:val="24"/>
          <w:highlight w:val="none"/>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14:paraId="1012166F">
      <w:pPr>
        <w:pStyle w:val="11"/>
        <w:snapToGrid w:val="0"/>
        <w:ind w:firstLine="480" w:firstLineChars="200"/>
        <w:rPr>
          <w:rFonts w:ascii="宋体" w:hAnsi="宋体"/>
          <w:color w:val="auto"/>
          <w:szCs w:val="24"/>
          <w:highlight w:val="none"/>
        </w:rPr>
      </w:pPr>
      <w:r>
        <w:rPr>
          <w:rFonts w:hint="eastAsia" w:ascii="宋体" w:hAnsi="宋体"/>
          <w:color w:val="auto"/>
          <w:szCs w:val="24"/>
          <w:highlight w:val="none"/>
        </w:rPr>
        <w:t>10.2</w:t>
      </w:r>
      <w:r>
        <w:rPr>
          <w:rFonts w:ascii="宋体" w:hAnsi="宋体"/>
          <w:color w:val="auto"/>
          <w:highlight w:val="none"/>
        </w:rPr>
        <w:t>招标文件澄清、答复、修改、补充的内容为招标文件的组成部分。</w:t>
      </w:r>
      <w:r>
        <w:rPr>
          <w:rFonts w:hAnsi="宋体"/>
          <w:color w:val="auto"/>
          <w:highlight w:val="none"/>
        </w:rPr>
        <w:t>当招标文件与招标文件的答复、澄清、修改、补充公告就同一内容的表述不一致时，以最后发出的文件</w:t>
      </w:r>
      <w:r>
        <w:rPr>
          <w:rFonts w:hint="eastAsia" w:hAnsi="宋体"/>
          <w:color w:val="auto"/>
          <w:highlight w:val="none"/>
        </w:rPr>
        <w:t>或公告或通知</w:t>
      </w:r>
      <w:r>
        <w:rPr>
          <w:rFonts w:hAnsi="宋体"/>
          <w:color w:val="auto"/>
          <w:highlight w:val="none"/>
        </w:rPr>
        <w:t>为准。</w:t>
      </w:r>
    </w:p>
    <w:p w14:paraId="2B445D3D">
      <w:pPr>
        <w:pStyle w:val="11"/>
        <w:snapToGrid w:val="0"/>
        <w:ind w:firstLine="480" w:firstLineChars="200"/>
        <w:rPr>
          <w:rFonts w:ascii="宋体" w:hAnsi="宋体"/>
          <w:color w:val="auto"/>
          <w:highlight w:val="none"/>
        </w:rPr>
      </w:pPr>
      <w:r>
        <w:rPr>
          <w:rFonts w:hint="eastAsia" w:ascii="宋体" w:hAnsi="宋体"/>
          <w:color w:val="auto"/>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25D97014">
      <w:pPr>
        <w:pStyle w:val="11"/>
        <w:snapToGrid w:val="0"/>
        <w:ind w:firstLine="480" w:firstLineChars="200"/>
        <w:rPr>
          <w:rFonts w:hAnsi="宋体"/>
          <w:color w:val="auto"/>
          <w:highlight w:val="none"/>
        </w:rPr>
      </w:pPr>
      <w:r>
        <w:rPr>
          <w:rFonts w:hint="eastAsia" w:ascii="宋体" w:hAnsi="宋体"/>
          <w:color w:val="auto"/>
          <w:highlight w:val="none"/>
        </w:rPr>
        <w:t>10.4为使投标人在编制投标文件时，把补充公告内容进行研究，采购代理机构可以酌情推迟递交投标文件的截止时间。</w:t>
      </w:r>
    </w:p>
    <w:p w14:paraId="4F00D1D8">
      <w:pPr>
        <w:pStyle w:val="11"/>
        <w:snapToGrid w:val="0"/>
        <w:ind w:firstLine="480" w:firstLineChars="200"/>
        <w:rPr>
          <w:rFonts w:ascii="宋体" w:hAnsi="宋体"/>
          <w:color w:val="auto"/>
          <w:highlight w:val="none"/>
        </w:rPr>
      </w:pPr>
      <w:r>
        <w:rPr>
          <w:rFonts w:hint="eastAsia" w:ascii="宋体" w:hAnsi="宋体"/>
          <w:color w:val="auto"/>
          <w:highlight w:val="none"/>
        </w:rPr>
        <w:t>10.5投标人一旦参与本次招标活动，即被视为接受了本招标文件的所有内容，如有任何异议，均须在答疑截止时间前提出。</w:t>
      </w:r>
    </w:p>
    <w:p w14:paraId="48C957D6">
      <w:pPr>
        <w:pStyle w:val="4"/>
        <w:spacing w:line="360" w:lineRule="exact"/>
        <w:jc w:val="center"/>
        <w:rPr>
          <w:rFonts w:ascii="宋体" w:hAnsi="宋体" w:eastAsia="宋体"/>
          <w:color w:val="auto"/>
          <w:sz w:val="28"/>
          <w:szCs w:val="28"/>
          <w:highlight w:val="none"/>
        </w:rPr>
      </w:pPr>
      <w:bookmarkStart w:id="3" w:name="_Toc125344505"/>
      <w:r>
        <w:rPr>
          <w:rFonts w:hint="eastAsia" w:ascii="宋体" w:hAnsi="宋体" w:eastAsia="宋体"/>
          <w:color w:val="auto"/>
          <w:sz w:val="28"/>
          <w:szCs w:val="28"/>
          <w:highlight w:val="none"/>
        </w:rPr>
        <w:t>三、投标文件编制</w:t>
      </w:r>
      <w:bookmarkEnd w:id="3"/>
      <w:r>
        <w:rPr>
          <w:rFonts w:hint="eastAsia" w:ascii="宋体" w:hAnsi="宋体" w:eastAsia="宋体"/>
          <w:color w:val="auto"/>
          <w:sz w:val="28"/>
          <w:szCs w:val="28"/>
          <w:highlight w:val="none"/>
        </w:rPr>
        <w:t>和提交</w:t>
      </w:r>
    </w:p>
    <w:p w14:paraId="4C902ECF">
      <w:pPr>
        <w:snapToGrid w:val="0"/>
        <w:ind w:firstLine="354" w:firstLineChars="147"/>
        <w:jc w:val="left"/>
        <w:outlineLvl w:val="0"/>
        <w:rPr>
          <w:rFonts w:ascii="宋体" w:hAnsi="宋体"/>
          <w:b/>
          <w:color w:val="auto"/>
          <w:sz w:val="24"/>
          <w:highlight w:val="none"/>
        </w:rPr>
      </w:pPr>
      <w:r>
        <w:rPr>
          <w:rFonts w:hint="eastAsia" w:ascii="宋体" w:hAnsi="宋体"/>
          <w:b/>
          <w:color w:val="auto"/>
          <w:sz w:val="24"/>
          <w:highlight w:val="none"/>
        </w:rPr>
        <w:t>11.投标文件的组成</w:t>
      </w:r>
    </w:p>
    <w:p w14:paraId="43DE5CAE">
      <w:pPr>
        <w:snapToGrid w:val="0"/>
        <w:ind w:firstLine="360" w:firstLineChars="150"/>
        <w:jc w:val="left"/>
        <w:rPr>
          <w:rFonts w:ascii="宋体" w:hAnsi="宋体"/>
          <w:color w:val="auto"/>
          <w:sz w:val="24"/>
          <w:highlight w:val="none"/>
        </w:rPr>
      </w:pPr>
      <w:r>
        <w:rPr>
          <w:rFonts w:hint="eastAsia" w:ascii="宋体" w:hAnsi="宋体"/>
          <w:color w:val="auto"/>
          <w:sz w:val="24"/>
          <w:highlight w:val="none"/>
        </w:rPr>
        <w:t>投标文件组成详见前附表。</w:t>
      </w:r>
    </w:p>
    <w:p w14:paraId="105D63F0">
      <w:pPr>
        <w:snapToGrid w:val="0"/>
        <w:ind w:firstLine="354" w:firstLineChars="147"/>
        <w:jc w:val="left"/>
        <w:outlineLvl w:val="0"/>
        <w:rPr>
          <w:rFonts w:ascii="宋体" w:hAnsi="宋体"/>
          <w:b/>
          <w:color w:val="auto"/>
          <w:sz w:val="24"/>
          <w:highlight w:val="none"/>
        </w:rPr>
      </w:pPr>
      <w:r>
        <w:rPr>
          <w:rFonts w:hint="eastAsia" w:ascii="宋体" w:hAnsi="宋体"/>
          <w:b/>
          <w:color w:val="auto"/>
          <w:sz w:val="24"/>
          <w:highlight w:val="none"/>
        </w:rPr>
        <w:t>12.投标文件的语言及计量</w:t>
      </w:r>
    </w:p>
    <w:p w14:paraId="6F30D139">
      <w:pPr>
        <w:pStyle w:val="11"/>
        <w:snapToGrid w:val="0"/>
        <w:ind w:firstLine="480" w:firstLineChars="200"/>
        <w:rPr>
          <w:rFonts w:ascii="宋体" w:hAnsi="宋体"/>
          <w:color w:val="auto"/>
          <w:highlight w:val="none"/>
        </w:rPr>
      </w:pPr>
      <w:r>
        <w:rPr>
          <w:rFonts w:hint="eastAsia" w:ascii="宋体" w:hAnsi="宋体"/>
          <w:color w:val="auto"/>
          <w:highlight w:val="none"/>
        </w:rPr>
        <w:t>12.1</w:t>
      </w:r>
      <w:r>
        <w:rPr>
          <w:rFonts w:ascii="宋体" w:hAnsi="宋体"/>
          <w:color w:val="auto"/>
          <w:highlight w:val="none"/>
        </w:rPr>
        <w:t>投标文件以及投标</w:t>
      </w:r>
      <w:r>
        <w:rPr>
          <w:rFonts w:hint="eastAsia" w:ascii="宋体" w:hAnsi="宋体"/>
          <w:color w:val="auto"/>
          <w:highlight w:val="none"/>
        </w:rPr>
        <w:t>人</w:t>
      </w:r>
      <w:r>
        <w:rPr>
          <w:rFonts w:ascii="宋体" w:hAnsi="宋体"/>
          <w:color w:val="auto"/>
          <w:highlight w:val="none"/>
        </w:rPr>
        <w:t>与</w:t>
      </w:r>
      <w:r>
        <w:rPr>
          <w:rFonts w:hint="eastAsia" w:ascii="宋体" w:hAnsi="宋体"/>
          <w:color w:val="auto"/>
          <w:highlight w:val="none"/>
        </w:rPr>
        <w:t>采购代理机构</w:t>
      </w:r>
      <w:r>
        <w:rPr>
          <w:rFonts w:ascii="宋体" w:hAnsi="宋体"/>
          <w:color w:val="auto"/>
          <w:highlight w:val="none"/>
        </w:rPr>
        <w:t>就有关投标事宜的所有往来</w:t>
      </w:r>
      <w:r>
        <w:rPr>
          <w:rFonts w:hint="eastAsia" w:ascii="宋体" w:hAnsi="宋体"/>
          <w:color w:val="auto"/>
          <w:highlight w:val="none"/>
        </w:rPr>
        <w:t>通知、</w:t>
      </w:r>
      <w:r>
        <w:rPr>
          <w:rFonts w:ascii="宋体" w:hAnsi="宋体"/>
          <w:color w:val="auto"/>
          <w:highlight w:val="none"/>
        </w:rPr>
        <w:t>函电，均应以中文汉语书写。除签名、盖章、专用名称等特殊情形外，以中文汉语以外的文字表述的投标文件视同未提供。</w:t>
      </w:r>
      <w:r>
        <w:rPr>
          <w:rFonts w:hint="eastAsia" w:ascii="宋体" w:hAnsi="宋体"/>
          <w:color w:val="auto"/>
          <w:highlight w:val="none"/>
        </w:rPr>
        <w:t>投标人随投标文件提供的证明文件和资料可以为其它语言，但必须附中文译文。翻译的中文资料与外文资料如果出现差异时，以中文为准，但翻译错误的除外。</w:t>
      </w:r>
    </w:p>
    <w:p w14:paraId="292B2F4F">
      <w:pPr>
        <w:pStyle w:val="11"/>
        <w:snapToGrid w:val="0"/>
        <w:ind w:firstLine="480" w:firstLineChars="200"/>
        <w:rPr>
          <w:rFonts w:ascii="宋体" w:hAnsi="宋体"/>
          <w:color w:val="auto"/>
          <w:highlight w:val="none"/>
        </w:rPr>
      </w:pPr>
      <w:r>
        <w:rPr>
          <w:rFonts w:hint="eastAsia" w:ascii="宋体" w:hAnsi="宋体"/>
          <w:color w:val="auto"/>
          <w:highlight w:val="none"/>
        </w:rPr>
        <w:t>12.2</w:t>
      </w:r>
      <w:r>
        <w:rPr>
          <w:rFonts w:ascii="宋体" w:hAnsi="宋体"/>
          <w:color w:val="auto"/>
          <w:highlight w:val="none"/>
        </w:rPr>
        <w:t>投标计量单位，招标文件已有明确规定的，使用招标文件规定的计量单位；招标文件没有规定的，应采用中华人民共和国法定计量单位（货币单位：人民币元），否则视同未响应。</w:t>
      </w:r>
    </w:p>
    <w:p w14:paraId="2602729C">
      <w:pPr>
        <w:snapToGrid w:val="0"/>
        <w:ind w:firstLine="354" w:firstLineChars="147"/>
        <w:jc w:val="left"/>
        <w:outlineLvl w:val="0"/>
        <w:rPr>
          <w:rFonts w:ascii="宋体" w:hAnsi="宋体"/>
          <w:b/>
          <w:color w:val="auto"/>
          <w:sz w:val="24"/>
          <w:highlight w:val="none"/>
        </w:rPr>
      </w:pPr>
      <w:r>
        <w:rPr>
          <w:rFonts w:hint="eastAsia" w:ascii="宋体" w:hAnsi="宋体"/>
          <w:b/>
          <w:color w:val="auto"/>
          <w:sz w:val="24"/>
          <w:highlight w:val="none"/>
        </w:rPr>
        <w:t>13.投标报价</w:t>
      </w:r>
    </w:p>
    <w:p w14:paraId="4139F5E8">
      <w:pPr>
        <w:pStyle w:val="11"/>
        <w:snapToGrid w:val="0"/>
        <w:ind w:firstLine="480" w:firstLineChars="200"/>
        <w:rPr>
          <w:rFonts w:ascii="宋体" w:hAnsi="宋体"/>
          <w:color w:val="auto"/>
          <w:highlight w:val="none"/>
        </w:rPr>
      </w:pPr>
      <w:r>
        <w:rPr>
          <w:rFonts w:hint="eastAsia" w:ascii="宋体" w:hAnsi="宋体"/>
          <w:color w:val="auto"/>
          <w:highlight w:val="none"/>
        </w:rPr>
        <w:t>13.1</w:t>
      </w:r>
      <w:r>
        <w:rPr>
          <w:rFonts w:ascii="宋体" w:hAnsi="宋体"/>
          <w:color w:val="auto"/>
          <w:highlight w:val="none"/>
        </w:rPr>
        <w:t>投标报价应按招标文件中相关附表格式填写。</w:t>
      </w:r>
      <w:r>
        <w:rPr>
          <w:rFonts w:hint="eastAsia" w:ascii="宋体" w:hAnsi="宋体"/>
          <w:color w:val="auto"/>
          <w:highlight w:val="none"/>
        </w:rPr>
        <w:t>本项目的投标应以人民币计。</w:t>
      </w:r>
    </w:p>
    <w:p w14:paraId="5394F325">
      <w:pPr>
        <w:pStyle w:val="11"/>
        <w:ind w:firstLine="480" w:firstLineChars="200"/>
        <w:rPr>
          <w:rFonts w:ascii="宋体" w:hAnsi="宋体"/>
          <w:color w:val="auto"/>
          <w:highlight w:val="none"/>
        </w:rPr>
      </w:pPr>
      <w:r>
        <w:rPr>
          <w:rFonts w:hint="eastAsia" w:ascii="宋体" w:hAnsi="宋体"/>
          <w:color w:val="auto"/>
          <w:highlight w:val="none"/>
        </w:rPr>
        <w:t>13.2投标报价应包括</w:t>
      </w:r>
      <w:r>
        <w:rPr>
          <w:rFonts w:ascii="宋体" w:hAnsi="宋体"/>
          <w:color w:val="auto"/>
          <w:highlight w:val="none"/>
        </w:rPr>
        <w:t>货款、标准附件、备品备件、专用工具、包装、运输、装卸、保险、税金、货到就位以及安装、调试、培训、保修等一切税金和费用。</w:t>
      </w:r>
      <w:r>
        <w:rPr>
          <w:rFonts w:hint="eastAsia" w:ascii="宋体" w:hAnsi="宋体"/>
          <w:color w:val="auto"/>
          <w:highlight w:val="none"/>
        </w:rPr>
        <w:t>投标报价（包括单价、总价等）均保留到小数点后两位（如：100.88元）。投标人必须报有合理单价，其将作为设备增减的主要依据。如有漏项，视同已包含在其它项目中，合同总价和单价不做调整。</w:t>
      </w:r>
    </w:p>
    <w:p w14:paraId="19B15CFC">
      <w:pPr>
        <w:pStyle w:val="11"/>
        <w:snapToGrid w:val="0"/>
        <w:ind w:firstLine="480" w:firstLineChars="200"/>
        <w:rPr>
          <w:rFonts w:ascii="宋体" w:hAnsi="宋体"/>
          <w:color w:val="auto"/>
          <w:highlight w:val="none"/>
        </w:rPr>
      </w:pPr>
      <w:r>
        <w:rPr>
          <w:rFonts w:hint="eastAsia" w:ascii="宋体" w:hAnsi="宋体"/>
          <w:color w:val="auto"/>
          <w:highlight w:val="none"/>
        </w:rPr>
        <w:t>13.3</w:t>
      </w:r>
      <w:r>
        <w:rPr>
          <w:rFonts w:ascii="宋体" w:hAnsi="宋体"/>
          <w:color w:val="auto"/>
          <w:highlight w:val="none"/>
        </w:rPr>
        <w:t>投标文件只允许有一个报价，有选择的</w:t>
      </w:r>
      <w:r>
        <w:rPr>
          <w:rFonts w:hint="eastAsia" w:ascii="宋体" w:hAnsi="宋体"/>
          <w:color w:val="auto"/>
          <w:highlight w:val="none"/>
        </w:rPr>
        <w:t>或有条件的</w:t>
      </w:r>
      <w:r>
        <w:rPr>
          <w:rFonts w:ascii="宋体" w:hAnsi="宋体"/>
          <w:color w:val="auto"/>
          <w:highlight w:val="none"/>
        </w:rPr>
        <w:t>报价将不予接受。</w:t>
      </w:r>
    </w:p>
    <w:p w14:paraId="10D599E6">
      <w:pPr>
        <w:pStyle w:val="11"/>
        <w:snapToGrid w:val="0"/>
        <w:ind w:firstLine="480" w:firstLineChars="200"/>
        <w:rPr>
          <w:rFonts w:ascii="宋体" w:hAnsi="宋体"/>
          <w:color w:val="auto"/>
          <w:highlight w:val="none"/>
        </w:rPr>
      </w:pPr>
      <w:r>
        <w:rPr>
          <w:rFonts w:hint="eastAsia" w:ascii="宋体" w:hAnsi="宋体"/>
          <w:color w:val="auto"/>
          <w:highlight w:val="none"/>
        </w:rPr>
        <w:t>13.4招标文件未列明，而投标人认为必需的费用也需列入报价。</w:t>
      </w:r>
    </w:p>
    <w:p w14:paraId="204E24EC">
      <w:pPr>
        <w:pStyle w:val="11"/>
        <w:ind w:firstLine="480" w:firstLineChars="200"/>
        <w:rPr>
          <w:rFonts w:hAnsi="宋体"/>
          <w:color w:val="auto"/>
          <w:szCs w:val="24"/>
          <w:highlight w:val="none"/>
        </w:rPr>
      </w:pPr>
      <w:r>
        <w:rPr>
          <w:rFonts w:hint="eastAsia" w:ascii="宋体" w:hAnsi="宋体"/>
          <w:color w:val="auto"/>
          <w:highlight w:val="none"/>
        </w:rPr>
        <w:t>13.5</w:t>
      </w:r>
      <w:r>
        <w:rPr>
          <w:rFonts w:hint="eastAsia" w:hAnsi="宋体"/>
          <w:color w:val="auto"/>
          <w:szCs w:val="24"/>
          <w:highlight w:val="none"/>
        </w:rPr>
        <w:t>中标后，中标人所填写的单价在合同实施期间不因市场变化因素而变动，投标人在计算报价时应考虑一定的风险系数。</w:t>
      </w:r>
    </w:p>
    <w:p w14:paraId="71DDBBEA">
      <w:pPr>
        <w:pStyle w:val="11"/>
        <w:snapToGrid w:val="0"/>
        <w:ind w:firstLine="482" w:firstLineChars="200"/>
        <w:rPr>
          <w:rFonts w:ascii="宋体" w:hAnsi="宋体"/>
          <w:color w:val="auto"/>
          <w:highlight w:val="none"/>
        </w:rPr>
      </w:pPr>
      <w:r>
        <w:rPr>
          <w:rFonts w:hint="eastAsia" w:ascii="宋体" w:hAnsi="宋体"/>
          <w:b/>
          <w:color w:val="auto"/>
          <w:highlight w:val="none"/>
        </w:rPr>
        <w:t>13.6</w:t>
      </w:r>
      <w:r>
        <w:rPr>
          <w:rFonts w:ascii="宋体" w:hAnsi="宋体"/>
          <w:b/>
          <w:color w:val="auto"/>
          <w:highlight w:val="none"/>
        </w:rPr>
        <w:t>投标人若有方案和报价未被唱标</w:t>
      </w:r>
      <w:r>
        <w:rPr>
          <w:rFonts w:hint="eastAsia" w:ascii="宋体" w:hAnsi="宋体"/>
          <w:b/>
          <w:color w:val="auto"/>
          <w:highlight w:val="none"/>
        </w:rPr>
        <w:t>，</w:t>
      </w:r>
      <w:r>
        <w:rPr>
          <w:rFonts w:ascii="宋体" w:hAnsi="宋体"/>
          <w:b/>
          <w:color w:val="auto"/>
          <w:highlight w:val="none"/>
        </w:rPr>
        <w:t>应在开标时及时声明或提请采购代理机构</w:t>
      </w:r>
      <w:r>
        <w:rPr>
          <w:rFonts w:hint="eastAsia" w:ascii="宋体" w:hAnsi="宋体"/>
          <w:b/>
          <w:color w:val="auto"/>
          <w:highlight w:val="none"/>
        </w:rPr>
        <w:t>宣读</w:t>
      </w:r>
      <w:r>
        <w:rPr>
          <w:rFonts w:ascii="宋体" w:hAnsi="宋体"/>
          <w:b/>
          <w:color w:val="auto"/>
          <w:highlight w:val="none"/>
        </w:rPr>
        <w:t>，否则是投标人自己的风险，采购代理机构对此不承担任何责任。</w:t>
      </w:r>
    </w:p>
    <w:p w14:paraId="79052E08">
      <w:pPr>
        <w:pStyle w:val="5"/>
        <w:widowControl w:val="0"/>
        <w:numPr>
          <w:ilvl w:val="0"/>
          <w:numId w:val="0"/>
        </w:numPr>
        <w:tabs>
          <w:tab w:val="left" w:pos="720"/>
          <w:tab w:val="clear" w:pos="360"/>
        </w:tabs>
        <w:snapToGrid w:val="0"/>
        <w:spacing w:afterLines="0"/>
        <w:ind w:leftChars="147"/>
        <w:rPr>
          <w:rFonts w:ascii="宋体" w:hAnsi="宋体"/>
          <w:b/>
          <w:color w:val="auto"/>
          <w:szCs w:val="24"/>
          <w:highlight w:val="none"/>
        </w:rPr>
      </w:pPr>
      <w:r>
        <w:rPr>
          <w:rFonts w:hint="eastAsia" w:ascii="宋体" w:hAnsi="宋体"/>
          <w:b/>
          <w:color w:val="auto"/>
          <w:szCs w:val="24"/>
          <w:highlight w:val="none"/>
        </w:rPr>
        <w:t>14.投标文件的有效期</w:t>
      </w:r>
    </w:p>
    <w:p w14:paraId="06C29261">
      <w:pPr>
        <w:pStyle w:val="11"/>
        <w:snapToGrid w:val="0"/>
        <w:ind w:firstLine="480" w:firstLineChars="200"/>
        <w:rPr>
          <w:rFonts w:ascii="宋体" w:hAnsi="宋体"/>
          <w:color w:val="auto"/>
          <w:highlight w:val="none"/>
        </w:rPr>
      </w:pPr>
      <w:r>
        <w:rPr>
          <w:rFonts w:hint="eastAsia" w:ascii="宋体" w:hAnsi="宋体"/>
          <w:color w:val="auto"/>
          <w:highlight w:val="none"/>
        </w:rPr>
        <w:t>14.1</w:t>
      </w:r>
      <w:r>
        <w:rPr>
          <w:rFonts w:hint="eastAsia" w:ascii="宋体" w:hAnsi="宋体"/>
          <w:color w:val="auto"/>
          <w:szCs w:val="21"/>
          <w:highlight w:val="none"/>
        </w:rPr>
        <w:t>投标有效期为</w:t>
      </w:r>
      <w:r>
        <w:rPr>
          <w:rFonts w:hint="eastAsia" w:ascii="Arial" w:hAnsi="Arial" w:cs="Arial"/>
          <w:color w:val="auto"/>
          <w:szCs w:val="21"/>
          <w:highlight w:val="none"/>
        </w:rPr>
        <w:t>从投标截止之日算起的日历天数，</w:t>
      </w:r>
      <w:r>
        <w:rPr>
          <w:rFonts w:ascii="宋体" w:hAnsi="宋体"/>
          <w:color w:val="auto"/>
          <w:highlight w:val="none"/>
        </w:rPr>
        <w:t>自投标截止日起</w:t>
      </w:r>
      <w:r>
        <w:rPr>
          <w:rFonts w:hint="eastAsia" w:ascii="宋体" w:hAnsi="宋体"/>
          <w:color w:val="auto"/>
          <w:highlight w:val="none"/>
        </w:rPr>
        <w:t>90</w:t>
      </w:r>
      <w:r>
        <w:rPr>
          <w:rFonts w:ascii="宋体" w:hAnsi="宋体"/>
          <w:color w:val="auto"/>
          <w:highlight w:val="none"/>
        </w:rPr>
        <w:t>天投标书应保持有效。</w:t>
      </w:r>
      <w:r>
        <w:rPr>
          <w:rFonts w:hint="eastAsia" w:ascii="宋体" w:hAnsi="宋体"/>
          <w:color w:val="auto"/>
          <w:highlight w:val="none"/>
        </w:rPr>
        <w:t>如采购人认为必要，可延长投标有效期。</w:t>
      </w:r>
      <w:r>
        <w:rPr>
          <w:rFonts w:ascii="宋体" w:hAnsi="宋体"/>
          <w:color w:val="auto"/>
          <w:highlight w:val="none"/>
        </w:rPr>
        <w:t>有效期短于这个规定期限的投标将被拒绝。</w:t>
      </w:r>
    </w:p>
    <w:p w14:paraId="7125443F">
      <w:pPr>
        <w:pStyle w:val="11"/>
        <w:snapToGrid w:val="0"/>
        <w:ind w:firstLine="480" w:firstLineChars="200"/>
        <w:rPr>
          <w:rFonts w:ascii="宋体" w:hAnsi="宋体"/>
          <w:color w:val="auto"/>
          <w:highlight w:val="none"/>
        </w:rPr>
      </w:pPr>
      <w:r>
        <w:rPr>
          <w:rFonts w:hint="eastAsia" w:ascii="宋体" w:hAnsi="宋体"/>
          <w:color w:val="auto"/>
          <w:highlight w:val="none"/>
        </w:rPr>
        <w:t>14.2</w:t>
      </w:r>
      <w:r>
        <w:rPr>
          <w:rFonts w:ascii="宋体" w:hAnsi="宋体"/>
          <w:color w:val="auto"/>
          <w:highlight w:val="none"/>
        </w:rPr>
        <w:t>在特殊情况下，采购人可与投标人协商延长投标书的有效期，这种要求和答复均以书面形式进行。</w:t>
      </w:r>
    </w:p>
    <w:p w14:paraId="5A456A42">
      <w:pPr>
        <w:pStyle w:val="11"/>
        <w:pageBreakBefore w:val="0"/>
        <w:widowControl w:val="0"/>
        <w:kinsoku/>
        <w:wordWrap/>
        <w:overflowPunct/>
        <w:topLinePunct w:val="0"/>
        <w:bidi w:val="0"/>
        <w:snapToGrid w:val="0"/>
        <w:spacing w:line="310" w:lineRule="exact"/>
        <w:ind w:firstLine="480" w:firstLineChars="200"/>
        <w:textAlignment w:val="auto"/>
        <w:rPr>
          <w:rFonts w:ascii="宋体" w:hAnsi="宋体"/>
          <w:color w:val="auto"/>
          <w:highlight w:val="none"/>
        </w:rPr>
      </w:pPr>
      <w:r>
        <w:rPr>
          <w:rFonts w:hint="eastAsia" w:ascii="宋体" w:hAnsi="宋体" w:eastAsia="宋体" w:cs="宋体"/>
          <w:color w:val="auto"/>
          <w:highlight w:val="none"/>
        </w:rPr>
        <w:t xml:space="preserve">14.3投标人可拒绝接受延期要求而不会导致投标保证金被没收。同意延长有效期的投标人需要相应延长投标保证金的有效期，但不能修改投标文件。 </w:t>
      </w:r>
      <w:r>
        <w:rPr>
          <w:rFonts w:ascii="宋体" w:hAnsi="宋体"/>
          <w:color w:val="auto"/>
          <w:highlight w:val="none"/>
        </w:rPr>
        <w:t xml:space="preserve"> </w:t>
      </w:r>
    </w:p>
    <w:p w14:paraId="019B45F5">
      <w:pPr>
        <w:pStyle w:val="11"/>
        <w:snapToGrid w:val="0"/>
        <w:ind w:firstLine="480" w:firstLineChars="200"/>
        <w:rPr>
          <w:rFonts w:ascii="宋体" w:hAnsi="宋体"/>
          <w:color w:val="auto"/>
          <w:highlight w:val="none"/>
        </w:rPr>
      </w:pPr>
      <w:r>
        <w:rPr>
          <w:rFonts w:hint="eastAsia" w:ascii="宋体" w:hAnsi="宋体"/>
          <w:color w:val="auto"/>
          <w:highlight w:val="none"/>
        </w:rPr>
        <w:t>14.4</w:t>
      </w:r>
      <w:r>
        <w:rPr>
          <w:rFonts w:ascii="宋体" w:hAnsi="宋体"/>
          <w:color w:val="auto"/>
          <w:highlight w:val="none"/>
        </w:rPr>
        <w:t>中标人的投标文件自开标之日起至合同履行完毕止均应保持有效。</w:t>
      </w:r>
    </w:p>
    <w:p w14:paraId="38D035ED">
      <w:pPr>
        <w:snapToGrid w:val="0"/>
        <w:ind w:firstLine="354" w:firstLineChars="147"/>
        <w:jc w:val="left"/>
        <w:outlineLvl w:val="0"/>
        <w:rPr>
          <w:rFonts w:ascii="宋体" w:hAnsi="宋体"/>
          <w:b/>
          <w:color w:val="auto"/>
          <w:sz w:val="24"/>
          <w:highlight w:val="none"/>
        </w:rPr>
      </w:pPr>
      <w:r>
        <w:rPr>
          <w:rFonts w:hint="eastAsia" w:ascii="宋体" w:hAnsi="宋体"/>
          <w:b/>
          <w:color w:val="auto"/>
          <w:sz w:val="24"/>
          <w:highlight w:val="none"/>
        </w:rPr>
        <w:t>15.投标保证金</w:t>
      </w:r>
    </w:p>
    <w:p w14:paraId="54087264">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15.1投标人应提供前附表规定的投标保证金，作为投标文件的一个组成部分。否则，其投标将被拒绝。</w:t>
      </w:r>
    </w:p>
    <w:p w14:paraId="35972603">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15.2投标保证金可以以电汇、转账、汇票等非现金形式提交，且必须在投标文件提交截止时间前缴入前附表中的指定账户，以到账为准。采购代理机构将拒绝未能按规定时间和数额提交投标保证金的投标人。</w:t>
      </w:r>
    </w:p>
    <w:p w14:paraId="2449ED07">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15.3未中标人的投标保证金在中标通知书发出后5个工作日退还。</w:t>
      </w:r>
    </w:p>
    <w:p w14:paraId="1DA0E32A">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15.4中标人的投标保证金，在中标人按招标文件规定签订合同后5个工作日内无息退还。</w:t>
      </w:r>
    </w:p>
    <w:p w14:paraId="0949428B">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15.5投标保证金均以转账或电汇或汇票方式退还，恕不退还现金。保证金不计息。</w:t>
      </w:r>
    </w:p>
    <w:p w14:paraId="7A2616AE">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15.6下列情况，投标保证金将不予退还，并按有关规定处理：</w:t>
      </w:r>
    </w:p>
    <w:p w14:paraId="41AE9B87">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15.6.1投标人在投标有效期内撤回投标文件的；</w:t>
      </w:r>
    </w:p>
    <w:p w14:paraId="7E890840">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15.6.2未按规定提交履约保证金的；</w:t>
      </w:r>
    </w:p>
    <w:p w14:paraId="319120AB">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15.6.3投标人在投标过程中弄虚作假，提供虚假材料的；</w:t>
      </w:r>
    </w:p>
    <w:p w14:paraId="7F9171D7">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15.6.4中标人无正当理由在规定的时间内不与采购单位签订合同的；</w:t>
      </w:r>
    </w:p>
    <w:p w14:paraId="326E0994">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15.6.5将中标项目转让给他人或者在投标文件中未说明且未经招标人同意，将中标项目分包给他人的；</w:t>
      </w:r>
    </w:p>
    <w:p w14:paraId="3D3296C0">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15.6.6拒绝履行合同义务的；</w:t>
      </w:r>
    </w:p>
    <w:p w14:paraId="4E44970C">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15.6.7其他严重扰乱招投标程序的；</w:t>
      </w:r>
    </w:p>
    <w:p w14:paraId="08AA37FB">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15.6.8向有关人员行贿或者采取其他不正当手段谋取中标的；</w:t>
      </w:r>
    </w:p>
    <w:p w14:paraId="6DEB1016">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15.6.9中标人无正当理由放弃中标的；</w:t>
      </w:r>
    </w:p>
    <w:p w14:paraId="1C1C2006">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15.6.10存在法律、法规规定的其它损害招标人或用户单位利益或社会公共利益的情形的。</w:t>
      </w:r>
    </w:p>
    <w:p w14:paraId="40A2E055">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15.7如投标人或招标人有下列情形之一的，应按串通投标行为认定，除有关方投标保证金不予退还外，禁止其一至三年内进入本市采购市场，情节严重的移送有关部门依法处理。</w:t>
      </w:r>
    </w:p>
    <w:p w14:paraId="3535810B">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15.7.1不同投标人的投标文件由同一单位或人员编制的； </w:t>
      </w:r>
    </w:p>
    <w:p w14:paraId="2C2AB589">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15.7.2不同投标人使用同一单位或人员的资金交纳投标保证金的； </w:t>
      </w:r>
    </w:p>
    <w:p w14:paraId="22D82119">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15.7.3不同供应商委托同一单位或人员办理投标事宜的；</w:t>
      </w:r>
    </w:p>
    <w:p w14:paraId="3707FF91">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15.7.4不同投标人的投标文件中的内容出现非正常的一致，或者报价细目呈明显规律性变化，或在完全可比的情况下投标总价均高于市场平均价的； </w:t>
      </w:r>
    </w:p>
    <w:p w14:paraId="0F2FA57B">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15.7.5不同投标人的投标文件载明的项目管理或实施人员出现同一单位的工作人员或同一人的；</w:t>
      </w:r>
    </w:p>
    <w:p w14:paraId="79199264">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15.7.6不同投标人的授权代表为同一单位的工作人员的； </w:t>
      </w:r>
    </w:p>
    <w:p w14:paraId="1A6D3576">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15.7.7不同投标人的投标文件相互混装，或在一个投标人的投标文件内遗留有其他投标人的签名、盖章等不属于本投标人参加采购必需的信息资料的； </w:t>
      </w:r>
    </w:p>
    <w:p w14:paraId="6CC865E4">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15.7.8采购响应截止时间后，招标人协助投标人撤换或更改投标文件的； </w:t>
      </w:r>
    </w:p>
    <w:p w14:paraId="27A9D32D">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15.7.9招标人泄露有意向参加采购的投标人名称、数量等应当保密的事项的；</w:t>
      </w:r>
    </w:p>
    <w:p w14:paraId="76CEC25B">
      <w:pPr>
        <w:snapToGrid w:val="0"/>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15.7.10不同投标人之间私下达成书面或口头协议，指定一家投标人中标或轮流中标的；</w:t>
      </w:r>
    </w:p>
    <w:p w14:paraId="44A04D69">
      <w:pPr>
        <w:snapToGrid w:val="0"/>
        <w:ind w:firstLine="480" w:firstLineChars="200"/>
        <w:rPr>
          <w:rFonts w:hint="eastAsia" w:ascii="宋体" w:hAnsi="宋体" w:eastAsia="宋体" w:cs="宋体"/>
          <w:i w:val="0"/>
          <w:iCs w:val="0"/>
          <w:caps w:val="0"/>
          <w:color w:val="auto"/>
          <w:spacing w:val="0"/>
          <w:sz w:val="24"/>
          <w:szCs w:val="24"/>
          <w:shd w:val="clear" w:color="auto" w:fill="FFFFFF"/>
        </w:rPr>
      </w:pPr>
      <w:r>
        <w:rPr>
          <w:rFonts w:hint="eastAsia" w:ascii="宋体" w:hAnsi="宋体"/>
          <w:color w:val="000000"/>
          <w:sz w:val="24"/>
          <w:szCs w:val="24"/>
          <w:highlight w:val="none"/>
        </w:rPr>
        <w:t>15.7.11法律、法规或规章规定的其他串通行为</w:t>
      </w:r>
      <w:r>
        <w:rPr>
          <w:rFonts w:hint="eastAsia" w:ascii="宋体" w:hAnsi="宋体" w:eastAsia="宋体" w:cs="宋体"/>
          <w:i w:val="0"/>
          <w:iCs w:val="0"/>
          <w:caps w:val="0"/>
          <w:color w:val="auto"/>
          <w:spacing w:val="0"/>
          <w:sz w:val="24"/>
          <w:szCs w:val="24"/>
          <w:shd w:val="clear" w:color="auto" w:fill="FFFFFF"/>
        </w:rPr>
        <w:t>。</w:t>
      </w:r>
    </w:p>
    <w:p w14:paraId="66A76C3E">
      <w:pPr>
        <w:snapToGrid w:val="0"/>
        <w:ind w:firstLine="354" w:firstLineChars="147"/>
        <w:jc w:val="left"/>
        <w:outlineLvl w:val="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16.投标文件的制作</w:t>
      </w:r>
    </w:p>
    <w:p w14:paraId="1F365725">
      <w:pPr>
        <w:snapToGrid w:val="0"/>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16.1投标人应按招标文件前附表规定的内容编制投标文件。</w:t>
      </w:r>
    </w:p>
    <w:p w14:paraId="524B0DC2">
      <w:pPr>
        <w:snapToGrid w:val="0"/>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16.2</w:t>
      </w:r>
      <w:r>
        <w:rPr>
          <w:rFonts w:ascii="宋体" w:hAnsi="宋体"/>
          <w:color w:val="auto"/>
          <w:sz w:val="24"/>
          <w:szCs w:val="24"/>
          <w:highlight w:val="none"/>
        </w:rPr>
        <w:t>投标人应</w:t>
      </w:r>
      <w:r>
        <w:rPr>
          <w:rFonts w:hint="eastAsia" w:ascii="宋体" w:hAnsi="宋体"/>
          <w:color w:val="auto"/>
          <w:sz w:val="24"/>
          <w:szCs w:val="24"/>
          <w:highlight w:val="none"/>
        </w:rPr>
        <w:t>按</w:t>
      </w:r>
      <w:r>
        <w:rPr>
          <w:rFonts w:ascii="宋体" w:hAnsi="宋体"/>
          <w:color w:val="auto"/>
          <w:sz w:val="24"/>
          <w:szCs w:val="24"/>
          <w:highlight w:val="none"/>
        </w:rPr>
        <w:t>本招标文件规定的格式和顺序编制投标文件</w:t>
      </w:r>
      <w:r>
        <w:rPr>
          <w:rFonts w:hint="eastAsia" w:ascii="宋体" w:hAnsi="宋体"/>
          <w:color w:val="auto"/>
          <w:sz w:val="24"/>
          <w:szCs w:val="24"/>
          <w:highlight w:val="none"/>
        </w:rPr>
        <w:t>并标注页码</w:t>
      </w:r>
      <w:r>
        <w:rPr>
          <w:rFonts w:ascii="宋体" w:hAnsi="宋体"/>
          <w:color w:val="auto"/>
          <w:sz w:val="24"/>
          <w:szCs w:val="24"/>
          <w:highlight w:val="none"/>
        </w:rPr>
        <w:t>，投标文件内容不完整、编排混乱导致投标文件被误读、漏读或者查找不到相关内容的，是投标人的责任。</w:t>
      </w:r>
    </w:p>
    <w:p w14:paraId="707DF734">
      <w:pPr>
        <w:snapToGrid w:val="0"/>
        <w:ind w:firstLine="480" w:firstLineChars="200"/>
        <w:jc w:val="left"/>
        <w:rPr>
          <w:b/>
          <w:color w:val="auto"/>
          <w:highlight w:val="none"/>
          <w:u w:val="single"/>
        </w:rPr>
      </w:pPr>
      <w:r>
        <w:rPr>
          <w:rFonts w:hint="eastAsia" w:ascii="宋体" w:hAnsi="宋体"/>
          <w:color w:val="auto"/>
          <w:sz w:val="24"/>
          <w:szCs w:val="24"/>
          <w:highlight w:val="none"/>
        </w:rPr>
        <w:t>16.3</w:t>
      </w:r>
      <w:r>
        <w:rPr>
          <w:rFonts w:ascii="宋体" w:hAnsi="宋体"/>
          <w:color w:val="auto"/>
          <w:sz w:val="24"/>
          <w:szCs w:val="24"/>
          <w:highlight w:val="none"/>
        </w:rPr>
        <w:t>投标文件须由投标人在规定位置盖章并由法定代表人或法定代表授权人签署，投标人应写全称。</w:t>
      </w:r>
      <w:r>
        <w:rPr>
          <w:rFonts w:hint="eastAsia" w:ascii="宋体" w:hAnsi="宋体"/>
          <w:b/>
          <w:color w:val="auto"/>
          <w:sz w:val="24"/>
          <w:szCs w:val="24"/>
          <w:highlight w:val="none"/>
        </w:rPr>
        <w:t>电子投标文件中所有加盖公章均采用CA签章。</w:t>
      </w:r>
    </w:p>
    <w:p w14:paraId="5FF7E3DB">
      <w:pPr>
        <w:snapToGrid w:val="0"/>
        <w:ind w:firstLine="480" w:firstLineChars="200"/>
        <w:jc w:val="left"/>
        <w:rPr>
          <w:rFonts w:ascii="宋体" w:hAnsi="宋体"/>
          <w:b/>
          <w:color w:val="auto"/>
          <w:sz w:val="24"/>
          <w:szCs w:val="24"/>
          <w:highlight w:val="none"/>
        </w:rPr>
      </w:pPr>
      <w:r>
        <w:rPr>
          <w:rFonts w:hint="eastAsia" w:ascii="宋体" w:hAnsi="宋体"/>
          <w:color w:val="auto"/>
          <w:sz w:val="24"/>
          <w:szCs w:val="24"/>
          <w:highlight w:val="none"/>
        </w:rPr>
        <w:t>16.4</w:t>
      </w:r>
      <w:r>
        <w:rPr>
          <w:rFonts w:ascii="宋体" w:hAnsi="宋体"/>
          <w:color w:val="auto"/>
          <w:sz w:val="24"/>
          <w:szCs w:val="24"/>
          <w:highlight w:val="none"/>
        </w:rPr>
        <w:t>投标文件不得涂改，若有修改错漏处，须加盖单位公章。投标文件因表达不清所引起的后果由投标人负责。</w:t>
      </w:r>
    </w:p>
    <w:p w14:paraId="23BDD88E">
      <w:pPr>
        <w:snapToGrid w:val="0"/>
        <w:ind w:firstLine="482" w:firstLineChars="200"/>
        <w:jc w:val="left"/>
        <w:rPr>
          <w:rFonts w:hint="eastAsia" w:ascii="宋体" w:hAnsi="宋体"/>
          <w:b/>
          <w:color w:val="auto"/>
          <w:sz w:val="24"/>
          <w:szCs w:val="24"/>
          <w:highlight w:val="none"/>
        </w:rPr>
      </w:pPr>
      <w:r>
        <w:rPr>
          <w:rFonts w:hint="eastAsia" w:ascii="宋体" w:hAnsi="宋体"/>
          <w:b/>
          <w:color w:val="auto"/>
          <w:sz w:val="24"/>
          <w:szCs w:val="24"/>
          <w:highlight w:val="none"/>
        </w:rPr>
        <w:t>16.5投标人应认真阅读招标文件中所有的内容。如果投标人编制的投标文件实质上不响应招标文件的要求，其投标文件将作无效标处理。</w:t>
      </w:r>
    </w:p>
    <w:p w14:paraId="241AD630">
      <w:pPr>
        <w:snapToGrid w:val="0"/>
        <w:ind w:firstLine="354" w:firstLineChars="147"/>
        <w:jc w:val="left"/>
        <w:rPr>
          <w:rFonts w:ascii="宋体" w:hAnsi="宋体"/>
          <w:b/>
          <w:color w:val="auto"/>
          <w:sz w:val="24"/>
          <w:szCs w:val="24"/>
          <w:highlight w:val="none"/>
        </w:rPr>
      </w:pPr>
      <w:r>
        <w:rPr>
          <w:rFonts w:hint="eastAsia" w:ascii="宋体" w:hAnsi="宋体"/>
          <w:b/>
          <w:color w:val="auto"/>
          <w:sz w:val="24"/>
          <w:szCs w:val="24"/>
          <w:highlight w:val="none"/>
        </w:rPr>
        <w:t>17.投标文件的递交、修改和撤回</w:t>
      </w:r>
    </w:p>
    <w:p w14:paraId="4BBCE157">
      <w:pPr>
        <w:pStyle w:val="6"/>
        <w:snapToGrid w:val="0"/>
        <w:ind w:firstLine="480" w:firstLineChars="200"/>
        <w:rPr>
          <w:rFonts w:ascii="宋体" w:hAnsi="宋体"/>
          <w:color w:val="auto"/>
          <w:sz w:val="24"/>
          <w:szCs w:val="24"/>
          <w:highlight w:val="none"/>
        </w:rPr>
      </w:pPr>
      <w:r>
        <w:rPr>
          <w:rFonts w:hint="eastAsia" w:ascii="宋体" w:hAnsi="宋体"/>
          <w:color w:val="auto"/>
          <w:sz w:val="24"/>
          <w:szCs w:val="24"/>
          <w:highlight w:val="none"/>
        </w:rPr>
        <w:t>17.1投标人应将投标文件的资格文件、报价文件分开制作。</w:t>
      </w:r>
      <w:r>
        <w:rPr>
          <w:rFonts w:hint="eastAsia" w:ascii="宋体" w:hAnsi="宋体"/>
          <w:b/>
          <w:color w:val="auto"/>
          <w:sz w:val="24"/>
          <w:szCs w:val="24"/>
          <w:highlight w:val="none"/>
        </w:rPr>
        <w:t>如投标文件商务技术标内容含有报价的内容，将被视作无效标处理。</w:t>
      </w:r>
    </w:p>
    <w:p w14:paraId="61C7037B">
      <w:pPr>
        <w:pStyle w:val="6"/>
        <w:snapToGrid w:val="0"/>
        <w:ind w:firstLine="482" w:firstLineChars="200"/>
        <w:rPr>
          <w:rFonts w:ascii="宋体" w:hAnsi="宋体"/>
          <w:b/>
          <w:color w:val="auto"/>
          <w:sz w:val="24"/>
          <w:szCs w:val="24"/>
          <w:highlight w:val="none"/>
        </w:rPr>
      </w:pPr>
      <w:r>
        <w:rPr>
          <w:rFonts w:hint="eastAsia" w:ascii="宋体" w:hAnsi="宋体"/>
          <w:b/>
          <w:color w:val="auto"/>
          <w:sz w:val="24"/>
          <w:szCs w:val="24"/>
          <w:highlight w:val="none"/>
        </w:rPr>
        <w:t>17.2投标人应在开标前在“</w:t>
      </w:r>
      <w:r>
        <w:rPr>
          <w:rFonts w:hint="eastAsia" w:ascii="宋体" w:hAnsi="宋体"/>
          <w:b/>
          <w:color w:val="auto"/>
          <w:sz w:val="24"/>
          <w:szCs w:val="24"/>
          <w:highlight w:val="none"/>
          <w:lang w:eastAsia="zh-CN"/>
        </w:rPr>
        <w:t>乐采云</w:t>
      </w:r>
      <w:r>
        <w:rPr>
          <w:rFonts w:hint="eastAsia" w:ascii="宋体" w:hAnsi="宋体"/>
          <w:b/>
          <w:color w:val="auto"/>
          <w:sz w:val="24"/>
          <w:szCs w:val="24"/>
          <w:highlight w:val="none"/>
        </w:rPr>
        <w:t>”上自行加密上传电子投标文件，</w:t>
      </w:r>
      <w:r>
        <w:rPr>
          <w:rFonts w:ascii="宋体" w:hAnsi="宋体"/>
          <w:b/>
          <w:color w:val="auto"/>
          <w:sz w:val="24"/>
          <w:szCs w:val="24"/>
          <w:highlight w:val="none"/>
        </w:rPr>
        <w:t>逾期</w:t>
      </w:r>
      <w:r>
        <w:rPr>
          <w:rFonts w:hint="eastAsia" w:ascii="宋体" w:hAnsi="宋体"/>
          <w:b/>
          <w:color w:val="auto"/>
          <w:sz w:val="24"/>
          <w:szCs w:val="24"/>
          <w:highlight w:val="none"/>
        </w:rPr>
        <w:t>上传</w:t>
      </w:r>
      <w:r>
        <w:rPr>
          <w:rFonts w:ascii="宋体" w:hAnsi="宋体"/>
          <w:b/>
          <w:color w:val="auto"/>
          <w:sz w:val="24"/>
          <w:szCs w:val="24"/>
          <w:highlight w:val="none"/>
        </w:rPr>
        <w:t>或未按要求</w:t>
      </w:r>
      <w:r>
        <w:rPr>
          <w:rFonts w:hint="eastAsia" w:ascii="宋体" w:hAnsi="宋体"/>
          <w:b/>
          <w:color w:val="auto"/>
          <w:sz w:val="24"/>
          <w:szCs w:val="24"/>
          <w:highlight w:val="none"/>
        </w:rPr>
        <w:t>上传</w:t>
      </w:r>
      <w:r>
        <w:rPr>
          <w:rFonts w:ascii="宋体" w:hAnsi="宋体"/>
          <w:b/>
          <w:color w:val="auto"/>
          <w:sz w:val="24"/>
          <w:szCs w:val="24"/>
          <w:highlight w:val="none"/>
        </w:rPr>
        <w:t>的投标文件将予以拒收。</w:t>
      </w:r>
    </w:p>
    <w:p w14:paraId="4167BE5C">
      <w:pPr>
        <w:pStyle w:val="6"/>
        <w:snapToGrid w:val="0"/>
        <w:ind w:firstLine="482" w:firstLineChars="200"/>
        <w:rPr>
          <w:rFonts w:ascii="宋体" w:hAnsi="宋体"/>
          <w:b/>
          <w:color w:val="auto"/>
          <w:sz w:val="24"/>
          <w:szCs w:val="24"/>
          <w:highlight w:val="none"/>
        </w:rPr>
      </w:pPr>
      <w:r>
        <w:rPr>
          <w:rFonts w:hint="eastAsia" w:ascii="宋体" w:hAnsi="宋体"/>
          <w:b/>
          <w:color w:val="auto"/>
          <w:sz w:val="24"/>
          <w:szCs w:val="24"/>
          <w:highlight w:val="none"/>
        </w:rPr>
        <w:t>17.3</w:t>
      </w:r>
      <w:r>
        <w:rPr>
          <w:rFonts w:hint="eastAsia" w:ascii="宋体" w:hAnsi="宋体"/>
          <w:color w:val="auto"/>
          <w:sz w:val="24"/>
          <w:szCs w:val="24"/>
          <w:highlight w:val="none"/>
        </w:rPr>
        <w:t>投标人在投标截止时间之前，可以对已提交的投标文件进行修改或撤回，补充、修改的内容为投标文件的组成部分。</w:t>
      </w:r>
    </w:p>
    <w:p w14:paraId="79C0ABF7">
      <w:pPr>
        <w:pStyle w:val="6"/>
        <w:snapToGrid w:val="0"/>
        <w:ind w:firstLine="480" w:firstLineChars="200"/>
        <w:rPr>
          <w:rFonts w:ascii="宋体" w:hAnsi="宋体"/>
          <w:color w:val="auto"/>
          <w:sz w:val="24"/>
          <w:szCs w:val="24"/>
          <w:highlight w:val="none"/>
        </w:rPr>
      </w:pPr>
      <w:r>
        <w:rPr>
          <w:rFonts w:hint="eastAsia" w:ascii="宋体" w:hAnsi="宋体"/>
          <w:color w:val="auto"/>
          <w:sz w:val="24"/>
          <w:szCs w:val="24"/>
          <w:highlight w:val="none"/>
        </w:rPr>
        <w:t>17.4投标截止时间后，投标人不得撤回、修改投标文件。</w:t>
      </w:r>
    </w:p>
    <w:p w14:paraId="33A06FD6">
      <w:pPr>
        <w:pStyle w:val="6"/>
        <w:snapToGrid w:val="0"/>
        <w:ind w:firstLine="480" w:firstLineChars="200"/>
        <w:rPr>
          <w:rFonts w:ascii="宋体" w:hAnsi="宋体"/>
          <w:color w:val="auto"/>
          <w:sz w:val="24"/>
          <w:szCs w:val="24"/>
          <w:highlight w:val="none"/>
        </w:rPr>
      </w:pPr>
      <w:r>
        <w:rPr>
          <w:rFonts w:hint="eastAsia" w:ascii="宋体" w:hAnsi="宋体"/>
          <w:color w:val="auto"/>
          <w:sz w:val="24"/>
          <w:szCs w:val="24"/>
          <w:highlight w:val="none"/>
        </w:rPr>
        <w:t>17.5不论投标人中标与否，投标人文件均不得撤回其投标。</w:t>
      </w:r>
    </w:p>
    <w:p w14:paraId="18E18C6D">
      <w:pPr>
        <w:pStyle w:val="6"/>
        <w:snapToGrid w:val="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17.6未按时解密视为投标文件撤回。</w:t>
      </w:r>
    </w:p>
    <w:p w14:paraId="085FDBBF">
      <w:pPr>
        <w:snapToGrid w:val="0"/>
        <w:ind w:firstLine="354" w:firstLineChars="147"/>
        <w:jc w:val="left"/>
        <w:rPr>
          <w:rFonts w:ascii="宋体" w:hAnsi="宋体"/>
          <w:b/>
          <w:color w:val="auto"/>
          <w:sz w:val="24"/>
          <w:szCs w:val="24"/>
          <w:highlight w:val="none"/>
        </w:rPr>
      </w:pPr>
      <w:r>
        <w:rPr>
          <w:rFonts w:hint="eastAsia" w:ascii="宋体" w:hAnsi="宋体"/>
          <w:b/>
          <w:color w:val="auto"/>
          <w:sz w:val="24"/>
          <w:szCs w:val="24"/>
          <w:highlight w:val="none"/>
        </w:rPr>
        <w:t>18.投标无效的情形</w:t>
      </w:r>
    </w:p>
    <w:p w14:paraId="68DA1605">
      <w:pPr>
        <w:snapToGrid w:val="0"/>
        <w:ind w:firstLine="480" w:firstLineChars="200"/>
        <w:rPr>
          <w:rFonts w:ascii="宋体" w:hAnsi="宋体"/>
          <w:color w:val="auto"/>
          <w:sz w:val="24"/>
          <w:szCs w:val="24"/>
          <w:highlight w:val="none"/>
        </w:rPr>
      </w:pPr>
      <w:r>
        <w:rPr>
          <w:rFonts w:hint="eastAsia" w:ascii="宋体" w:hAnsi="宋体"/>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14:paraId="3A7BCF50">
      <w:pPr>
        <w:pStyle w:val="10"/>
        <w:snapToGrid w:val="0"/>
        <w:spacing w:after="0"/>
        <w:ind w:left="0" w:leftChars="0" w:firstLine="472" w:firstLineChars="196"/>
        <w:rPr>
          <w:rFonts w:ascii="宋体" w:hAnsi="宋体"/>
          <w:b/>
          <w:bCs/>
          <w:color w:val="auto"/>
          <w:sz w:val="24"/>
          <w:szCs w:val="24"/>
          <w:highlight w:val="none"/>
        </w:rPr>
      </w:pPr>
      <w:r>
        <w:rPr>
          <w:rFonts w:hint="eastAsia" w:ascii="宋体" w:hAnsi="宋体"/>
          <w:b/>
          <w:bCs/>
          <w:color w:val="auto"/>
          <w:sz w:val="24"/>
          <w:szCs w:val="24"/>
          <w:highlight w:val="none"/>
        </w:rPr>
        <w:t>18.1</w:t>
      </w:r>
      <w:r>
        <w:rPr>
          <w:rFonts w:ascii="宋体" w:hAnsi="宋体"/>
          <w:b/>
          <w:bCs/>
          <w:color w:val="auto"/>
          <w:sz w:val="24"/>
          <w:szCs w:val="24"/>
          <w:highlight w:val="none"/>
        </w:rPr>
        <w:t>在符合性审查和</w:t>
      </w:r>
      <w:r>
        <w:rPr>
          <w:rFonts w:hint="eastAsia" w:ascii="宋体" w:hAnsi="宋体"/>
          <w:b/>
          <w:bCs/>
          <w:color w:val="auto"/>
          <w:sz w:val="24"/>
          <w:szCs w:val="24"/>
          <w:highlight w:val="none"/>
        </w:rPr>
        <w:t>资格性审查</w:t>
      </w:r>
      <w:r>
        <w:rPr>
          <w:rFonts w:ascii="宋体" w:hAnsi="宋体"/>
          <w:b/>
          <w:bCs/>
          <w:color w:val="auto"/>
          <w:sz w:val="24"/>
          <w:szCs w:val="24"/>
          <w:highlight w:val="none"/>
        </w:rPr>
        <w:t>时，如发现下列情形之一的，投标文件将被视为无效投标：</w:t>
      </w:r>
    </w:p>
    <w:p w14:paraId="4D6F984D">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18.1.1</w:t>
      </w:r>
      <w:r>
        <w:rPr>
          <w:rFonts w:ascii="宋体" w:hAnsi="宋体"/>
          <w:color w:val="auto"/>
          <w:sz w:val="24"/>
          <w:szCs w:val="24"/>
          <w:highlight w:val="none"/>
        </w:rPr>
        <w:t>资格证明文件不全的，或者不符合招标文件标明的资格要求的</w:t>
      </w:r>
      <w:r>
        <w:rPr>
          <w:rFonts w:hint="eastAsia" w:ascii="宋体" w:hAnsi="宋体"/>
          <w:color w:val="auto"/>
          <w:sz w:val="24"/>
          <w:szCs w:val="24"/>
          <w:highlight w:val="none"/>
        </w:rPr>
        <w:t>；</w:t>
      </w:r>
    </w:p>
    <w:p w14:paraId="1F447146">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18.1.2未按照招标文件规定要求盖章；</w:t>
      </w:r>
    </w:p>
    <w:p w14:paraId="3D2010FD">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18.1.3</w:t>
      </w:r>
      <w:r>
        <w:rPr>
          <w:rFonts w:ascii="宋体" w:hAnsi="宋体"/>
          <w:color w:val="auto"/>
          <w:sz w:val="24"/>
          <w:szCs w:val="24"/>
          <w:highlight w:val="none"/>
        </w:rPr>
        <w:t>投标文件项目不齐全或者内容虚假的；</w:t>
      </w:r>
    </w:p>
    <w:p w14:paraId="4C08051B">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18.1.4</w:t>
      </w:r>
      <w:r>
        <w:rPr>
          <w:rFonts w:ascii="宋体" w:hAnsi="宋体"/>
          <w:color w:val="auto"/>
          <w:sz w:val="24"/>
          <w:szCs w:val="24"/>
          <w:highlight w:val="none"/>
        </w:rPr>
        <w:t>投标文件的实质性内容未使用中文表述、意思表述不明确、前后矛盾或者使用计量单位不符合招标文件要求的</w:t>
      </w:r>
      <w:r>
        <w:rPr>
          <w:rFonts w:hint="eastAsia" w:ascii="宋体" w:hAnsi="宋体"/>
          <w:color w:val="auto"/>
          <w:sz w:val="24"/>
          <w:szCs w:val="24"/>
          <w:highlight w:val="none"/>
        </w:rPr>
        <w:t>；</w:t>
      </w:r>
    </w:p>
    <w:p w14:paraId="65B74D40">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18.1.5</w:t>
      </w:r>
      <w:r>
        <w:rPr>
          <w:rFonts w:ascii="宋体" w:hAnsi="宋体"/>
          <w:color w:val="auto"/>
          <w:sz w:val="24"/>
          <w:szCs w:val="24"/>
          <w:highlight w:val="none"/>
        </w:rPr>
        <w:t>投标有效期、交货时间、质保期</w:t>
      </w:r>
      <w:r>
        <w:rPr>
          <w:rFonts w:hint="eastAsia" w:ascii="宋体" w:hAnsi="宋体"/>
          <w:color w:val="auto"/>
          <w:sz w:val="24"/>
          <w:szCs w:val="24"/>
          <w:highlight w:val="none"/>
        </w:rPr>
        <w:t>、售后服务承诺</w:t>
      </w:r>
      <w:r>
        <w:rPr>
          <w:rFonts w:ascii="宋体" w:hAnsi="宋体"/>
          <w:color w:val="auto"/>
          <w:sz w:val="24"/>
          <w:szCs w:val="24"/>
          <w:highlight w:val="none"/>
        </w:rPr>
        <w:t>等条款不能满足招标文件要求的；</w:t>
      </w:r>
    </w:p>
    <w:p w14:paraId="1327A0C7">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18.1.6投标文件的商务技术标内容含有报价的内容；</w:t>
      </w:r>
    </w:p>
    <w:p w14:paraId="692C6C1A">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18.1.7投标文件含有采购人不能接受的附加条件的；</w:t>
      </w:r>
    </w:p>
    <w:p w14:paraId="6BB531DE">
      <w:pPr>
        <w:snapToGrid w:val="0"/>
        <w:ind w:left="420" w:firstLine="48" w:firstLineChars="20"/>
        <w:rPr>
          <w:rFonts w:ascii="宋体" w:hAnsi="宋体"/>
          <w:color w:val="auto"/>
          <w:sz w:val="24"/>
          <w:szCs w:val="24"/>
          <w:highlight w:val="none"/>
        </w:rPr>
      </w:pPr>
      <w:r>
        <w:rPr>
          <w:rFonts w:hint="eastAsia" w:ascii="宋体" w:hAnsi="宋体"/>
          <w:color w:val="auto"/>
          <w:sz w:val="24"/>
          <w:szCs w:val="24"/>
          <w:highlight w:val="none"/>
        </w:rPr>
        <w:t>18.1.8不符合法律、法规或未实质性</w:t>
      </w:r>
      <w:r>
        <w:rPr>
          <w:rFonts w:ascii="宋体" w:hAnsi="宋体"/>
          <w:color w:val="auto"/>
          <w:sz w:val="24"/>
          <w:szCs w:val="24"/>
          <w:highlight w:val="none"/>
        </w:rPr>
        <w:t>响应招标文件要求或者投标文件有</w:t>
      </w:r>
      <w:r>
        <w:rPr>
          <w:rFonts w:hint="eastAsia" w:ascii="宋体" w:hAnsi="宋体"/>
          <w:color w:val="auto"/>
          <w:sz w:val="24"/>
          <w:szCs w:val="24"/>
          <w:highlight w:val="none"/>
        </w:rPr>
        <w:t>采购人</w:t>
      </w:r>
      <w:r>
        <w:rPr>
          <w:rFonts w:ascii="宋体" w:hAnsi="宋体"/>
          <w:color w:val="auto"/>
          <w:sz w:val="24"/>
          <w:szCs w:val="24"/>
          <w:highlight w:val="none"/>
        </w:rPr>
        <w:t>不能接受的附加条件的</w:t>
      </w:r>
      <w:r>
        <w:rPr>
          <w:rFonts w:hint="eastAsia" w:ascii="宋体" w:hAnsi="宋体"/>
          <w:color w:val="auto"/>
          <w:sz w:val="24"/>
          <w:szCs w:val="24"/>
          <w:highlight w:val="none"/>
        </w:rPr>
        <w:t>。</w:t>
      </w:r>
    </w:p>
    <w:p w14:paraId="04038F04">
      <w:pPr>
        <w:pStyle w:val="10"/>
        <w:snapToGrid w:val="0"/>
        <w:spacing w:after="0"/>
        <w:rPr>
          <w:rFonts w:ascii="宋体" w:hAnsi="宋体"/>
          <w:b/>
          <w:bCs/>
          <w:color w:val="auto"/>
          <w:sz w:val="24"/>
          <w:szCs w:val="24"/>
          <w:highlight w:val="none"/>
        </w:rPr>
      </w:pPr>
      <w:r>
        <w:rPr>
          <w:rFonts w:hint="eastAsia" w:ascii="宋体" w:hAnsi="宋体"/>
          <w:b/>
          <w:bCs/>
          <w:color w:val="auto"/>
          <w:sz w:val="24"/>
          <w:szCs w:val="24"/>
          <w:highlight w:val="none"/>
        </w:rPr>
        <w:t>18.2</w:t>
      </w:r>
      <w:r>
        <w:rPr>
          <w:rFonts w:ascii="宋体" w:hAnsi="宋体"/>
          <w:b/>
          <w:bCs/>
          <w:color w:val="auto"/>
          <w:sz w:val="24"/>
          <w:szCs w:val="24"/>
          <w:highlight w:val="none"/>
        </w:rPr>
        <w:t>在</w:t>
      </w:r>
      <w:r>
        <w:rPr>
          <w:rFonts w:hint="eastAsia" w:ascii="宋体" w:hAnsi="宋体"/>
          <w:b/>
          <w:bCs/>
          <w:color w:val="auto"/>
          <w:sz w:val="24"/>
          <w:szCs w:val="24"/>
          <w:highlight w:val="none"/>
        </w:rPr>
        <w:t>商务</w:t>
      </w:r>
      <w:r>
        <w:rPr>
          <w:rFonts w:ascii="宋体" w:hAnsi="宋体"/>
          <w:b/>
          <w:bCs/>
          <w:color w:val="auto"/>
          <w:sz w:val="24"/>
          <w:szCs w:val="24"/>
          <w:highlight w:val="none"/>
        </w:rPr>
        <w:t>技术评审时，如发现下列情形之一的，投标文件将被视为无效：</w:t>
      </w:r>
    </w:p>
    <w:p w14:paraId="27AD727E">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18.2.1</w:t>
      </w:r>
      <w:r>
        <w:rPr>
          <w:rFonts w:ascii="宋体" w:hAnsi="宋体"/>
          <w:color w:val="auto"/>
          <w:sz w:val="24"/>
          <w:szCs w:val="24"/>
          <w:highlight w:val="none"/>
        </w:rPr>
        <w:t>未提供或未如实提供投标货物的技术参数，或者投标文件标明的响应或偏离与事实不符或虚假投标的；</w:t>
      </w:r>
    </w:p>
    <w:p w14:paraId="2B2871D2">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18.2.2</w:t>
      </w:r>
      <w:r>
        <w:rPr>
          <w:rFonts w:ascii="宋体" w:hAnsi="宋体"/>
          <w:color w:val="auto"/>
          <w:sz w:val="24"/>
          <w:szCs w:val="24"/>
          <w:highlight w:val="none"/>
        </w:rPr>
        <w:t>明显不符合招标文件要求的规格型号、质量标准，或者与招标文件中标“</w:t>
      </w:r>
      <w:r>
        <w:rPr>
          <w:rFonts w:hint="eastAsia" w:ascii="宋体" w:hAnsi="宋体"/>
          <w:color w:val="auto"/>
          <w:sz w:val="24"/>
          <w:szCs w:val="24"/>
          <w:highlight w:val="none"/>
        </w:rPr>
        <w:t>★</w:t>
      </w:r>
      <w:r>
        <w:rPr>
          <w:rFonts w:ascii="宋体" w:hAnsi="宋体"/>
          <w:color w:val="auto"/>
          <w:sz w:val="24"/>
          <w:szCs w:val="24"/>
          <w:highlight w:val="none"/>
        </w:rPr>
        <w:t>”的技术指标、主要功能项目发生实质性偏离的；</w:t>
      </w:r>
    </w:p>
    <w:p w14:paraId="157CE779">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18.2.3</w:t>
      </w:r>
      <w:r>
        <w:rPr>
          <w:rFonts w:ascii="宋体" w:hAnsi="宋体"/>
          <w:color w:val="auto"/>
          <w:sz w:val="24"/>
          <w:szCs w:val="24"/>
          <w:highlight w:val="none"/>
        </w:rPr>
        <w:t>允许偏离的技术、性能指标或者辅助功能项目发生负偏离达</w:t>
      </w:r>
      <w:r>
        <w:rPr>
          <w:rFonts w:hint="eastAsia" w:ascii="宋体" w:hAnsi="宋体"/>
          <w:color w:val="auto"/>
          <w:sz w:val="24"/>
          <w:szCs w:val="24"/>
          <w:highlight w:val="none"/>
        </w:rPr>
        <w:t>20</w:t>
      </w:r>
      <w:r>
        <w:rPr>
          <w:rFonts w:ascii="宋体" w:hAnsi="宋体"/>
          <w:color w:val="auto"/>
          <w:sz w:val="24"/>
          <w:szCs w:val="24"/>
          <w:highlight w:val="none"/>
        </w:rPr>
        <w:t>项（含）以上的；</w:t>
      </w:r>
    </w:p>
    <w:p w14:paraId="23734222">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18.2.4</w:t>
      </w:r>
      <w:r>
        <w:rPr>
          <w:rFonts w:ascii="宋体" w:hAnsi="宋体"/>
          <w:color w:val="auto"/>
          <w:sz w:val="24"/>
          <w:szCs w:val="24"/>
          <w:highlight w:val="none"/>
        </w:rPr>
        <w:t>投标技术方案不明确，存在一个或一个以上备选（替代）投标方案的；</w:t>
      </w:r>
    </w:p>
    <w:p w14:paraId="223DF4E1">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18.2.5</w:t>
      </w:r>
      <w:r>
        <w:rPr>
          <w:rFonts w:hint="eastAsia" w:ascii="宋体" w:hAnsi="宋体"/>
          <w:b/>
          <w:color w:val="auto"/>
          <w:sz w:val="24"/>
          <w:szCs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448EFED4">
      <w:pPr>
        <w:pStyle w:val="10"/>
        <w:snapToGrid w:val="0"/>
        <w:spacing w:after="0"/>
        <w:rPr>
          <w:rFonts w:ascii="宋体" w:hAnsi="宋体"/>
          <w:b/>
          <w:bCs/>
          <w:color w:val="auto"/>
          <w:sz w:val="24"/>
          <w:szCs w:val="24"/>
          <w:highlight w:val="none"/>
        </w:rPr>
      </w:pPr>
      <w:r>
        <w:rPr>
          <w:rFonts w:hint="eastAsia" w:ascii="宋体" w:hAnsi="宋体"/>
          <w:b/>
          <w:bCs/>
          <w:color w:val="auto"/>
          <w:sz w:val="24"/>
          <w:szCs w:val="24"/>
          <w:highlight w:val="none"/>
        </w:rPr>
        <w:t>18.3</w:t>
      </w:r>
      <w:r>
        <w:rPr>
          <w:rFonts w:ascii="宋体" w:hAnsi="宋体"/>
          <w:b/>
          <w:bCs/>
          <w:color w:val="auto"/>
          <w:sz w:val="24"/>
          <w:szCs w:val="24"/>
          <w:highlight w:val="none"/>
        </w:rPr>
        <w:t>在报价评审时，如发现下列情形之一的，投标文件将被视为无效：</w:t>
      </w:r>
    </w:p>
    <w:p w14:paraId="1A85A288">
      <w:pPr>
        <w:snapToGrid w:val="0"/>
        <w:ind w:firstLine="470" w:firstLineChars="196"/>
        <w:rPr>
          <w:rFonts w:ascii="宋体" w:hAnsi="宋体"/>
          <w:color w:val="auto"/>
          <w:sz w:val="24"/>
          <w:szCs w:val="24"/>
          <w:highlight w:val="none"/>
        </w:rPr>
      </w:pPr>
      <w:r>
        <w:rPr>
          <w:rFonts w:ascii="宋体" w:hAnsi="宋体"/>
          <w:color w:val="auto"/>
          <w:sz w:val="24"/>
          <w:szCs w:val="24"/>
          <w:highlight w:val="none"/>
        </w:rPr>
        <w:t>（1）未采用人民币报价或者未按照招标文件标明的币种报价的；</w:t>
      </w:r>
    </w:p>
    <w:p w14:paraId="6257BC79">
      <w:pPr>
        <w:snapToGrid w:val="0"/>
        <w:ind w:firstLine="470" w:firstLineChars="196"/>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投标</w:t>
      </w:r>
      <w:r>
        <w:rPr>
          <w:rFonts w:ascii="宋体" w:hAnsi="宋体"/>
          <w:color w:val="auto"/>
          <w:sz w:val="24"/>
          <w:szCs w:val="24"/>
          <w:highlight w:val="none"/>
        </w:rPr>
        <w:t>报价超</w:t>
      </w:r>
      <w:r>
        <w:rPr>
          <w:rFonts w:hint="eastAsia" w:ascii="宋体" w:hAnsi="宋体"/>
          <w:color w:val="auto"/>
          <w:sz w:val="24"/>
          <w:szCs w:val="24"/>
          <w:highlight w:val="none"/>
        </w:rPr>
        <w:t>过招标文件中规定的</w:t>
      </w:r>
      <w:r>
        <w:rPr>
          <w:rFonts w:ascii="宋体" w:hAnsi="宋体"/>
          <w:color w:val="auto"/>
          <w:sz w:val="24"/>
          <w:szCs w:val="24"/>
          <w:highlight w:val="none"/>
        </w:rPr>
        <w:t>最高限价</w:t>
      </w:r>
      <w:r>
        <w:rPr>
          <w:rFonts w:hint="eastAsia" w:ascii="宋体" w:hAnsi="宋体"/>
          <w:color w:val="auto"/>
          <w:sz w:val="24"/>
          <w:szCs w:val="24"/>
          <w:highlight w:val="none"/>
        </w:rPr>
        <w:t>的</w:t>
      </w:r>
      <w:r>
        <w:rPr>
          <w:rFonts w:ascii="宋体" w:hAnsi="宋体"/>
          <w:color w:val="auto"/>
          <w:sz w:val="24"/>
          <w:szCs w:val="24"/>
          <w:highlight w:val="none"/>
        </w:rPr>
        <w:t>；</w:t>
      </w:r>
    </w:p>
    <w:p w14:paraId="2DFC1461">
      <w:pPr>
        <w:snapToGrid w:val="0"/>
        <w:ind w:firstLine="470" w:firstLineChars="196"/>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评标委员会认为投标人的报价明显低于其他通过符合性审查投标人的报价，有可能影响产品质量或者不能诚信履约，且投标人不能证明其报价合理性的；</w:t>
      </w:r>
    </w:p>
    <w:p w14:paraId="046F0860">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（4）投标人不接受报价文件中修正后的报价的；</w:t>
      </w:r>
    </w:p>
    <w:p w14:paraId="1D3FEA10">
      <w:pPr>
        <w:snapToGrid w:val="0"/>
        <w:ind w:firstLine="470" w:firstLineChars="196"/>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投标报价具有选择性</w:t>
      </w:r>
      <w:r>
        <w:rPr>
          <w:rFonts w:hint="eastAsia" w:ascii="宋体" w:hAnsi="宋体"/>
          <w:color w:val="auto"/>
          <w:sz w:val="24"/>
          <w:szCs w:val="24"/>
          <w:highlight w:val="none"/>
        </w:rPr>
        <w:t>。</w:t>
      </w:r>
    </w:p>
    <w:p w14:paraId="1B5BA041">
      <w:pPr>
        <w:pStyle w:val="10"/>
        <w:snapToGrid w:val="0"/>
        <w:spacing w:after="0"/>
        <w:rPr>
          <w:rFonts w:ascii="宋体" w:hAnsi="宋体"/>
          <w:b/>
          <w:bCs/>
          <w:color w:val="auto"/>
          <w:sz w:val="24"/>
          <w:szCs w:val="24"/>
          <w:highlight w:val="none"/>
        </w:rPr>
      </w:pPr>
      <w:r>
        <w:rPr>
          <w:rFonts w:hint="eastAsia" w:ascii="宋体" w:hAnsi="宋体"/>
          <w:b/>
          <w:bCs/>
          <w:color w:val="auto"/>
          <w:sz w:val="24"/>
          <w:szCs w:val="24"/>
          <w:highlight w:val="none"/>
        </w:rPr>
        <w:t>18.4</w:t>
      </w:r>
      <w:r>
        <w:rPr>
          <w:rFonts w:ascii="宋体" w:hAnsi="宋体"/>
          <w:b/>
          <w:bCs/>
          <w:color w:val="auto"/>
          <w:sz w:val="24"/>
          <w:szCs w:val="24"/>
          <w:highlight w:val="none"/>
        </w:rPr>
        <w:t>符合招标文件明确规定的其他无效投标条款的。</w:t>
      </w:r>
    </w:p>
    <w:p w14:paraId="325D4567">
      <w:pPr>
        <w:pStyle w:val="4"/>
        <w:spacing w:line="360" w:lineRule="exact"/>
        <w:jc w:val="center"/>
        <w:rPr>
          <w:rFonts w:ascii="宋体" w:hAnsi="宋体" w:eastAsia="宋体"/>
          <w:color w:val="auto"/>
          <w:sz w:val="28"/>
          <w:szCs w:val="28"/>
          <w:highlight w:val="none"/>
        </w:rPr>
      </w:pPr>
      <w:bookmarkStart w:id="4" w:name="_Toc125344507"/>
      <w:r>
        <w:rPr>
          <w:rFonts w:hint="eastAsia" w:ascii="宋体" w:hAnsi="宋体" w:eastAsia="宋体"/>
          <w:color w:val="auto"/>
          <w:sz w:val="28"/>
          <w:szCs w:val="28"/>
          <w:highlight w:val="none"/>
        </w:rPr>
        <w:t>四、开  标</w:t>
      </w:r>
      <w:bookmarkEnd w:id="4"/>
    </w:p>
    <w:p w14:paraId="38F8EDE6">
      <w:pPr>
        <w:ind w:firstLine="482" w:firstLineChars="200"/>
        <w:rPr>
          <w:rFonts w:ascii="宋体" w:hAnsi="宋体"/>
          <w:b/>
          <w:color w:val="auto"/>
          <w:sz w:val="24"/>
          <w:highlight w:val="none"/>
        </w:rPr>
      </w:pPr>
      <w:r>
        <w:rPr>
          <w:rFonts w:hint="eastAsia" w:ascii="宋体" w:hAnsi="宋体"/>
          <w:b/>
          <w:bCs/>
          <w:color w:val="auto"/>
          <w:sz w:val="24"/>
          <w:highlight w:val="none"/>
        </w:rPr>
        <w:t>19.</w:t>
      </w:r>
      <w:r>
        <w:rPr>
          <w:rFonts w:hint="eastAsia" w:ascii="宋体" w:hAnsi="宋体"/>
          <w:b/>
          <w:color w:val="auto"/>
          <w:sz w:val="24"/>
          <w:highlight w:val="none"/>
        </w:rPr>
        <w:t>开标</w:t>
      </w:r>
    </w:p>
    <w:p w14:paraId="6D3E7392">
      <w:pPr>
        <w:ind w:firstLine="480" w:firstLineChars="200"/>
        <w:rPr>
          <w:rFonts w:ascii="宋体" w:hAnsi="宋体"/>
          <w:color w:val="auto"/>
          <w:sz w:val="24"/>
          <w:highlight w:val="none"/>
        </w:rPr>
      </w:pPr>
      <w:r>
        <w:rPr>
          <w:rFonts w:hint="eastAsia" w:ascii="宋体" w:hAnsi="宋体"/>
          <w:color w:val="auto"/>
          <w:sz w:val="24"/>
          <w:highlight w:val="none"/>
        </w:rPr>
        <w:t>19.1采购代理机构将在前附表规定的时间、地点进行开标。无关人员不得进入开标现场。</w:t>
      </w:r>
    </w:p>
    <w:p w14:paraId="3C388883">
      <w:pPr>
        <w:ind w:firstLine="480" w:firstLineChars="200"/>
        <w:rPr>
          <w:rFonts w:ascii="宋体" w:hAnsi="宋体"/>
          <w:color w:val="auto"/>
          <w:sz w:val="24"/>
          <w:highlight w:val="none"/>
        </w:rPr>
      </w:pPr>
      <w:r>
        <w:rPr>
          <w:rFonts w:hint="eastAsia" w:ascii="宋体" w:hAnsi="宋体"/>
          <w:color w:val="auto"/>
          <w:sz w:val="24"/>
          <w:highlight w:val="none"/>
        </w:rPr>
        <w:t>19.2本项目实行电子开评标，投标人无需前往开评标现场，只需在规定时间内在“</w:t>
      </w:r>
      <w:r>
        <w:rPr>
          <w:rFonts w:hint="eastAsia" w:ascii="宋体" w:hAnsi="宋体"/>
          <w:color w:val="auto"/>
          <w:sz w:val="24"/>
          <w:highlight w:val="none"/>
          <w:lang w:eastAsia="zh-CN"/>
        </w:rPr>
        <w:t>乐采云</w:t>
      </w:r>
      <w:r>
        <w:rPr>
          <w:rFonts w:hint="eastAsia" w:ascii="宋体" w:hAnsi="宋体"/>
          <w:color w:val="auto"/>
          <w:sz w:val="24"/>
          <w:highlight w:val="none"/>
        </w:rPr>
        <w:t>”平台上上传电子投标文件。</w:t>
      </w:r>
      <w:r>
        <w:rPr>
          <w:rFonts w:ascii="宋体" w:hAnsi="宋体"/>
          <w:color w:val="auto"/>
          <w:sz w:val="24"/>
          <w:highlight w:val="none"/>
        </w:rPr>
        <w:t xml:space="preserve"> </w:t>
      </w:r>
    </w:p>
    <w:p w14:paraId="2920257A">
      <w:pPr>
        <w:ind w:firstLine="482" w:firstLineChars="200"/>
        <w:rPr>
          <w:rFonts w:ascii="宋体" w:hAnsi="宋体"/>
          <w:b/>
          <w:color w:val="auto"/>
          <w:sz w:val="24"/>
          <w:highlight w:val="none"/>
        </w:rPr>
      </w:pPr>
      <w:r>
        <w:rPr>
          <w:rFonts w:hint="eastAsia" w:ascii="宋体" w:hAnsi="宋体"/>
          <w:b/>
          <w:color w:val="auto"/>
          <w:sz w:val="24"/>
          <w:highlight w:val="none"/>
        </w:rPr>
        <w:t>20.开标程序</w:t>
      </w:r>
    </w:p>
    <w:p w14:paraId="2B9C466B">
      <w:pPr>
        <w:ind w:firstLine="482" w:firstLineChars="200"/>
        <w:rPr>
          <w:rFonts w:ascii="宋体" w:hAnsi="宋体"/>
          <w:b/>
          <w:color w:val="auto"/>
          <w:sz w:val="24"/>
          <w:highlight w:val="none"/>
        </w:rPr>
      </w:pPr>
      <w:r>
        <w:rPr>
          <w:rFonts w:hint="eastAsia" w:ascii="宋体" w:hAnsi="宋体"/>
          <w:b/>
          <w:color w:val="auto"/>
          <w:sz w:val="24"/>
          <w:highlight w:val="none"/>
        </w:rPr>
        <w:t>20.1</w:t>
      </w:r>
      <w:r>
        <w:rPr>
          <w:rFonts w:ascii="宋体" w:hAnsi="宋体"/>
          <w:b/>
          <w:color w:val="auto"/>
          <w:sz w:val="24"/>
          <w:highlight w:val="none"/>
        </w:rPr>
        <w:t>投标截止时间后</w:t>
      </w:r>
      <w:r>
        <w:rPr>
          <w:rFonts w:hint="eastAsia" w:ascii="宋体" w:hAnsi="宋体"/>
          <w:b/>
          <w:color w:val="auto"/>
          <w:sz w:val="24"/>
          <w:highlight w:val="none"/>
        </w:rPr>
        <w:t>的</w:t>
      </w:r>
      <w:r>
        <w:rPr>
          <w:rFonts w:hint="eastAsia" w:ascii="宋体" w:hAnsi="宋体"/>
          <w:b/>
          <w:color w:val="auto"/>
          <w:sz w:val="24"/>
          <w:highlight w:val="none"/>
          <w:lang w:val="en-US" w:eastAsia="zh-CN"/>
        </w:rPr>
        <w:t>30分钟</w:t>
      </w:r>
      <w:r>
        <w:rPr>
          <w:rFonts w:hint="eastAsia" w:ascii="宋体" w:hAnsi="宋体"/>
          <w:b/>
          <w:color w:val="auto"/>
          <w:sz w:val="24"/>
          <w:highlight w:val="none"/>
        </w:rPr>
        <w:t>内</w:t>
      </w:r>
      <w:r>
        <w:rPr>
          <w:rFonts w:ascii="宋体" w:hAnsi="宋体"/>
          <w:b/>
          <w:color w:val="auto"/>
          <w:sz w:val="24"/>
          <w:highlight w:val="none"/>
        </w:rPr>
        <w:t>，</w:t>
      </w:r>
      <w:r>
        <w:rPr>
          <w:rFonts w:hint="eastAsia" w:ascii="宋体" w:hAnsi="宋体"/>
          <w:b/>
          <w:color w:val="auto"/>
          <w:sz w:val="24"/>
          <w:highlight w:val="none"/>
        </w:rPr>
        <w:t>由各投标人自行</w:t>
      </w:r>
      <w:r>
        <w:rPr>
          <w:rFonts w:ascii="宋体" w:hAnsi="宋体"/>
          <w:b/>
          <w:color w:val="auto"/>
          <w:sz w:val="24"/>
          <w:highlight w:val="none"/>
        </w:rPr>
        <w:t>对</w:t>
      </w:r>
      <w:r>
        <w:rPr>
          <w:rFonts w:hint="eastAsia" w:ascii="宋体" w:hAnsi="宋体"/>
          <w:b/>
          <w:color w:val="auto"/>
          <w:sz w:val="24"/>
          <w:highlight w:val="none"/>
        </w:rPr>
        <w:t>电子</w:t>
      </w:r>
      <w:r>
        <w:rPr>
          <w:rFonts w:ascii="宋体" w:hAnsi="宋体"/>
          <w:b/>
          <w:color w:val="auto"/>
          <w:sz w:val="24"/>
          <w:highlight w:val="none"/>
        </w:rPr>
        <w:t>投标文件进行解密</w:t>
      </w:r>
      <w:r>
        <w:rPr>
          <w:rFonts w:hint="eastAsia" w:ascii="宋体" w:hAnsi="宋体"/>
          <w:b/>
          <w:color w:val="auto"/>
          <w:sz w:val="24"/>
          <w:highlight w:val="none"/>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3A7D547C">
      <w:pPr>
        <w:ind w:firstLine="480" w:firstLineChars="200"/>
        <w:rPr>
          <w:rFonts w:hint="eastAsia" w:ascii="宋体" w:hAnsi="宋体" w:eastAsia="宋体" w:cs="宋体"/>
          <w:color w:val="auto"/>
          <w:sz w:val="24"/>
          <w:highlight w:val="none"/>
        </w:rPr>
      </w:pPr>
      <w:bookmarkStart w:id="5" w:name="_Toc125344508"/>
      <w:r>
        <w:rPr>
          <w:rFonts w:hint="eastAsia" w:ascii="宋体" w:hAnsi="宋体" w:eastAsia="宋体" w:cs="宋体"/>
          <w:color w:val="auto"/>
          <w:sz w:val="24"/>
          <w:highlight w:val="none"/>
        </w:rPr>
        <w:t>20.2评标委员会对投标人的资格和投标文件进行评审；</w:t>
      </w:r>
    </w:p>
    <w:p w14:paraId="32C1C19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20.3对有效的投标单位的投标报价在“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”平台上予以公开；</w:t>
      </w:r>
    </w:p>
    <w:p w14:paraId="76509C88">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20.4评标委员会对有效的投标单位进行投标报价评审，确定投标报价评审有效投标单位；</w:t>
      </w:r>
    </w:p>
    <w:p w14:paraId="6FA76F17">
      <w:pPr>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20.5确定预中标人。</w:t>
      </w:r>
    </w:p>
    <w:p w14:paraId="7F0FA2C0">
      <w:pPr>
        <w:ind w:firstLine="482" w:firstLineChars="200"/>
        <w:rPr>
          <w:rFonts w:hint="eastAsia" w:ascii="宋体" w:hAnsi="宋体"/>
          <w:b/>
          <w:color w:val="auto"/>
          <w:sz w:val="24"/>
          <w:highlight w:val="none"/>
        </w:rPr>
      </w:pPr>
      <w:r>
        <w:rPr>
          <w:rFonts w:hint="eastAsia" w:ascii="宋体" w:hAnsi="宋体"/>
          <w:b/>
          <w:color w:val="auto"/>
          <w:sz w:val="24"/>
          <w:highlight w:val="none"/>
        </w:rPr>
        <w:t>特别说明：</w:t>
      </w:r>
    </w:p>
    <w:p w14:paraId="162C89C3">
      <w:pPr>
        <w:ind w:firstLine="482" w:firstLineChars="200"/>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eastAsia="zh-CN"/>
        </w:rPr>
        <w:t>乐采云</w:t>
      </w:r>
      <w:r>
        <w:rPr>
          <w:rFonts w:hint="eastAsia" w:ascii="宋体" w:hAnsi="宋体"/>
          <w:b/>
          <w:color w:val="auto"/>
          <w:sz w:val="24"/>
          <w:highlight w:val="none"/>
        </w:rPr>
        <w:t>公司如对电子化开标及评审程序有调整的，按调整后的程序操作。</w:t>
      </w:r>
    </w:p>
    <w:p w14:paraId="1D3CA0A8">
      <w:pPr>
        <w:ind w:firstLine="482" w:firstLineChars="200"/>
        <w:rPr>
          <w:rFonts w:hint="eastAsia" w:ascii="宋体" w:hAnsi="宋体"/>
          <w:b/>
          <w:color w:val="auto"/>
          <w:sz w:val="24"/>
          <w:highlight w:val="none"/>
        </w:rPr>
      </w:pPr>
      <w:r>
        <w:rPr>
          <w:rFonts w:hint="eastAsia" w:ascii="宋体" w:hAnsi="宋体"/>
          <w:b/>
          <w:color w:val="auto"/>
          <w:sz w:val="24"/>
          <w:highlight w:val="none"/>
        </w:rPr>
        <w:t>2、如中标单位投标文件和招标文件要求不一致，且评审过程中未发现的，履约应按有利于采购人的要求执行。</w:t>
      </w:r>
    </w:p>
    <w:p w14:paraId="6662C2C7">
      <w:pPr>
        <w:ind w:firstLine="482" w:firstLineChars="200"/>
        <w:rPr>
          <w:rFonts w:ascii="宋体" w:hAnsi="宋体"/>
          <w:b/>
          <w:color w:val="auto"/>
          <w:sz w:val="24"/>
          <w:highlight w:val="none"/>
        </w:rPr>
      </w:pPr>
      <w:r>
        <w:rPr>
          <w:rFonts w:hint="eastAsia" w:ascii="宋体" w:hAnsi="宋体"/>
          <w:b/>
          <w:color w:val="auto"/>
          <w:sz w:val="24"/>
          <w:highlight w:val="none"/>
        </w:rPr>
        <w:t>3、采购过程中出现以下情形，导致电子交易平台无法正常运行，或者无法保证电子交易的公平、公正和安全时，采购组织机构可中止电子交易活动：</w:t>
      </w:r>
    </w:p>
    <w:p w14:paraId="5A3950EB">
      <w:pPr>
        <w:pStyle w:val="14"/>
        <w:ind w:firstLine="480" w:firstLineChars="200"/>
        <w:rPr>
          <w:rFonts w:hint="eastAsia" w:ascii="宋体" w:hAnsi="宋体"/>
          <w:color w:val="auto"/>
          <w:sz w:val="24"/>
          <w:highlight w:val="none"/>
        </w:rPr>
      </w:pPr>
      <w:r>
        <w:rPr>
          <w:rFonts w:hint="eastAsia" w:ascii="宋体" w:hAnsi="宋体"/>
          <w:color w:val="auto"/>
          <w:sz w:val="24"/>
          <w:highlight w:val="none"/>
        </w:rPr>
        <w:t>（一）电子交易平台发生故障而无法登录访问的； </w:t>
      </w:r>
    </w:p>
    <w:p w14:paraId="603C8A67">
      <w:pPr>
        <w:pStyle w:val="14"/>
        <w:ind w:firstLine="480" w:firstLineChars="200"/>
        <w:rPr>
          <w:rFonts w:hint="eastAsia" w:ascii="宋体" w:hAnsi="宋体"/>
          <w:color w:val="auto"/>
          <w:sz w:val="24"/>
          <w:highlight w:val="none"/>
        </w:rPr>
      </w:pPr>
      <w:r>
        <w:rPr>
          <w:rFonts w:hint="eastAsia" w:ascii="宋体" w:hAnsi="宋体"/>
          <w:color w:val="auto"/>
          <w:sz w:val="24"/>
          <w:highlight w:val="none"/>
        </w:rPr>
        <w:t>（二）电子交易平台应用或数据库出现错误，不能进行正常操作的；</w:t>
      </w:r>
    </w:p>
    <w:p w14:paraId="05053E1E">
      <w:pPr>
        <w:pStyle w:val="14"/>
        <w:ind w:firstLine="480" w:firstLineChars="200"/>
        <w:rPr>
          <w:rFonts w:hint="eastAsia" w:ascii="宋体" w:hAnsi="宋体"/>
          <w:color w:val="auto"/>
          <w:sz w:val="24"/>
          <w:highlight w:val="none"/>
        </w:rPr>
      </w:pPr>
      <w:r>
        <w:rPr>
          <w:rFonts w:hint="eastAsia" w:ascii="宋体" w:hAnsi="宋体"/>
          <w:color w:val="auto"/>
          <w:sz w:val="24"/>
          <w:highlight w:val="none"/>
        </w:rPr>
        <w:t>（三）电子交易平台发现严重安全漏洞，有潜在泄密危险的；</w:t>
      </w:r>
    </w:p>
    <w:p w14:paraId="014C41FF">
      <w:pPr>
        <w:pStyle w:val="14"/>
        <w:ind w:firstLine="480" w:firstLineChars="200"/>
        <w:rPr>
          <w:rFonts w:hint="eastAsia" w:ascii="宋体" w:hAnsi="宋体"/>
          <w:color w:val="auto"/>
          <w:sz w:val="24"/>
          <w:highlight w:val="none"/>
        </w:rPr>
      </w:pPr>
      <w:r>
        <w:rPr>
          <w:rFonts w:hint="eastAsia" w:ascii="宋体" w:hAnsi="宋体"/>
          <w:color w:val="auto"/>
          <w:sz w:val="24"/>
          <w:highlight w:val="none"/>
        </w:rPr>
        <w:t>（四）病毒发作导致不能进行正常操作的； </w:t>
      </w:r>
    </w:p>
    <w:p w14:paraId="6005D5B1">
      <w:pPr>
        <w:pStyle w:val="14"/>
        <w:ind w:firstLine="480" w:firstLineChars="200"/>
        <w:rPr>
          <w:rFonts w:hint="eastAsia" w:ascii="宋体" w:hAnsi="宋体"/>
          <w:color w:val="auto"/>
          <w:sz w:val="24"/>
          <w:highlight w:val="none"/>
        </w:rPr>
      </w:pPr>
      <w:r>
        <w:rPr>
          <w:rFonts w:hint="eastAsia" w:ascii="宋体" w:hAnsi="宋体"/>
          <w:color w:val="auto"/>
          <w:sz w:val="24"/>
          <w:highlight w:val="none"/>
        </w:rPr>
        <w:t>（五）其他无法保证电子交易的公平、公正和安全的情况。</w:t>
      </w:r>
    </w:p>
    <w:p w14:paraId="21EFCEBF">
      <w:pPr>
        <w:pStyle w:val="14"/>
        <w:ind w:firstLine="480" w:firstLineChars="200"/>
        <w:rPr>
          <w:rFonts w:hint="eastAsia" w:ascii="宋体" w:hAnsi="宋体"/>
          <w:color w:val="auto"/>
          <w:sz w:val="24"/>
          <w:highlight w:val="none"/>
        </w:rPr>
      </w:pPr>
      <w:r>
        <w:rPr>
          <w:rFonts w:hint="eastAsia" w:ascii="宋体" w:hAnsi="宋体"/>
          <w:color w:val="auto"/>
          <w:sz w:val="24"/>
          <w:highlight w:val="none"/>
        </w:rPr>
        <w:t> 出现前款规定情形，不影响采购公平、公正性的，采购组织机构可以待上述情形消除后继续组织电子交易活动；影响或可能影响采购公平、公正性的，应当重新采购。</w:t>
      </w:r>
    </w:p>
    <w:p w14:paraId="3410401B">
      <w:pPr>
        <w:pStyle w:val="4"/>
        <w:spacing w:line="360" w:lineRule="exact"/>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五、评　标</w:t>
      </w:r>
      <w:bookmarkEnd w:id="5"/>
    </w:p>
    <w:p w14:paraId="144AE645">
      <w:pPr>
        <w:ind w:firstLine="482" w:firstLineChars="200"/>
        <w:rPr>
          <w:rFonts w:ascii="宋体" w:hAnsi="宋体"/>
          <w:b/>
          <w:color w:val="auto"/>
          <w:sz w:val="24"/>
          <w:highlight w:val="none"/>
        </w:rPr>
      </w:pPr>
      <w:r>
        <w:rPr>
          <w:rFonts w:hint="eastAsia" w:ascii="宋体" w:hAnsi="宋体"/>
          <w:b/>
          <w:color w:val="auto"/>
          <w:sz w:val="24"/>
          <w:highlight w:val="none"/>
        </w:rPr>
        <w:t>21. 组建评标委员会</w:t>
      </w:r>
    </w:p>
    <w:p w14:paraId="4EF35B10">
      <w:pPr>
        <w:pStyle w:val="14"/>
        <w:ind w:firstLine="480" w:firstLineChars="200"/>
        <w:rPr>
          <w:rFonts w:ascii="宋体" w:hAnsi="宋体"/>
          <w:color w:val="auto"/>
          <w:sz w:val="24"/>
          <w:highlight w:val="none"/>
        </w:rPr>
      </w:pPr>
      <w:r>
        <w:rPr>
          <w:rFonts w:hint="eastAsia" w:ascii="宋体" w:hAnsi="宋体"/>
          <w:color w:val="auto"/>
          <w:sz w:val="24"/>
          <w:highlight w:val="none"/>
        </w:rPr>
        <w:t>评标委员会按照有关规定组建。</w:t>
      </w:r>
    </w:p>
    <w:p w14:paraId="4E331974">
      <w:pPr>
        <w:ind w:firstLine="482" w:firstLineChars="200"/>
        <w:rPr>
          <w:rFonts w:ascii="宋体" w:hAnsi="宋体"/>
          <w:b/>
          <w:color w:val="auto"/>
          <w:sz w:val="24"/>
          <w:highlight w:val="none"/>
        </w:rPr>
      </w:pPr>
      <w:r>
        <w:rPr>
          <w:rFonts w:hint="eastAsia" w:ascii="宋体" w:hAnsi="宋体"/>
          <w:b/>
          <w:color w:val="auto"/>
          <w:sz w:val="24"/>
          <w:highlight w:val="none"/>
        </w:rPr>
        <w:t>22.评标原则</w:t>
      </w:r>
    </w:p>
    <w:p w14:paraId="512B5803">
      <w:pPr>
        <w:pStyle w:val="14"/>
        <w:ind w:firstLine="480" w:firstLineChars="200"/>
        <w:rPr>
          <w:rFonts w:ascii="宋体" w:hAnsi="宋体"/>
          <w:color w:val="auto"/>
          <w:sz w:val="24"/>
          <w:highlight w:val="none"/>
        </w:rPr>
      </w:pPr>
      <w:r>
        <w:rPr>
          <w:rFonts w:hint="eastAsia" w:ascii="宋体" w:hAnsi="宋体"/>
          <w:color w:val="auto"/>
          <w:sz w:val="24"/>
          <w:highlight w:val="none"/>
        </w:rPr>
        <w:t>22.1评标委员会必须公平、公正、客观，不带任何倾向性和启发性；</w:t>
      </w:r>
    </w:p>
    <w:p w14:paraId="123CCB46">
      <w:pPr>
        <w:pStyle w:val="14"/>
        <w:ind w:firstLine="480" w:firstLineChars="200"/>
        <w:rPr>
          <w:rFonts w:ascii="宋体" w:hAnsi="宋体"/>
          <w:color w:val="auto"/>
          <w:sz w:val="24"/>
          <w:highlight w:val="none"/>
        </w:rPr>
      </w:pPr>
      <w:r>
        <w:rPr>
          <w:rFonts w:hint="eastAsia" w:ascii="宋体" w:hAnsi="宋体"/>
          <w:color w:val="auto"/>
          <w:sz w:val="24"/>
          <w:highlight w:val="none"/>
        </w:rPr>
        <w:t>22.2不得向外界透露任何与评标有关的内容；</w:t>
      </w:r>
    </w:p>
    <w:p w14:paraId="32EA9319">
      <w:pPr>
        <w:pStyle w:val="14"/>
        <w:ind w:firstLine="480" w:firstLineChars="200"/>
        <w:rPr>
          <w:rFonts w:ascii="宋体" w:hAnsi="宋体"/>
          <w:color w:val="auto"/>
          <w:sz w:val="24"/>
          <w:highlight w:val="none"/>
        </w:rPr>
      </w:pPr>
      <w:r>
        <w:rPr>
          <w:rFonts w:hint="eastAsia" w:ascii="宋体" w:hAnsi="宋体"/>
          <w:color w:val="auto"/>
          <w:sz w:val="24"/>
          <w:highlight w:val="none"/>
        </w:rPr>
        <w:t>22.3任何单位和个人不得干扰、影响评标的正常进行；</w:t>
      </w:r>
    </w:p>
    <w:p w14:paraId="069592C6">
      <w:pPr>
        <w:pStyle w:val="14"/>
        <w:ind w:firstLine="480" w:firstLineChars="200"/>
        <w:rPr>
          <w:rFonts w:ascii="宋体" w:hAnsi="宋体"/>
          <w:color w:val="auto"/>
          <w:sz w:val="24"/>
          <w:highlight w:val="none"/>
        </w:rPr>
      </w:pPr>
      <w:r>
        <w:rPr>
          <w:rFonts w:hint="eastAsia" w:ascii="宋体" w:hAnsi="宋体"/>
          <w:color w:val="auto"/>
          <w:sz w:val="24"/>
          <w:highlight w:val="none"/>
        </w:rPr>
        <w:t>22.4评标委员会及有关工作人员不得私下与投标人接触。</w:t>
      </w:r>
    </w:p>
    <w:p w14:paraId="509692E5">
      <w:pPr>
        <w:pStyle w:val="14"/>
        <w:ind w:firstLine="480" w:firstLineChars="200"/>
        <w:rPr>
          <w:rFonts w:ascii="宋体" w:hAnsi="宋体"/>
          <w:color w:val="auto"/>
          <w:sz w:val="24"/>
          <w:highlight w:val="none"/>
        </w:rPr>
      </w:pPr>
      <w:r>
        <w:rPr>
          <w:rFonts w:hint="eastAsia" w:ascii="宋体" w:hAnsi="宋体"/>
          <w:color w:val="auto"/>
          <w:sz w:val="24"/>
          <w:highlight w:val="none"/>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193BBE78">
      <w:pPr>
        <w:snapToGrid w:val="0"/>
        <w:ind w:firstLine="482" w:firstLineChars="200"/>
        <w:jc w:val="left"/>
        <w:rPr>
          <w:rFonts w:ascii="宋体" w:hAnsi="宋体"/>
          <w:b/>
          <w:color w:val="auto"/>
          <w:sz w:val="24"/>
          <w:highlight w:val="none"/>
        </w:rPr>
      </w:pPr>
      <w:r>
        <w:rPr>
          <w:rFonts w:hint="eastAsia" w:ascii="宋体" w:hAnsi="宋体"/>
          <w:b/>
          <w:color w:val="auto"/>
          <w:sz w:val="24"/>
          <w:highlight w:val="none"/>
        </w:rPr>
        <w:t>22.6</w:t>
      </w:r>
      <w:r>
        <w:rPr>
          <w:rFonts w:ascii="宋体" w:hAnsi="宋体"/>
          <w:b/>
          <w:color w:val="auto"/>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8BD30E">
      <w:pPr>
        <w:snapToGrid w:val="0"/>
        <w:ind w:firstLine="482" w:firstLineChars="200"/>
        <w:jc w:val="left"/>
        <w:rPr>
          <w:rFonts w:ascii="宋体" w:hAnsi="宋体"/>
          <w:b/>
          <w:color w:val="auto"/>
          <w:sz w:val="24"/>
          <w:highlight w:val="none"/>
        </w:rPr>
      </w:pPr>
      <w:r>
        <w:rPr>
          <w:rFonts w:ascii="宋体" w:hAnsi="宋体"/>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5DD5C8D3">
      <w:pPr>
        <w:snapToGrid w:val="0"/>
        <w:ind w:firstLine="482" w:firstLineChars="200"/>
        <w:jc w:val="left"/>
        <w:rPr>
          <w:rFonts w:ascii="宋体" w:hAnsi="宋体"/>
          <w:color w:val="auto"/>
          <w:sz w:val="24"/>
          <w:highlight w:val="none"/>
        </w:rPr>
      </w:pPr>
      <w:r>
        <w:rPr>
          <w:rFonts w:hint="eastAsia" w:ascii="宋体" w:hAnsi="宋体"/>
          <w:b/>
          <w:color w:val="auto"/>
          <w:sz w:val="24"/>
          <w:highlight w:val="none"/>
        </w:rPr>
        <w:t>22.7</w:t>
      </w:r>
      <w:r>
        <w:rPr>
          <w:rFonts w:hint="eastAsia" w:ascii="宋体" w:hAnsi="宋体"/>
          <w:color w:val="auto"/>
          <w:sz w:val="24"/>
          <w:highlight w:val="none"/>
        </w:rPr>
        <w:t>以联合体形式参加</w:t>
      </w:r>
      <w:r>
        <w:rPr>
          <w:rFonts w:hint="eastAsia" w:ascii="宋体" w:hAnsi="宋体"/>
          <w:color w:val="auto"/>
          <w:sz w:val="24"/>
          <w:highlight w:val="none"/>
          <w:lang w:eastAsia="zh-CN"/>
        </w:rPr>
        <w:t>采购</w:t>
      </w:r>
      <w:r>
        <w:rPr>
          <w:rFonts w:hint="eastAsia" w:ascii="宋体" w:hAnsi="宋体"/>
          <w:color w:val="auto"/>
          <w:sz w:val="24"/>
          <w:highlight w:val="none"/>
        </w:rPr>
        <w:t>活动的，联合体各方不得再单独参加或者与其他供应商另外组成联合体参加同一合同项下的</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11AA5DDE">
      <w:pPr>
        <w:snapToGrid w:val="0"/>
        <w:ind w:firstLine="482" w:firstLineChars="200"/>
        <w:jc w:val="left"/>
        <w:rPr>
          <w:rFonts w:ascii="宋体" w:hAnsi="宋体"/>
          <w:b/>
          <w:color w:val="auto"/>
          <w:sz w:val="24"/>
          <w:highlight w:val="none"/>
        </w:rPr>
      </w:pPr>
      <w:r>
        <w:rPr>
          <w:rFonts w:hint="eastAsia" w:ascii="宋体" w:hAnsi="宋体"/>
          <w:b/>
          <w:color w:val="auto"/>
          <w:sz w:val="24"/>
          <w:highlight w:val="none"/>
        </w:rPr>
        <w:t>22.8除单一来源采购以外，为采购项目提供整体设计、规范编制或者项目管理、监理、检测等服务的供应商，不得参加本采购项目。</w:t>
      </w:r>
    </w:p>
    <w:p w14:paraId="76FB0C1B">
      <w:pPr>
        <w:snapToGrid w:val="0"/>
        <w:ind w:firstLine="482" w:firstLineChars="200"/>
        <w:jc w:val="left"/>
        <w:rPr>
          <w:rFonts w:ascii="宋体" w:hAnsi="宋体"/>
          <w:b/>
          <w:color w:val="auto"/>
          <w:sz w:val="24"/>
          <w:highlight w:val="none"/>
        </w:rPr>
      </w:pPr>
      <w:r>
        <w:rPr>
          <w:rFonts w:hint="eastAsia" w:ascii="宋体" w:hAnsi="宋体"/>
          <w:b/>
          <w:color w:val="auto"/>
          <w:sz w:val="24"/>
          <w:highlight w:val="none"/>
        </w:rPr>
        <w:t>22.9</w:t>
      </w:r>
      <w:r>
        <w:rPr>
          <w:rFonts w:hint="eastAsia" w:ascii="宋体" w:hAnsi="宋体"/>
          <w:b/>
          <w:color w:val="auto"/>
          <w:sz w:val="24"/>
          <w:highlight w:val="none"/>
          <w:lang w:val="en-US" w:eastAsia="zh-CN"/>
        </w:rPr>
        <w:t>法定代表</w:t>
      </w:r>
      <w:r>
        <w:rPr>
          <w:rFonts w:hint="eastAsia" w:ascii="宋体" w:hAnsi="宋体"/>
          <w:b/>
          <w:color w:val="auto"/>
          <w:sz w:val="24"/>
          <w:highlight w:val="none"/>
        </w:rPr>
        <w:t>人为同一人或者存在直接控股、管理关系的不同供应商，不得参加同一合同项下的</w:t>
      </w:r>
      <w:r>
        <w:rPr>
          <w:rFonts w:hint="eastAsia" w:ascii="宋体" w:hAnsi="宋体"/>
          <w:b/>
          <w:color w:val="auto"/>
          <w:sz w:val="24"/>
          <w:highlight w:val="none"/>
          <w:lang w:eastAsia="zh-CN"/>
        </w:rPr>
        <w:t>采购</w:t>
      </w:r>
      <w:r>
        <w:rPr>
          <w:rFonts w:hint="eastAsia" w:ascii="宋体" w:hAnsi="宋体"/>
          <w:b/>
          <w:color w:val="auto"/>
          <w:sz w:val="24"/>
          <w:highlight w:val="none"/>
        </w:rPr>
        <w:t>活动。</w:t>
      </w:r>
    </w:p>
    <w:p w14:paraId="365DE72D">
      <w:pPr>
        <w:pStyle w:val="11"/>
        <w:snapToGrid w:val="0"/>
        <w:ind w:left="2" w:leftChars="1" w:firstLine="482" w:firstLineChars="200"/>
        <w:rPr>
          <w:rFonts w:ascii="宋体" w:hAnsi="宋体"/>
          <w:b/>
          <w:color w:val="auto"/>
          <w:highlight w:val="none"/>
        </w:rPr>
      </w:pPr>
      <w:r>
        <w:rPr>
          <w:rFonts w:hint="eastAsia" w:ascii="宋体" w:hAnsi="宋体"/>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14:paraId="7D6E0F7C">
      <w:pPr>
        <w:ind w:firstLine="482" w:firstLineChars="200"/>
        <w:rPr>
          <w:rFonts w:ascii="宋体" w:hAnsi="宋体"/>
          <w:b/>
          <w:color w:val="auto"/>
          <w:sz w:val="24"/>
          <w:highlight w:val="none"/>
        </w:rPr>
      </w:pPr>
      <w:r>
        <w:rPr>
          <w:rFonts w:hint="eastAsia" w:ascii="宋体" w:hAnsi="宋体"/>
          <w:b/>
          <w:color w:val="auto"/>
          <w:sz w:val="24"/>
          <w:highlight w:val="none"/>
        </w:rPr>
        <w:t>23.评标程序</w:t>
      </w:r>
    </w:p>
    <w:p w14:paraId="6FE953F6">
      <w:pPr>
        <w:snapToGrid w:val="0"/>
        <w:ind w:firstLine="472" w:firstLineChars="196"/>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23.1形式审查</w:t>
      </w:r>
    </w:p>
    <w:p w14:paraId="107C849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评标委员会对投标人的投标文件的完整性、合法性等进行审查。</w:t>
      </w:r>
    </w:p>
    <w:p w14:paraId="34325663">
      <w:pPr>
        <w:snapToGrid w:val="0"/>
        <w:ind w:firstLine="472" w:firstLineChars="196"/>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23.2实质审查与比较</w:t>
      </w:r>
    </w:p>
    <w:p w14:paraId="232DE991">
      <w:pPr>
        <w:pStyle w:val="14"/>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的权利和投标人的义务方面造成重大的限制，纠正这些显著差异或保留将会对其他实质上响应招标文件要求的投标文件的投标人的竞争地位产生不公平的影响。</w:t>
      </w:r>
    </w:p>
    <w:p w14:paraId="55EA072E">
      <w:pPr>
        <w:pStyle w:val="14"/>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23.2.2评标委员会将根据投标人的投标文件进行审查、核对,如有疑问,将对投标人进行询标,投标人要向评标委员会澄清有关问题,并最终以“</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”在线询标或其他有效形式形式进行答复。投标人代表拒绝澄清或者澄清的内容改变了投标文件的实质性内容的，评标委员会有权对该投标文件作出不利于投标人的评判。</w:t>
      </w:r>
    </w:p>
    <w:p w14:paraId="74D50651">
      <w:pPr>
        <w:pStyle w:val="14"/>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23.2.3如果投标文件实质不响应招标文件的各项要求，评标委员会将予以拒绝，并且不允许投标人通过修改或撤销其不符合要求的差异或保留，使之成为具有响应性的投标。</w:t>
      </w:r>
    </w:p>
    <w:p w14:paraId="29A10FB3">
      <w:pPr>
        <w:pStyle w:val="14"/>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23.2.4评标委员会完成评标后,按评标原则推荐中标候选人同时起草评标报告。</w:t>
      </w:r>
    </w:p>
    <w:p w14:paraId="066B9032">
      <w:pPr>
        <w:pStyle w:val="14"/>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评标委员会对明显不合理的投标报价，有权要求投标人在规定时间内提交说明，投标人不能提供的或提供的材料不能说明问题的，评标委员会可以判定其投标无效。</w:t>
      </w:r>
    </w:p>
    <w:p w14:paraId="1834284A">
      <w:pPr>
        <w:pStyle w:val="14"/>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484190C5">
      <w:pPr>
        <w:pStyle w:val="14"/>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7077AC5">
      <w:pPr>
        <w:ind w:firstLine="479" w:firstLineChars="199"/>
        <w:rPr>
          <w:rFonts w:ascii="宋体" w:hAnsi="宋体"/>
          <w:color w:val="auto"/>
          <w:sz w:val="24"/>
          <w:szCs w:val="24"/>
          <w:highlight w:val="none"/>
        </w:rPr>
      </w:pPr>
      <w:r>
        <w:rPr>
          <w:rFonts w:hint="eastAsia" w:ascii="宋体" w:hAnsi="宋体"/>
          <w:b/>
          <w:color w:val="auto"/>
          <w:sz w:val="24"/>
          <w:szCs w:val="24"/>
          <w:highlight w:val="none"/>
        </w:rPr>
        <w:t>24.</w:t>
      </w:r>
      <w:r>
        <w:rPr>
          <w:rFonts w:hint="eastAsia" w:ascii="宋体" w:hAnsi="宋体"/>
          <w:color w:val="auto"/>
          <w:sz w:val="24"/>
          <w:szCs w:val="24"/>
          <w:highlight w:val="none"/>
        </w:rPr>
        <w:t>如投标人或采购人有下列情形之一的，应按串通投标行为认定，禁止其一至三年内进入本市</w:t>
      </w:r>
      <w:r>
        <w:rPr>
          <w:rFonts w:hint="eastAsia" w:ascii="宋体" w:hAnsi="宋体"/>
          <w:color w:val="auto"/>
          <w:sz w:val="24"/>
          <w:szCs w:val="24"/>
          <w:highlight w:val="none"/>
          <w:lang w:val="en-US" w:eastAsia="zh-CN"/>
        </w:rPr>
        <w:t>招投标</w:t>
      </w:r>
      <w:r>
        <w:rPr>
          <w:rFonts w:hint="eastAsia" w:ascii="宋体" w:hAnsi="宋体"/>
          <w:color w:val="auto"/>
          <w:sz w:val="24"/>
          <w:szCs w:val="24"/>
          <w:highlight w:val="none"/>
        </w:rPr>
        <w:t>市场，情节严重的移送有关部门依法处理。</w:t>
      </w:r>
    </w:p>
    <w:p w14:paraId="371A1886">
      <w:pPr>
        <w:ind w:firstLine="477" w:firstLineChars="199"/>
        <w:rPr>
          <w:rFonts w:ascii="宋体" w:hAnsi="宋体"/>
          <w:color w:val="auto"/>
          <w:sz w:val="24"/>
          <w:szCs w:val="24"/>
          <w:highlight w:val="none"/>
        </w:rPr>
      </w:pPr>
      <w:r>
        <w:rPr>
          <w:rFonts w:hint="eastAsia" w:ascii="宋体" w:hAnsi="宋体"/>
          <w:color w:val="auto"/>
          <w:sz w:val="24"/>
          <w:szCs w:val="24"/>
          <w:highlight w:val="none"/>
        </w:rPr>
        <w:t>24.1</w:t>
      </w:r>
      <w:r>
        <w:rPr>
          <w:rFonts w:ascii="宋体" w:hAnsi="宋体"/>
          <w:color w:val="auto"/>
          <w:sz w:val="24"/>
          <w:szCs w:val="24"/>
          <w:highlight w:val="none"/>
        </w:rPr>
        <w:t>不同</w:t>
      </w:r>
      <w:r>
        <w:rPr>
          <w:rFonts w:hint="eastAsia" w:ascii="宋体" w:hAnsi="宋体"/>
          <w:color w:val="auto"/>
          <w:sz w:val="24"/>
          <w:szCs w:val="24"/>
          <w:highlight w:val="none"/>
        </w:rPr>
        <w:t>投标人</w:t>
      </w:r>
      <w:r>
        <w:rPr>
          <w:rFonts w:ascii="宋体" w:hAnsi="宋体"/>
          <w:color w:val="auto"/>
          <w:sz w:val="24"/>
          <w:szCs w:val="24"/>
          <w:highlight w:val="none"/>
        </w:rPr>
        <w:t>的</w:t>
      </w:r>
      <w:r>
        <w:rPr>
          <w:rFonts w:hint="eastAsia" w:ascii="宋体" w:hAnsi="宋体"/>
          <w:color w:val="auto"/>
          <w:sz w:val="24"/>
          <w:szCs w:val="24"/>
          <w:highlight w:val="none"/>
        </w:rPr>
        <w:t>投标</w:t>
      </w:r>
      <w:r>
        <w:rPr>
          <w:rFonts w:ascii="宋体" w:hAnsi="宋体"/>
          <w:color w:val="auto"/>
          <w:sz w:val="24"/>
          <w:szCs w:val="24"/>
          <w:highlight w:val="none"/>
        </w:rPr>
        <w:t xml:space="preserve">文件由同一单位或人员编制； </w:t>
      </w:r>
    </w:p>
    <w:p w14:paraId="2593B54A">
      <w:pPr>
        <w:ind w:firstLine="477" w:firstLineChars="199"/>
        <w:rPr>
          <w:rFonts w:ascii="宋体" w:hAnsi="宋体"/>
          <w:color w:val="auto"/>
          <w:sz w:val="24"/>
          <w:szCs w:val="24"/>
          <w:highlight w:val="none"/>
        </w:rPr>
      </w:pPr>
      <w:r>
        <w:rPr>
          <w:rFonts w:hint="eastAsia" w:ascii="宋体" w:hAnsi="宋体"/>
          <w:color w:val="auto"/>
          <w:sz w:val="24"/>
          <w:szCs w:val="24"/>
          <w:highlight w:val="none"/>
        </w:rPr>
        <w:t>24.2</w:t>
      </w:r>
      <w:r>
        <w:rPr>
          <w:rFonts w:ascii="宋体" w:hAnsi="宋体"/>
          <w:color w:val="auto"/>
          <w:sz w:val="24"/>
          <w:szCs w:val="24"/>
          <w:highlight w:val="none"/>
        </w:rPr>
        <w:t>不同</w:t>
      </w:r>
      <w:r>
        <w:rPr>
          <w:rFonts w:hint="eastAsia" w:ascii="宋体" w:hAnsi="宋体"/>
          <w:color w:val="auto"/>
          <w:sz w:val="24"/>
          <w:szCs w:val="24"/>
          <w:highlight w:val="none"/>
        </w:rPr>
        <w:t>投标人</w:t>
      </w:r>
      <w:r>
        <w:rPr>
          <w:rFonts w:ascii="宋体" w:hAnsi="宋体"/>
          <w:color w:val="auto"/>
          <w:sz w:val="24"/>
          <w:szCs w:val="24"/>
          <w:highlight w:val="none"/>
        </w:rPr>
        <w:t>委托同一单位或</w:t>
      </w:r>
      <w:r>
        <w:rPr>
          <w:rFonts w:hint="eastAsia" w:ascii="宋体" w:hAnsi="宋体"/>
          <w:color w:val="auto"/>
          <w:sz w:val="24"/>
          <w:szCs w:val="24"/>
          <w:highlight w:val="none"/>
        </w:rPr>
        <w:t>个人</w:t>
      </w:r>
      <w:r>
        <w:rPr>
          <w:rFonts w:ascii="宋体" w:hAnsi="宋体"/>
          <w:color w:val="auto"/>
          <w:sz w:val="24"/>
          <w:szCs w:val="24"/>
          <w:highlight w:val="none"/>
        </w:rPr>
        <w:t>办理投标事宜；</w:t>
      </w:r>
    </w:p>
    <w:p w14:paraId="1DAB3BFF">
      <w:pPr>
        <w:ind w:firstLine="477" w:firstLineChars="199"/>
        <w:rPr>
          <w:rFonts w:ascii="宋体" w:hAnsi="宋体"/>
          <w:color w:val="auto"/>
          <w:sz w:val="24"/>
          <w:szCs w:val="24"/>
          <w:highlight w:val="none"/>
        </w:rPr>
      </w:pPr>
      <w:r>
        <w:rPr>
          <w:rFonts w:hint="eastAsia" w:ascii="宋体" w:hAnsi="宋体"/>
          <w:color w:val="auto"/>
          <w:sz w:val="24"/>
          <w:szCs w:val="24"/>
          <w:highlight w:val="none"/>
        </w:rPr>
        <w:t>24.3</w:t>
      </w:r>
      <w:r>
        <w:rPr>
          <w:rFonts w:ascii="宋体" w:hAnsi="宋体"/>
          <w:color w:val="auto"/>
          <w:sz w:val="24"/>
          <w:szCs w:val="24"/>
          <w:highlight w:val="none"/>
        </w:rPr>
        <w:t>不同</w:t>
      </w:r>
      <w:r>
        <w:rPr>
          <w:rFonts w:hint="eastAsia" w:ascii="宋体" w:hAnsi="宋体"/>
          <w:color w:val="auto"/>
          <w:sz w:val="24"/>
          <w:szCs w:val="24"/>
          <w:highlight w:val="none"/>
        </w:rPr>
        <w:t>投标人</w:t>
      </w:r>
      <w:r>
        <w:rPr>
          <w:rFonts w:ascii="宋体" w:hAnsi="宋体"/>
          <w:color w:val="auto"/>
          <w:sz w:val="24"/>
          <w:szCs w:val="24"/>
          <w:highlight w:val="none"/>
        </w:rPr>
        <w:t>的</w:t>
      </w:r>
      <w:r>
        <w:rPr>
          <w:rFonts w:hint="eastAsia" w:ascii="宋体" w:hAnsi="宋体"/>
          <w:color w:val="auto"/>
          <w:sz w:val="24"/>
          <w:szCs w:val="24"/>
          <w:highlight w:val="none"/>
        </w:rPr>
        <w:t>投标</w:t>
      </w:r>
      <w:r>
        <w:rPr>
          <w:rFonts w:ascii="宋体" w:hAnsi="宋体"/>
          <w:color w:val="auto"/>
          <w:sz w:val="24"/>
          <w:szCs w:val="24"/>
          <w:highlight w:val="none"/>
        </w:rPr>
        <w:t>文件载明的项目管理或</w:t>
      </w:r>
      <w:r>
        <w:rPr>
          <w:rFonts w:hint="eastAsia" w:ascii="宋体" w:hAnsi="宋体"/>
          <w:color w:val="auto"/>
          <w:sz w:val="24"/>
          <w:szCs w:val="24"/>
          <w:highlight w:val="none"/>
        </w:rPr>
        <w:t>联系人员为</w:t>
      </w:r>
      <w:r>
        <w:rPr>
          <w:rFonts w:ascii="宋体" w:hAnsi="宋体"/>
          <w:color w:val="auto"/>
          <w:sz w:val="24"/>
          <w:szCs w:val="24"/>
          <w:highlight w:val="none"/>
        </w:rPr>
        <w:t>同一人；</w:t>
      </w:r>
    </w:p>
    <w:p w14:paraId="15F4A0BB">
      <w:pPr>
        <w:ind w:firstLine="477" w:firstLineChars="199"/>
        <w:rPr>
          <w:rFonts w:ascii="宋体" w:hAnsi="宋体"/>
          <w:color w:val="auto"/>
          <w:sz w:val="24"/>
          <w:szCs w:val="24"/>
          <w:highlight w:val="none"/>
        </w:rPr>
      </w:pPr>
      <w:r>
        <w:rPr>
          <w:rFonts w:hint="eastAsia" w:ascii="宋体" w:hAnsi="宋体"/>
          <w:color w:val="auto"/>
          <w:sz w:val="24"/>
          <w:szCs w:val="24"/>
          <w:highlight w:val="none"/>
        </w:rPr>
        <w:t>24.4</w:t>
      </w:r>
      <w:r>
        <w:rPr>
          <w:rFonts w:ascii="宋体" w:hAnsi="宋体"/>
          <w:color w:val="auto"/>
          <w:sz w:val="24"/>
          <w:szCs w:val="24"/>
          <w:highlight w:val="none"/>
        </w:rPr>
        <w:t>不同</w:t>
      </w:r>
      <w:r>
        <w:rPr>
          <w:rFonts w:hint="eastAsia" w:ascii="宋体" w:hAnsi="宋体"/>
          <w:color w:val="auto"/>
          <w:sz w:val="24"/>
          <w:szCs w:val="24"/>
          <w:highlight w:val="none"/>
        </w:rPr>
        <w:t>投标人</w:t>
      </w:r>
      <w:r>
        <w:rPr>
          <w:rFonts w:ascii="宋体" w:hAnsi="宋体"/>
          <w:color w:val="auto"/>
          <w:sz w:val="24"/>
          <w:szCs w:val="24"/>
          <w:highlight w:val="none"/>
        </w:rPr>
        <w:t>的</w:t>
      </w:r>
      <w:r>
        <w:rPr>
          <w:rFonts w:hint="eastAsia" w:ascii="宋体" w:hAnsi="宋体"/>
          <w:color w:val="auto"/>
          <w:sz w:val="24"/>
          <w:szCs w:val="24"/>
          <w:highlight w:val="none"/>
        </w:rPr>
        <w:t>投标</w:t>
      </w:r>
      <w:r>
        <w:rPr>
          <w:rFonts w:ascii="宋体" w:hAnsi="宋体"/>
          <w:color w:val="auto"/>
          <w:sz w:val="24"/>
          <w:szCs w:val="24"/>
          <w:highlight w:val="none"/>
        </w:rPr>
        <w:t>文件</w:t>
      </w:r>
      <w:r>
        <w:rPr>
          <w:rFonts w:hint="eastAsia" w:ascii="宋体" w:hAnsi="宋体"/>
          <w:color w:val="auto"/>
          <w:sz w:val="24"/>
          <w:szCs w:val="24"/>
          <w:highlight w:val="none"/>
        </w:rPr>
        <w:t>异常一致</w:t>
      </w:r>
      <w:r>
        <w:rPr>
          <w:rFonts w:ascii="宋体" w:hAnsi="宋体"/>
          <w:color w:val="auto"/>
          <w:sz w:val="24"/>
          <w:szCs w:val="24"/>
          <w:highlight w:val="none"/>
        </w:rPr>
        <w:t>或者</w:t>
      </w:r>
      <w:r>
        <w:rPr>
          <w:rFonts w:hint="eastAsia" w:ascii="宋体" w:hAnsi="宋体"/>
          <w:color w:val="auto"/>
          <w:sz w:val="24"/>
          <w:szCs w:val="24"/>
          <w:highlight w:val="none"/>
        </w:rPr>
        <w:t>投标</w:t>
      </w:r>
      <w:r>
        <w:rPr>
          <w:rFonts w:ascii="宋体" w:hAnsi="宋体"/>
          <w:color w:val="auto"/>
          <w:sz w:val="24"/>
          <w:szCs w:val="24"/>
          <w:highlight w:val="none"/>
        </w:rPr>
        <w:t>报价呈规律性</w:t>
      </w:r>
      <w:r>
        <w:rPr>
          <w:rFonts w:hint="eastAsia" w:ascii="宋体" w:hAnsi="宋体"/>
          <w:color w:val="auto"/>
          <w:sz w:val="24"/>
          <w:szCs w:val="24"/>
          <w:highlight w:val="none"/>
        </w:rPr>
        <w:t>差异</w:t>
      </w:r>
      <w:r>
        <w:rPr>
          <w:rFonts w:ascii="宋体" w:hAnsi="宋体"/>
          <w:color w:val="auto"/>
          <w:sz w:val="24"/>
          <w:szCs w:val="24"/>
          <w:highlight w:val="none"/>
        </w:rPr>
        <w:t xml:space="preserve">； </w:t>
      </w:r>
    </w:p>
    <w:p w14:paraId="64914F43">
      <w:pPr>
        <w:ind w:firstLine="477" w:firstLineChars="199"/>
        <w:rPr>
          <w:rFonts w:ascii="宋体" w:hAnsi="宋体"/>
          <w:color w:val="auto"/>
          <w:sz w:val="24"/>
          <w:szCs w:val="24"/>
          <w:highlight w:val="none"/>
        </w:rPr>
      </w:pPr>
      <w:r>
        <w:rPr>
          <w:rFonts w:hint="eastAsia" w:ascii="宋体" w:hAnsi="宋体"/>
          <w:color w:val="auto"/>
          <w:sz w:val="24"/>
          <w:szCs w:val="24"/>
          <w:highlight w:val="none"/>
        </w:rPr>
        <w:t>24.5</w:t>
      </w:r>
      <w:r>
        <w:rPr>
          <w:rFonts w:ascii="宋体" w:hAnsi="宋体"/>
          <w:color w:val="auto"/>
          <w:sz w:val="24"/>
          <w:szCs w:val="24"/>
          <w:highlight w:val="none"/>
        </w:rPr>
        <w:t>不同</w:t>
      </w:r>
      <w:r>
        <w:rPr>
          <w:rFonts w:hint="eastAsia" w:ascii="宋体" w:hAnsi="宋体"/>
          <w:color w:val="auto"/>
          <w:sz w:val="24"/>
          <w:szCs w:val="24"/>
          <w:highlight w:val="none"/>
        </w:rPr>
        <w:t>投标人</w:t>
      </w:r>
      <w:r>
        <w:rPr>
          <w:rFonts w:ascii="宋体" w:hAnsi="宋体"/>
          <w:color w:val="auto"/>
          <w:sz w:val="24"/>
          <w:szCs w:val="24"/>
          <w:highlight w:val="none"/>
        </w:rPr>
        <w:t>的</w:t>
      </w:r>
      <w:r>
        <w:rPr>
          <w:rFonts w:hint="eastAsia" w:ascii="宋体" w:hAnsi="宋体"/>
          <w:color w:val="auto"/>
          <w:sz w:val="24"/>
          <w:szCs w:val="24"/>
          <w:highlight w:val="none"/>
        </w:rPr>
        <w:t>投标</w:t>
      </w:r>
      <w:r>
        <w:rPr>
          <w:rFonts w:ascii="宋体" w:hAnsi="宋体"/>
          <w:color w:val="auto"/>
          <w:sz w:val="24"/>
          <w:szCs w:val="24"/>
          <w:highlight w:val="none"/>
        </w:rPr>
        <w:t>文件遗留其他</w:t>
      </w:r>
      <w:r>
        <w:rPr>
          <w:rFonts w:hint="eastAsia" w:ascii="宋体" w:hAnsi="宋体"/>
          <w:color w:val="auto"/>
          <w:sz w:val="24"/>
          <w:szCs w:val="24"/>
          <w:highlight w:val="none"/>
        </w:rPr>
        <w:t>投标人</w:t>
      </w:r>
      <w:r>
        <w:rPr>
          <w:rFonts w:ascii="宋体" w:hAnsi="宋体"/>
          <w:color w:val="auto"/>
          <w:sz w:val="24"/>
          <w:szCs w:val="24"/>
          <w:highlight w:val="none"/>
        </w:rPr>
        <w:t>不属于本</w:t>
      </w:r>
      <w:r>
        <w:rPr>
          <w:rFonts w:hint="eastAsia" w:ascii="宋体" w:hAnsi="宋体"/>
          <w:color w:val="auto"/>
          <w:sz w:val="24"/>
          <w:szCs w:val="24"/>
          <w:highlight w:val="none"/>
        </w:rPr>
        <w:t>投标人</w:t>
      </w:r>
      <w:r>
        <w:rPr>
          <w:rFonts w:ascii="宋体" w:hAnsi="宋体"/>
          <w:color w:val="auto"/>
          <w:sz w:val="24"/>
          <w:szCs w:val="24"/>
          <w:highlight w:val="none"/>
        </w:rPr>
        <w:t>参加</w:t>
      </w:r>
      <w:r>
        <w:rPr>
          <w:rFonts w:hint="eastAsia" w:ascii="宋体" w:hAnsi="宋体"/>
          <w:color w:val="auto"/>
          <w:sz w:val="24"/>
          <w:szCs w:val="24"/>
          <w:highlight w:val="none"/>
          <w:lang w:eastAsia="zh-CN"/>
        </w:rPr>
        <w:t>采购</w:t>
      </w:r>
      <w:r>
        <w:rPr>
          <w:rFonts w:ascii="宋体" w:hAnsi="宋体"/>
          <w:color w:val="auto"/>
          <w:sz w:val="24"/>
          <w:szCs w:val="24"/>
          <w:highlight w:val="none"/>
        </w:rPr>
        <w:t>必需的信息资料的；</w:t>
      </w:r>
    </w:p>
    <w:p w14:paraId="6EA39B52">
      <w:pPr>
        <w:ind w:firstLine="477" w:firstLineChars="199"/>
        <w:rPr>
          <w:rFonts w:ascii="宋体" w:hAnsi="宋体"/>
          <w:color w:val="auto"/>
          <w:sz w:val="24"/>
          <w:szCs w:val="24"/>
          <w:highlight w:val="none"/>
        </w:rPr>
      </w:pPr>
      <w:r>
        <w:rPr>
          <w:rFonts w:hint="eastAsia" w:ascii="宋体" w:hAnsi="宋体"/>
          <w:color w:val="auto"/>
          <w:sz w:val="24"/>
          <w:szCs w:val="24"/>
          <w:highlight w:val="none"/>
        </w:rPr>
        <w:t>24.6</w:t>
      </w:r>
      <w:r>
        <w:rPr>
          <w:rFonts w:ascii="宋体" w:hAnsi="宋体"/>
          <w:color w:val="auto"/>
          <w:sz w:val="24"/>
          <w:szCs w:val="24"/>
          <w:highlight w:val="none"/>
        </w:rPr>
        <w:t>不同</w:t>
      </w:r>
      <w:r>
        <w:rPr>
          <w:rFonts w:hint="eastAsia" w:ascii="宋体" w:hAnsi="宋体"/>
          <w:color w:val="auto"/>
          <w:sz w:val="24"/>
          <w:szCs w:val="24"/>
          <w:highlight w:val="none"/>
        </w:rPr>
        <w:t>投标人</w:t>
      </w:r>
      <w:r>
        <w:rPr>
          <w:rFonts w:ascii="宋体" w:hAnsi="宋体"/>
          <w:color w:val="auto"/>
          <w:sz w:val="24"/>
          <w:szCs w:val="24"/>
          <w:highlight w:val="none"/>
        </w:rPr>
        <w:t xml:space="preserve">的授权代表为同一单位的工作人员的； </w:t>
      </w:r>
      <w:r>
        <w:rPr>
          <w:rFonts w:hint="eastAsia" w:ascii="宋体" w:hAnsi="宋体"/>
          <w:color w:val="auto"/>
          <w:sz w:val="24"/>
          <w:szCs w:val="24"/>
          <w:highlight w:val="none"/>
        </w:rPr>
        <w:t xml:space="preserve">  </w:t>
      </w:r>
    </w:p>
    <w:p w14:paraId="61DD45F7">
      <w:pPr>
        <w:ind w:firstLine="477" w:firstLineChars="199"/>
        <w:rPr>
          <w:rFonts w:ascii="宋体" w:hAnsi="宋体"/>
          <w:color w:val="auto"/>
          <w:sz w:val="24"/>
          <w:szCs w:val="24"/>
          <w:highlight w:val="none"/>
        </w:rPr>
      </w:pPr>
      <w:r>
        <w:rPr>
          <w:rFonts w:hint="eastAsia" w:ascii="宋体" w:hAnsi="宋体"/>
          <w:color w:val="auto"/>
          <w:sz w:val="24"/>
          <w:szCs w:val="24"/>
          <w:highlight w:val="none"/>
        </w:rPr>
        <w:t>24.7</w:t>
      </w:r>
      <w:r>
        <w:rPr>
          <w:rFonts w:ascii="宋体" w:hAnsi="宋体"/>
          <w:color w:val="auto"/>
          <w:sz w:val="24"/>
          <w:szCs w:val="24"/>
          <w:highlight w:val="none"/>
        </w:rPr>
        <w:t>采购响应截止时间后，</w:t>
      </w:r>
      <w:r>
        <w:rPr>
          <w:rFonts w:hint="eastAsia" w:ascii="宋体" w:hAnsi="宋体"/>
          <w:color w:val="auto"/>
          <w:sz w:val="24"/>
          <w:szCs w:val="24"/>
          <w:highlight w:val="none"/>
        </w:rPr>
        <w:t>采购人</w:t>
      </w:r>
      <w:r>
        <w:rPr>
          <w:rFonts w:ascii="宋体" w:hAnsi="宋体"/>
          <w:color w:val="auto"/>
          <w:sz w:val="24"/>
          <w:szCs w:val="24"/>
          <w:highlight w:val="none"/>
        </w:rPr>
        <w:t>协助</w:t>
      </w:r>
      <w:r>
        <w:rPr>
          <w:rFonts w:hint="eastAsia" w:ascii="宋体" w:hAnsi="宋体"/>
          <w:color w:val="auto"/>
          <w:sz w:val="24"/>
          <w:szCs w:val="24"/>
          <w:highlight w:val="none"/>
        </w:rPr>
        <w:t>投标人</w:t>
      </w:r>
      <w:r>
        <w:rPr>
          <w:rFonts w:ascii="宋体" w:hAnsi="宋体"/>
          <w:color w:val="auto"/>
          <w:sz w:val="24"/>
          <w:szCs w:val="24"/>
          <w:highlight w:val="none"/>
        </w:rPr>
        <w:t>撤换或更改</w:t>
      </w:r>
      <w:r>
        <w:rPr>
          <w:rFonts w:hint="eastAsia" w:ascii="宋体" w:hAnsi="宋体"/>
          <w:color w:val="auto"/>
          <w:sz w:val="24"/>
          <w:szCs w:val="24"/>
          <w:highlight w:val="none"/>
        </w:rPr>
        <w:t>投标</w:t>
      </w:r>
      <w:r>
        <w:rPr>
          <w:rFonts w:ascii="宋体" w:hAnsi="宋体"/>
          <w:color w:val="auto"/>
          <w:sz w:val="24"/>
          <w:szCs w:val="24"/>
          <w:highlight w:val="none"/>
        </w:rPr>
        <w:t>文件的；</w:t>
      </w:r>
    </w:p>
    <w:p w14:paraId="48ED40B9">
      <w:pPr>
        <w:ind w:firstLine="477" w:firstLineChars="199"/>
        <w:rPr>
          <w:rFonts w:ascii="宋体" w:hAnsi="宋体"/>
          <w:color w:val="auto"/>
          <w:sz w:val="24"/>
          <w:szCs w:val="24"/>
          <w:highlight w:val="none"/>
        </w:rPr>
      </w:pPr>
      <w:r>
        <w:rPr>
          <w:rFonts w:hint="eastAsia" w:ascii="宋体" w:hAnsi="宋体"/>
          <w:color w:val="auto"/>
          <w:sz w:val="24"/>
          <w:szCs w:val="24"/>
          <w:highlight w:val="none"/>
        </w:rPr>
        <w:t>24.8采购人</w:t>
      </w:r>
      <w:r>
        <w:rPr>
          <w:rFonts w:ascii="宋体" w:hAnsi="宋体"/>
          <w:color w:val="auto"/>
          <w:sz w:val="24"/>
          <w:szCs w:val="24"/>
          <w:highlight w:val="none"/>
        </w:rPr>
        <w:t>泄露有意向参加</w:t>
      </w:r>
      <w:r>
        <w:rPr>
          <w:rFonts w:hint="eastAsia" w:ascii="宋体" w:hAnsi="宋体"/>
          <w:color w:val="auto"/>
          <w:sz w:val="24"/>
          <w:szCs w:val="24"/>
          <w:highlight w:val="none"/>
          <w:lang w:eastAsia="zh-CN"/>
        </w:rPr>
        <w:t>采购</w:t>
      </w:r>
      <w:r>
        <w:rPr>
          <w:rFonts w:ascii="宋体" w:hAnsi="宋体"/>
          <w:color w:val="auto"/>
          <w:sz w:val="24"/>
          <w:szCs w:val="24"/>
          <w:highlight w:val="none"/>
        </w:rPr>
        <w:t>的</w:t>
      </w:r>
      <w:r>
        <w:rPr>
          <w:rFonts w:hint="eastAsia" w:ascii="宋体" w:hAnsi="宋体"/>
          <w:color w:val="auto"/>
          <w:sz w:val="24"/>
          <w:szCs w:val="24"/>
          <w:highlight w:val="none"/>
        </w:rPr>
        <w:t>投标人</w:t>
      </w:r>
      <w:r>
        <w:rPr>
          <w:rFonts w:ascii="宋体" w:hAnsi="宋体"/>
          <w:color w:val="auto"/>
          <w:sz w:val="24"/>
          <w:szCs w:val="24"/>
          <w:highlight w:val="none"/>
        </w:rPr>
        <w:t>名称、数量等应当保密的事项的；</w:t>
      </w:r>
    </w:p>
    <w:p w14:paraId="1ADF7D10">
      <w:pPr>
        <w:ind w:firstLine="477" w:firstLineChars="199"/>
        <w:rPr>
          <w:rFonts w:ascii="宋体" w:hAnsi="宋体"/>
          <w:color w:val="auto"/>
          <w:sz w:val="24"/>
          <w:szCs w:val="24"/>
          <w:highlight w:val="none"/>
        </w:rPr>
      </w:pPr>
      <w:r>
        <w:rPr>
          <w:rFonts w:hint="eastAsia" w:ascii="宋体" w:hAnsi="宋体"/>
          <w:color w:val="auto"/>
          <w:sz w:val="24"/>
          <w:szCs w:val="24"/>
          <w:highlight w:val="none"/>
        </w:rPr>
        <w:t>24.9</w:t>
      </w:r>
      <w:r>
        <w:rPr>
          <w:rFonts w:ascii="宋体" w:hAnsi="宋体"/>
          <w:color w:val="auto"/>
          <w:sz w:val="24"/>
          <w:szCs w:val="24"/>
          <w:highlight w:val="none"/>
        </w:rPr>
        <w:t>不同</w:t>
      </w:r>
      <w:r>
        <w:rPr>
          <w:rFonts w:hint="eastAsia" w:ascii="宋体" w:hAnsi="宋体"/>
          <w:color w:val="auto"/>
          <w:sz w:val="24"/>
          <w:szCs w:val="24"/>
          <w:highlight w:val="none"/>
        </w:rPr>
        <w:t>投标人</w:t>
      </w:r>
      <w:r>
        <w:rPr>
          <w:rFonts w:ascii="宋体" w:hAnsi="宋体"/>
          <w:color w:val="auto"/>
          <w:sz w:val="24"/>
          <w:szCs w:val="24"/>
          <w:highlight w:val="none"/>
        </w:rPr>
        <w:t>之间私下达成书面或口头协议，指定一家</w:t>
      </w:r>
      <w:r>
        <w:rPr>
          <w:rFonts w:hint="eastAsia" w:ascii="宋体" w:hAnsi="宋体"/>
          <w:color w:val="auto"/>
          <w:sz w:val="24"/>
          <w:szCs w:val="24"/>
          <w:highlight w:val="none"/>
        </w:rPr>
        <w:t>投标人</w:t>
      </w:r>
      <w:r>
        <w:rPr>
          <w:rFonts w:ascii="宋体" w:hAnsi="宋体"/>
          <w:color w:val="auto"/>
          <w:sz w:val="24"/>
          <w:szCs w:val="24"/>
          <w:highlight w:val="none"/>
        </w:rPr>
        <w:t>中标或轮流中标的；</w:t>
      </w:r>
    </w:p>
    <w:p w14:paraId="31036C22">
      <w:pPr>
        <w:ind w:firstLine="477" w:firstLineChars="199"/>
        <w:rPr>
          <w:rFonts w:ascii="宋体" w:hAnsi="宋体"/>
          <w:color w:val="auto"/>
          <w:sz w:val="24"/>
          <w:szCs w:val="24"/>
          <w:highlight w:val="none"/>
        </w:rPr>
      </w:pPr>
      <w:r>
        <w:rPr>
          <w:rFonts w:hint="eastAsia" w:ascii="宋体" w:hAnsi="宋体"/>
          <w:color w:val="auto"/>
          <w:sz w:val="24"/>
          <w:szCs w:val="24"/>
          <w:highlight w:val="none"/>
        </w:rPr>
        <w:t>24.10属于同一集团、协会、商会等组织成员的投标人按照该组织要求协同的投标；</w:t>
      </w:r>
    </w:p>
    <w:p w14:paraId="10F78945">
      <w:pPr>
        <w:ind w:firstLine="477" w:firstLineChars="199"/>
        <w:rPr>
          <w:rFonts w:ascii="宋体" w:hAnsi="宋体"/>
          <w:color w:val="auto"/>
          <w:sz w:val="24"/>
          <w:szCs w:val="24"/>
          <w:highlight w:val="none"/>
        </w:rPr>
      </w:pPr>
      <w:r>
        <w:rPr>
          <w:rFonts w:hint="eastAsia" w:ascii="宋体" w:hAnsi="宋体"/>
          <w:color w:val="auto"/>
          <w:sz w:val="24"/>
          <w:szCs w:val="24"/>
          <w:highlight w:val="none"/>
        </w:rPr>
        <w:t>24.11投标人之间为谋取中标或者排斥特定投标人而采取的其他联合行动；</w:t>
      </w:r>
    </w:p>
    <w:p w14:paraId="31752C89">
      <w:pPr>
        <w:ind w:firstLine="477" w:firstLineChars="199"/>
        <w:rPr>
          <w:rFonts w:ascii="宋体" w:hAnsi="宋体"/>
          <w:color w:val="auto"/>
          <w:sz w:val="24"/>
          <w:szCs w:val="24"/>
          <w:highlight w:val="none"/>
        </w:rPr>
      </w:pPr>
      <w:r>
        <w:rPr>
          <w:rFonts w:hint="eastAsia" w:ascii="宋体" w:hAnsi="宋体"/>
          <w:color w:val="auto"/>
          <w:sz w:val="24"/>
          <w:szCs w:val="24"/>
          <w:highlight w:val="none"/>
        </w:rPr>
        <w:t>24.12不同投标人与同一投标人联合投标的；</w:t>
      </w:r>
    </w:p>
    <w:p w14:paraId="06669EDA">
      <w:pPr>
        <w:ind w:firstLine="477" w:firstLineChars="199"/>
        <w:rPr>
          <w:rFonts w:ascii="宋体" w:hAnsi="宋体"/>
          <w:color w:val="auto"/>
          <w:sz w:val="24"/>
          <w:szCs w:val="24"/>
          <w:highlight w:val="none"/>
        </w:rPr>
      </w:pPr>
      <w:r>
        <w:rPr>
          <w:rFonts w:hint="eastAsia" w:ascii="宋体" w:hAnsi="宋体"/>
          <w:color w:val="auto"/>
          <w:sz w:val="24"/>
          <w:szCs w:val="24"/>
          <w:highlight w:val="none"/>
        </w:rPr>
        <w:t>24.13采购人（或采购代理机构）明示或者暗示投标人压低或者抬高投标报价；</w:t>
      </w:r>
    </w:p>
    <w:p w14:paraId="252F2508">
      <w:pPr>
        <w:ind w:firstLine="477" w:firstLineChars="199"/>
        <w:rPr>
          <w:rFonts w:ascii="宋体" w:hAnsi="宋体"/>
          <w:color w:val="auto"/>
          <w:sz w:val="24"/>
          <w:szCs w:val="24"/>
          <w:highlight w:val="none"/>
        </w:rPr>
      </w:pPr>
      <w:r>
        <w:rPr>
          <w:rFonts w:hint="eastAsia" w:ascii="宋体" w:hAnsi="宋体"/>
          <w:color w:val="auto"/>
          <w:sz w:val="24"/>
          <w:szCs w:val="24"/>
          <w:highlight w:val="none"/>
        </w:rPr>
        <w:t>24.14采购人（或采购代理机构）明示或者暗示投标人为特定投标人中标提供方便；</w:t>
      </w:r>
    </w:p>
    <w:p w14:paraId="7099E325">
      <w:pPr>
        <w:ind w:firstLine="477" w:firstLineChars="199"/>
        <w:rPr>
          <w:rFonts w:ascii="宋体" w:hAnsi="宋体"/>
          <w:color w:val="auto"/>
          <w:sz w:val="24"/>
          <w:szCs w:val="24"/>
          <w:highlight w:val="none"/>
        </w:rPr>
      </w:pPr>
      <w:r>
        <w:rPr>
          <w:rFonts w:hint="eastAsia" w:ascii="宋体" w:hAnsi="宋体"/>
          <w:color w:val="auto"/>
          <w:sz w:val="24"/>
          <w:szCs w:val="24"/>
          <w:highlight w:val="none"/>
        </w:rPr>
        <w:t>24.15采购人（或采购代理机构）与投标人为谋求特定投标人中标而采取的其他串通行为；</w:t>
      </w:r>
    </w:p>
    <w:p w14:paraId="16D699B3">
      <w:pPr>
        <w:snapToGrid w:val="0"/>
        <w:ind w:firstLine="480" w:firstLineChars="200"/>
        <w:rPr>
          <w:rFonts w:hint="eastAsia" w:ascii="宋体" w:hAnsi="宋体"/>
          <w:b/>
          <w:color w:val="auto"/>
          <w:sz w:val="24"/>
          <w:szCs w:val="24"/>
          <w:highlight w:val="none"/>
        </w:rPr>
      </w:pPr>
      <w:r>
        <w:rPr>
          <w:rFonts w:hint="eastAsia" w:ascii="宋体" w:hAnsi="宋体"/>
          <w:color w:val="auto"/>
          <w:sz w:val="24"/>
          <w:szCs w:val="24"/>
          <w:highlight w:val="none"/>
        </w:rPr>
        <w:t>24.16</w:t>
      </w:r>
      <w:r>
        <w:rPr>
          <w:rFonts w:ascii="宋体" w:hAnsi="宋体"/>
          <w:color w:val="auto"/>
          <w:sz w:val="24"/>
          <w:szCs w:val="24"/>
          <w:highlight w:val="none"/>
        </w:rPr>
        <w:t>法律、法规或规章规定的其他串通行为。</w:t>
      </w:r>
    </w:p>
    <w:p w14:paraId="3DE93FA6">
      <w:pPr>
        <w:ind w:firstLine="482" w:firstLineChars="200"/>
        <w:rPr>
          <w:rFonts w:ascii="宋体" w:hAnsi="宋体"/>
          <w:b/>
          <w:color w:val="auto"/>
          <w:sz w:val="24"/>
          <w:szCs w:val="24"/>
          <w:highlight w:val="none"/>
        </w:rPr>
      </w:pPr>
      <w:r>
        <w:rPr>
          <w:rFonts w:hint="eastAsia" w:ascii="宋体" w:hAnsi="宋体"/>
          <w:b/>
          <w:color w:val="auto"/>
          <w:sz w:val="24"/>
          <w:szCs w:val="24"/>
          <w:highlight w:val="none"/>
        </w:rPr>
        <w:t>25.投标文件的澄清</w:t>
      </w:r>
    </w:p>
    <w:p w14:paraId="6BA91A25">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对投标文件中含义不明确、同类问题表述不一致或者有明显文字错误的内容，评标委员会可以在“</w:t>
      </w:r>
      <w:r>
        <w:rPr>
          <w:rFonts w:hint="eastAsia" w:ascii="宋体" w:hAnsi="宋体"/>
          <w:color w:val="auto"/>
          <w:sz w:val="24"/>
          <w:highlight w:val="none"/>
          <w:lang w:eastAsia="zh-CN"/>
        </w:rPr>
        <w:t>乐采云</w:t>
      </w:r>
      <w:r>
        <w:rPr>
          <w:rFonts w:hint="eastAsia" w:ascii="宋体" w:hAnsi="宋体"/>
          <w:color w:val="auto"/>
          <w:sz w:val="24"/>
          <w:highlight w:val="none"/>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1D17E580">
      <w:pPr>
        <w:pStyle w:val="11"/>
        <w:snapToGrid w:val="0"/>
        <w:ind w:left="720" w:leftChars="228" w:hanging="241" w:hangingChars="100"/>
        <w:rPr>
          <w:rFonts w:ascii="宋体" w:hAnsi="宋体"/>
          <w:b/>
          <w:color w:val="auto"/>
          <w:highlight w:val="none"/>
        </w:rPr>
      </w:pPr>
      <w:r>
        <w:rPr>
          <w:rFonts w:hint="eastAsia" w:ascii="宋体" w:hAnsi="宋体"/>
          <w:b/>
          <w:color w:val="auto"/>
          <w:highlight w:val="none"/>
        </w:rPr>
        <w:t>26.</w:t>
      </w:r>
      <w:r>
        <w:rPr>
          <w:rFonts w:ascii="宋体" w:hAnsi="宋体"/>
          <w:b/>
          <w:color w:val="auto"/>
          <w:highlight w:val="none"/>
        </w:rPr>
        <w:t>错误修正</w:t>
      </w:r>
    </w:p>
    <w:p w14:paraId="1D8B1CC6">
      <w:pPr>
        <w:pStyle w:val="14"/>
        <w:ind w:firstLine="480" w:firstLineChars="200"/>
        <w:rPr>
          <w:rFonts w:ascii="宋体" w:hAnsi="宋体"/>
          <w:color w:val="auto"/>
          <w:sz w:val="24"/>
          <w:highlight w:val="none"/>
        </w:rPr>
      </w:pPr>
      <w:r>
        <w:rPr>
          <w:rFonts w:hint="eastAsia" w:ascii="宋体" w:hAnsi="宋体"/>
          <w:color w:val="auto"/>
          <w:sz w:val="24"/>
          <w:highlight w:val="none"/>
        </w:rPr>
        <w:t>投标文件报价出现前后不一致的，按照下列规定修正：</w:t>
      </w:r>
    </w:p>
    <w:p w14:paraId="5E1F7275">
      <w:pPr>
        <w:pStyle w:val="14"/>
        <w:ind w:firstLine="480" w:firstLineChars="200"/>
        <w:rPr>
          <w:rFonts w:ascii="宋体" w:hAnsi="宋体"/>
          <w:color w:val="auto"/>
          <w:sz w:val="24"/>
          <w:highlight w:val="none"/>
        </w:rPr>
      </w:pPr>
      <w:r>
        <w:rPr>
          <w:rFonts w:hint="eastAsia" w:ascii="宋体" w:hAnsi="宋体"/>
          <w:color w:val="auto"/>
          <w:sz w:val="24"/>
          <w:highlight w:val="none"/>
        </w:rPr>
        <w:t>26.1投标文件中开标一览表（报价表）内容与投标文件中相应内容不一致的，以开标一览表（报价表）为准。</w:t>
      </w:r>
    </w:p>
    <w:p w14:paraId="24D0B16D">
      <w:pPr>
        <w:pStyle w:val="14"/>
        <w:ind w:firstLine="480" w:firstLineChars="200"/>
        <w:rPr>
          <w:rFonts w:ascii="宋体" w:hAnsi="宋体"/>
          <w:color w:val="auto"/>
          <w:sz w:val="24"/>
          <w:highlight w:val="none"/>
        </w:rPr>
      </w:pPr>
      <w:r>
        <w:rPr>
          <w:rFonts w:hint="eastAsia" w:ascii="宋体" w:hAnsi="宋体"/>
          <w:color w:val="auto"/>
          <w:sz w:val="24"/>
          <w:highlight w:val="none"/>
        </w:rPr>
        <w:t>26.2大写金额和小写金额不一致的，以大写金额为准。</w:t>
      </w:r>
    </w:p>
    <w:p w14:paraId="3718AE0D">
      <w:pPr>
        <w:pStyle w:val="14"/>
        <w:ind w:firstLine="480" w:firstLineChars="200"/>
        <w:rPr>
          <w:rFonts w:ascii="宋体" w:hAnsi="宋体"/>
          <w:color w:val="auto"/>
          <w:sz w:val="24"/>
          <w:highlight w:val="none"/>
        </w:rPr>
      </w:pPr>
      <w:r>
        <w:rPr>
          <w:rFonts w:hint="eastAsia" w:ascii="宋体" w:hAnsi="宋体"/>
          <w:color w:val="auto"/>
          <w:sz w:val="24"/>
          <w:highlight w:val="none"/>
        </w:rPr>
        <w:t>26.3单价金额小数点或者百分比有明显错位的，以开标一览表的总价为准，并修改单价。</w:t>
      </w:r>
    </w:p>
    <w:p w14:paraId="535E5B19">
      <w:pPr>
        <w:pStyle w:val="14"/>
        <w:ind w:firstLine="480" w:firstLineChars="200"/>
        <w:rPr>
          <w:rFonts w:ascii="宋体" w:hAnsi="宋体"/>
          <w:color w:val="auto"/>
          <w:sz w:val="24"/>
          <w:highlight w:val="none"/>
        </w:rPr>
      </w:pPr>
      <w:r>
        <w:rPr>
          <w:rFonts w:hint="eastAsia" w:ascii="宋体" w:hAnsi="宋体"/>
          <w:color w:val="auto"/>
          <w:sz w:val="24"/>
          <w:highlight w:val="none"/>
        </w:rPr>
        <w:t>26.4总价金额与按单价汇总金额不一致的，以单价金额计算结果为准。</w:t>
      </w:r>
    </w:p>
    <w:p w14:paraId="13BBA11E">
      <w:pPr>
        <w:pStyle w:val="14"/>
        <w:ind w:firstLine="480" w:firstLineChars="200"/>
        <w:rPr>
          <w:rFonts w:ascii="宋体" w:hAnsi="宋体"/>
          <w:color w:val="auto"/>
          <w:sz w:val="24"/>
          <w:highlight w:val="none"/>
        </w:rPr>
      </w:pPr>
      <w:r>
        <w:rPr>
          <w:rFonts w:hint="eastAsia" w:ascii="宋体" w:hAnsi="宋体"/>
          <w:color w:val="auto"/>
          <w:sz w:val="24"/>
          <w:highlight w:val="none"/>
        </w:rPr>
        <w:t>同时出现两种以上不一致的，按照上述规定的顺序修正。</w:t>
      </w:r>
    </w:p>
    <w:p w14:paraId="3B814CE9">
      <w:pPr>
        <w:pStyle w:val="14"/>
        <w:ind w:firstLine="480" w:firstLineChars="200"/>
        <w:rPr>
          <w:rFonts w:ascii="宋体" w:hAnsi="宋体"/>
          <w:color w:val="auto"/>
          <w:sz w:val="24"/>
          <w:highlight w:val="none"/>
        </w:rPr>
      </w:pPr>
      <w:r>
        <w:rPr>
          <w:rFonts w:ascii="宋体" w:hAnsi="宋体"/>
          <w:color w:val="auto"/>
          <w:sz w:val="24"/>
          <w:highlight w:val="none"/>
        </w:rPr>
        <w:t>按上述修正错误的原则及方法调整或修正投标文件的投标报价，投标人同意</w:t>
      </w:r>
      <w:r>
        <w:rPr>
          <w:rFonts w:hint="eastAsia" w:ascii="宋体" w:hAnsi="宋体"/>
          <w:color w:val="auto"/>
          <w:sz w:val="24"/>
          <w:highlight w:val="none"/>
        </w:rPr>
        <w:t>并加盖公章确认</w:t>
      </w:r>
      <w:r>
        <w:rPr>
          <w:rFonts w:ascii="宋体" w:hAnsi="宋体"/>
          <w:color w:val="auto"/>
          <w:sz w:val="24"/>
          <w:highlight w:val="none"/>
        </w:rPr>
        <w:t>，调整后的投标报价对投标人具有约束作用。如果投标人不接受修正后的报价，则其投标将</w:t>
      </w:r>
      <w:r>
        <w:rPr>
          <w:rFonts w:hint="eastAsia" w:ascii="宋体" w:hAnsi="宋体"/>
          <w:color w:val="auto"/>
          <w:sz w:val="24"/>
          <w:highlight w:val="none"/>
        </w:rPr>
        <w:t>作为无效投标处理</w:t>
      </w:r>
      <w:r>
        <w:rPr>
          <w:rFonts w:ascii="宋体" w:hAnsi="宋体"/>
          <w:color w:val="auto"/>
          <w:sz w:val="24"/>
          <w:highlight w:val="none"/>
        </w:rPr>
        <w:t>。</w:t>
      </w:r>
    </w:p>
    <w:p w14:paraId="5D5EC79E">
      <w:pPr>
        <w:pStyle w:val="14"/>
        <w:ind w:firstLine="482" w:firstLineChars="200"/>
        <w:rPr>
          <w:rFonts w:ascii="宋体" w:hAnsi="宋体"/>
          <w:b/>
          <w:color w:val="auto"/>
          <w:sz w:val="24"/>
          <w:highlight w:val="none"/>
        </w:rPr>
      </w:pPr>
      <w:r>
        <w:rPr>
          <w:rFonts w:hint="eastAsia" w:ascii="宋体" w:hAnsi="宋体"/>
          <w:b/>
          <w:color w:val="auto"/>
          <w:sz w:val="24"/>
          <w:highlight w:val="none"/>
        </w:rPr>
        <w:t>27.评标办法。</w:t>
      </w:r>
    </w:p>
    <w:p w14:paraId="3E604A54">
      <w:p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详见招标文件第三章《评标办法》</w:t>
      </w:r>
    </w:p>
    <w:p w14:paraId="500CC1D1">
      <w:pPr>
        <w:ind w:firstLine="482" w:firstLineChars="200"/>
        <w:rPr>
          <w:rFonts w:ascii="宋体" w:hAnsi="宋体"/>
          <w:b/>
          <w:color w:val="auto"/>
          <w:sz w:val="24"/>
          <w:highlight w:val="none"/>
        </w:rPr>
      </w:pPr>
      <w:r>
        <w:rPr>
          <w:rFonts w:hint="eastAsia" w:ascii="宋体" w:hAnsi="宋体"/>
          <w:b/>
          <w:color w:val="auto"/>
          <w:sz w:val="24"/>
          <w:highlight w:val="none"/>
        </w:rPr>
        <w:t>28.</w:t>
      </w:r>
      <w:r>
        <w:rPr>
          <w:rFonts w:hint="eastAsia" w:ascii="宋体" w:hAnsi="宋体"/>
          <w:b/>
          <w:bCs/>
          <w:color w:val="auto"/>
          <w:sz w:val="24"/>
          <w:highlight w:val="none"/>
        </w:rPr>
        <w:t>评标过程的保密</w:t>
      </w:r>
    </w:p>
    <w:p w14:paraId="6555B32D">
      <w:pPr>
        <w:pStyle w:val="14"/>
        <w:ind w:firstLine="480" w:firstLineChars="200"/>
        <w:rPr>
          <w:rFonts w:ascii="宋体" w:hAnsi="宋体"/>
          <w:color w:val="auto"/>
          <w:sz w:val="24"/>
          <w:highlight w:val="none"/>
        </w:rPr>
      </w:pPr>
      <w:r>
        <w:rPr>
          <w:rFonts w:hint="eastAsia" w:ascii="宋体" w:hAnsi="宋体"/>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60A70A81">
      <w:pPr>
        <w:pStyle w:val="14"/>
        <w:ind w:firstLine="480" w:firstLineChars="200"/>
        <w:rPr>
          <w:rFonts w:ascii="宋体" w:hAnsi="宋体"/>
          <w:color w:val="auto"/>
          <w:sz w:val="24"/>
          <w:highlight w:val="none"/>
        </w:rPr>
      </w:pPr>
      <w:r>
        <w:rPr>
          <w:rFonts w:hint="eastAsia" w:ascii="宋体" w:hAnsi="宋体"/>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1E36C10E">
      <w:pPr>
        <w:pStyle w:val="14"/>
        <w:ind w:firstLine="480" w:firstLineChars="200"/>
        <w:rPr>
          <w:rFonts w:ascii="宋体" w:hAnsi="宋体"/>
          <w:color w:val="auto"/>
          <w:sz w:val="24"/>
          <w:highlight w:val="none"/>
        </w:rPr>
      </w:pPr>
      <w:r>
        <w:rPr>
          <w:rFonts w:hint="eastAsia" w:ascii="宋体" w:hAnsi="宋体"/>
          <w:color w:val="auto"/>
          <w:sz w:val="24"/>
          <w:highlight w:val="none"/>
        </w:rPr>
        <w:t>28.3中标人确定后，采购人不对未中标人就评标过程以及未能中标原因作出任何解释。未中标人不得向评标委员会或其他有关人员索问评标过程的情况和材料。</w:t>
      </w:r>
    </w:p>
    <w:p w14:paraId="1A61C536">
      <w:pPr>
        <w:pStyle w:val="4"/>
        <w:spacing w:line="360" w:lineRule="exact"/>
        <w:jc w:val="center"/>
        <w:rPr>
          <w:rFonts w:ascii="宋体" w:hAnsi="宋体" w:eastAsia="宋体"/>
          <w:color w:val="auto"/>
          <w:sz w:val="28"/>
          <w:szCs w:val="28"/>
          <w:highlight w:val="none"/>
        </w:rPr>
      </w:pPr>
      <w:bookmarkStart w:id="6" w:name="_Toc125344509"/>
      <w:r>
        <w:rPr>
          <w:rFonts w:hint="eastAsia" w:ascii="宋体" w:hAnsi="宋体" w:eastAsia="宋体"/>
          <w:color w:val="auto"/>
          <w:sz w:val="28"/>
          <w:szCs w:val="28"/>
          <w:highlight w:val="none"/>
        </w:rPr>
        <w:t>六、</w:t>
      </w:r>
      <w:bookmarkEnd w:id="6"/>
      <w:r>
        <w:rPr>
          <w:rFonts w:hint="eastAsia" w:ascii="宋体" w:hAnsi="宋体" w:eastAsia="宋体"/>
          <w:color w:val="auto"/>
          <w:sz w:val="28"/>
          <w:szCs w:val="28"/>
          <w:highlight w:val="none"/>
        </w:rPr>
        <w:t>定标</w:t>
      </w:r>
    </w:p>
    <w:p w14:paraId="2948CCC1">
      <w:pPr>
        <w:pStyle w:val="14"/>
        <w:ind w:firstLine="482" w:firstLineChars="200"/>
        <w:rPr>
          <w:rFonts w:ascii="宋体" w:hAnsi="宋体"/>
          <w:color w:val="auto"/>
          <w:sz w:val="24"/>
          <w:highlight w:val="none"/>
        </w:rPr>
      </w:pPr>
      <w:r>
        <w:rPr>
          <w:rFonts w:hint="eastAsia" w:ascii="宋体" w:hAnsi="宋体"/>
          <w:b/>
          <w:bCs/>
          <w:color w:val="auto"/>
          <w:sz w:val="24"/>
          <w:highlight w:val="none"/>
        </w:rPr>
        <w:t>29.确定中标人。本项目由采购人确定中标人。</w:t>
      </w:r>
    </w:p>
    <w:p w14:paraId="1E6397AB">
      <w:pPr>
        <w:ind w:firstLine="480" w:firstLineChars="200"/>
        <w:rPr>
          <w:rFonts w:ascii="宋体" w:hAnsi="宋体"/>
          <w:color w:val="auto"/>
          <w:sz w:val="24"/>
          <w:highlight w:val="none"/>
        </w:rPr>
      </w:pPr>
      <w:r>
        <w:rPr>
          <w:rFonts w:hint="eastAsia" w:ascii="宋体" w:hAnsi="宋体"/>
          <w:color w:val="auto"/>
          <w:sz w:val="24"/>
          <w:highlight w:val="none"/>
        </w:rPr>
        <w:t>29.1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4910BD01">
      <w:pPr>
        <w:pStyle w:val="14"/>
        <w:ind w:firstLine="480" w:firstLineChars="200"/>
        <w:rPr>
          <w:rFonts w:ascii="宋体" w:hAnsi="宋体"/>
          <w:color w:val="auto"/>
          <w:sz w:val="24"/>
          <w:highlight w:val="none"/>
        </w:rPr>
      </w:pPr>
      <w:r>
        <w:rPr>
          <w:rFonts w:hint="eastAsia" w:ascii="宋体" w:hAnsi="宋体"/>
          <w:color w:val="auto"/>
          <w:sz w:val="24"/>
          <w:highlight w:val="none"/>
        </w:rPr>
        <w:t>29.2第一名中标候选人无正当理由放弃中标成交或被取消中标资格的，同时上报</w:t>
      </w:r>
      <w:r>
        <w:rPr>
          <w:rFonts w:hint="eastAsia" w:ascii="宋体" w:hAnsi="宋体"/>
          <w:color w:val="auto"/>
          <w:sz w:val="24"/>
          <w:highlight w:val="none"/>
          <w:lang w:val="en-US" w:eastAsia="zh-CN"/>
        </w:rPr>
        <w:t>诸暨市建设集团有限公司招投标监管领导小组办公室</w:t>
      </w:r>
      <w:r>
        <w:rPr>
          <w:rFonts w:hint="eastAsia" w:ascii="宋体" w:hAnsi="宋体"/>
          <w:color w:val="auto"/>
          <w:sz w:val="24"/>
          <w:highlight w:val="none"/>
        </w:rPr>
        <w:t>，</w:t>
      </w:r>
      <w:r>
        <w:rPr>
          <w:rFonts w:hint="eastAsia" w:ascii="宋体" w:hAnsi="宋体"/>
          <w:color w:val="auto"/>
          <w:sz w:val="24"/>
          <w:highlight w:val="none"/>
          <w:lang w:val="en-US" w:eastAsia="zh-CN"/>
        </w:rPr>
        <w:t>诸暨市建设集团有限公司招投标监管领导小组办公室</w:t>
      </w:r>
      <w:r>
        <w:rPr>
          <w:rFonts w:hint="eastAsia" w:ascii="宋体" w:hAnsi="宋体"/>
          <w:color w:val="auto"/>
          <w:sz w:val="24"/>
          <w:highlight w:val="none"/>
        </w:rPr>
        <w:t>将按《诸暨市招投标市场不良行为记录暂行规定》等有关法律、法规、制度进行处理。</w:t>
      </w:r>
      <w:r>
        <w:rPr>
          <w:rFonts w:hint="eastAsia" w:ascii="宋体" w:hAnsi="宋体"/>
          <w:b/>
          <w:color w:val="auto"/>
          <w:sz w:val="24"/>
          <w:highlight w:val="none"/>
        </w:rPr>
        <w:t>此标的将另行组织采购</w:t>
      </w:r>
      <w:r>
        <w:rPr>
          <w:rFonts w:hint="eastAsia" w:ascii="宋体" w:hAnsi="宋体"/>
          <w:color w:val="auto"/>
          <w:sz w:val="24"/>
          <w:highlight w:val="none"/>
        </w:rPr>
        <w:t>。</w:t>
      </w:r>
    </w:p>
    <w:p w14:paraId="0B7E5ECD">
      <w:pPr>
        <w:snapToGrid w:val="0"/>
        <w:ind w:firstLine="470" w:firstLineChars="19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30.中标通知与中标结果公告</w:t>
      </w:r>
    </w:p>
    <w:p w14:paraId="0A5725FB">
      <w:pPr>
        <w:snapToGrid w:val="0"/>
        <w:ind w:firstLine="470" w:firstLineChars="19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30.1中标公示期满后，无异议的，采购人确认中标结果，</w:t>
      </w:r>
      <w:r>
        <w:rPr>
          <w:rFonts w:hint="eastAsia" w:ascii="宋体" w:hAnsi="宋体" w:cs="宋体"/>
          <w:color w:val="auto"/>
          <w:sz w:val="24"/>
          <w:highlight w:val="none"/>
          <w:lang w:val="en-US" w:eastAsia="zh-CN"/>
        </w:rPr>
        <w:t>诸暨市杰虎工程咨询有限公司</w:t>
      </w:r>
      <w:r>
        <w:rPr>
          <w:rFonts w:hint="eastAsia" w:ascii="宋体" w:hAnsi="宋体" w:eastAsia="宋体" w:cs="宋体"/>
          <w:color w:val="auto"/>
          <w:sz w:val="24"/>
          <w:highlight w:val="none"/>
          <w:lang w:val="en-US" w:eastAsia="zh-CN"/>
        </w:rPr>
        <w:t>核发《中标通知书》。《中标通知书》一经发出即发生法律效力。</w:t>
      </w:r>
    </w:p>
    <w:p w14:paraId="6E2A30C1">
      <w:pPr>
        <w:snapToGrid w:val="0"/>
        <w:ind w:firstLine="470" w:firstLineChars="19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30.2中标结果将于公示期满后在相关网站以中标公告形式发布，中标人须在中标公告发布后到</w:t>
      </w:r>
      <w:r>
        <w:rPr>
          <w:rFonts w:hint="eastAsia" w:ascii="宋体" w:hAnsi="宋体" w:cs="宋体"/>
          <w:color w:val="auto"/>
          <w:sz w:val="24"/>
          <w:highlight w:val="none"/>
          <w:lang w:val="en-US" w:eastAsia="zh-CN"/>
        </w:rPr>
        <w:t>诸暨市杰虎工程咨询有限公司</w:t>
      </w:r>
      <w:r>
        <w:rPr>
          <w:rFonts w:hint="eastAsia" w:ascii="宋体" w:hAnsi="宋体" w:eastAsia="宋体" w:cs="宋体"/>
          <w:color w:val="auto"/>
          <w:sz w:val="24"/>
          <w:highlight w:val="none"/>
          <w:lang w:val="en-US" w:eastAsia="zh-CN"/>
        </w:rPr>
        <w:t>领取书面通知。</w:t>
      </w:r>
    </w:p>
    <w:p w14:paraId="7CF2CA49">
      <w:pPr>
        <w:snapToGrid w:val="0"/>
        <w:ind w:firstLine="472" w:firstLineChars="196"/>
        <w:rPr>
          <w:rFonts w:ascii="宋体" w:hAnsi="宋体"/>
          <w:b/>
          <w:bCs/>
          <w:color w:val="auto"/>
          <w:sz w:val="24"/>
          <w:highlight w:val="none"/>
        </w:rPr>
      </w:pPr>
      <w:r>
        <w:rPr>
          <w:rFonts w:hint="eastAsia" w:ascii="宋体" w:hAnsi="宋体"/>
          <w:b/>
          <w:bCs/>
          <w:color w:val="auto"/>
          <w:sz w:val="24"/>
          <w:highlight w:val="none"/>
        </w:rPr>
        <w:t>31. 中标无效情形</w:t>
      </w:r>
    </w:p>
    <w:p w14:paraId="36AE81C8">
      <w:pPr>
        <w:pStyle w:val="14"/>
        <w:ind w:firstLine="480" w:firstLineChars="200"/>
        <w:rPr>
          <w:rFonts w:ascii="宋体" w:hAnsi="宋体"/>
          <w:color w:val="auto"/>
          <w:sz w:val="24"/>
          <w:highlight w:val="none"/>
        </w:rPr>
      </w:pPr>
      <w:r>
        <w:rPr>
          <w:rFonts w:hint="eastAsia" w:ascii="宋体" w:hAnsi="宋体"/>
          <w:color w:val="auto"/>
          <w:sz w:val="24"/>
          <w:highlight w:val="none"/>
        </w:rPr>
        <w:t>中标人存在下列情形之一的，中标无效：</w:t>
      </w:r>
    </w:p>
    <w:p w14:paraId="7C70341F">
      <w:pPr>
        <w:pStyle w:val="14"/>
        <w:ind w:firstLine="480" w:firstLineChars="200"/>
        <w:rPr>
          <w:rFonts w:ascii="宋体" w:hAnsi="宋体"/>
          <w:color w:val="auto"/>
          <w:sz w:val="24"/>
          <w:highlight w:val="none"/>
        </w:rPr>
      </w:pPr>
      <w:r>
        <w:rPr>
          <w:rFonts w:hint="eastAsia" w:ascii="宋体" w:hAnsi="宋体"/>
          <w:color w:val="auto"/>
          <w:sz w:val="24"/>
          <w:highlight w:val="none"/>
        </w:rPr>
        <w:t>31.1提供虚假材料谋取中标的；</w:t>
      </w:r>
    </w:p>
    <w:p w14:paraId="6A6AA94F">
      <w:pPr>
        <w:pStyle w:val="14"/>
        <w:ind w:firstLine="480" w:firstLineChars="200"/>
        <w:rPr>
          <w:rFonts w:ascii="宋体" w:hAnsi="宋体"/>
          <w:color w:val="auto"/>
          <w:sz w:val="24"/>
          <w:highlight w:val="none"/>
        </w:rPr>
      </w:pPr>
      <w:r>
        <w:rPr>
          <w:rFonts w:hint="eastAsia" w:ascii="宋体" w:hAnsi="宋体"/>
          <w:color w:val="auto"/>
          <w:sz w:val="24"/>
          <w:highlight w:val="none"/>
        </w:rPr>
        <w:t>31.2采取不正当手段诋毁、排挤其他投标人的；</w:t>
      </w:r>
    </w:p>
    <w:p w14:paraId="02E6BA94">
      <w:pPr>
        <w:pStyle w:val="14"/>
        <w:ind w:firstLine="480" w:firstLineChars="200"/>
        <w:rPr>
          <w:rFonts w:ascii="宋体" w:hAnsi="宋体"/>
          <w:color w:val="auto"/>
          <w:sz w:val="24"/>
          <w:highlight w:val="none"/>
        </w:rPr>
      </w:pPr>
      <w:r>
        <w:rPr>
          <w:rFonts w:hint="eastAsia" w:ascii="宋体" w:hAnsi="宋体"/>
          <w:color w:val="auto"/>
          <w:sz w:val="24"/>
          <w:highlight w:val="none"/>
        </w:rPr>
        <w:t>31.3与采购人、其他投标人恶意串通的；</w:t>
      </w:r>
    </w:p>
    <w:p w14:paraId="7DEA9A93">
      <w:pPr>
        <w:pStyle w:val="14"/>
        <w:ind w:firstLine="480" w:firstLineChars="200"/>
        <w:rPr>
          <w:rFonts w:ascii="宋体" w:hAnsi="宋体"/>
          <w:color w:val="auto"/>
          <w:sz w:val="24"/>
          <w:highlight w:val="none"/>
        </w:rPr>
      </w:pPr>
      <w:r>
        <w:rPr>
          <w:rFonts w:hint="eastAsia" w:ascii="宋体" w:hAnsi="宋体"/>
          <w:color w:val="auto"/>
          <w:sz w:val="24"/>
          <w:highlight w:val="none"/>
        </w:rPr>
        <w:t>31.4向采购人、采购代理机构行贿或者提供其他不正当利益的；</w:t>
      </w:r>
    </w:p>
    <w:p w14:paraId="04622EAC">
      <w:pPr>
        <w:pStyle w:val="14"/>
        <w:ind w:firstLine="480" w:firstLineChars="200"/>
        <w:rPr>
          <w:rFonts w:ascii="宋体" w:hAnsi="宋体"/>
          <w:color w:val="auto"/>
          <w:sz w:val="24"/>
          <w:highlight w:val="none"/>
        </w:rPr>
      </w:pPr>
      <w:r>
        <w:rPr>
          <w:rFonts w:hint="eastAsia" w:ascii="宋体" w:hAnsi="宋体"/>
          <w:color w:val="auto"/>
          <w:sz w:val="24"/>
          <w:highlight w:val="none"/>
        </w:rPr>
        <w:t>31.5在招标过程中与采购人进行协商谈判；不按照招标文件和投标文件订立合同或者与采购人另行背离合同实质性内容的协议的；</w:t>
      </w:r>
    </w:p>
    <w:p w14:paraId="29D8D001">
      <w:pPr>
        <w:pStyle w:val="14"/>
        <w:ind w:firstLine="480" w:firstLineChars="200"/>
        <w:rPr>
          <w:rFonts w:ascii="宋体" w:hAnsi="宋体"/>
          <w:color w:val="auto"/>
          <w:sz w:val="24"/>
          <w:highlight w:val="none"/>
        </w:rPr>
      </w:pPr>
      <w:r>
        <w:rPr>
          <w:rFonts w:hint="eastAsia" w:ascii="宋体" w:hAnsi="宋体"/>
          <w:color w:val="auto"/>
          <w:sz w:val="24"/>
          <w:highlight w:val="none"/>
        </w:rPr>
        <w:t>31.6拖延、拒签合同的；</w:t>
      </w:r>
    </w:p>
    <w:p w14:paraId="3C316137">
      <w:pPr>
        <w:ind w:firstLine="480" w:firstLineChars="200"/>
        <w:rPr>
          <w:rFonts w:ascii="宋体" w:hAnsi="宋体"/>
          <w:color w:val="auto"/>
          <w:sz w:val="24"/>
          <w:szCs w:val="24"/>
          <w:highlight w:val="none"/>
        </w:rPr>
      </w:pPr>
      <w:r>
        <w:rPr>
          <w:rFonts w:hint="eastAsia" w:ascii="宋体" w:hAnsi="宋体"/>
          <w:color w:val="auto"/>
          <w:sz w:val="24"/>
          <w:highlight w:val="none"/>
        </w:rPr>
        <w:t>31.7存在法律、法规规定的其它损害采购人或采购单位利益或社会公共利益的情形的</w:t>
      </w:r>
      <w:r>
        <w:rPr>
          <w:rFonts w:hint="eastAsia" w:ascii="宋体" w:hAnsi="宋体"/>
          <w:color w:val="auto"/>
          <w:sz w:val="24"/>
          <w:szCs w:val="24"/>
          <w:highlight w:val="none"/>
        </w:rPr>
        <w:t>。</w:t>
      </w:r>
    </w:p>
    <w:p w14:paraId="78BE111C">
      <w:pPr>
        <w:snapToGrid w:val="0"/>
        <w:ind w:firstLine="472" w:firstLineChars="196"/>
        <w:rPr>
          <w:rFonts w:ascii="宋体" w:hAnsi="宋体"/>
          <w:b/>
          <w:bCs/>
          <w:color w:val="auto"/>
          <w:sz w:val="24"/>
          <w:highlight w:val="none"/>
        </w:rPr>
      </w:pPr>
      <w:r>
        <w:rPr>
          <w:rFonts w:hint="eastAsia" w:ascii="宋体" w:hAnsi="宋体"/>
          <w:b/>
          <w:bCs/>
          <w:color w:val="auto"/>
          <w:sz w:val="24"/>
          <w:highlight w:val="none"/>
        </w:rPr>
        <w:t>32.重新招标</w:t>
      </w:r>
    </w:p>
    <w:p w14:paraId="59B47DA7">
      <w:pPr>
        <w:snapToGrid w:val="0"/>
        <w:ind w:firstLine="470" w:firstLineChars="196"/>
        <w:rPr>
          <w:rFonts w:ascii="宋体" w:hAnsi="宋体"/>
          <w:b/>
          <w:bCs/>
          <w:color w:val="auto"/>
          <w:sz w:val="24"/>
          <w:highlight w:val="none"/>
        </w:rPr>
      </w:pPr>
      <w:r>
        <w:rPr>
          <w:rFonts w:hint="eastAsia" w:ascii="宋体" w:hAnsi="宋体"/>
          <w:color w:val="auto"/>
          <w:sz w:val="24"/>
          <w:highlight w:val="none"/>
        </w:rPr>
        <w:t>投标截止时间及评审期间，出现有效供应商不足3家的，本项目流标，重新组织采购</w:t>
      </w:r>
      <w:r>
        <w:rPr>
          <w:rFonts w:ascii="宋体" w:hAnsi="宋体"/>
          <w:color w:val="auto"/>
          <w:sz w:val="24"/>
          <w:highlight w:val="none"/>
        </w:rPr>
        <w:t>。</w:t>
      </w:r>
    </w:p>
    <w:p w14:paraId="57FE563D">
      <w:pPr>
        <w:pStyle w:val="4"/>
        <w:spacing w:line="360" w:lineRule="exact"/>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七、授予合同</w:t>
      </w:r>
    </w:p>
    <w:p w14:paraId="04C4C9FD">
      <w:pPr>
        <w:snapToGrid w:val="0"/>
        <w:ind w:firstLine="472" w:firstLineChars="196"/>
        <w:rPr>
          <w:rFonts w:ascii="宋体" w:hAnsi="宋体"/>
          <w:b/>
          <w:bCs/>
          <w:color w:val="auto"/>
          <w:sz w:val="24"/>
          <w:highlight w:val="none"/>
        </w:rPr>
      </w:pPr>
      <w:r>
        <w:rPr>
          <w:rFonts w:hint="eastAsia" w:ascii="宋体" w:hAnsi="宋体"/>
          <w:b/>
          <w:bCs/>
          <w:color w:val="auto"/>
          <w:sz w:val="24"/>
          <w:highlight w:val="none"/>
        </w:rPr>
        <w:t>33.签订合同</w:t>
      </w:r>
    </w:p>
    <w:p w14:paraId="68FA2BA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33.1采购人与中标人应当在《中标通知书》发出之日起30日内签订采购合同。</w:t>
      </w:r>
    </w:p>
    <w:p w14:paraId="691FB2E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33.2招标文件、中标人的投标文件和评标过程中投标人的询标时作出的承诺及其澄清文件等作为合同签订的依据和主要附件。</w:t>
      </w:r>
    </w:p>
    <w:p w14:paraId="5041AE12">
      <w:pPr>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33.3采购人对合同内容负责。</w:t>
      </w:r>
    </w:p>
    <w:p w14:paraId="5E767463">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33.4合同一式四份，采购单位和中标人各执一份，代理公司、招标办存档一份。</w:t>
      </w:r>
    </w:p>
    <w:p w14:paraId="66130683">
      <w:pPr>
        <w:snapToGrid w:val="0"/>
        <w:ind w:firstLine="470" w:firstLineChars="196"/>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33.5中标人和采购单位不得擅自变更、中止或者终止合同，不得另外订立背离合同实质性内容的其它协议</w:t>
      </w:r>
      <w:r>
        <w:rPr>
          <w:rFonts w:hint="eastAsia" w:ascii="宋体" w:hAnsi="宋体" w:eastAsia="宋体" w:cs="宋体"/>
          <w:color w:val="auto"/>
          <w:sz w:val="24"/>
          <w:highlight w:val="none"/>
          <w:lang w:eastAsia="zh-CN"/>
        </w:rPr>
        <w:t>。</w:t>
      </w:r>
    </w:p>
    <w:p w14:paraId="2A109023">
      <w:pPr>
        <w:snapToGrid w:val="0"/>
        <w:ind w:firstLine="472" w:firstLineChars="196"/>
        <w:rPr>
          <w:rFonts w:ascii="宋体" w:hAnsi="宋体"/>
          <w:b/>
          <w:bCs/>
          <w:color w:val="auto"/>
          <w:sz w:val="24"/>
          <w:highlight w:val="none"/>
        </w:rPr>
      </w:pPr>
      <w:r>
        <w:rPr>
          <w:rFonts w:hint="eastAsia" w:ascii="宋体" w:hAnsi="宋体"/>
          <w:b/>
          <w:bCs/>
          <w:color w:val="auto"/>
          <w:sz w:val="24"/>
          <w:highlight w:val="none"/>
        </w:rPr>
        <w:t>34.</w:t>
      </w:r>
      <w:r>
        <w:rPr>
          <w:rFonts w:ascii="宋体" w:hAnsi="宋体"/>
          <w:b/>
          <w:bCs/>
          <w:color w:val="auto"/>
          <w:sz w:val="24"/>
          <w:highlight w:val="none"/>
        </w:rPr>
        <w:t>履约保证金</w:t>
      </w:r>
    </w:p>
    <w:p w14:paraId="4BA1F64C">
      <w:pPr>
        <w:ind w:firstLine="480" w:firstLineChars="200"/>
        <w:rPr>
          <w:rFonts w:ascii="宋体" w:hAnsi="宋体"/>
          <w:color w:val="auto"/>
          <w:sz w:val="24"/>
          <w:highlight w:val="none"/>
        </w:rPr>
      </w:pPr>
      <w:r>
        <w:rPr>
          <w:rFonts w:hint="eastAsia" w:ascii="宋体" w:hAnsi="宋体"/>
          <w:color w:val="auto"/>
          <w:sz w:val="24"/>
          <w:highlight w:val="none"/>
        </w:rPr>
        <w:t>34.1</w:t>
      </w:r>
      <w:r>
        <w:rPr>
          <w:rFonts w:ascii="宋体" w:hAnsi="宋体"/>
          <w:color w:val="auto"/>
          <w:sz w:val="24"/>
          <w:highlight w:val="none"/>
        </w:rPr>
        <w:t>中标人在签订</w:t>
      </w:r>
      <w:r>
        <w:rPr>
          <w:rFonts w:hint="eastAsia" w:ascii="宋体" w:hAnsi="宋体"/>
          <w:color w:val="auto"/>
          <w:sz w:val="24"/>
          <w:highlight w:val="none"/>
        </w:rPr>
        <w:t>采购</w:t>
      </w:r>
      <w:r>
        <w:rPr>
          <w:rFonts w:ascii="宋体" w:hAnsi="宋体"/>
          <w:color w:val="auto"/>
          <w:sz w:val="24"/>
          <w:highlight w:val="none"/>
        </w:rPr>
        <w:t>合同前，</w:t>
      </w:r>
      <w:r>
        <w:rPr>
          <w:rFonts w:hint="eastAsia" w:ascii="宋体" w:hAnsi="宋体"/>
          <w:color w:val="auto"/>
          <w:sz w:val="24"/>
          <w:highlight w:val="none"/>
        </w:rPr>
        <w:t>应按招标文件要求向采购人</w:t>
      </w:r>
      <w:r>
        <w:rPr>
          <w:rFonts w:ascii="宋体" w:hAnsi="宋体"/>
          <w:color w:val="auto"/>
          <w:sz w:val="24"/>
          <w:highlight w:val="none"/>
        </w:rPr>
        <w:t>提交履约保证金</w:t>
      </w:r>
      <w:r>
        <w:rPr>
          <w:rFonts w:hint="eastAsia" w:ascii="宋体" w:hAnsi="宋体"/>
          <w:color w:val="auto"/>
          <w:sz w:val="24"/>
          <w:highlight w:val="none"/>
        </w:rPr>
        <w:t>，</w:t>
      </w:r>
      <w:r>
        <w:rPr>
          <w:rFonts w:ascii="宋体" w:hAnsi="宋体"/>
          <w:color w:val="auto"/>
          <w:sz w:val="24"/>
          <w:highlight w:val="none"/>
        </w:rPr>
        <w:t>履约保证金</w:t>
      </w:r>
      <w:r>
        <w:rPr>
          <w:rFonts w:hint="eastAsia" w:ascii="宋体" w:hAnsi="宋体"/>
          <w:color w:val="auto"/>
          <w:sz w:val="24"/>
          <w:highlight w:val="none"/>
        </w:rPr>
        <w:t>作为中标人在履行合同合服务承诺的保证。</w:t>
      </w:r>
    </w:p>
    <w:p w14:paraId="3F6B0DAA">
      <w:pPr>
        <w:ind w:firstLine="480" w:firstLineChars="200"/>
        <w:rPr>
          <w:rFonts w:ascii="宋体" w:hAnsi="宋体"/>
          <w:color w:val="auto"/>
          <w:sz w:val="24"/>
          <w:highlight w:val="none"/>
        </w:rPr>
      </w:pPr>
      <w:r>
        <w:rPr>
          <w:rFonts w:hint="eastAsia" w:ascii="宋体" w:hAnsi="宋体"/>
          <w:color w:val="auto"/>
          <w:sz w:val="24"/>
          <w:highlight w:val="none"/>
        </w:rPr>
        <w:t>34.2中标人应当以支票、汇票、本票等非现金形式提交。中标人在履行完合同约定事项后，采购人应及时退还履约保证金。履约保证金不计息。</w:t>
      </w:r>
    </w:p>
    <w:p w14:paraId="11936418">
      <w:pPr>
        <w:ind w:firstLine="480" w:firstLineChars="200"/>
        <w:rPr>
          <w:rFonts w:ascii="宋体" w:hAnsi="宋体"/>
          <w:color w:val="auto"/>
          <w:sz w:val="24"/>
          <w:highlight w:val="none"/>
        </w:rPr>
      </w:pPr>
      <w:r>
        <w:rPr>
          <w:rFonts w:hint="eastAsia" w:ascii="宋体" w:hAnsi="宋体"/>
          <w:color w:val="auto"/>
          <w:sz w:val="24"/>
          <w:highlight w:val="none"/>
        </w:rPr>
        <w:t>34.3签订合同后，如中标人不按双方合同约定履约，则没收其全部履约保证金，履约保证金不足以赔偿损失的，按实际损失赔偿。</w:t>
      </w:r>
    </w:p>
    <w:p w14:paraId="08B9279C">
      <w:pPr>
        <w:snapToGrid w:val="0"/>
        <w:ind w:firstLine="472" w:firstLineChars="196"/>
        <w:rPr>
          <w:rFonts w:ascii="宋体" w:hAnsi="宋体"/>
          <w:b/>
          <w:bCs/>
          <w:color w:val="auto"/>
          <w:sz w:val="24"/>
          <w:highlight w:val="none"/>
        </w:rPr>
      </w:pPr>
      <w:r>
        <w:rPr>
          <w:rFonts w:hint="eastAsia" w:ascii="宋体" w:hAnsi="宋体"/>
          <w:b/>
          <w:bCs/>
          <w:color w:val="auto"/>
          <w:sz w:val="24"/>
          <w:highlight w:val="none"/>
        </w:rPr>
        <w:t>35.合同备案</w:t>
      </w:r>
    </w:p>
    <w:p w14:paraId="1CBABF43">
      <w:pPr>
        <w:ind w:firstLine="480" w:firstLineChars="200"/>
        <w:rPr>
          <w:color w:val="auto"/>
          <w:sz w:val="24"/>
          <w:highlight w:val="none"/>
        </w:rPr>
      </w:pPr>
      <w:r>
        <w:rPr>
          <w:rFonts w:hint="eastAsia"/>
          <w:color w:val="auto"/>
          <w:sz w:val="24"/>
          <w:highlight w:val="none"/>
        </w:rPr>
        <w:t>采购人应当自采购合同签订之日起七个工作日内，按照有关规定通过</w:t>
      </w:r>
      <w:r>
        <w:rPr>
          <w:rFonts w:hint="eastAsia"/>
          <w:color w:val="auto"/>
          <w:sz w:val="24"/>
          <w:highlight w:val="none"/>
          <w:lang w:eastAsia="zh-CN"/>
        </w:rPr>
        <w:t>乐采云</w:t>
      </w:r>
      <w:r>
        <w:rPr>
          <w:rFonts w:hint="eastAsia"/>
          <w:color w:val="auto"/>
          <w:sz w:val="24"/>
          <w:highlight w:val="none"/>
        </w:rPr>
        <w:t>系统将采购合同进行网上备案。</w:t>
      </w:r>
    </w:p>
    <w:p w14:paraId="7FBD8E8F">
      <w:pPr>
        <w:pStyle w:val="11"/>
        <w:tabs>
          <w:tab w:val="left" w:pos="900"/>
        </w:tabs>
        <w:spacing w:line="360" w:lineRule="exact"/>
        <w:jc w:val="center"/>
        <w:rPr>
          <w:rFonts w:hAnsi="宋体"/>
          <w:b/>
          <w:color w:val="auto"/>
          <w:szCs w:val="24"/>
          <w:highlight w:val="none"/>
        </w:rPr>
      </w:pPr>
      <w:bookmarkStart w:id="7" w:name="_Toc339459646"/>
      <w:bookmarkStart w:id="8" w:name="_Toc352165696"/>
      <w:bookmarkStart w:id="9" w:name="_Toc125344511"/>
      <w:r>
        <w:rPr>
          <w:rFonts w:hint="eastAsia" w:ascii="宋体" w:hAnsi="宋体"/>
          <w:color w:val="auto"/>
          <w:sz w:val="28"/>
          <w:szCs w:val="28"/>
          <w:highlight w:val="none"/>
        </w:rPr>
        <w:t>八、</w:t>
      </w:r>
      <w:r>
        <w:rPr>
          <w:rFonts w:hint="eastAsia" w:hAnsi="宋体"/>
          <w:b/>
          <w:color w:val="auto"/>
          <w:szCs w:val="24"/>
          <w:highlight w:val="none"/>
        </w:rPr>
        <w:t>质疑和投诉</w:t>
      </w:r>
    </w:p>
    <w:p w14:paraId="1D24929A">
      <w:pPr>
        <w:ind w:firstLine="480" w:firstLineChars="200"/>
        <w:rPr>
          <w:rFonts w:ascii="宋体" w:hAnsi="宋体"/>
          <w:color w:val="auto"/>
          <w:sz w:val="24"/>
          <w:highlight w:val="none"/>
        </w:rPr>
      </w:pPr>
      <w:r>
        <w:rPr>
          <w:rFonts w:hint="eastAsia" w:ascii="宋体" w:hAnsi="宋体"/>
          <w:color w:val="auto"/>
          <w:sz w:val="24"/>
          <w:highlight w:val="none"/>
        </w:rPr>
        <w:t>36.1开标过程中，投标人对开标有异议的，应当在“</w:t>
      </w:r>
      <w:r>
        <w:rPr>
          <w:rFonts w:hint="eastAsia" w:ascii="宋体" w:hAnsi="宋体"/>
          <w:color w:val="auto"/>
          <w:sz w:val="24"/>
          <w:highlight w:val="none"/>
          <w:lang w:eastAsia="zh-CN"/>
        </w:rPr>
        <w:t>乐采云</w:t>
      </w:r>
      <w:r>
        <w:rPr>
          <w:rFonts w:hint="eastAsia" w:ascii="宋体" w:hAnsi="宋体"/>
          <w:color w:val="auto"/>
          <w:sz w:val="24"/>
          <w:highlight w:val="none"/>
        </w:rPr>
        <w:t>”平台上及时提出，评审委员应对异常情况制作相关记录。</w:t>
      </w:r>
    </w:p>
    <w:p w14:paraId="6CC356CD">
      <w:pPr>
        <w:ind w:firstLine="480" w:firstLineChars="200"/>
        <w:rPr>
          <w:rFonts w:ascii="宋体" w:hAnsi="宋体"/>
          <w:color w:val="auto"/>
          <w:sz w:val="24"/>
          <w:highlight w:val="none"/>
        </w:rPr>
      </w:pPr>
      <w:r>
        <w:rPr>
          <w:rFonts w:hint="eastAsia" w:ascii="宋体" w:hAnsi="宋体"/>
          <w:color w:val="auto"/>
          <w:sz w:val="24"/>
          <w:highlight w:val="none"/>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524EB134">
      <w:pPr>
        <w:ind w:firstLine="480" w:firstLineChars="200"/>
        <w:rPr>
          <w:rFonts w:ascii="宋体" w:hAnsi="宋体"/>
          <w:color w:val="auto"/>
          <w:sz w:val="24"/>
          <w:highlight w:val="none"/>
        </w:rPr>
      </w:pPr>
      <w:r>
        <w:rPr>
          <w:rFonts w:hint="eastAsia" w:ascii="宋体" w:hAnsi="宋体"/>
          <w:color w:val="auto"/>
          <w:sz w:val="24"/>
          <w:highlight w:val="none"/>
        </w:rPr>
        <w:t>36.3质疑投诉的相关规定</w:t>
      </w:r>
    </w:p>
    <w:p w14:paraId="6E9B61F3">
      <w:pPr>
        <w:ind w:firstLine="480" w:firstLineChars="200"/>
        <w:rPr>
          <w:rFonts w:ascii="宋体" w:hAnsi="宋体"/>
          <w:color w:val="auto"/>
          <w:sz w:val="24"/>
          <w:highlight w:val="none"/>
        </w:rPr>
      </w:pPr>
      <w:r>
        <w:rPr>
          <w:rFonts w:hint="eastAsia" w:ascii="宋体" w:hAnsi="宋体"/>
          <w:color w:val="auto"/>
          <w:sz w:val="24"/>
          <w:highlight w:val="none"/>
        </w:rPr>
        <w:t>（一）质疑投诉递交的资料需为书面材料。质疑投诉书面材料需法人代表人（或负责人）或授权代表签字并加盖公章。</w:t>
      </w:r>
    </w:p>
    <w:p w14:paraId="124BC0DA">
      <w:pPr>
        <w:ind w:firstLine="480" w:firstLineChars="200"/>
        <w:rPr>
          <w:rFonts w:ascii="宋体" w:hAnsi="宋体"/>
          <w:color w:val="auto"/>
          <w:sz w:val="24"/>
          <w:highlight w:val="none"/>
        </w:rPr>
      </w:pPr>
      <w:r>
        <w:rPr>
          <w:rFonts w:hint="eastAsia" w:ascii="宋体" w:hAnsi="宋体"/>
          <w:color w:val="auto"/>
          <w:sz w:val="24"/>
          <w:highlight w:val="none"/>
        </w:rPr>
        <w:t>（二）质疑投诉属于以下情况之一的，将不予受理：</w:t>
      </w:r>
    </w:p>
    <w:p w14:paraId="4CAE2D97">
      <w:pPr>
        <w:ind w:firstLine="480" w:firstLineChars="200"/>
        <w:rPr>
          <w:rFonts w:ascii="宋体" w:hAnsi="宋体"/>
          <w:color w:val="auto"/>
          <w:sz w:val="24"/>
          <w:highlight w:val="none"/>
        </w:rPr>
      </w:pPr>
      <w:r>
        <w:rPr>
          <w:rFonts w:hint="eastAsia" w:ascii="宋体" w:hAnsi="宋体"/>
          <w:color w:val="auto"/>
          <w:sz w:val="24"/>
          <w:highlight w:val="none"/>
        </w:rPr>
        <w:t>(1).质疑投诉人不是所投诉项目的参与者，或者与质疑投诉项目无任何利害关系。</w:t>
      </w:r>
    </w:p>
    <w:p w14:paraId="617E6B0F">
      <w:pPr>
        <w:ind w:firstLine="480" w:firstLineChars="200"/>
        <w:rPr>
          <w:rFonts w:ascii="宋体" w:hAnsi="宋体"/>
          <w:color w:val="auto"/>
          <w:sz w:val="24"/>
          <w:highlight w:val="none"/>
        </w:rPr>
      </w:pPr>
      <w:r>
        <w:rPr>
          <w:rFonts w:hint="eastAsia" w:ascii="宋体" w:hAnsi="宋体"/>
          <w:color w:val="auto"/>
          <w:sz w:val="24"/>
          <w:highlight w:val="none"/>
        </w:rPr>
        <w:t>(2).质疑投诉事项不具体，且未提供有效线索，难以查证。</w:t>
      </w:r>
    </w:p>
    <w:p w14:paraId="4857119A">
      <w:pPr>
        <w:ind w:firstLine="480" w:firstLineChars="200"/>
        <w:rPr>
          <w:rFonts w:ascii="宋体" w:hAnsi="宋体"/>
          <w:color w:val="auto"/>
          <w:sz w:val="24"/>
          <w:highlight w:val="none"/>
        </w:rPr>
      </w:pPr>
      <w:r>
        <w:rPr>
          <w:rFonts w:hint="eastAsia" w:ascii="宋体" w:hAnsi="宋体"/>
          <w:color w:val="auto"/>
          <w:sz w:val="24"/>
          <w:highlight w:val="none"/>
        </w:rPr>
        <w:t>(3).未提供书面质疑或者质疑未加盖公章的；投诉人为法人或者其他组织，其投诉书未经法定代表人或者主要负责人签字并加盖公章的。</w:t>
      </w:r>
    </w:p>
    <w:p w14:paraId="1B77823C">
      <w:pPr>
        <w:ind w:firstLine="480" w:firstLineChars="200"/>
        <w:rPr>
          <w:rFonts w:ascii="宋体" w:hAnsi="宋体"/>
          <w:color w:val="auto"/>
          <w:sz w:val="24"/>
          <w:highlight w:val="none"/>
        </w:rPr>
      </w:pPr>
      <w:r>
        <w:rPr>
          <w:rFonts w:hint="eastAsia" w:ascii="宋体" w:hAnsi="宋体"/>
          <w:color w:val="auto"/>
          <w:sz w:val="24"/>
          <w:highlight w:val="none"/>
        </w:rPr>
        <w:t>(4).已超过招标文件规定质疑投诉提出期限的事项。</w:t>
      </w:r>
    </w:p>
    <w:p w14:paraId="0FEDEADC">
      <w:pPr>
        <w:ind w:firstLine="480" w:firstLineChars="200"/>
        <w:rPr>
          <w:rFonts w:ascii="宋体" w:hAnsi="宋体"/>
          <w:color w:val="auto"/>
          <w:sz w:val="24"/>
          <w:highlight w:val="none"/>
        </w:rPr>
      </w:pPr>
      <w:r>
        <w:rPr>
          <w:rFonts w:hint="eastAsia" w:ascii="宋体" w:hAnsi="宋体"/>
          <w:color w:val="auto"/>
          <w:sz w:val="24"/>
          <w:highlight w:val="none"/>
        </w:rPr>
        <w:t>(5).投诉事项已作出处理决定，并且投诉人没有提出新的证据</w:t>
      </w:r>
    </w:p>
    <w:p w14:paraId="20D842B2">
      <w:pPr>
        <w:ind w:firstLine="480" w:firstLineChars="200"/>
        <w:rPr>
          <w:rFonts w:ascii="宋体" w:hAnsi="宋体"/>
          <w:color w:val="auto"/>
          <w:sz w:val="24"/>
          <w:highlight w:val="none"/>
        </w:rPr>
      </w:pPr>
      <w:r>
        <w:rPr>
          <w:rFonts w:hint="eastAsia" w:ascii="宋体" w:hAnsi="宋体"/>
          <w:color w:val="auto"/>
          <w:sz w:val="24"/>
          <w:highlight w:val="none"/>
        </w:rPr>
        <w:t>(6).质疑投诉的事项已经进入行政复议或者行政诉讼程序的；投诉事项应先提出质疑而没有提出质疑的。</w:t>
      </w:r>
    </w:p>
    <w:p w14:paraId="3D72465B">
      <w:pPr>
        <w:ind w:firstLine="480" w:firstLineChars="200"/>
        <w:rPr>
          <w:rFonts w:ascii="宋体" w:hAnsi="宋体"/>
          <w:color w:val="auto"/>
          <w:sz w:val="24"/>
          <w:highlight w:val="none"/>
        </w:rPr>
      </w:pPr>
      <w:r>
        <w:rPr>
          <w:rFonts w:hint="eastAsia" w:ascii="宋体" w:hAnsi="宋体"/>
          <w:color w:val="auto"/>
          <w:sz w:val="24"/>
          <w:highlight w:val="none"/>
        </w:rPr>
        <w:t>(7).不符合</w:t>
      </w:r>
      <w:r>
        <w:rPr>
          <w:rFonts w:hint="eastAsia" w:ascii="宋体" w:hAnsi="宋体"/>
          <w:color w:val="auto"/>
          <w:sz w:val="24"/>
          <w:highlight w:val="none"/>
          <w:lang w:val="en-US" w:eastAsia="zh-CN"/>
        </w:rPr>
        <w:t>采购相关法律法规</w:t>
      </w:r>
      <w:r>
        <w:rPr>
          <w:rFonts w:hint="eastAsia" w:ascii="宋体" w:hAnsi="宋体"/>
          <w:color w:val="auto"/>
          <w:sz w:val="24"/>
          <w:highlight w:val="none"/>
        </w:rPr>
        <w:t>等有关规定的投诉。</w:t>
      </w:r>
    </w:p>
    <w:p w14:paraId="648F18BD">
      <w:pPr>
        <w:pStyle w:val="4"/>
        <w:spacing w:before="0" w:after="0" w:line="240" w:lineRule="auto"/>
        <w:ind w:firstLine="562" w:firstLineChars="200"/>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九、</w:t>
      </w:r>
      <w:r>
        <w:rPr>
          <w:rFonts w:hint="eastAsia" w:ascii="宋体" w:hAnsi="宋体" w:eastAsia="宋体"/>
          <w:color w:val="auto"/>
          <w:sz w:val="28"/>
          <w:szCs w:val="28"/>
          <w:highlight w:val="none"/>
          <w:lang w:val="en-US" w:eastAsia="zh-CN"/>
        </w:rPr>
        <w:t>不</w:t>
      </w:r>
      <w:r>
        <w:rPr>
          <w:rFonts w:hint="eastAsia" w:ascii="宋体" w:hAnsi="宋体" w:eastAsia="宋体"/>
          <w:color w:val="auto"/>
          <w:sz w:val="28"/>
          <w:szCs w:val="28"/>
          <w:highlight w:val="none"/>
        </w:rPr>
        <w:t>良行为记录</w:t>
      </w:r>
      <w:bookmarkEnd w:id="7"/>
      <w:bookmarkEnd w:id="8"/>
    </w:p>
    <w:p w14:paraId="623B99DE">
      <w:pPr>
        <w:ind w:firstLine="480" w:firstLineChars="200"/>
        <w:rPr>
          <w:rFonts w:hint="eastAsia" w:eastAsia="宋体"/>
          <w:lang w:eastAsia="zh-CN"/>
        </w:rPr>
      </w:pPr>
      <w:r>
        <w:rPr>
          <w:rFonts w:hint="eastAsia" w:ascii="宋体" w:hAnsi="宋体" w:eastAsia="宋体" w:cs="宋体"/>
          <w:color w:val="000000"/>
          <w:sz w:val="24"/>
          <w:szCs w:val="24"/>
        </w:rPr>
        <w:t>投标人在采购活动中出现下列违规行为的将记入诸暨市建设集团</w:t>
      </w:r>
      <w:r>
        <w:rPr>
          <w:rFonts w:hint="eastAsia" w:ascii="宋体" w:hAnsi="宋体" w:eastAsia="宋体" w:cs="宋体"/>
          <w:color w:val="000000"/>
          <w:sz w:val="24"/>
          <w:szCs w:val="24"/>
          <w:lang w:val="en-US" w:eastAsia="zh-CN"/>
        </w:rPr>
        <w:t>有限公司</w:t>
      </w:r>
      <w:r>
        <w:rPr>
          <w:rFonts w:hint="eastAsia" w:ascii="宋体" w:hAnsi="宋体" w:eastAsia="宋体" w:cs="宋体"/>
          <w:color w:val="000000"/>
          <w:sz w:val="24"/>
          <w:szCs w:val="24"/>
        </w:rPr>
        <w:t>采购不良行为记录，并在记录时限内暂停其诸暨市建设集团</w:t>
      </w:r>
      <w:r>
        <w:rPr>
          <w:rFonts w:hint="eastAsia" w:ascii="宋体" w:hAnsi="宋体" w:eastAsia="宋体" w:cs="宋体"/>
          <w:color w:val="000000"/>
          <w:sz w:val="24"/>
          <w:szCs w:val="24"/>
          <w:lang w:val="en-US" w:eastAsia="zh-CN"/>
        </w:rPr>
        <w:t>有限公司</w:t>
      </w:r>
      <w:r>
        <w:rPr>
          <w:rFonts w:hint="eastAsia" w:ascii="宋体" w:hAnsi="宋体" w:eastAsia="宋体" w:cs="宋体"/>
          <w:color w:val="000000"/>
          <w:sz w:val="24"/>
          <w:szCs w:val="24"/>
        </w:rPr>
        <w:t>及下属公司范围内采购交易资格，同时将在诸暨市公示公共资源交易中心公示</w:t>
      </w:r>
      <w:r>
        <w:rPr>
          <w:rFonts w:hint="eastAsia" w:ascii="宋体" w:hAnsi="宋体" w:eastAsia="宋体" w:cs="宋体"/>
          <w:color w:val="000000"/>
          <w:sz w:val="24"/>
          <w:szCs w:val="24"/>
          <w:lang w:eastAsia="zh-CN"/>
        </w:rPr>
        <w:t>。</w:t>
      </w: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14:paraId="33B7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noWrap w:val="0"/>
            <w:vAlign w:val="center"/>
          </w:tcPr>
          <w:p w14:paraId="2A5AB462">
            <w:pPr>
              <w:jc w:val="center"/>
              <w:rPr>
                <w:rFonts w:ascii="宋体" w:hAnsi="宋体"/>
                <w:b/>
                <w:bCs/>
                <w:color w:val="auto"/>
                <w:sz w:val="24"/>
                <w:highlight w:val="none"/>
              </w:rPr>
            </w:pPr>
            <w:r>
              <w:rPr>
                <w:rFonts w:hint="eastAsia" w:ascii="宋体" w:hAnsi="宋体"/>
                <w:b/>
                <w:bCs/>
                <w:color w:val="auto"/>
                <w:sz w:val="24"/>
                <w:highlight w:val="none"/>
              </w:rPr>
              <w:t>序号</w:t>
            </w:r>
          </w:p>
        </w:tc>
        <w:tc>
          <w:tcPr>
            <w:tcW w:w="6433" w:type="dxa"/>
            <w:noWrap w:val="0"/>
            <w:vAlign w:val="center"/>
          </w:tcPr>
          <w:p w14:paraId="275A668D">
            <w:pPr>
              <w:jc w:val="center"/>
              <w:rPr>
                <w:rFonts w:ascii="宋体" w:hAnsi="宋体"/>
                <w:b/>
                <w:bCs/>
                <w:color w:val="auto"/>
                <w:sz w:val="24"/>
                <w:highlight w:val="none"/>
              </w:rPr>
            </w:pPr>
            <w:r>
              <w:rPr>
                <w:rFonts w:hint="eastAsia" w:ascii="宋体" w:hAnsi="宋体"/>
                <w:b/>
                <w:bCs/>
                <w:color w:val="auto"/>
                <w:sz w:val="24"/>
                <w:highlight w:val="none"/>
              </w:rPr>
              <w:t>不良行为</w:t>
            </w:r>
          </w:p>
        </w:tc>
        <w:tc>
          <w:tcPr>
            <w:tcW w:w="1326" w:type="dxa"/>
            <w:noWrap w:val="0"/>
            <w:vAlign w:val="center"/>
          </w:tcPr>
          <w:p w14:paraId="7F1548AD">
            <w:pPr>
              <w:jc w:val="center"/>
              <w:rPr>
                <w:rFonts w:ascii="宋体" w:hAnsi="宋体"/>
                <w:b/>
                <w:bCs/>
                <w:color w:val="auto"/>
                <w:sz w:val="24"/>
                <w:highlight w:val="none"/>
              </w:rPr>
            </w:pPr>
            <w:r>
              <w:rPr>
                <w:rFonts w:hint="eastAsia" w:ascii="宋体" w:hAnsi="宋体"/>
                <w:b/>
                <w:bCs/>
                <w:color w:val="auto"/>
                <w:sz w:val="24"/>
                <w:highlight w:val="none"/>
              </w:rPr>
              <w:t>记录时限</w:t>
            </w:r>
          </w:p>
        </w:tc>
      </w:tr>
      <w:tr w14:paraId="78E2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0CC4B496">
            <w:pPr>
              <w:jc w:val="center"/>
              <w:rPr>
                <w:rFonts w:ascii="宋体" w:hAnsi="宋体"/>
                <w:color w:val="auto"/>
                <w:sz w:val="24"/>
                <w:highlight w:val="none"/>
              </w:rPr>
            </w:pPr>
            <w:r>
              <w:rPr>
                <w:rFonts w:hint="eastAsia" w:ascii="宋体" w:hAnsi="宋体"/>
                <w:color w:val="auto"/>
                <w:sz w:val="24"/>
                <w:highlight w:val="none"/>
              </w:rPr>
              <w:t>1</w:t>
            </w:r>
          </w:p>
        </w:tc>
        <w:tc>
          <w:tcPr>
            <w:tcW w:w="6433" w:type="dxa"/>
            <w:noWrap w:val="0"/>
            <w:vAlign w:val="center"/>
          </w:tcPr>
          <w:p w14:paraId="0E0835ED">
            <w:pPr>
              <w:autoSpaceDE/>
              <w:autoSpaceDN/>
              <w:adjustRightInd/>
              <w:rPr>
                <w:rFonts w:ascii="宋体" w:hAnsi="宋体"/>
                <w:color w:val="auto"/>
                <w:sz w:val="24"/>
                <w:highlight w:val="none"/>
              </w:rPr>
            </w:pPr>
            <w:r>
              <w:rPr>
                <w:rFonts w:hint="eastAsia" w:ascii="宋体" w:hAnsi="宋体"/>
                <w:color w:val="auto"/>
                <w:sz w:val="24"/>
                <w:highlight w:val="none"/>
              </w:rPr>
              <w:t>在招标采购过程中，与采购人进行协商谈判的</w:t>
            </w:r>
          </w:p>
        </w:tc>
        <w:tc>
          <w:tcPr>
            <w:tcW w:w="1326" w:type="dxa"/>
            <w:noWrap w:val="0"/>
            <w:vAlign w:val="center"/>
          </w:tcPr>
          <w:p w14:paraId="07D75CD5">
            <w:pPr>
              <w:jc w:val="center"/>
              <w:rPr>
                <w:rFonts w:ascii="宋体" w:hAnsi="宋体"/>
                <w:color w:val="auto"/>
                <w:sz w:val="24"/>
                <w:highlight w:val="none"/>
              </w:rPr>
            </w:pPr>
            <w:r>
              <w:rPr>
                <w:rFonts w:hint="eastAsia" w:ascii="宋体" w:hAnsi="宋体"/>
                <w:color w:val="auto"/>
                <w:sz w:val="24"/>
                <w:highlight w:val="none"/>
              </w:rPr>
              <w:t>6个月</w:t>
            </w:r>
          </w:p>
        </w:tc>
      </w:tr>
      <w:tr w14:paraId="0A22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0961A676">
            <w:pPr>
              <w:jc w:val="center"/>
              <w:rPr>
                <w:rFonts w:ascii="宋体" w:hAnsi="宋体"/>
                <w:color w:val="auto"/>
                <w:sz w:val="24"/>
                <w:highlight w:val="none"/>
              </w:rPr>
            </w:pPr>
            <w:r>
              <w:rPr>
                <w:rFonts w:hint="eastAsia" w:ascii="宋体" w:hAnsi="宋体"/>
                <w:color w:val="auto"/>
                <w:sz w:val="24"/>
                <w:highlight w:val="none"/>
              </w:rPr>
              <w:t>2</w:t>
            </w:r>
          </w:p>
        </w:tc>
        <w:tc>
          <w:tcPr>
            <w:tcW w:w="6433" w:type="dxa"/>
            <w:noWrap w:val="0"/>
            <w:vAlign w:val="center"/>
          </w:tcPr>
          <w:p w14:paraId="2B913BBD">
            <w:pPr>
              <w:autoSpaceDE/>
              <w:autoSpaceDN/>
              <w:adjustRightInd/>
              <w:rPr>
                <w:rFonts w:ascii="宋体" w:hAnsi="宋体"/>
                <w:color w:val="auto"/>
                <w:sz w:val="24"/>
                <w:highlight w:val="none"/>
              </w:rPr>
            </w:pPr>
            <w:r>
              <w:rPr>
                <w:rFonts w:hint="eastAsia" w:ascii="宋体" w:hAnsi="宋体"/>
                <w:color w:val="auto"/>
                <w:sz w:val="24"/>
                <w:highlight w:val="none"/>
              </w:rPr>
              <w:t>投标有效期内撤回其投标文件的</w:t>
            </w:r>
          </w:p>
        </w:tc>
        <w:tc>
          <w:tcPr>
            <w:tcW w:w="1326" w:type="dxa"/>
            <w:noWrap w:val="0"/>
            <w:vAlign w:val="center"/>
          </w:tcPr>
          <w:p w14:paraId="2C4B8E34">
            <w:pPr>
              <w:jc w:val="center"/>
              <w:rPr>
                <w:rFonts w:ascii="宋体" w:hAnsi="宋体"/>
                <w:color w:val="auto"/>
                <w:sz w:val="24"/>
                <w:highlight w:val="none"/>
              </w:rPr>
            </w:pPr>
            <w:r>
              <w:rPr>
                <w:rFonts w:hint="eastAsia" w:ascii="宋体" w:hAnsi="宋体"/>
                <w:color w:val="auto"/>
                <w:sz w:val="24"/>
                <w:highlight w:val="none"/>
              </w:rPr>
              <w:t>6个月</w:t>
            </w:r>
          </w:p>
        </w:tc>
      </w:tr>
      <w:tr w14:paraId="2DB8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53DB896">
            <w:pPr>
              <w:jc w:val="center"/>
              <w:rPr>
                <w:rFonts w:ascii="宋体" w:hAnsi="宋体"/>
                <w:color w:val="auto"/>
                <w:sz w:val="24"/>
                <w:highlight w:val="none"/>
              </w:rPr>
            </w:pPr>
            <w:r>
              <w:rPr>
                <w:rFonts w:hint="eastAsia" w:ascii="宋体" w:hAnsi="宋体"/>
                <w:color w:val="auto"/>
                <w:sz w:val="24"/>
                <w:highlight w:val="none"/>
              </w:rPr>
              <w:t>3</w:t>
            </w:r>
          </w:p>
        </w:tc>
        <w:tc>
          <w:tcPr>
            <w:tcW w:w="6433" w:type="dxa"/>
            <w:noWrap w:val="0"/>
            <w:vAlign w:val="center"/>
          </w:tcPr>
          <w:p w14:paraId="1B4CBDB1">
            <w:pPr>
              <w:autoSpaceDE/>
              <w:autoSpaceDN/>
              <w:adjustRightInd/>
              <w:rPr>
                <w:rFonts w:ascii="宋体" w:hAnsi="宋体"/>
                <w:color w:val="auto"/>
                <w:sz w:val="24"/>
                <w:highlight w:val="none"/>
              </w:rPr>
            </w:pPr>
            <w:r>
              <w:rPr>
                <w:rFonts w:hint="eastAsia" w:ascii="宋体" w:hAnsi="宋体"/>
                <w:color w:val="auto"/>
                <w:sz w:val="24"/>
                <w:highlight w:val="none"/>
              </w:rPr>
              <w:t>拒绝有关部门监督检查的</w:t>
            </w:r>
          </w:p>
        </w:tc>
        <w:tc>
          <w:tcPr>
            <w:tcW w:w="1326" w:type="dxa"/>
            <w:noWrap w:val="0"/>
            <w:vAlign w:val="center"/>
          </w:tcPr>
          <w:p w14:paraId="377D5063">
            <w:pPr>
              <w:jc w:val="center"/>
              <w:rPr>
                <w:rFonts w:ascii="宋体" w:hAnsi="宋体"/>
                <w:color w:val="auto"/>
                <w:sz w:val="24"/>
                <w:highlight w:val="none"/>
              </w:rPr>
            </w:pPr>
            <w:r>
              <w:rPr>
                <w:rFonts w:hint="eastAsia" w:ascii="宋体" w:hAnsi="宋体"/>
                <w:color w:val="auto"/>
                <w:sz w:val="24"/>
                <w:highlight w:val="none"/>
              </w:rPr>
              <w:t>6个月</w:t>
            </w:r>
          </w:p>
        </w:tc>
      </w:tr>
      <w:tr w14:paraId="54CF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308DEC2">
            <w:pPr>
              <w:jc w:val="center"/>
              <w:rPr>
                <w:rFonts w:ascii="宋体" w:hAnsi="宋体"/>
                <w:color w:val="auto"/>
                <w:sz w:val="24"/>
                <w:highlight w:val="none"/>
              </w:rPr>
            </w:pPr>
            <w:r>
              <w:rPr>
                <w:rFonts w:hint="eastAsia" w:ascii="宋体" w:hAnsi="宋体"/>
                <w:color w:val="auto"/>
                <w:sz w:val="24"/>
                <w:highlight w:val="none"/>
              </w:rPr>
              <w:t>4</w:t>
            </w:r>
          </w:p>
        </w:tc>
        <w:tc>
          <w:tcPr>
            <w:tcW w:w="6433" w:type="dxa"/>
            <w:noWrap w:val="0"/>
            <w:vAlign w:val="center"/>
          </w:tcPr>
          <w:p w14:paraId="657F00F2">
            <w:pPr>
              <w:autoSpaceDE/>
              <w:autoSpaceDN/>
              <w:adjustRightInd/>
              <w:rPr>
                <w:rFonts w:ascii="宋体" w:hAnsi="宋体"/>
                <w:color w:val="auto"/>
                <w:sz w:val="24"/>
                <w:highlight w:val="none"/>
              </w:rPr>
            </w:pPr>
            <w:r>
              <w:rPr>
                <w:rFonts w:hint="eastAsia" w:ascii="宋体" w:hAnsi="宋体"/>
                <w:color w:val="auto"/>
                <w:sz w:val="24"/>
                <w:highlight w:val="none"/>
              </w:rPr>
              <w:t>不积极配合采购人做好标的验收工作的</w:t>
            </w:r>
          </w:p>
        </w:tc>
        <w:tc>
          <w:tcPr>
            <w:tcW w:w="1326" w:type="dxa"/>
            <w:noWrap w:val="0"/>
            <w:vAlign w:val="center"/>
          </w:tcPr>
          <w:p w14:paraId="183FBCDF">
            <w:pPr>
              <w:jc w:val="center"/>
              <w:rPr>
                <w:rFonts w:ascii="宋体" w:hAnsi="宋体"/>
                <w:color w:val="auto"/>
                <w:sz w:val="24"/>
                <w:highlight w:val="none"/>
              </w:rPr>
            </w:pPr>
            <w:r>
              <w:rPr>
                <w:rFonts w:hint="eastAsia" w:ascii="宋体" w:hAnsi="宋体"/>
                <w:color w:val="auto"/>
                <w:sz w:val="24"/>
                <w:highlight w:val="none"/>
              </w:rPr>
              <w:t>6个月</w:t>
            </w:r>
          </w:p>
        </w:tc>
      </w:tr>
      <w:tr w14:paraId="40A7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510D6EE2">
            <w:pPr>
              <w:spacing w:line="400" w:lineRule="exact"/>
              <w:jc w:val="center"/>
              <w:rPr>
                <w:rFonts w:ascii="宋体" w:hAnsi="宋体"/>
                <w:color w:val="auto"/>
                <w:sz w:val="24"/>
                <w:highlight w:val="none"/>
              </w:rPr>
            </w:pPr>
            <w:r>
              <w:rPr>
                <w:rFonts w:hint="eastAsia" w:ascii="宋体" w:hAnsi="宋体"/>
                <w:color w:val="auto"/>
                <w:sz w:val="24"/>
                <w:highlight w:val="none"/>
              </w:rPr>
              <w:t>5</w:t>
            </w:r>
          </w:p>
        </w:tc>
        <w:tc>
          <w:tcPr>
            <w:tcW w:w="6433" w:type="dxa"/>
            <w:noWrap w:val="0"/>
            <w:vAlign w:val="center"/>
          </w:tcPr>
          <w:p w14:paraId="5037571D">
            <w:pPr>
              <w:autoSpaceDE/>
              <w:autoSpaceDN/>
              <w:adjustRightInd/>
              <w:rPr>
                <w:rFonts w:ascii="宋体" w:hAnsi="宋体"/>
                <w:color w:val="auto"/>
                <w:sz w:val="24"/>
                <w:highlight w:val="none"/>
              </w:rPr>
            </w:pPr>
            <w:r>
              <w:rPr>
                <w:rFonts w:hint="eastAsia" w:ascii="宋体" w:hAnsi="宋体"/>
                <w:color w:val="auto"/>
                <w:sz w:val="24"/>
                <w:highlight w:val="none"/>
              </w:rPr>
              <w:t>在有关部门的监督检查或考核中被通报批评或处以警告及以上处罚的</w:t>
            </w:r>
          </w:p>
        </w:tc>
        <w:tc>
          <w:tcPr>
            <w:tcW w:w="1326" w:type="dxa"/>
            <w:noWrap w:val="0"/>
            <w:vAlign w:val="center"/>
          </w:tcPr>
          <w:p w14:paraId="37A9BDC1">
            <w:pPr>
              <w:jc w:val="center"/>
              <w:rPr>
                <w:rFonts w:ascii="宋体" w:hAnsi="宋体"/>
                <w:color w:val="auto"/>
                <w:sz w:val="24"/>
                <w:highlight w:val="none"/>
              </w:rPr>
            </w:pPr>
            <w:r>
              <w:rPr>
                <w:rFonts w:hint="eastAsia" w:ascii="宋体" w:hAnsi="宋体"/>
                <w:color w:val="auto"/>
                <w:sz w:val="24"/>
                <w:highlight w:val="none"/>
              </w:rPr>
              <w:t>6个月</w:t>
            </w:r>
          </w:p>
        </w:tc>
      </w:tr>
      <w:tr w14:paraId="37CE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A6DCAC1">
            <w:pPr>
              <w:spacing w:line="440" w:lineRule="exact"/>
              <w:jc w:val="center"/>
              <w:rPr>
                <w:rFonts w:ascii="宋体" w:hAnsi="宋体"/>
                <w:color w:val="auto"/>
                <w:sz w:val="24"/>
                <w:highlight w:val="none"/>
              </w:rPr>
            </w:pPr>
            <w:r>
              <w:rPr>
                <w:rFonts w:hint="eastAsia" w:ascii="宋体" w:hAnsi="宋体"/>
                <w:color w:val="auto"/>
                <w:sz w:val="24"/>
                <w:highlight w:val="none"/>
              </w:rPr>
              <w:t>6</w:t>
            </w:r>
          </w:p>
        </w:tc>
        <w:tc>
          <w:tcPr>
            <w:tcW w:w="6433" w:type="dxa"/>
            <w:noWrap w:val="0"/>
            <w:vAlign w:val="center"/>
          </w:tcPr>
          <w:p w14:paraId="76ADFAD4">
            <w:pPr>
              <w:autoSpaceDE/>
              <w:autoSpaceDN/>
              <w:adjustRightInd/>
              <w:rPr>
                <w:rFonts w:ascii="宋体" w:hAnsi="宋体"/>
                <w:color w:val="auto"/>
                <w:sz w:val="24"/>
                <w:highlight w:val="none"/>
              </w:rPr>
            </w:pPr>
            <w:r>
              <w:rPr>
                <w:rFonts w:hint="eastAsia" w:ascii="宋体" w:hAnsi="宋体"/>
                <w:color w:val="auto"/>
                <w:sz w:val="24"/>
                <w:highlight w:val="none"/>
              </w:rPr>
              <w:t>不遵守投标会场纪律，无理取闹，扰乱交易秩序的</w:t>
            </w:r>
          </w:p>
        </w:tc>
        <w:tc>
          <w:tcPr>
            <w:tcW w:w="1326" w:type="dxa"/>
            <w:noWrap w:val="0"/>
            <w:vAlign w:val="center"/>
          </w:tcPr>
          <w:p w14:paraId="4A085395">
            <w:pPr>
              <w:jc w:val="center"/>
              <w:rPr>
                <w:rFonts w:ascii="宋体" w:hAnsi="宋体"/>
                <w:color w:val="auto"/>
                <w:sz w:val="24"/>
                <w:highlight w:val="none"/>
              </w:rPr>
            </w:pPr>
            <w:r>
              <w:rPr>
                <w:rFonts w:hint="eastAsia" w:ascii="宋体" w:hAnsi="宋体"/>
                <w:color w:val="auto"/>
                <w:sz w:val="24"/>
                <w:highlight w:val="none"/>
              </w:rPr>
              <w:t>1年</w:t>
            </w:r>
          </w:p>
        </w:tc>
      </w:tr>
      <w:tr w14:paraId="0E71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0BDC8284">
            <w:pPr>
              <w:spacing w:line="440" w:lineRule="exact"/>
              <w:jc w:val="center"/>
              <w:rPr>
                <w:rFonts w:ascii="宋体" w:hAnsi="宋体"/>
                <w:color w:val="auto"/>
                <w:sz w:val="24"/>
                <w:highlight w:val="none"/>
              </w:rPr>
            </w:pPr>
            <w:r>
              <w:rPr>
                <w:rFonts w:hint="eastAsia" w:ascii="宋体" w:hAnsi="宋体"/>
                <w:color w:val="auto"/>
                <w:sz w:val="24"/>
                <w:highlight w:val="none"/>
              </w:rPr>
              <w:t>7</w:t>
            </w:r>
          </w:p>
        </w:tc>
        <w:tc>
          <w:tcPr>
            <w:tcW w:w="6433" w:type="dxa"/>
            <w:noWrap w:val="0"/>
            <w:vAlign w:val="center"/>
          </w:tcPr>
          <w:p w14:paraId="4C72341D">
            <w:pPr>
              <w:autoSpaceDE/>
              <w:autoSpaceDN/>
              <w:adjustRightInd/>
              <w:rPr>
                <w:rFonts w:ascii="宋体" w:hAnsi="宋体"/>
                <w:color w:val="auto"/>
                <w:sz w:val="24"/>
                <w:highlight w:val="none"/>
              </w:rPr>
            </w:pPr>
            <w:r>
              <w:rPr>
                <w:rFonts w:hint="eastAsia" w:ascii="宋体" w:hAnsi="宋体"/>
                <w:color w:val="auto"/>
                <w:sz w:val="24"/>
                <w:highlight w:val="none"/>
              </w:rPr>
              <w:t>中标后无正当理由放弃中标，或在规定时间内不与采购人签订</w:t>
            </w:r>
            <w:r>
              <w:rPr>
                <w:rFonts w:hint="eastAsia" w:ascii="宋体" w:hAnsi="宋体"/>
                <w:color w:val="auto"/>
                <w:sz w:val="24"/>
                <w:highlight w:val="none"/>
                <w:lang w:eastAsia="zh-CN"/>
              </w:rPr>
              <w:t>采购</w:t>
            </w:r>
            <w:r>
              <w:rPr>
                <w:rFonts w:hint="eastAsia" w:ascii="宋体" w:hAnsi="宋体"/>
                <w:color w:val="auto"/>
                <w:sz w:val="24"/>
                <w:highlight w:val="none"/>
              </w:rPr>
              <w:t>合同，或在签订合同时提出附加条件或更改合同实质性内容，或拒不提交所要求的履约保证金的</w:t>
            </w:r>
          </w:p>
        </w:tc>
        <w:tc>
          <w:tcPr>
            <w:tcW w:w="1326" w:type="dxa"/>
            <w:noWrap w:val="0"/>
            <w:vAlign w:val="center"/>
          </w:tcPr>
          <w:p w14:paraId="3F6A1055">
            <w:pPr>
              <w:jc w:val="center"/>
              <w:rPr>
                <w:rFonts w:ascii="宋体" w:hAnsi="宋体"/>
                <w:color w:val="auto"/>
                <w:sz w:val="24"/>
                <w:highlight w:val="none"/>
              </w:rPr>
            </w:pPr>
            <w:r>
              <w:rPr>
                <w:rFonts w:hint="eastAsia" w:ascii="宋体" w:hAnsi="宋体"/>
                <w:color w:val="auto"/>
                <w:sz w:val="24"/>
                <w:highlight w:val="none"/>
              </w:rPr>
              <w:t>1年</w:t>
            </w:r>
          </w:p>
        </w:tc>
      </w:tr>
      <w:tr w14:paraId="7A3C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52E01999">
            <w:pPr>
              <w:spacing w:line="440" w:lineRule="exact"/>
              <w:jc w:val="center"/>
              <w:rPr>
                <w:rFonts w:ascii="宋体" w:hAnsi="宋体"/>
                <w:color w:val="auto"/>
                <w:sz w:val="24"/>
                <w:highlight w:val="none"/>
              </w:rPr>
            </w:pPr>
            <w:r>
              <w:rPr>
                <w:rFonts w:hint="eastAsia" w:ascii="宋体" w:hAnsi="宋体"/>
                <w:color w:val="auto"/>
                <w:sz w:val="24"/>
                <w:highlight w:val="none"/>
              </w:rPr>
              <w:t>8</w:t>
            </w:r>
          </w:p>
        </w:tc>
        <w:tc>
          <w:tcPr>
            <w:tcW w:w="6433" w:type="dxa"/>
            <w:noWrap w:val="0"/>
            <w:vAlign w:val="center"/>
          </w:tcPr>
          <w:p w14:paraId="5413AD92">
            <w:pPr>
              <w:autoSpaceDE/>
              <w:autoSpaceDN/>
              <w:adjustRightInd/>
              <w:rPr>
                <w:rFonts w:ascii="宋体" w:hAnsi="宋体"/>
                <w:color w:val="auto"/>
                <w:sz w:val="24"/>
                <w:highlight w:val="none"/>
              </w:rPr>
            </w:pPr>
            <w:r>
              <w:rPr>
                <w:rFonts w:hint="eastAsia" w:ascii="宋体" w:hAnsi="宋体"/>
                <w:color w:val="auto"/>
                <w:sz w:val="24"/>
                <w:highlight w:val="none"/>
              </w:rPr>
              <w:t>虚假投诉、恶意投诉和不按程序、规定时间进行质疑投诉而影响采购工作正常进行或造成不良影响的</w:t>
            </w:r>
          </w:p>
        </w:tc>
        <w:tc>
          <w:tcPr>
            <w:tcW w:w="1326" w:type="dxa"/>
            <w:noWrap w:val="0"/>
            <w:vAlign w:val="center"/>
          </w:tcPr>
          <w:p w14:paraId="20E98F11">
            <w:pPr>
              <w:jc w:val="center"/>
              <w:rPr>
                <w:rFonts w:ascii="宋体" w:hAnsi="宋体"/>
                <w:color w:val="auto"/>
                <w:sz w:val="24"/>
                <w:highlight w:val="none"/>
              </w:rPr>
            </w:pPr>
            <w:r>
              <w:rPr>
                <w:rFonts w:hint="eastAsia" w:ascii="宋体" w:hAnsi="宋体"/>
                <w:color w:val="auto"/>
                <w:sz w:val="24"/>
                <w:highlight w:val="none"/>
              </w:rPr>
              <w:t>1年</w:t>
            </w:r>
          </w:p>
        </w:tc>
      </w:tr>
      <w:tr w14:paraId="4376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148876D">
            <w:pPr>
              <w:spacing w:line="400" w:lineRule="exact"/>
              <w:jc w:val="center"/>
              <w:rPr>
                <w:rFonts w:ascii="宋体" w:hAnsi="宋体"/>
                <w:color w:val="auto"/>
                <w:sz w:val="24"/>
                <w:highlight w:val="none"/>
              </w:rPr>
            </w:pPr>
            <w:r>
              <w:rPr>
                <w:rFonts w:hint="eastAsia" w:ascii="宋体" w:hAnsi="宋体"/>
                <w:color w:val="auto"/>
                <w:sz w:val="24"/>
                <w:highlight w:val="none"/>
              </w:rPr>
              <w:t>9</w:t>
            </w:r>
          </w:p>
        </w:tc>
        <w:tc>
          <w:tcPr>
            <w:tcW w:w="6433" w:type="dxa"/>
            <w:noWrap w:val="0"/>
            <w:vAlign w:val="center"/>
          </w:tcPr>
          <w:p w14:paraId="58708646">
            <w:pPr>
              <w:autoSpaceDE/>
              <w:autoSpaceDN/>
              <w:adjustRightInd/>
              <w:rPr>
                <w:rFonts w:ascii="宋体" w:hAnsi="宋体"/>
                <w:color w:val="auto"/>
                <w:sz w:val="24"/>
                <w:highlight w:val="none"/>
              </w:rPr>
            </w:pPr>
            <w:r>
              <w:rPr>
                <w:rFonts w:hint="eastAsia" w:ascii="宋体" w:hAnsi="宋体"/>
                <w:color w:val="auto"/>
                <w:sz w:val="24"/>
                <w:highlight w:val="none"/>
              </w:rPr>
              <w:t>不按照与采购人订立的合同履行义务（包括提供标的、售后服务、技术支持等），严重违反合同规定和廉政合同要求的</w:t>
            </w:r>
          </w:p>
        </w:tc>
        <w:tc>
          <w:tcPr>
            <w:tcW w:w="1326" w:type="dxa"/>
            <w:noWrap w:val="0"/>
            <w:vAlign w:val="center"/>
          </w:tcPr>
          <w:p w14:paraId="4CC35E70">
            <w:pPr>
              <w:jc w:val="center"/>
              <w:rPr>
                <w:rFonts w:ascii="宋体" w:hAnsi="宋体"/>
                <w:color w:val="auto"/>
                <w:sz w:val="24"/>
                <w:highlight w:val="none"/>
              </w:rPr>
            </w:pPr>
            <w:r>
              <w:rPr>
                <w:rFonts w:hint="eastAsia" w:ascii="宋体" w:hAnsi="宋体"/>
                <w:color w:val="auto"/>
                <w:sz w:val="24"/>
                <w:highlight w:val="none"/>
              </w:rPr>
              <w:t>1年</w:t>
            </w:r>
          </w:p>
        </w:tc>
      </w:tr>
      <w:tr w14:paraId="514A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445D3F14">
            <w:pPr>
              <w:spacing w:line="400" w:lineRule="exact"/>
              <w:jc w:val="center"/>
              <w:rPr>
                <w:rFonts w:ascii="宋体" w:hAnsi="宋体"/>
                <w:color w:val="auto"/>
                <w:sz w:val="24"/>
                <w:highlight w:val="none"/>
              </w:rPr>
            </w:pPr>
            <w:r>
              <w:rPr>
                <w:rFonts w:hint="eastAsia" w:ascii="宋体" w:hAnsi="宋体"/>
                <w:color w:val="auto"/>
                <w:sz w:val="24"/>
                <w:highlight w:val="none"/>
              </w:rPr>
              <w:t>10</w:t>
            </w:r>
          </w:p>
        </w:tc>
        <w:tc>
          <w:tcPr>
            <w:tcW w:w="6433" w:type="dxa"/>
            <w:noWrap w:val="0"/>
            <w:vAlign w:val="center"/>
          </w:tcPr>
          <w:p w14:paraId="0C5E8DA5">
            <w:pPr>
              <w:autoSpaceDE/>
              <w:autoSpaceDN/>
              <w:adjustRightInd/>
              <w:rPr>
                <w:rFonts w:ascii="宋体" w:hAnsi="宋体"/>
                <w:color w:val="auto"/>
                <w:sz w:val="24"/>
                <w:highlight w:val="none"/>
              </w:rPr>
            </w:pPr>
            <w:r>
              <w:rPr>
                <w:rFonts w:hint="eastAsia" w:ascii="宋体" w:hAnsi="宋体"/>
                <w:color w:val="auto"/>
                <w:sz w:val="24"/>
                <w:highlight w:val="none"/>
              </w:rPr>
              <w:t>项目负责人不到位，或擅自变换项目负责人，或不认真履行职责造成采购人损失的</w:t>
            </w:r>
          </w:p>
        </w:tc>
        <w:tc>
          <w:tcPr>
            <w:tcW w:w="1326" w:type="dxa"/>
            <w:noWrap w:val="0"/>
            <w:vAlign w:val="center"/>
          </w:tcPr>
          <w:p w14:paraId="3F1AABAE">
            <w:pPr>
              <w:jc w:val="center"/>
              <w:rPr>
                <w:rFonts w:ascii="宋体" w:hAnsi="宋体"/>
                <w:color w:val="auto"/>
                <w:sz w:val="24"/>
                <w:highlight w:val="none"/>
              </w:rPr>
            </w:pPr>
            <w:r>
              <w:rPr>
                <w:rFonts w:hint="eastAsia" w:ascii="宋体" w:hAnsi="宋体"/>
                <w:color w:val="auto"/>
                <w:sz w:val="24"/>
                <w:highlight w:val="none"/>
              </w:rPr>
              <w:t>1年</w:t>
            </w:r>
          </w:p>
        </w:tc>
      </w:tr>
      <w:tr w14:paraId="1460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63B6B3F">
            <w:pPr>
              <w:spacing w:line="400" w:lineRule="exact"/>
              <w:jc w:val="center"/>
              <w:rPr>
                <w:rFonts w:ascii="宋体" w:hAnsi="宋体"/>
                <w:color w:val="auto"/>
                <w:sz w:val="24"/>
                <w:highlight w:val="none"/>
              </w:rPr>
            </w:pPr>
            <w:r>
              <w:rPr>
                <w:rFonts w:hint="eastAsia" w:ascii="宋体" w:hAnsi="宋体"/>
                <w:color w:val="auto"/>
                <w:sz w:val="24"/>
                <w:highlight w:val="none"/>
              </w:rPr>
              <w:t>11</w:t>
            </w:r>
          </w:p>
        </w:tc>
        <w:tc>
          <w:tcPr>
            <w:tcW w:w="6433" w:type="dxa"/>
            <w:noWrap w:val="0"/>
            <w:vAlign w:val="center"/>
          </w:tcPr>
          <w:p w14:paraId="0EC9C8EF">
            <w:pPr>
              <w:autoSpaceDE/>
              <w:autoSpaceDN/>
              <w:adjustRightInd/>
              <w:rPr>
                <w:rFonts w:ascii="宋体" w:hAnsi="宋体"/>
                <w:color w:val="auto"/>
                <w:sz w:val="24"/>
                <w:highlight w:val="none"/>
              </w:rPr>
            </w:pPr>
            <w:r>
              <w:rPr>
                <w:rFonts w:hint="eastAsia" w:ascii="宋体" w:hAnsi="宋体"/>
                <w:color w:val="auto"/>
                <w:sz w:val="24"/>
                <w:highlight w:val="none"/>
              </w:rPr>
              <w:t>发生经营状况重大变化以及重要担保、重大合同纠纷或诉讼、信用等级和资质变化等可能影响履约能力的重大事项，未及时向</w:t>
            </w:r>
            <w:r>
              <w:rPr>
                <w:rFonts w:hint="eastAsia" w:ascii="宋体" w:hAnsi="宋体"/>
                <w:color w:val="auto"/>
                <w:sz w:val="24"/>
                <w:highlight w:val="none"/>
                <w:lang w:val="en-US" w:eastAsia="zh-CN"/>
              </w:rPr>
              <w:t>采购人</w:t>
            </w:r>
            <w:r>
              <w:rPr>
                <w:rFonts w:hint="eastAsia" w:ascii="宋体" w:hAnsi="宋体"/>
                <w:color w:val="auto"/>
                <w:sz w:val="24"/>
                <w:highlight w:val="none"/>
              </w:rPr>
              <w:t>提供书面报告，因而造成采购人损失的</w:t>
            </w:r>
          </w:p>
        </w:tc>
        <w:tc>
          <w:tcPr>
            <w:tcW w:w="1326" w:type="dxa"/>
            <w:noWrap w:val="0"/>
            <w:vAlign w:val="center"/>
          </w:tcPr>
          <w:p w14:paraId="6D68B145">
            <w:pPr>
              <w:jc w:val="center"/>
              <w:rPr>
                <w:rFonts w:ascii="宋体" w:hAnsi="宋体"/>
                <w:color w:val="auto"/>
                <w:sz w:val="24"/>
                <w:highlight w:val="none"/>
              </w:rPr>
            </w:pPr>
            <w:r>
              <w:rPr>
                <w:rFonts w:hint="eastAsia" w:ascii="宋体" w:hAnsi="宋体"/>
                <w:color w:val="auto"/>
                <w:sz w:val="24"/>
                <w:highlight w:val="none"/>
              </w:rPr>
              <w:t>1年</w:t>
            </w:r>
          </w:p>
        </w:tc>
      </w:tr>
      <w:tr w14:paraId="0E8F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02F49014">
            <w:pPr>
              <w:spacing w:line="440" w:lineRule="exact"/>
              <w:jc w:val="center"/>
              <w:rPr>
                <w:rFonts w:ascii="宋体" w:hAnsi="宋体"/>
                <w:color w:val="auto"/>
                <w:sz w:val="24"/>
                <w:highlight w:val="none"/>
              </w:rPr>
            </w:pPr>
            <w:r>
              <w:rPr>
                <w:rFonts w:hint="eastAsia" w:ascii="宋体" w:hAnsi="宋体"/>
                <w:color w:val="auto"/>
                <w:sz w:val="24"/>
                <w:highlight w:val="none"/>
              </w:rPr>
              <w:t>12</w:t>
            </w:r>
          </w:p>
        </w:tc>
        <w:tc>
          <w:tcPr>
            <w:tcW w:w="6433" w:type="dxa"/>
            <w:noWrap w:val="0"/>
            <w:vAlign w:val="center"/>
          </w:tcPr>
          <w:p w14:paraId="5E2A49DE">
            <w:pPr>
              <w:autoSpaceDE/>
              <w:autoSpaceDN/>
              <w:adjustRightInd/>
              <w:rPr>
                <w:rFonts w:ascii="宋体" w:hAnsi="宋体"/>
                <w:color w:val="auto"/>
                <w:sz w:val="24"/>
                <w:highlight w:val="none"/>
              </w:rPr>
            </w:pPr>
            <w:r>
              <w:rPr>
                <w:rFonts w:hint="eastAsia" w:ascii="宋体" w:hAnsi="宋体"/>
                <w:color w:val="auto"/>
                <w:sz w:val="24"/>
                <w:highlight w:val="none"/>
              </w:rPr>
              <w:t>与采购人、其他供应商或者采购代理机构相互串通的</w:t>
            </w:r>
          </w:p>
        </w:tc>
        <w:tc>
          <w:tcPr>
            <w:tcW w:w="1326" w:type="dxa"/>
            <w:noWrap w:val="0"/>
            <w:vAlign w:val="center"/>
          </w:tcPr>
          <w:p w14:paraId="6152298A">
            <w:pPr>
              <w:jc w:val="center"/>
              <w:rPr>
                <w:rFonts w:ascii="宋体" w:hAnsi="宋体"/>
                <w:color w:val="auto"/>
                <w:sz w:val="24"/>
                <w:highlight w:val="none"/>
              </w:rPr>
            </w:pPr>
            <w:r>
              <w:rPr>
                <w:rFonts w:hint="eastAsia" w:ascii="宋体" w:hAnsi="宋体"/>
                <w:color w:val="auto"/>
                <w:sz w:val="24"/>
                <w:highlight w:val="none"/>
              </w:rPr>
              <w:t>2年</w:t>
            </w:r>
          </w:p>
        </w:tc>
      </w:tr>
      <w:tr w14:paraId="1E39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04326C1F">
            <w:pPr>
              <w:spacing w:line="440" w:lineRule="exact"/>
              <w:jc w:val="center"/>
              <w:rPr>
                <w:rFonts w:ascii="宋体" w:hAnsi="宋体"/>
                <w:color w:val="auto"/>
                <w:sz w:val="24"/>
                <w:highlight w:val="none"/>
              </w:rPr>
            </w:pPr>
            <w:r>
              <w:rPr>
                <w:rFonts w:hint="eastAsia" w:ascii="宋体" w:hAnsi="宋体"/>
                <w:color w:val="auto"/>
                <w:sz w:val="24"/>
                <w:highlight w:val="none"/>
              </w:rPr>
              <w:t>13</w:t>
            </w:r>
          </w:p>
        </w:tc>
        <w:tc>
          <w:tcPr>
            <w:tcW w:w="6433" w:type="dxa"/>
            <w:noWrap w:val="0"/>
            <w:vAlign w:val="center"/>
          </w:tcPr>
          <w:p w14:paraId="3D945637">
            <w:pPr>
              <w:autoSpaceDE/>
              <w:autoSpaceDN/>
              <w:adjustRightInd/>
              <w:rPr>
                <w:rFonts w:ascii="宋体" w:hAnsi="宋体"/>
                <w:color w:val="auto"/>
                <w:sz w:val="24"/>
                <w:highlight w:val="none"/>
              </w:rPr>
            </w:pPr>
            <w:r>
              <w:rPr>
                <w:rFonts w:hint="eastAsia" w:ascii="宋体" w:hAnsi="宋体"/>
                <w:color w:val="auto"/>
                <w:sz w:val="24"/>
                <w:highlight w:val="none"/>
              </w:rPr>
              <w:t>采取不正当手段排挤其他供应商，进行不公平竞争的</w:t>
            </w:r>
          </w:p>
        </w:tc>
        <w:tc>
          <w:tcPr>
            <w:tcW w:w="1326" w:type="dxa"/>
            <w:noWrap w:val="0"/>
            <w:vAlign w:val="center"/>
          </w:tcPr>
          <w:p w14:paraId="1D9DB0A7">
            <w:pPr>
              <w:jc w:val="center"/>
              <w:rPr>
                <w:rFonts w:ascii="宋体" w:hAnsi="宋体"/>
                <w:color w:val="auto"/>
                <w:sz w:val="24"/>
                <w:highlight w:val="none"/>
              </w:rPr>
            </w:pPr>
            <w:r>
              <w:rPr>
                <w:rFonts w:hint="eastAsia" w:ascii="宋体" w:hAnsi="宋体"/>
                <w:color w:val="auto"/>
                <w:sz w:val="24"/>
                <w:highlight w:val="none"/>
              </w:rPr>
              <w:t>2年</w:t>
            </w:r>
          </w:p>
        </w:tc>
      </w:tr>
      <w:tr w14:paraId="421A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59C3EA17">
            <w:pPr>
              <w:spacing w:line="440" w:lineRule="exact"/>
              <w:jc w:val="center"/>
              <w:rPr>
                <w:rFonts w:ascii="宋体" w:hAnsi="宋体"/>
                <w:color w:val="auto"/>
                <w:sz w:val="24"/>
                <w:highlight w:val="none"/>
              </w:rPr>
            </w:pPr>
            <w:r>
              <w:rPr>
                <w:rFonts w:hint="eastAsia" w:ascii="宋体" w:hAnsi="宋体"/>
                <w:color w:val="auto"/>
                <w:sz w:val="24"/>
                <w:highlight w:val="none"/>
              </w:rPr>
              <w:t>14</w:t>
            </w:r>
          </w:p>
        </w:tc>
        <w:tc>
          <w:tcPr>
            <w:tcW w:w="6433" w:type="dxa"/>
            <w:noWrap w:val="0"/>
            <w:vAlign w:val="center"/>
          </w:tcPr>
          <w:p w14:paraId="7A40C473">
            <w:pPr>
              <w:autoSpaceDE/>
              <w:autoSpaceDN/>
              <w:adjustRightInd/>
              <w:rPr>
                <w:rFonts w:ascii="宋体" w:hAnsi="宋体"/>
                <w:color w:val="auto"/>
                <w:sz w:val="24"/>
                <w:highlight w:val="none"/>
              </w:rPr>
            </w:pPr>
            <w:r>
              <w:rPr>
                <w:rFonts w:hint="eastAsia" w:ascii="宋体" w:hAnsi="宋体"/>
                <w:color w:val="auto"/>
                <w:sz w:val="24"/>
                <w:highlight w:val="none"/>
              </w:rPr>
              <w:t>中标后与采购人另行订立背离合同实质内容的协议的</w:t>
            </w:r>
          </w:p>
        </w:tc>
        <w:tc>
          <w:tcPr>
            <w:tcW w:w="1326" w:type="dxa"/>
            <w:noWrap w:val="0"/>
            <w:vAlign w:val="center"/>
          </w:tcPr>
          <w:p w14:paraId="74999B68">
            <w:pPr>
              <w:jc w:val="center"/>
              <w:rPr>
                <w:rFonts w:ascii="宋体" w:hAnsi="宋体"/>
                <w:color w:val="auto"/>
                <w:sz w:val="24"/>
                <w:highlight w:val="none"/>
              </w:rPr>
            </w:pPr>
            <w:r>
              <w:rPr>
                <w:rFonts w:hint="eastAsia" w:ascii="宋体" w:hAnsi="宋体"/>
                <w:color w:val="auto"/>
                <w:sz w:val="24"/>
                <w:highlight w:val="none"/>
              </w:rPr>
              <w:t>2年</w:t>
            </w:r>
          </w:p>
        </w:tc>
      </w:tr>
      <w:tr w14:paraId="62E0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59657AE">
            <w:pPr>
              <w:spacing w:line="400" w:lineRule="exact"/>
              <w:jc w:val="center"/>
              <w:rPr>
                <w:rFonts w:ascii="宋体" w:hAnsi="宋体"/>
                <w:color w:val="auto"/>
                <w:sz w:val="24"/>
                <w:highlight w:val="none"/>
              </w:rPr>
            </w:pPr>
            <w:r>
              <w:rPr>
                <w:rFonts w:hint="eastAsia" w:ascii="宋体" w:hAnsi="宋体"/>
                <w:color w:val="auto"/>
                <w:sz w:val="24"/>
                <w:highlight w:val="none"/>
              </w:rPr>
              <w:t>15</w:t>
            </w:r>
          </w:p>
        </w:tc>
        <w:tc>
          <w:tcPr>
            <w:tcW w:w="6433" w:type="dxa"/>
            <w:noWrap w:val="0"/>
            <w:vAlign w:val="center"/>
          </w:tcPr>
          <w:p w14:paraId="42DD2359">
            <w:pPr>
              <w:autoSpaceDE/>
              <w:autoSpaceDN/>
              <w:adjustRightInd/>
              <w:rPr>
                <w:rFonts w:ascii="宋体" w:hAnsi="宋体"/>
                <w:color w:val="auto"/>
                <w:sz w:val="24"/>
                <w:highlight w:val="none"/>
              </w:rPr>
            </w:pPr>
            <w:r>
              <w:rPr>
                <w:rFonts w:hint="eastAsia" w:ascii="宋体" w:hAnsi="宋体"/>
                <w:color w:val="auto"/>
                <w:sz w:val="24"/>
                <w:highlight w:val="none"/>
              </w:rPr>
              <w:t>事先有承诺，而事后违反承诺内容的</w:t>
            </w:r>
          </w:p>
        </w:tc>
        <w:tc>
          <w:tcPr>
            <w:tcW w:w="1326" w:type="dxa"/>
            <w:noWrap w:val="0"/>
            <w:vAlign w:val="center"/>
          </w:tcPr>
          <w:p w14:paraId="5640118F">
            <w:pPr>
              <w:jc w:val="center"/>
              <w:rPr>
                <w:rFonts w:ascii="宋体" w:hAnsi="宋体"/>
                <w:color w:val="auto"/>
                <w:sz w:val="24"/>
                <w:highlight w:val="none"/>
              </w:rPr>
            </w:pPr>
            <w:r>
              <w:rPr>
                <w:rFonts w:hint="eastAsia" w:ascii="宋体" w:hAnsi="宋体"/>
                <w:color w:val="auto"/>
                <w:sz w:val="24"/>
                <w:highlight w:val="none"/>
              </w:rPr>
              <w:t>2年</w:t>
            </w:r>
          </w:p>
        </w:tc>
      </w:tr>
      <w:tr w14:paraId="102E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53D01591">
            <w:pPr>
              <w:spacing w:line="400" w:lineRule="exact"/>
              <w:jc w:val="center"/>
              <w:rPr>
                <w:rFonts w:ascii="宋体" w:hAnsi="宋体"/>
                <w:color w:val="auto"/>
                <w:sz w:val="24"/>
                <w:highlight w:val="none"/>
              </w:rPr>
            </w:pPr>
            <w:r>
              <w:rPr>
                <w:rFonts w:hint="eastAsia" w:ascii="宋体" w:hAnsi="宋体"/>
                <w:color w:val="auto"/>
                <w:sz w:val="24"/>
                <w:highlight w:val="none"/>
              </w:rPr>
              <w:t>16</w:t>
            </w:r>
          </w:p>
        </w:tc>
        <w:tc>
          <w:tcPr>
            <w:tcW w:w="6433" w:type="dxa"/>
            <w:noWrap w:val="0"/>
            <w:vAlign w:val="center"/>
          </w:tcPr>
          <w:p w14:paraId="7F65E1BD">
            <w:pPr>
              <w:autoSpaceDE/>
              <w:autoSpaceDN/>
              <w:adjustRightInd/>
              <w:rPr>
                <w:rFonts w:ascii="宋体" w:hAnsi="宋体"/>
                <w:color w:val="auto"/>
                <w:sz w:val="24"/>
                <w:highlight w:val="none"/>
              </w:rPr>
            </w:pPr>
            <w:r>
              <w:rPr>
                <w:rFonts w:hint="eastAsia" w:ascii="宋体" w:hAnsi="宋体"/>
                <w:color w:val="auto"/>
                <w:sz w:val="24"/>
                <w:highlight w:val="none"/>
              </w:rPr>
              <w:t>将中标项目转包或违反规定进行分包的</w:t>
            </w:r>
          </w:p>
        </w:tc>
        <w:tc>
          <w:tcPr>
            <w:tcW w:w="1326" w:type="dxa"/>
            <w:noWrap w:val="0"/>
            <w:vAlign w:val="center"/>
          </w:tcPr>
          <w:p w14:paraId="40B9F2C7">
            <w:pPr>
              <w:jc w:val="center"/>
              <w:rPr>
                <w:rFonts w:ascii="宋体" w:hAnsi="宋体"/>
                <w:color w:val="auto"/>
                <w:sz w:val="24"/>
                <w:highlight w:val="none"/>
              </w:rPr>
            </w:pPr>
            <w:r>
              <w:rPr>
                <w:rFonts w:hint="eastAsia" w:ascii="宋体" w:hAnsi="宋体"/>
                <w:color w:val="auto"/>
                <w:sz w:val="24"/>
                <w:highlight w:val="none"/>
              </w:rPr>
              <w:t>2年</w:t>
            </w:r>
          </w:p>
        </w:tc>
      </w:tr>
      <w:tr w14:paraId="2EBB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E7D2A14">
            <w:pPr>
              <w:spacing w:line="440" w:lineRule="exact"/>
              <w:jc w:val="center"/>
              <w:rPr>
                <w:rFonts w:ascii="宋体" w:hAnsi="宋体"/>
                <w:color w:val="auto"/>
                <w:sz w:val="24"/>
                <w:highlight w:val="none"/>
              </w:rPr>
            </w:pPr>
            <w:r>
              <w:rPr>
                <w:rFonts w:hint="eastAsia" w:ascii="宋体" w:hAnsi="宋体"/>
                <w:color w:val="auto"/>
                <w:sz w:val="24"/>
                <w:highlight w:val="none"/>
              </w:rPr>
              <w:t>17</w:t>
            </w:r>
          </w:p>
        </w:tc>
        <w:tc>
          <w:tcPr>
            <w:tcW w:w="6433" w:type="dxa"/>
            <w:noWrap w:val="0"/>
            <w:vAlign w:val="center"/>
          </w:tcPr>
          <w:p w14:paraId="4370D1E2">
            <w:pPr>
              <w:autoSpaceDE/>
              <w:autoSpaceDN/>
              <w:adjustRightInd/>
              <w:rPr>
                <w:rFonts w:ascii="宋体" w:hAnsi="宋体"/>
                <w:color w:val="auto"/>
                <w:sz w:val="24"/>
                <w:highlight w:val="none"/>
              </w:rPr>
            </w:pPr>
            <w:r>
              <w:rPr>
                <w:rFonts w:hint="eastAsia" w:ascii="宋体" w:hAnsi="宋体"/>
                <w:color w:val="auto"/>
                <w:sz w:val="24"/>
                <w:highlight w:val="none"/>
              </w:rPr>
              <w:t>提供虚假资料参加投标的</w:t>
            </w:r>
          </w:p>
        </w:tc>
        <w:tc>
          <w:tcPr>
            <w:tcW w:w="1326" w:type="dxa"/>
            <w:noWrap w:val="0"/>
            <w:vAlign w:val="center"/>
          </w:tcPr>
          <w:p w14:paraId="1D138833">
            <w:pPr>
              <w:jc w:val="center"/>
              <w:rPr>
                <w:rFonts w:ascii="宋体" w:hAnsi="宋体"/>
                <w:color w:val="auto"/>
                <w:sz w:val="24"/>
                <w:highlight w:val="none"/>
              </w:rPr>
            </w:pPr>
            <w:r>
              <w:rPr>
                <w:rFonts w:hint="eastAsia" w:ascii="宋体" w:hAnsi="宋体"/>
                <w:color w:val="auto"/>
                <w:sz w:val="24"/>
                <w:highlight w:val="none"/>
              </w:rPr>
              <w:t>3年</w:t>
            </w:r>
          </w:p>
        </w:tc>
      </w:tr>
      <w:tr w14:paraId="11A2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39A1B75">
            <w:pPr>
              <w:spacing w:line="400" w:lineRule="exact"/>
              <w:jc w:val="center"/>
              <w:rPr>
                <w:rFonts w:ascii="宋体" w:hAnsi="宋体"/>
                <w:color w:val="auto"/>
                <w:sz w:val="24"/>
                <w:highlight w:val="none"/>
              </w:rPr>
            </w:pPr>
            <w:r>
              <w:rPr>
                <w:rFonts w:hint="eastAsia" w:ascii="宋体" w:hAnsi="宋体"/>
                <w:color w:val="auto"/>
                <w:sz w:val="24"/>
                <w:highlight w:val="none"/>
              </w:rPr>
              <w:t>18</w:t>
            </w:r>
          </w:p>
        </w:tc>
        <w:tc>
          <w:tcPr>
            <w:tcW w:w="6433" w:type="dxa"/>
            <w:noWrap w:val="0"/>
            <w:vAlign w:val="center"/>
          </w:tcPr>
          <w:p w14:paraId="77AB87A1">
            <w:pPr>
              <w:autoSpaceDE/>
              <w:autoSpaceDN/>
              <w:adjustRightInd/>
              <w:rPr>
                <w:rFonts w:ascii="宋体" w:hAnsi="宋体"/>
                <w:color w:val="auto"/>
                <w:sz w:val="24"/>
                <w:highlight w:val="none"/>
              </w:rPr>
            </w:pPr>
            <w:r>
              <w:rPr>
                <w:rFonts w:hint="eastAsia" w:ascii="宋体" w:hAnsi="宋体"/>
                <w:color w:val="auto"/>
                <w:sz w:val="24"/>
                <w:highlight w:val="none"/>
              </w:rPr>
              <w:t>以他人名义投标或允许他人以自己名义投标，或者以其他方式弄虚作假的</w:t>
            </w:r>
          </w:p>
        </w:tc>
        <w:tc>
          <w:tcPr>
            <w:tcW w:w="1326" w:type="dxa"/>
            <w:noWrap w:val="0"/>
            <w:vAlign w:val="center"/>
          </w:tcPr>
          <w:p w14:paraId="2D906119">
            <w:pPr>
              <w:jc w:val="center"/>
              <w:rPr>
                <w:rFonts w:ascii="宋体" w:hAnsi="宋体"/>
                <w:color w:val="auto"/>
                <w:sz w:val="24"/>
                <w:highlight w:val="none"/>
              </w:rPr>
            </w:pPr>
            <w:r>
              <w:rPr>
                <w:rFonts w:hint="eastAsia" w:ascii="宋体" w:hAnsi="宋体"/>
                <w:color w:val="auto"/>
                <w:sz w:val="24"/>
                <w:highlight w:val="none"/>
              </w:rPr>
              <w:t>3年</w:t>
            </w:r>
          </w:p>
        </w:tc>
      </w:tr>
      <w:tr w14:paraId="1139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noWrap w:val="0"/>
            <w:vAlign w:val="center"/>
          </w:tcPr>
          <w:p w14:paraId="6504ACFE">
            <w:pPr>
              <w:spacing w:line="400" w:lineRule="exact"/>
              <w:jc w:val="center"/>
              <w:rPr>
                <w:rFonts w:ascii="宋体" w:hAnsi="宋体"/>
                <w:color w:val="auto"/>
                <w:sz w:val="24"/>
                <w:highlight w:val="none"/>
              </w:rPr>
            </w:pPr>
            <w:r>
              <w:rPr>
                <w:rFonts w:hint="eastAsia" w:ascii="宋体" w:hAnsi="宋体"/>
                <w:color w:val="auto"/>
                <w:sz w:val="24"/>
                <w:highlight w:val="none"/>
              </w:rPr>
              <w:t>19</w:t>
            </w:r>
          </w:p>
        </w:tc>
        <w:tc>
          <w:tcPr>
            <w:tcW w:w="6433" w:type="dxa"/>
            <w:noWrap w:val="0"/>
            <w:vAlign w:val="center"/>
          </w:tcPr>
          <w:p w14:paraId="5F2027C8">
            <w:pPr>
              <w:autoSpaceDE/>
              <w:autoSpaceDN/>
              <w:adjustRightInd/>
              <w:rPr>
                <w:rFonts w:ascii="宋体" w:hAnsi="宋体"/>
                <w:color w:val="auto"/>
                <w:sz w:val="24"/>
                <w:highlight w:val="none"/>
              </w:rPr>
            </w:pPr>
            <w:r>
              <w:rPr>
                <w:rFonts w:hint="eastAsia" w:ascii="宋体" w:hAnsi="宋体"/>
                <w:color w:val="auto"/>
                <w:sz w:val="24"/>
                <w:highlight w:val="none"/>
              </w:rPr>
              <w:t>未按照采购合同约定及时提供全部货物的，或无故拖延工期的</w:t>
            </w:r>
          </w:p>
        </w:tc>
        <w:tc>
          <w:tcPr>
            <w:tcW w:w="1326" w:type="dxa"/>
            <w:noWrap w:val="0"/>
            <w:vAlign w:val="center"/>
          </w:tcPr>
          <w:p w14:paraId="3FD80592">
            <w:pPr>
              <w:jc w:val="center"/>
              <w:rPr>
                <w:rFonts w:ascii="宋体" w:hAnsi="宋体"/>
                <w:color w:val="auto"/>
                <w:sz w:val="24"/>
                <w:highlight w:val="none"/>
              </w:rPr>
            </w:pPr>
            <w:r>
              <w:rPr>
                <w:rFonts w:hint="eastAsia" w:ascii="宋体" w:hAnsi="宋体"/>
                <w:color w:val="auto"/>
                <w:sz w:val="24"/>
                <w:highlight w:val="none"/>
              </w:rPr>
              <w:t>3年</w:t>
            </w:r>
          </w:p>
        </w:tc>
      </w:tr>
      <w:tr w14:paraId="5A3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noWrap w:val="0"/>
            <w:vAlign w:val="center"/>
          </w:tcPr>
          <w:p w14:paraId="42A5D0B8">
            <w:pPr>
              <w:spacing w:line="400" w:lineRule="exact"/>
              <w:jc w:val="center"/>
              <w:rPr>
                <w:rFonts w:ascii="宋体" w:hAnsi="宋体"/>
                <w:color w:val="auto"/>
                <w:sz w:val="24"/>
                <w:highlight w:val="none"/>
              </w:rPr>
            </w:pPr>
            <w:r>
              <w:rPr>
                <w:rFonts w:hint="eastAsia" w:ascii="宋体" w:hAnsi="宋体"/>
                <w:color w:val="auto"/>
                <w:sz w:val="24"/>
                <w:highlight w:val="none"/>
              </w:rPr>
              <w:t>20</w:t>
            </w:r>
          </w:p>
        </w:tc>
        <w:tc>
          <w:tcPr>
            <w:tcW w:w="6433" w:type="dxa"/>
            <w:noWrap w:val="0"/>
            <w:vAlign w:val="center"/>
          </w:tcPr>
          <w:p w14:paraId="428ED443">
            <w:pPr>
              <w:autoSpaceDE/>
              <w:autoSpaceDN/>
              <w:adjustRightInd/>
              <w:rPr>
                <w:rFonts w:ascii="宋体" w:hAnsi="宋体"/>
                <w:color w:val="auto"/>
                <w:sz w:val="24"/>
                <w:highlight w:val="none"/>
              </w:rPr>
            </w:pPr>
            <w:r>
              <w:rPr>
                <w:rFonts w:hint="eastAsia" w:ascii="宋体" w:hAnsi="宋体"/>
                <w:color w:val="auto"/>
                <w:sz w:val="24"/>
                <w:highlight w:val="none"/>
              </w:rPr>
              <w:t>无故不提供中标要求的型号、配置等产品的，或有拆换、调换、截留产品零部件和备品备件的行为的</w:t>
            </w:r>
          </w:p>
        </w:tc>
        <w:tc>
          <w:tcPr>
            <w:tcW w:w="1326" w:type="dxa"/>
            <w:noWrap w:val="0"/>
            <w:vAlign w:val="center"/>
          </w:tcPr>
          <w:p w14:paraId="6A468FA4">
            <w:pPr>
              <w:jc w:val="center"/>
              <w:rPr>
                <w:rFonts w:ascii="宋体" w:hAnsi="宋体"/>
                <w:color w:val="auto"/>
                <w:sz w:val="24"/>
                <w:highlight w:val="none"/>
              </w:rPr>
            </w:pPr>
            <w:r>
              <w:rPr>
                <w:rFonts w:hint="eastAsia" w:ascii="宋体" w:hAnsi="宋体"/>
                <w:color w:val="auto"/>
                <w:sz w:val="24"/>
                <w:highlight w:val="none"/>
              </w:rPr>
              <w:t>3年</w:t>
            </w:r>
          </w:p>
        </w:tc>
      </w:tr>
      <w:tr w14:paraId="273E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2526ECC">
            <w:pPr>
              <w:spacing w:line="400" w:lineRule="exact"/>
              <w:jc w:val="center"/>
              <w:rPr>
                <w:rFonts w:ascii="宋体" w:hAnsi="宋体"/>
                <w:color w:val="auto"/>
                <w:sz w:val="24"/>
                <w:highlight w:val="none"/>
              </w:rPr>
            </w:pPr>
            <w:r>
              <w:rPr>
                <w:rFonts w:hint="eastAsia" w:ascii="宋体" w:hAnsi="宋体"/>
                <w:color w:val="auto"/>
                <w:sz w:val="24"/>
                <w:highlight w:val="none"/>
              </w:rPr>
              <w:t>21</w:t>
            </w:r>
          </w:p>
        </w:tc>
        <w:tc>
          <w:tcPr>
            <w:tcW w:w="6433" w:type="dxa"/>
            <w:noWrap w:val="0"/>
            <w:vAlign w:val="center"/>
          </w:tcPr>
          <w:p w14:paraId="1F9BE30A">
            <w:pPr>
              <w:autoSpaceDE/>
              <w:autoSpaceDN/>
              <w:adjustRightInd/>
              <w:rPr>
                <w:rFonts w:ascii="宋体" w:hAnsi="宋体"/>
                <w:color w:val="auto"/>
                <w:sz w:val="24"/>
                <w:highlight w:val="none"/>
              </w:rPr>
            </w:pPr>
            <w:r>
              <w:rPr>
                <w:rFonts w:hint="eastAsia" w:ascii="宋体" w:hAnsi="宋体"/>
                <w:color w:val="auto"/>
                <w:sz w:val="24"/>
                <w:highlight w:val="none"/>
              </w:rPr>
              <w:t>为获取自身利益，向采购人及其他有利害关系的单位或个人提供不正当利益的</w:t>
            </w:r>
          </w:p>
        </w:tc>
        <w:tc>
          <w:tcPr>
            <w:tcW w:w="1326" w:type="dxa"/>
            <w:noWrap w:val="0"/>
            <w:vAlign w:val="center"/>
          </w:tcPr>
          <w:p w14:paraId="2A863123">
            <w:pPr>
              <w:jc w:val="center"/>
              <w:rPr>
                <w:rFonts w:ascii="宋体" w:hAnsi="宋体"/>
                <w:color w:val="auto"/>
                <w:sz w:val="24"/>
                <w:highlight w:val="none"/>
              </w:rPr>
            </w:pPr>
            <w:r>
              <w:rPr>
                <w:rFonts w:hint="eastAsia" w:ascii="宋体" w:hAnsi="宋体"/>
                <w:color w:val="auto"/>
                <w:sz w:val="24"/>
                <w:highlight w:val="none"/>
              </w:rPr>
              <w:t>3年</w:t>
            </w:r>
          </w:p>
        </w:tc>
      </w:tr>
      <w:tr w14:paraId="6390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065A4545">
            <w:pPr>
              <w:spacing w:line="400" w:lineRule="exact"/>
              <w:jc w:val="center"/>
              <w:rPr>
                <w:rFonts w:ascii="宋体" w:hAnsi="宋体"/>
                <w:color w:val="auto"/>
                <w:sz w:val="24"/>
                <w:highlight w:val="none"/>
              </w:rPr>
            </w:pPr>
            <w:r>
              <w:rPr>
                <w:rFonts w:hint="eastAsia" w:ascii="宋体" w:hAnsi="宋体"/>
                <w:color w:val="auto"/>
                <w:sz w:val="24"/>
                <w:highlight w:val="none"/>
              </w:rPr>
              <w:t>22</w:t>
            </w:r>
          </w:p>
        </w:tc>
        <w:tc>
          <w:tcPr>
            <w:tcW w:w="6433" w:type="dxa"/>
            <w:noWrap w:val="0"/>
            <w:vAlign w:val="center"/>
          </w:tcPr>
          <w:p w14:paraId="11F53661">
            <w:pPr>
              <w:autoSpaceDE/>
              <w:autoSpaceDN/>
              <w:adjustRightInd/>
              <w:rPr>
                <w:rFonts w:ascii="宋体" w:hAnsi="宋体"/>
                <w:color w:val="auto"/>
                <w:sz w:val="24"/>
                <w:highlight w:val="none"/>
              </w:rPr>
            </w:pPr>
            <w:r>
              <w:rPr>
                <w:rFonts w:hint="eastAsia" w:ascii="宋体" w:hAnsi="宋体"/>
                <w:color w:val="auto"/>
                <w:sz w:val="24"/>
                <w:highlight w:val="none"/>
              </w:rPr>
              <w:t>提供假冒伪劣产品或走私物品的</w:t>
            </w:r>
          </w:p>
        </w:tc>
        <w:tc>
          <w:tcPr>
            <w:tcW w:w="1326" w:type="dxa"/>
            <w:noWrap w:val="0"/>
            <w:vAlign w:val="center"/>
          </w:tcPr>
          <w:p w14:paraId="4E080DCF">
            <w:pPr>
              <w:jc w:val="center"/>
              <w:rPr>
                <w:rFonts w:ascii="宋体" w:hAnsi="宋体"/>
                <w:color w:val="auto"/>
                <w:sz w:val="24"/>
                <w:highlight w:val="none"/>
              </w:rPr>
            </w:pPr>
            <w:r>
              <w:rPr>
                <w:rFonts w:hint="eastAsia" w:ascii="宋体" w:hAnsi="宋体"/>
                <w:color w:val="auto"/>
                <w:sz w:val="24"/>
                <w:highlight w:val="none"/>
              </w:rPr>
              <w:t>5年</w:t>
            </w:r>
          </w:p>
        </w:tc>
      </w:tr>
      <w:tr w14:paraId="187E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0EE3B6B8">
            <w:pPr>
              <w:spacing w:line="440" w:lineRule="exact"/>
              <w:jc w:val="center"/>
              <w:rPr>
                <w:rFonts w:ascii="宋体" w:hAnsi="宋体"/>
                <w:color w:val="auto"/>
                <w:sz w:val="24"/>
                <w:highlight w:val="none"/>
              </w:rPr>
            </w:pPr>
            <w:r>
              <w:rPr>
                <w:rFonts w:hint="eastAsia" w:ascii="宋体" w:hAnsi="宋体"/>
                <w:color w:val="auto"/>
                <w:sz w:val="24"/>
                <w:highlight w:val="none"/>
              </w:rPr>
              <w:t>23</w:t>
            </w:r>
          </w:p>
        </w:tc>
        <w:tc>
          <w:tcPr>
            <w:tcW w:w="6433" w:type="dxa"/>
            <w:noWrap w:val="0"/>
            <w:vAlign w:val="center"/>
          </w:tcPr>
          <w:p w14:paraId="4A7CDC35">
            <w:pPr>
              <w:autoSpaceDE/>
              <w:autoSpaceDN/>
              <w:adjustRightInd/>
              <w:rPr>
                <w:rFonts w:ascii="宋体" w:hAnsi="宋体"/>
                <w:color w:val="auto"/>
                <w:sz w:val="24"/>
                <w:highlight w:val="none"/>
              </w:rPr>
            </w:pPr>
            <w:r>
              <w:rPr>
                <w:rFonts w:hint="eastAsia" w:ascii="宋体" w:hAnsi="宋体"/>
                <w:color w:val="auto"/>
                <w:sz w:val="24"/>
                <w:highlight w:val="none"/>
              </w:rPr>
              <w:t>擅自变更、中止、终止或解除</w:t>
            </w:r>
            <w:r>
              <w:rPr>
                <w:rFonts w:hint="eastAsia" w:ascii="宋体" w:hAnsi="宋体"/>
                <w:color w:val="auto"/>
                <w:sz w:val="24"/>
                <w:highlight w:val="none"/>
                <w:lang w:eastAsia="zh-CN"/>
              </w:rPr>
              <w:t>采购</w:t>
            </w:r>
            <w:r>
              <w:rPr>
                <w:rFonts w:hint="eastAsia" w:ascii="宋体" w:hAnsi="宋体"/>
                <w:color w:val="auto"/>
                <w:sz w:val="24"/>
                <w:highlight w:val="none"/>
              </w:rPr>
              <w:t>合同的</w:t>
            </w:r>
          </w:p>
        </w:tc>
        <w:tc>
          <w:tcPr>
            <w:tcW w:w="1326" w:type="dxa"/>
            <w:noWrap w:val="0"/>
            <w:vAlign w:val="center"/>
          </w:tcPr>
          <w:p w14:paraId="56D26A66">
            <w:pPr>
              <w:jc w:val="center"/>
              <w:rPr>
                <w:rFonts w:ascii="宋体" w:hAnsi="宋体"/>
                <w:color w:val="auto"/>
                <w:sz w:val="24"/>
                <w:highlight w:val="none"/>
              </w:rPr>
            </w:pPr>
            <w:r>
              <w:rPr>
                <w:rFonts w:hint="eastAsia" w:ascii="宋体" w:hAnsi="宋体"/>
                <w:color w:val="auto"/>
                <w:sz w:val="24"/>
                <w:highlight w:val="none"/>
              </w:rPr>
              <w:t>5年</w:t>
            </w:r>
          </w:p>
        </w:tc>
      </w:tr>
      <w:tr w14:paraId="2186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E6DB2DD">
            <w:pPr>
              <w:spacing w:line="440" w:lineRule="exact"/>
              <w:jc w:val="center"/>
              <w:rPr>
                <w:rFonts w:ascii="宋体" w:hAnsi="宋体"/>
                <w:color w:val="auto"/>
                <w:sz w:val="24"/>
                <w:highlight w:val="none"/>
              </w:rPr>
            </w:pPr>
            <w:r>
              <w:rPr>
                <w:rFonts w:hint="eastAsia" w:ascii="宋体" w:hAnsi="宋体"/>
                <w:color w:val="auto"/>
                <w:sz w:val="24"/>
                <w:highlight w:val="none"/>
              </w:rPr>
              <w:t>24</w:t>
            </w:r>
          </w:p>
        </w:tc>
        <w:tc>
          <w:tcPr>
            <w:tcW w:w="6433" w:type="dxa"/>
            <w:noWrap w:val="0"/>
            <w:vAlign w:val="center"/>
          </w:tcPr>
          <w:p w14:paraId="651F67DF">
            <w:pPr>
              <w:autoSpaceDE/>
              <w:autoSpaceDN/>
              <w:adjustRightInd/>
              <w:rPr>
                <w:rFonts w:ascii="宋体" w:hAnsi="宋体"/>
                <w:color w:val="auto"/>
                <w:sz w:val="24"/>
                <w:highlight w:val="none"/>
              </w:rPr>
            </w:pPr>
            <w:r>
              <w:rPr>
                <w:rFonts w:hint="eastAsia" w:ascii="宋体" w:hAnsi="宋体"/>
                <w:color w:val="auto"/>
                <w:sz w:val="24"/>
                <w:highlight w:val="none"/>
              </w:rPr>
              <w:t>向有关人员行贿或者提供不正当利益谋取中标的</w:t>
            </w:r>
          </w:p>
        </w:tc>
        <w:tc>
          <w:tcPr>
            <w:tcW w:w="1326" w:type="dxa"/>
            <w:noWrap w:val="0"/>
            <w:vAlign w:val="center"/>
          </w:tcPr>
          <w:p w14:paraId="3EC3CF1E">
            <w:pPr>
              <w:jc w:val="center"/>
              <w:rPr>
                <w:rFonts w:ascii="宋体" w:hAnsi="宋体"/>
                <w:color w:val="auto"/>
                <w:sz w:val="24"/>
                <w:highlight w:val="none"/>
              </w:rPr>
            </w:pPr>
            <w:r>
              <w:rPr>
                <w:rFonts w:hint="eastAsia" w:ascii="宋体" w:hAnsi="宋体"/>
                <w:color w:val="auto"/>
                <w:sz w:val="24"/>
                <w:highlight w:val="none"/>
              </w:rPr>
              <w:t>5年</w:t>
            </w:r>
          </w:p>
        </w:tc>
      </w:tr>
      <w:tr w14:paraId="6284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BF6EFDA">
            <w:pPr>
              <w:spacing w:line="440" w:lineRule="exact"/>
              <w:jc w:val="center"/>
              <w:rPr>
                <w:rFonts w:ascii="宋体" w:hAnsi="宋体"/>
                <w:color w:val="auto"/>
                <w:sz w:val="24"/>
                <w:highlight w:val="none"/>
              </w:rPr>
            </w:pPr>
            <w:r>
              <w:rPr>
                <w:rFonts w:hint="eastAsia" w:ascii="宋体" w:hAnsi="宋体"/>
                <w:color w:val="auto"/>
                <w:sz w:val="24"/>
                <w:highlight w:val="none"/>
              </w:rPr>
              <w:t>25</w:t>
            </w:r>
          </w:p>
        </w:tc>
        <w:tc>
          <w:tcPr>
            <w:tcW w:w="6433" w:type="dxa"/>
            <w:noWrap w:val="0"/>
            <w:vAlign w:val="center"/>
          </w:tcPr>
          <w:p w14:paraId="598BA47E">
            <w:pPr>
              <w:autoSpaceDE/>
              <w:autoSpaceDN/>
              <w:adjustRightInd/>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lang w:eastAsia="zh-CN"/>
              </w:rPr>
              <w:t>采购</w:t>
            </w:r>
            <w:r>
              <w:rPr>
                <w:rFonts w:hint="eastAsia" w:ascii="宋体" w:hAnsi="宋体"/>
                <w:color w:val="auto"/>
                <w:sz w:val="24"/>
                <w:highlight w:val="none"/>
              </w:rPr>
              <w:t>活动期间，对管理机构、采购人、其他投标人、评标专家、中介机构等</w:t>
            </w:r>
            <w:r>
              <w:rPr>
                <w:rFonts w:hint="eastAsia" w:ascii="宋体" w:hAnsi="宋体"/>
                <w:color w:val="auto"/>
                <w:sz w:val="24"/>
                <w:highlight w:val="none"/>
                <w:lang w:eastAsia="zh-CN"/>
              </w:rPr>
              <w:t>采购</w:t>
            </w:r>
            <w:r>
              <w:rPr>
                <w:rFonts w:hint="eastAsia" w:ascii="宋体" w:hAnsi="宋体"/>
                <w:color w:val="auto"/>
                <w:sz w:val="24"/>
                <w:highlight w:val="none"/>
              </w:rPr>
              <w:t>相关机构和人员，采取诋毁、诽谤、胁迫、暴力等不正当手段的</w:t>
            </w:r>
          </w:p>
        </w:tc>
        <w:tc>
          <w:tcPr>
            <w:tcW w:w="1326" w:type="dxa"/>
            <w:noWrap w:val="0"/>
            <w:vAlign w:val="center"/>
          </w:tcPr>
          <w:p w14:paraId="7CEEFF7D">
            <w:pPr>
              <w:jc w:val="center"/>
              <w:rPr>
                <w:rFonts w:ascii="宋体" w:hAnsi="宋体"/>
                <w:color w:val="auto"/>
                <w:sz w:val="24"/>
                <w:highlight w:val="none"/>
              </w:rPr>
            </w:pPr>
            <w:r>
              <w:rPr>
                <w:rFonts w:hint="eastAsia" w:ascii="宋体" w:hAnsi="宋体"/>
                <w:color w:val="auto"/>
                <w:sz w:val="24"/>
                <w:highlight w:val="none"/>
              </w:rPr>
              <w:t>5年</w:t>
            </w:r>
          </w:p>
        </w:tc>
      </w:tr>
      <w:tr w14:paraId="614C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A8D068C">
            <w:pPr>
              <w:spacing w:line="440" w:lineRule="exact"/>
              <w:jc w:val="center"/>
              <w:rPr>
                <w:rFonts w:ascii="宋体" w:hAnsi="宋体"/>
                <w:color w:val="auto"/>
                <w:sz w:val="24"/>
                <w:highlight w:val="none"/>
              </w:rPr>
            </w:pPr>
            <w:r>
              <w:rPr>
                <w:rFonts w:hint="eastAsia" w:ascii="宋体" w:hAnsi="宋体"/>
                <w:color w:val="auto"/>
                <w:sz w:val="24"/>
                <w:highlight w:val="none"/>
              </w:rPr>
              <w:t>26</w:t>
            </w:r>
          </w:p>
        </w:tc>
        <w:tc>
          <w:tcPr>
            <w:tcW w:w="6433" w:type="dxa"/>
            <w:noWrap w:val="0"/>
            <w:vAlign w:val="center"/>
          </w:tcPr>
          <w:p w14:paraId="637FC6AA">
            <w:pPr>
              <w:autoSpaceDE/>
              <w:autoSpaceDN/>
              <w:adjustRightInd/>
              <w:rPr>
                <w:rFonts w:ascii="宋体" w:hAnsi="宋体"/>
                <w:color w:val="auto"/>
                <w:sz w:val="24"/>
                <w:highlight w:val="none"/>
              </w:rPr>
            </w:pPr>
            <w:r>
              <w:rPr>
                <w:rFonts w:hint="eastAsia" w:ascii="宋体" w:hAnsi="宋体" w:eastAsia="宋体" w:cs="宋体"/>
                <w:color w:val="auto"/>
                <w:sz w:val="24"/>
                <w:highlight w:val="none"/>
                <w:lang w:val="en-US" w:eastAsia="zh-CN"/>
              </w:rPr>
              <w:t>采购单位招投标管理部门</w:t>
            </w:r>
            <w:r>
              <w:rPr>
                <w:rFonts w:hint="eastAsia" w:ascii="宋体" w:hAnsi="宋体" w:eastAsia="宋体" w:cs="宋体"/>
                <w:color w:val="auto"/>
                <w:sz w:val="24"/>
                <w:szCs w:val="24"/>
                <w:highlight w:val="none"/>
                <w:lang w:eastAsia="zh-CN"/>
              </w:rPr>
              <w:t>认定</w:t>
            </w:r>
            <w:r>
              <w:rPr>
                <w:rFonts w:hint="eastAsia" w:ascii="宋体" w:hAnsi="宋体" w:eastAsia="宋体" w:cs="宋体"/>
                <w:color w:val="auto"/>
                <w:sz w:val="24"/>
                <w:szCs w:val="24"/>
                <w:highlight w:val="none"/>
              </w:rPr>
              <w:t>的其他违反采购管理的行为</w:t>
            </w:r>
          </w:p>
        </w:tc>
        <w:tc>
          <w:tcPr>
            <w:tcW w:w="1326" w:type="dxa"/>
            <w:noWrap w:val="0"/>
            <w:vAlign w:val="center"/>
          </w:tcPr>
          <w:p w14:paraId="26D86DCC">
            <w:pPr>
              <w:jc w:val="center"/>
              <w:rPr>
                <w:rFonts w:ascii="宋体" w:hAnsi="宋体"/>
                <w:color w:val="auto"/>
                <w:sz w:val="24"/>
                <w:highlight w:val="none"/>
              </w:rPr>
            </w:pPr>
            <w:r>
              <w:rPr>
                <w:rFonts w:hint="eastAsia" w:ascii="宋体" w:hAnsi="宋体"/>
                <w:color w:val="auto"/>
                <w:sz w:val="24"/>
                <w:highlight w:val="none"/>
              </w:rPr>
              <w:t>酌情处理</w:t>
            </w:r>
          </w:p>
        </w:tc>
      </w:tr>
    </w:tbl>
    <w:p w14:paraId="136F3059">
      <w:pPr>
        <w:pStyle w:val="4"/>
        <w:spacing w:before="0" w:after="0" w:line="24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十、</w:t>
      </w:r>
      <w:r>
        <w:rPr>
          <w:rFonts w:hint="eastAsia" w:ascii="宋体" w:hAnsi="宋体" w:eastAsia="宋体" w:cs="Times New Roman"/>
          <w:b/>
          <w:bCs/>
          <w:color w:val="auto"/>
          <w:sz w:val="28"/>
          <w:szCs w:val="28"/>
          <w:highlight w:val="none"/>
          <w:lang w:val="en-US" w:eastAsia="zh-CN"/>
        </w:rPr>
        <w:t>监督和</w:t>
      </w:r>
      <w:r>
        <w:rPr>
          <w:rFonts w:hint="eastAsia" w:ascii="宋体" w:hAnsi="宋体" w:eastAsia="宋体" w:cs="Times New Roman"/>
          <w:b/>
          <w:bCs/>
          <w:color w:val="auto"/>
          <w:sz w:val="28"/>
          <w:szCs w:val="28"/>
          <w:highlight w:val="none"/>
        </w:rPr>
        <w:t>解释</w:t>
      </w:r>
      <w:bookmarkEnd w:id="9"/>
    </w:p>
    <w:p w14:paraId="27BDB218">
      <w:pPr>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37.</w:t>
      </w:r>
      <w:r>
        <w:rPr>
          <w:rFonts w:hint="eastAsia" w:ascii="宋体" w:hAnsi="宋体"/>
          <w:color w:val="auto"/>
          <w:sz w:val="24"/>
          <w:highlight w:val="none"/>
        </w:rPr>
        <w:t>本次招标活动接受</w:t>
      </w:r>
      <w:r>
        <w:rPr>
          <w:rFonts w:hint="eastAsia" w:ascii="宋体" w:hAnsi="宋体"/>
          <w:color w:val="auto"/>
          <w:sz w:val="24"/>
          <w:highlight w:val="none"/>
          <w:lang w:val="en-US" w:eastAsia="zh-CN"/>
        </w:rPr>
        <w:t>诸暨市建设集团有限公司招投标监管领导小组办公室监督。</w:t>
      </w:r>
    </w:p>
    <w:p w14:paraId="2C0B9867">
      <w:pPr>
        <w:ind w:firstLine="480" w:firstLineChars="200"/>
        <w:rPr>
          <w:rFonts w:hint="eastAsia" w:ascii="宋体" w:hAnsi="宋体" w:eastAsia="宋体" w:cs="宋体"/>
          <w:color w:val="auto"/>
          <w:sz w:val="24"/>
          <w:highlight w:val="none"/>
        </w:rPr>
      </w:pPr>
      <w:r>
        <w:rPr>
          <w:rFonts w:hint="eastAsia" w:ascii="宋体" w:hAnsi="宋体" w:eastAsia="宋体" w:cs="Times New Roman"/>
          <w:color w:val="auto"/>
          <w:sz w:val="24"/>
          <w:highlight w:val="none"/>
          <w:lang w:val="en-US" w:eastAsia="zh-CN"/>
        </w:rPr>
        <w:t>38.本招</w:t>
      </w:r>
      <w:r>
        <w:rPr>
          <w:rFonts w:hint="eastAsia" w:ascii="宋体" w:hAnsi="宋体"/>
          <w:color w:val="auto"/>
          <w:sz w:val="24"/>
          <w:highlight w:val="none"/>
        </w:rPr>
        <w:t>标文件的解释权属于采购人和</w:t>
      </w:r>
      <w:r>
        <w:rPr>
          <w:rFonts w:hint="eastAsia" w:ascii="宋体" w:hAnsi="宋体"/>
          <w:color w:val="auto"/>
          <w:sz w:val="24"/>
          <w:szCs w:val="24"/>
          <w:highlight w:val="none"/>
          <w:lang w:eastAsia="zh-CN"/>
        </w:rPr>
        <w:t>诸暨市杰虎工程咨询有限公司</w:t>
      </w:r>
      <w:r>
        <w:rPr>
          <w:rFonts w:hint="eastAsia" w:ascii="宋体" w:hAnsi="宋体"/>
          <w:color w:val="auto"/>
          <w:sz w:val="24"/>
          <w:highlight w:val="none"/>
        </w:rPr>
        <w:t>。</w:t>
      </w:r>
    </w:p>
    <w:p w14:paraId="411D91EE">
      <w:pPr>
        <w:pStyle w:val="17"/>
        <w:rPr>
          <w:rFonts w:hint="eastAsia" w:ascii="宋体" w:hAnsi="宋体" w:eastAsia="宋体" w:cs="宋体"/>
          <w:color w:val="auto"/>
          <w:sz w:val="24"/>
          <w:highlight w:val="none"/>
          <w:rPrChange w:id="1" w:author="1395191119" w:date="2023-06-14T07:58:00Z">
            <w:rPr>
              <w:rFonts w:hint="eastAsia" w:ascii="宋体" w:hAnsi="宋体" w:eastAsia="宋体" w:cs="宋体"/>
              <w:color w:val="auto"/>
              <w:sz w:val="24"/>
              <w:highlight w:val="none"/>
            </w:rPr>
          </w:rPrChange>
        </w:rPr>
        <w:sectPr>
          <w:footerReference r:id="rId8" w:type="first"/>
          <w:footerReference r:id="rId7" w:type="default"/>
          <w:pgSz w:w="11906" w:h="16838"/>
          <w:pgMar w:top="1236" w:right="1134" w:bottom="1236" w:left="1134" w:header="851" w:footer="907"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1DB9C311">
      <w:pPr>
        <w:pStyle w:val="3"/>
        <w:spacing w:line="360" w:lineRule="auto"/>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t>第三章   评标办法</w:t>
      </w:r>
    </w:p>
    <w:p w14:paraId="331DA534">
      <w:pPr>
        <w:autoSpaceDE/>
        <w:autoSpaceDN/>
        <w:adjustRightInd/>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1、采用</w:t>
      </w:r>
      <w:r>
        <w:rPr>
          <w:rFonts w:hint="eastAsia" w:ascii="宋体" w:hAnsi="宋体" w:eastAsia="宋体" w:cs="Times New Roman"/>
          <w:color w:val="auto"/>
          <w:sz w:val="24"/>
          <w:highlight w:val="none"/>
          <w:u w:val="single"/>
        </w:rPr>
        <w:t>　最低评标价法　</w:t>
      </w:r>
      <w:r>
        <w:rPr>
          <w:rFonts w:hint="eastAsia" w:ascii="宋体" w:hAnsi="宋体" w:eastAsia="宋体" w:cs="Times New Roman"/>
          <w:color w:val="auto"/>
          <w:sz w:val="24"/>
          <w:highlight w:val="none"/>
        </w:rPr>
        <w:t>。即在符合招标文件要求的前提下，择定评标报价最低的单位为中标候选人，即中标供应商。</w:t>
      </w:r>
    </w:p>
    <w:p w14:paraId="6E744299">
      <w:pPr>
        <w:autoSpaceDE/>
        <w:autoSpaceDN/>
        <w:adjustRightInd/>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中标候选资格按评标报价由低到高顺序排列，如有两个或两个以上投标人的报价相同且均为最低报价的，则由该名投标人在限定时间内进行第二次报价，第二次报价应低于前次报价，若再次出现相同情况，以此类推，直至出现一个最低报价为止，最低报价者即为中标候选人。</w:t>
      </w:r>
    </w:p>
    <w:p w14:paraId="7355EEF7">
      <w:pPr>
        <w:autoSpaceDE/>
        <w:autoSpaceDN/>
        <w:adjustRightInd/>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若评审小组一致认为投标人的投标报价明显不合理，有降低质量、不能诚信履约的可能时，评审小组有权通知该投标人限期进行解释。如投标方未在规定期限内做出解释，或所作解释不合理，经评审小组取得一致意见后，可确定该投标人的报价无效。评审小组确定评标价次低的投标人为中标候选人。</w:t>
      </w:r>
    </w:p>
    <w:p w14:paraId="2DDE0591">
      <w:pPr>
        <w:autoSpaceDE/>
        <w:autoSpaceDN/>
        <w:adjustRightInd/>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4、若投标文件均不能满足采购文件要求的，将被废标。</w:t>
      </w:r>
    </w:p>
    <w:p w14:paraId="199C7E53">
      <w:pPr>
        <w:pStyle w:val="28"/>
        <w:ind w:left="0" w:leftChars="0" w:firstLine="0" w:firstLineChars="0"/>
        <w:rPr>
          <w:rFonts w:hint="eastAsia" w:ascii="宋体" w:hAnsi="宋体" w:eastAsia="仿宋_GB2312"/>
          <w:color w:val="auto"/>
          <w:sz w:val="24"/>
          <w:szCs w:val="24"/>
        </w:rPr>
      </w:pPr>
    </w:p>
    <w:p w14:paraId="30BCB951">
      <w:pPr>
        <w:pStyle w:val="28"/>
        <w:rPr>
          <w:rFonts w:hint="eastAsia" w:ascii="宋体" w:hAnsi="宋体" w:eastAsia="仿宋_GB2312"/>
          <w:color w:val="auto"/>
          <w:sz w:val="24"/>
          <w:szCs w:val="24"/>
        </w:rPr>
      </w:pPr>
      <w:r>
        <w:rPr>
          <w:rFonts w:hint="eastAsia" w:ascii="宋体" w:hAnsi="宋体" w:eastAsia="仿宋_GB2312"/>
          <w:color w:val="auto"/>
          <w:sz w:val="24"/>
          <w:szCs w:val="24"/>
        </w:rPr>
        <w:br w:type="page"/>
      </w:r>
    </w:p>
    <w:bookmarkEnd w:id="1"/>
    <w:p w14:paraId="03CB9E46">
      <w:pPr>
        <w:numPr>
          <w:ilvl w:val="0"/>
          <w:numId w:val="2"/>
        </w:numPr>
        <w:bidi w:val="0"/>
        <w:jc w:val="center"/>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采购需求</w:t>
      </w:r>
    </w:p>
    <w:p w14:paraId="70A26C50">
      <w:pP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采购内容：</w:t>
      </w:r>
    </w:p>
    <w:p w14:paraId="06767E2A">
      <w:pPr>
        <w:ind w:firstLine="960" w:firstLineChars="40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采购内容为玄武岩石料、石灰岩矿粉，数量根据实际工程需要确定，材料款按实结算。</w:t>
      </w:r>
    </w:p>
    <w:p w14:paraId="62E07563">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最高单价限价、预算金额等内容详见</w:t>
      </w:r>
      <w:r>
        <w:rPr>
          <w:rFonts w:hint="eastAsia" w:ascii="宋体" w:hAnsi="宋体" w:eastAsia="宋体" w:cs="宋体"/>
          <w:color w:val="000000" w:themeColor="text1"/>
          <w:sz w:val="24"/>
          <w:szCs w:val="24"/>
          <w14:textFill>
            <w14:solidFill>
              <w14:schemeClr w14:val="tx1"/>
            </w14:solidFill>
          </w14:textFill>
        </w:rPr>
        <w:t>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728"/>
        <w:gridCol w:w="1729"/>
        <w:gridCol w:w="2280"/>
        <w:gridCol w:w="1611"/>
      </w:tblGrid>
      <w:tr w14:paraId="6242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0"/>
            <w:vAlign w:val="center"/>
          </w:tcPr>
          <w:p w14:paraId="2E7D268F">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材料名称</w:t>
            </w:r>
          </w:p>
        </w:tc>
        <w:tc>
          <w:tcPr>
            <w:tcW w:w="1728" w:type="dxa"/>
            <w:noWrap w:val="0"/>
            <w:vAlign w:val="center"/>
          </w:tcPr>
          <w:p w14:paraId="7C51DA26">
            <w:pPr>
              <w:pStyle w:val="11"/>
              <w:spacing w:line="360" w:lineRule="auto"/>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规格</w:t>
            </w:r>
          </w:p>
        </w:tc>
        <w:tc>
          <w:tcPr>
            <w:tcW w:w="1729" w:type="dxa"/>
            <w:noWrap w:val="0"/>
            <w:vAlign w:val="center"/>
          </w:tcPr>
          <w:p w14:paraId="0742BC9D">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最高单价限价</w:t>
            </w:r>
          </w:p>
        </w:tc>
        <w:tc>
          <w:tcPr>
            <w:tcW w:w="2280" w:type="dxa"/>
            <w:noWrap w:val="0"/>
            <w:vAlign w:val="center"/>
          </w:tcPr>
          <w:p w14:paraId="6D5D0AF4">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暂估采购数量</w:t>
            </w:r>
          </w:p>
        </w:tc>
        <w:tc>
          <w:tcPr>
            <w:tcW w:w="1611" w:type="dxa"/>
            <w:noWrap w:val="0"/>
            <w:vAlign w:val="center"/>
          </w:tcPr>
          <w:p w14:paraId="72F99256">
            <w:pPr>
              <w:pStyle w:val="11"/>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预算金额</w:t>
            </w:r>
          </w:p>
        </w:tc>
      </w:tr>
      <w:tr w14:paraId="41FD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75" w:type="dxa"/>
            <w:vMerge w:val="restart"/>
            <w:noWrap w:val="0"/>
            <w:vAlign w:val="center"/>
          </w:tcPr>
          <w:p w14:paraId="13B907EF">
            <w:pPr>
              <w:pStyle w:val="11"/>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玄武岩石料</w:t>
            </w:r>
          </w:p>
        </w:tc>
        <w:tc>
          <w:tcPr>
            <w:tcW w:w="1728" w:type="dxa"/>
            <w:noWrap w:val="0"/>
            <w:vAlign w:val="center"/>
          </w:tcPr>
          <w:p w14:paraId="7806436B">
            <w:pPr>
              <w:pStyle w:val="11"/>
              <w:spacing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5~10mm</w:t>
            </w:r>
          </w:p>
        </w:tc>
        <w:tc>
          <w:tcPr>
            <w:tcW w:w="1729" w:type="dxa"/>
            <w:noWrap w:val="0"/>
            <w:vAlign w:val="center"/>
          </w:tcPr>
          <w:p w14:paraId="66FC7747">
            <w:pPr>
              <w:pStyle w:val="11"/>
              <w:spacing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346</w:t>
            </w:r>
            <w:r>
              <w:rPr>
                <w:rFonts w:hint="eastAsia" w:ascii="宋体" w:hAnsi="宋体" w:eastAsia="宋体" w:cs="宋体"/>
                <w:color w:val="000000" w:themeColor="text1"/>
                <w:highlight w:val="none"/>
                <w:lang w:val="en-US" w:eastAsia="zh-CN"/>
                <w14:textFill>
                  <w14:solidFill>
                    <w14:schemeClr w14:val="tx1"/>
                  </w14:solidFill>
                </w14:textFill>
              </w:rPr>
              <w:t>元/吨</w:t>
            </w:r>
          </w:p>
        </w:tc>
        <w:tc>
          <w:tcPr>
            <w:tcW w:w="2280" w:type="dxa"/>
            <w:noWrap w:val="0"/>
            <w:vAlign w:val="center"/>
          </w:tcPr>
          <w:p w14:paraId="07B12025">
            <w:pPr>
              <w:pStyle w:val="11"/>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18000吨</w:t>
            </w:r>
          </w:p>
        </w:tc>
        <w:tc>
          <w:tcPr>
            <w:tcW w:w="1611" w:type="dxa"/>
            <w:vMerge w:val="restart"/>
            <w:noWrap w:val="0"/>
            <w:vAlign w:val="center"/>
          </w:tcPr>
          <w:p w14:paraId="7D3B7475">
            <w:pPr>
              <w:pStyle w:val="11"/>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1500万元</w:t>
            </w:r>
          </w:p>
        </w:tc>
      </w:tr>
      <w:tr w14:paraId="44D5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75" w:type="dxa"/>
            <w:vMerge w:val="continue"/>
            <w:noWrap w:val="0"/>
            <w:vAlign w:val="center"/>
          </w:tcPr>
          <w:p w14:paraId="1BB9F3B2">
            <w:pPr>
              <w:pStyle w:val="11"/>
              <w:spacing w:line="360" w:lineRule="auto"/>
              <w:jc w:val="center"/>
              <w:rPr>
                <w:rFonts w:hint="eastAsia" w:ascii="宋体" w:hAnsi="宋体" w:eastAsia="宋体" w:cs="宋体"/>
                <w:color w:val="000000" w:themeColor="text1"/>
                <w:lang w:val="en-US" w:eastAsia="zh-CN"/>
                <w14:textFill>
                  <w14:solidFill>
                    <w14:schemeClr w14:val="tx1"/>
                  </w14:solidFill>
                </w14:textFill>
              </w:rPr>
            </w:pPr>
          </w:p>
        </w:tc>
        <w:tc>
          <w:tcPr>
            <w:tcW w:w="1728" w:type="dxa"/>
            <w:noWrap w:val="0"/>
            <w:vAlign w:val="center"/>
          </w:tcPr>
          <w:p w14:paraId="71B7A441">
            <w:pPr>
              <w:pStyle w:val="11"/>
              <w:spacing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10~16mm</w:t>
            </w:r>
          </w:p>
        </w:tc>
        <w:tc>
          <w:tcPr>
            <w:tcW w:w="1729" w:type="dxa"/>
            <w:noWrap w:val="0"/>
            <w:vAlign w:val="center"/>
          </w:tcPr>
          <w:p w14:paraId="125F6B53">
            <w:pPr>
              <w:pStyle w:val="11"/>
              <w:spacing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350</w:t>
            </w:r>
            <w:r>
              <w:rPr>
                <w:rFonts w:hint="eastAsia" w:ascii="宋体" w:hAnsi="宋体" w:eastAsia="宋体" w:cs="宋体"/>
                <w:color w:val="000000" w:themeColor="text1"/>
                <w:highlight w:val="none"/>
                <w:lang w:val="en-US" w:eastAsia="zh-CN"/>
                <w14:textFill>
                  <w14:solidFill>
                    <w14:schemeClr w14:val="tx1"/>
                  </w14:solidFill>
                </w14:textFill>
              </w:rPr>
              <w:t>元/吨</w:t>
            </w:r>
          </w:p>
        </w:tc>
        <w:tc>
          <w:tcPr>
            <w:tcW w:w="2280" w:type="dxa"/>
            <w:noWrap w:val="0"/>
            <w:vAlign w:val="center"/>
          </w:tcPr>
          <w:p w14:paraId="6FD424B6">
            <w:pPr>
              <w:pStyle w:val="11"/>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000吨</w:t>
            </w:r>
          </w:p>
        </w:tc>
        <w:tc>
          <w:tcPr>
            <w:tcW w:w="1611" w:type="dxa"/>
            <w:vMerge w:val="continue"/>
            <w:noWrap w:val="0"/>
            <w:vAlign w:val="center"/>
          </w:tcPr>
          <w:p w14:paraId="61C949AD">
            <w:pPr>
              <w:pStyle w:val="11"/>
              <w:spacing w:line="360" w:lineRule="auto"/>
              <w:jc w:val="center"/>
              <w:rPr>
                <w:rFonts w:hint="eastAsia" w:ascii="宋体" w:hAnsi="宋体" w:eastAsia="宋体" w:cs="宋体"/>
                <w:color w:val="000000" w:themeColor="text1"/>
                <w:sz w:val="24"/>
                <w:szCs w:val="24"/>
                <w:lang w:val="en-US" w:eastAsia="zh-CN"/>
                <w:rPrChange w:id="2" w:author="1395191119" w:date="2023-06-14T07:58:00Z">
                  <w:rPr>
                    <w:rFonts w:hint="eastAsia" w:ascii="仿宋" w:hAnsi="仿宋" w:eastAsia="仿宋" w:cs="仿宋"/>
                    <w:color w:val="FF0000"/>
                    <w:sz w:val="24"/>
                    <w:szCs w:val="24"/>
                    <w:lang w:val="en-US" w:eastAsia="zh-CN"/>
                  </w:rPr>
                </w:rPrChange>
                <w14:textFill>
                  <w14:solidFill>
                    <w14:schemeClr w14:val="tx1"/>
                  </w14:solidFill>
                </w14:textFill>
              </w:rPr>
            </w:pPr>
          </w:p>
        </w:tc>
      </w:tr>
      <w:tr w14:paraId="4253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5" w:type="dxa"/>
            <w:noWrap w:val="0"/>
            <w:vAlign w:val="center"/>
          </w:tcPr>
          <w:p w14:paraId="51FE152C">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石灰岩矿粉</w:t>
            </w:r>
          </w:p>
        </w:tc>
        <w:tc>
          <w:tcPr>
            <w:tcW w:w="1728" w:type="dxa"/>
            <w:noWrap w:val="0"/>
            <w:vAlign w:val="center"/>
          </w:tcPr>
          <w:p w14:paraId="492DC6D3">
            <w:pPr>
              <w:pStyle w:val="11"/>
              <w:spacing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w:t>
            </w:r>
          </w:p>
        </w:tc>
        <w:tc>
          <w:tcPr>
            <w:tcW w:w="1729" w:type="dxa"/>
            <w:noWrap w:val="0"/>
            <w:vAlign w:val="center"/>
          </w:tcPr>
          <w:p w14:paraId="419A2A72">
            <w:pPr>
              <w:pStyle w:val="11"/>
              <w:spacing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275</w:t>
            </w:r>
            <w:r>
              <w:rPr>
                <w:rFonts w:hint="eastAsia" w:ascii="宋体" w:hAnsi="宋体" w:eastAsia="宋体" w:cs="宋体"/>
                <w:color w:val="000000" w:themeColor="text1"/>
                <w:highlight w:val="none"/>
                <w:lang w:val="en-US" w:eastAsia="zh-CN"/>
                <w14:textFill>
                  <w14:solidFill>
                    <w14:schemeClr w14:val="tx1"/>
                  </w14:solidFill>
                </w14:textFill>
              </w:rPr>
              <w:t>元/吨</w:t>
            </w:r>
          </w:p>
        </w:tc>
        <w:tc>
          <w:tcPr>
            <w:tcW w:w="2280" w:type="dxa"/>
            <w:noWrap w:val="0"/>
            <w:vAlign w:val="center"/>
          </w:tcPr>
          <w:p w14:paraId="63628107">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15000吨</w:t>
            </w:r>
          </w:p>
        </w:tc>
        <w:tc>
          <w:tcPr>
            <w:tcW w:w="1611" w:type="dxa"/>
            <w:vMerge w:val="continue"/>
            <w:noWrap w:val="0"/>
            <w:vAlign w:val="center"/>
          </w:tcPr>
          <w:p w14:paraId="4D88D252">
            <w:pPr>
              <w:pStyle w:val="11"/>
              <w:spacing w:line="360" w:lineRule="auto"/>
              <w:jc w:val="center"/>
              <w:rPr>
                <w:rFonts w:hint="eastAsia" w:ascii="宋体" w:hAnsi="宋体" w:eastAsia="宋体" w:cs="宋体"/>
                <w:color w:val="000000" w:themeColor="text1"/>
                <w:lang w:val="en-US" w:eastAsia="zh-CN"/>
                <w14:textFill>
                  <w14:solidFill>
                    <w14:schemeClr w14:val="tx1"/>
                  </w14:solidFill>
                </w14:textFill>
              </w:rPr>
            </w:pPr>
          </w:p>
        </w:tc>
      </w:tr>
      <w:tr w14:paraId="3673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23" w:type="dxa"/>
            <w:gridSpan w:val="5"/>
            <w:noWrap w:val="0"/>
            <w:vAlign w:val="center"/>
          </w:tcPr>
          <w:p w14:paraId="0C70D551">
            <w:pPr>
              <w:pStyle w:val="11"/>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r>
              <w:rPr>
                <w:rFonts w:hint="eastAsia" w:ascii="宋体" w:hAnsi="宋体" w:eastAsia="宋体" w:cs="宋体"/>
                <w:color w:val="000000" w:themeColor="text1"/>
                <w:lang w:eastAsia="zh-CN"/>
                <w14:textFill>
                  <w14:solidFill>
                    <w14:schemeClr w14:val="tx1"/>
                  </w14:solidFill>
                </w14:textFill>
              </w:rPr>
              <w:t>：</w:t>
            </w:r>
          </w:p>
          <w:p w14:paraId="1E80AD4C">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1、本项目按单价</w:t>
            </w:r>
            <w:r>
              <w:rPr>
                <w:rFonts w:hint="eastAsia" w:ascii="宋体" w:hAnsi="宋体" w:eastAsia="宋体" w:cs="宋体"/>
                <w:color w:val="000000" w:themeColor="text1"/>
                <w:lang w:val="en-US" w:eastAsia="zh-CN"/>
                <w14:textFill>
                  <w14:solidFill>
                    <w14:schemeClr w14:val="tx1"/>
                  </w14:solidFill>
                </w14:textFill>
              </w:rPr>
              <w:t>折扣率</w:t>
            </w:r>
            <w:r>
              <w:rPr>
                <w:rFonts w:hint="eastAsia" w:ascii="宋体" w:hAnsi="宋体" w:eastAsia="宋体" w:cs="宋体"/>
                <w:color w:val="000000" w:themeColor="text1"/>
                <w14:textFill>
                  <w14:solidFill>
                    <w14:schemeClr w14:val="tx1"/>
                  </w14:solidFill>
                </w14:textFill>
              </w:rPr>
              <w:t>招标，数量按实结算。</w:t>
            </w:r>
          </w:p>
          <w:p w14:paraId="785BF80A">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2、服务期限自合同签订之日起</w:t>
            </w:r>
            <w:r>
              <w:rPr>
                <w:rFonts w:hint="eastAsia" w:ascii="宋体" w:hAnsi="宋体" w:eastAsia="宋体" w:cs="宋体"/>
                <w:color w:val="000000" w:themeColor="text1"/>
                <w:sz w:val="24"/>
                <w:szCs w:val="24"/>
                <w:lang w:val="en-US" w:eastAsia="zh-CN"/>
                <w14:textFill>
                  <w14:solidFill>
                    <w14:schemeClr w14:val="tx1"/>
                  </w14:solidFill>
                </w14:textFill>
              </w:rPr>
              <w:t>一年或采购预算金额满为止，以先到时间为准， 诸暨市交投公路工程有限公司有权优先使用诸暨市建设集团有限公司自有矿山产品，且不受本合同约束</w:t>
            </w:r>
            <w:r>
              <w:rPr>
                <w:rFonts w:hint="eastAsia" w:ascii="宋体" w:hAnsi="宋体" w:eastAsia="宋体" w:cs="宋体"/>
                <w:color w:val="000000" w:themeColor="text1"/>
                <w:sz w:val="24"/>
                <w:szCs w:val="24"/>
                <w14:textFill>
                  <w14:solidFill>
                    <w14:schemeClr w14:val="tx1"/>
                  </w14:solidFill>
                </w14:textFill>
              </w:rPr>
              <w:t>。</w:t>
            </w:r>
          </w:p>
          <w:p w14:paraId="53E990D7">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3、本次采购数量为暂估数量，供应商需在编制投标报价时应充分考虑由于实际采购量未达到该数量而带来的风险。</w:t>
            </w:r>
          </w:p>
          <w:p w14:paraId="6688D928">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投标报价包含供货所需的材料价款、到指定施工现场的运输及装卸费用、材料、质检（自检）、管理、保险、税费、人工费等一切为完成本项目的相关费用</w:t>
            </w:r>
            <w:r>
              <w:rPr>
                <w:rFonts w:hint="eastAsia" w:ascii="宋体" w:hAnsi="宋体" w:eastAsia="仿宋_GB2312" w:cs="宋体"/>
                <w:color w:val="000000" w:themeColor="text1"/>
                <w:sz w:val="24"/>
                <w:szCs w:val="24"/>
                <w:lang w:val="en-US" w:eastAsia="zh-CN"/>
                <w14:textFill>
                  <w14:solidFill>
                    <w14:schemeClr w14:val="tx1"/>
                  </w14:solidFill>
                </w14:textFill>
              </w:rPr>
              <w:t>。</w:t>
            </w:r>
          </w:p>
        </w:tc>
      </w:tr>
    </w:tbl>
    <w:p w14:paraId="4818A347">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质量要求：</w:t>
      </w:r>
    </w:p>
    <w:p w14:paraId="249B03E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石</w:t>
      </w:r>
      <w:r>
        <w:rPr>
          <w:rFonts w:hint="eastAsia" w:ascii="宋体" w:hAnsi="宋体" w:eastAsia="宋体" w:cs="宋体"/>
          <w:color w:val="000000" w:themeColor="text1"/>
          <w:sz w:val="24"/>
          <w:szCs w:val="24"/>
          <w14:textFill>
            <w14:solidFill>
              <w14:schemeClr w14:val="tx1"/>
            </w14:solidFill>
          </w14:textFill>
        </w:rPr>
        <w:t>料必须符合JTG</w:t>
      </w:r>
      <w:r>
        <w:rPr>
          <w:rFonts w:hint="eastAsia" w:ascii="宋体" w:hAnsi="宋体" w:cs="宋体"/>
          <w:color w:val="000000" w:themeColor="text1"/>
          <w:sz w:val="24"/>
          <w:szCs w:val="24"/>
          <w:lang w:val="en-US" w:eastAsia="zh-CN"/>
          <w14:textFill>
            <w14:solidFill>
              <w14:schemeClr w14:val="tx1"/>
            </w14:solidFill>
          </w14:textFill>
        </w:rPr>
        <w:t xml:space="preserve"> 3432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2024</w:t>
      </w:r>
      <w:r>
        <w:rPr>
          <w:rFonts w:hint="eastAsia" w:ascii="宋体" w:hAnsi="宋体" w:eastAsia="宋体" w:cs="宋体"/>
          <w:color w:val="000000" w:themeColor="text1"/>
          <w:sz w:val="24"/>
          <w:szCs w:val="24"/>
          <w14:textFill>
            <w14:solidFill>
              <w14:schemeClr w14:val="tx1"/>
            </w14:solidFill>
          </w14:textFill>
        </w:rPr>
        <w:t>《公路工程集料试验规程》的规定并满足招标人施工要求；</w:t>
      </w:r>
    </w:p>
    <w:p w14:paraId="04444A1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石料分为粗集料、矿粉</w:t>
      </w:r>
      <w:r>
        <w:rPr>
          <w:rFonts w:hint="eastAsia" w:ascii="宋体" w:hAnsi="宋体" w:eastAsia="宋体" w:cs="宋体"/>
          <w:color w:val="000000" w:themeColor="text1"/>
          <w:sz w:val="24"/>
          <w:szCs w:val="24"/>
          <w14:textFill>
            <w14:solidFill>
              <w14:schemeClr w14:val="tx1"/>
            </w14:solidFill>
          </w14:textFill>
        </w:rPr>
        <w:t>。具体数量根据实际需要采</w:t>
      </w:r>
      <w:r>
        <w:rPr>
          <w:rFonts w:hint="eastAsia" w:ascii="宋体" w:hAnsi="宋体" w:eastAsia="宋体" w:cs="宋体"/>
          <w:color w:val="000000" w:themeColor="text1"/>
          <w:sz w:val="24"/>
          <w:szCs w:val="24"/>
          <w:lang w:val="en-US" w:eastAsia="zh-CN"/>
          <w14:textFill>
            <w14:solidFill>
              <w14:schemeClr w14:val="tx1"/>
            </w14:solidFill>
          </w14:textFill>
        </w:rPr>
        <w:t>购</w:t>
      </w:r>
      <w:r>
        <w:rPr>
          <w:rFonts w:hint="eastAsia" w:ascii="宋体" w:hAnsi="宋体" w:eastAsia="宋体" w:cs="宋体"/>
          <w:color w:val="000000" w:themeColor="text1"/>
          <w:sz w:val="24"/>
          <w:szCs w:val="24"/>
          <w14:textFill>
            <w14:solidFill>
              <w14:schemeClr w14:val="tx1"/>
            </w14:solidFill>
          </w14:textFill>
        </w:rPr>
        <w:t>。</w:t>
      </w:r>
    </w:p>
    <w:p w14:paraId="0BF85F6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原材料质量技术要求、规格应符合现行沥青路面相关规范要求；</w:t>
      </w:r>
    </w:p>
    <w:p w14:paraId="6CAE41C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原材料在进料前应在有资质的试验室至少做一次试验，确保合格后，方可使用。并在供货时向业主提交相关检验报告单。</w:t>
      </w:r>
    </w:p>
    <w:p w14:paraId="3A7CE9E1">
      <w:pPr>
        <w:pStyle w:val="26"/>
        <w:rPr>
          <w:rFonts w:hint="eastAsia"/>
          <w:color w:val="000000" w:themeColor="text1"/>
          <w:lang w:val="en-US" w:eastAsia="zh-CN"/>
          <w14:textFill>
            <w14:solidFill>
              <w14:schemeClr w14:val="tx1"/>
            </w14:solidFill>
          </w14:textFill>
        </w:rPr>
      </w:pPr>
    </w:p>
    <w:p w14:paraId="6BE5D027">
      <w:pPr>
        <w:pStyle w:val="30"/>
        <w:numPr>
          <w:ilvl w:val="0"/>
          <w:numId w:val="0"/>
        </w:numPr>
        <w:ind w:firstLine="482" w:firstLineChars="200"/>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bidi="ar-SA"/>
          <w14:textFill>
            <w14:solidFill>
              <w14:schemeClr w14:val="tx1"/>
            </w14:solidFill>
          </w14:textFill>
        </w:rPr>
        <w:t>1、</w:t>
      </w:r>
      <w:r>
        <w:rPr>
          <w:rFonts w:hint="eastAsia" w:ascii="宋体" w:hAnsi="宋体" w:eastAsia="宋体" w:cs="宋体"/>
          <w:b/>
          <w:bCs w:val="0"/>
          <w:color w:val="000000" w:themeColor="text1"/>
          <w:sz w:val="24"/>
          <w:szCs w:val="24"/>
          <w:lang w:val="en-US" w:eastAsia="zh-CN"/>
          <w14:textFill>
            <w14:solidFill>
              <w14:schemeClr w14:val="tx1"/>
            </w14:solidFill>
          </w14:textFill>
        </w:rPr>
        <w:t>粗集料质量要求：</w:t>
      </w:r>
    </w:p>
    <w:p w14:paraId="2D7D8F13">
      <w:pPr>
        <w:pStyle w:val="30"/>
        <w:numPr>
          <w:ilvl w:val="0"/>
          <w:numId w:val="0"/>
        </w:numPr>
        <w:ind w:firstLine="480" w:firstLineChars="200"/>
        <w:rPr>
          <w:rFonts w:hint="eastAsia" w:ascii="宋体" w:hAnsi="宋体" w:eastAsia="宋体" w:cs="宋体"/>
          <w:bCs/>
          <w:strike/>
          <w:dstrike w:val="0"/>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应该洁净、干燥、表面粗糙，质量应符合下表规定。</w:t>
      </w:r>
    </w:p>
    <w:tbl>
      <w:tblPr>
        <w:tblStyle w:val="19"/>
        <w:tblW w:w="0" w:type="auto"/>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2"/>
        <w:gridCol w:w="1558"/>
        <w:gridCol w:w="1558"/>
      </w:tblGrid>
      <w:tr w14:paraId="73A5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3891CEE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项目</w:t>
            </w:r>
          </w:p>
        </w:tc>
        <w:tc>
          <w:tcPr>
            <w:tcW w:w="1558" w:type="dxa"/>
            <w:noWrap w:val="0"/>
            <w:vAlign w:val="center"/>
          </w:tcPr>
          <w:p w14:paraId="246C2147">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单位</w:t>
            </w:r>
          </w:p>
        </w:tc>
        <w:tc>
          <w:tcPr>
            <w:tcW w:w="1558" w:type="dxa"/>
            <w:noWrap w:val="0"/>
            <w:vAlign w:val="center"/>
          </w:tcPr>
          <w:p w14:paraId="1B0BD10F">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技术指标</w:t>
            </w:r>
          </w:p>
        </w:tc>
      </w:tr>
      <w:tr w14:paraId="6FBD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027EE4C5">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石料压碎值，不大于</w:t>
            </w:r>
          </w:p>
        </w:tc>
        <w:tc>
          <w:tcPr>
            <w:tcW w:w="1558" w:type="dxa"/>
            <w:noWrap w:val="0"/>
            <w:vAlign w:val="center"/>
          </w:tcPr>
          <w:p w14:paraId="54B7A12B">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629C2E5D">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2</w:t>
            </w:r>
            <w:r>
              <w:rPr>
                <w:rFonts w:hint="eastAsia" w:ascii="宋体" w:hAnsi="宋体" w:cs="宋体"/>
                <w:bCs/>
                <w:color w:val="000000" w:themeColor="text1"/>
                <w:sz w:val="24"/>
                <w:szCs w:val="24"/>
                <w:vertAlign w:val="baseline"/>
                <w:lang w:val="en-US" w:eastAsia="zh-CN"/>
                <w14:textFill>
                  <w14:solidFill>
                    <w14:schemeClr w14:val="tx1"/>
                  </w14:solidFill>
                </w14:textFill>
              </w:rPr>
              <w:t>0</w:t>
            </w:r>
          </w:p>
        </w:tc>
      </w:tr>
      <w:tr w14:paraId="2FC6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65CFA08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洛杉矶磨耗损失，不大于</w:t>
            </w:r>
          </w:p>
        </w:tc>
        <w:tc>
          <w:tcPr>
            <w:tcW w:w="1558" w:type="dxa"/>
            <w:noWrap w:val="0"/>
            <w:vAlign w:val="center"/>
          </w:tcPr>
          <w:p w14:paraId="30C84A6F">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294201B3">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28</w:t>
            </w:r>
          </w:p>
        </w:tc>
      </w:tr>
      <w:tr w14:paraId="5CC8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4F0792CE">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表观相对密度，不小于</w:t>
            </w:r>
          </w:p>
        </w:tc>
        <w:tc>
          <w:tcPr>
            <w:tcW w:w="1558" w:type="dxa"/>
            <w:noWrap w:val="0"/>
            <w:vAlign w:val="center"/>
          </w:tcPr>
          <w:p w14:paraId="2577C174">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t/</w:t>
            </w:r>
            <w:r>
              <w:rPr>
                <w:rFonts w:hint="eastAsia" w:ascii="宋体" w:hAnsi="宋体" w:eastAsia="宋体" w:cs="宋体"/>
                <w:color w:val="000000" w:themeColor="text1"/>
                <w:sz w:val="24"/>
                <w:szCs w:val="24"/>
                <w:shd w:val="clear" w:color="auto" w:fill="FFFFFF"/>
                <w14:textFill>
                  <w14:solidFill>
                    <w14:schemeClr w14:val="tx1"/>
                  </w14:solidFill>
                </w14:textFill>
              </w:rPr>
              <w:t>m</w:t>
            </w:r>
            <w:r>
              <w:rPr>
                <w:rFonts w:hint="eastAsia" w:ascii="宋体" w:hAnsi="宋体" w:eastAsia="宋体" w:cs="宋体"/>
                <w:color w:val="000000" w:themeColor="text1"/>
                <w:sz w:val="24"/>
                <w:szCs w:val="24"/>
                <w:shd w:val="clear" w:color="auto" w:fill="FFFFFF"/>
                <w:vertAlign w:val="superscript"/>
                <w:lang w:val="en-US" w:eastAsia="zh-CN"/>
                <w14:textFill>
                  <w14:solidFill>
                    <w14:schemeClr w14:val="tx1"/>
                  </w14:solidFill>
                </w14:textFill>
              </w:rPr>
              <w:t>3</w:t>
            </w:r>
          </w:p>
        </w:tc>
        <w:tc>
          <w:tcPr>
            <w:tcW w:w="1558" w:type="dxa"/>
            <w:noWrap w:val="0"/>
            <w:vAlign w:val="center"/>
          </w:tcPr>
          <w:p w14:paraId="7A47EA47">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2.60</w:t>
            </w:r>
          </w:p>
        </w:tc>
      </w:tr>
      <w:tr w14:paraId="4BCA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778B6963">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吸水率，不大于</w:t>
            </w:r>
          </w:p>
        </w:tc>
        <w:tc>
          <w:tcPr>
            <w:tcW w:w="1558" w:type="dxa"/>
            <w:noWrap w:val="0"/>
            <w:vAlign w:val="center"/>
          </w:tcPr>
          <w:p w14:paraId="6CD874A0">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44A69484">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w:t>
            </w: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.0</w:t>
            </w:r>
          </w:p>
        </w:tc>
      </w:tr>
      <w:tr w14:paraId="746B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4E24A517">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对沥青的粘附性，不小于</w:t>
            </w:r>
          </w:p>
        </w:tc>
        <w:tc>
          <w:tcPr>
            <w:tcW w:w="1558" w:type="dxa"/>
            <w:noWrap w:val="0"/>
            <w:vAlign w:val="center"/>
          </w:tcPr>
          <w:p w14:paraId="00D910B1">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级</w:t>
            </w:r>
          </w:p>
        </w:tc>
        <w:tc>
          <w:tcPr>
            <w:tcW w:w="1558" w:type="dxa"/>
            <w:noWrap w:val="0"/>
            <w:vAlign w:val="center"/>
          </w:tcPr>
          <w:p w14:paraId="12C551B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5</w:t>
            </w:r>
          </w:p>
        </w:tc>
      </w:tr>
      <w:tr w14:paraId="1FF7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1E738A19">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坚固性</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不大于</w:t>
            </w:r>
          </w:p>
        </w:tc>
        <w:tc>
          <w:tcPr>
            <w:tcW w:w="1558" w:type="dxa"/>
            <w:noWrap w:val="0"/>
            <w:vAlign w:val="center"/>
          </w:tcPr>
          <w:p w14:paraId="232B868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47984D5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12</w:t>
            </w:r>
          </w:p>
        </w:tc>
      </w:tr>
      <w:tr w14:paraId="2055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42" w:type="dxa"/>
            <w:noWrap w:val="0"/>
            <w:vAlign w:val="center"/>
          </w:tcPr>
          <w:p w14:paraId="45DF3832">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针片状颗粒含量</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混合料），</w:t>
            </w:r>
            <w:r>
              <w:rPr>
                <w:rFonts w:hint="eastAsia" w:ascii="宋体" w:hAnsi="宋体" w:eastAsia="宋体" w:cs="宋体"/>
                <w:bCs/>
                <w:color w:val="000000" w:themeColor="text1"/>
                <w:sz w:val="24"/>
                <w:szCs w:val="24"/>
                <w14:textFill>
                  <w14:solidFill>
                    <w14:schemeClr w14:val="tx1"/>
                  </w14:solidFill>
                </w14:textFill>
              </w:rPr>
              <w:t>不大于</w:t>
            </w:r>
          </w:p>
          <w:p w14:paraId="55FD63D9">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其中粒径大于9.5mm，不大于</w:t>
            </w:r>
          </w:p>
          <w:p w14:paraId="4834B7F6">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其中粒径小于9.5mm，不大于</w:t>
            </w:r>
          </w:p>
        </w:tc>
        <w:tc>
          <w:tcPr>
            <w:tcW w:w="1558" w:type="dxa"/>
            <w:noWrap w:val="0"/>
            <w:vAlign w:val="center"/>
          </w:tcPr>
          <w:p w14:paraId="685955A7">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p w14:paraId="3C72185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p w14:paraId="6BEA52C2">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3D485F25">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12</w:t>
            </w:r>
          </w:p>
          <w:p w14:paraId="69CDAA3F">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10</w:t>
            </w:r>
          </w:p>
          <w:p w14:paraId="0D764A00">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15</w:t>
            </w:r>
          </w:p>
        </w:tc>
      </w:tr>
      <w:tr w14:paraId="3547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542" w:type="dxa"/>
            <w:noWrap w:val="0"/>
            <w:vAlign w:val="center"/>
          </w:tcPr>
          <w:p w14:paraId="283E6066">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水洗法＜0.075mm颗粒含量，不大于</w:t>
            </w:r>
          </w:p>
        </w:tc>
        <w:tc>
          <w:tcPr>
            <w:tcW w:w="1558" w:type="dxa"/>
            <w:noWrap w:val="0"/>
            <w:vAlign w:val="center"/>
          </w:tcPr>
          <w:p w14:paraId="74199220">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414D6444">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0.8</w:t>
            </w:r>
          </w:p>
        </w:tc>
      </w:tr>
      <w:tr w14:paraId="4ABA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42" w:type="dxa"/>
            <w:noWrap w:val="0"/>
            <w:vAlign w:val="center"/>
          </w:tcPr>
          <w:p w14:paraId="352E15B8">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软石含量，不大于</w:t>
            </w:r>
          </w:p>
        </w:tc>
        <w:tc>
          <w:tcPr>
            <w:tcW w:w="1558" w:type="dxa"/>
            <w:noWrap w:val="0"/>
            <w:vAlign w:val="center"/>
          </w:tcPr>
          <w:p w14:paraId="3B04C196">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1BD7568C">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2.5</w:t>
            </w:r>
          </w:p>
        </w:tc>
      </w:tr>
      <w:tr w14:paraId="6F86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42" w:type="dxa"/>
            <w:noWrap w:val="0"/>
            <w:vAlign w:val="center"/>
          </w:tcPr>
          <w:p w14:paraId="78EF23D9">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石料磨光值（PSV），不小于</w:t>
            </w:r>
          </w:p>
        </w:tc>
        <w:tc>
          <w:tcPr>
            <w:tcW w:w="1558" w:type="dxa"/>
            <w:noWrap w:val="0"/>
            <w:vAlign w:val="center"/>
          </w:tcPr>
          <w:p w14:paraId="14995785">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3A279FC4">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42</w:t>
            </w:r>
          </w:p>
        </w:tc>
      </w:tr>
      <w:tr w14:paraId="6911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42" w:type="dxa"/>
            <w:noWrap w:val="0"/>
            <w:vAlign w:val="center"/>
          </w:tcPr>
          <w:p w14:paraId="16825306">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方解石含量，不大于</w:t>
            </w:r>
          </w:p>
        </w:tc>
        <w:tc>
          <w:tcPr>
            <w:tcW w:w="1558" w:type="dxa"/>
            <w:noWrap w:val="0"/>
            <w:vAlign w:val="center"/>
          </w:tcPr>
          <w:p w14:paraId="374D96EE">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1F896FA1">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15</w:t>
            </w:r>
          </w:p>
        </w:tc>
      </w:tr>
    </w:tbl>
    <w:p w14:paraId="0866A54F">
      <w:pPr>
        <w:numPr>
          <w:ilvl w:val="0"/>
          <w:numId w:val="0"/>
        </w:numPr>
        <w:spacing w:line="360" w:lineRule="auto"/>
        <w:ind w:firstLine="482" w:firstLineChars="20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val="en-US" w:eastAsia="zh-CN" w:bidi="ar-SA"/>
          <w14:textFill>
            <w14:solidFill>
              <w14:schemeClr w14:val="tx1"/>
            </w14:solidFill>
          </w14:textFill>
        </w:rPr>
        <w:t>2、</w:t>
      </w:r>
      <w:r>
        <w:rPr>
          <w:rFonts w:hint="eastAsia" w:ascii="宋体" w:hAnsi="宋体" w:eastAsia="宋体" w:cs="宋体"/>
          <w:b/>
          <w:bCs w:val="0"/>
          <w:color w:val="000000" w:themeColor="text1"/>
          <w:sz w:val="24"/>
          <w:szCs w:val="24"/>
          <w:lang w:val="en-US" w:eastAsia="zh-CN"/>
          <w14:textFill>
            <w14:solidFill>
              <w14:schemeClr w14:val="tx1"/>
            </w14:solidFill>
          </w14:textFill>
        </w:rPr>
        <w:t>石灰岩矿粉质量要求：</w:t>
      </w:r>
    </w:p>
    <w:p w14:paraId="1DEBF2B3">
      <w:pPr>
        <w:pStyle w:val="30"/>
        <w:spacing w:line="360" w:lineRule="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石灰岩</w:t>
      </w:r>
      <w:r>
        <w:rPr>
          <w:rFonts w:hint="eastAsia" w:ascii="宋体" w:hAnsi="宋体" w:eastAsia="宋体" w:cs="宋体"/>
          <w:color w:val="000000" w:themeColor="text1"/>
          <w:sz w:val="24"/>
          <w:szCs w:val="24"/>
          <w14:textFill>
            <w14:solidFill>
              <w14:schemeClr w14:val="tx1"/>
            </w14:solidFill>
          </w14:textFill>
        </w:rPr>
        <w:t>矿粉要求</w:t>
      </w:r>
      <w:r>
        <w:rPr>
          <w:rFonts w:hint="eastAsia" w:ascii="宋体" w:hAnsi="宋体" w:eastAsia="宋体" w:cs="宋体"/>
          <w:color w:val="000000" w:themeColor="text1"/>
          <w:sz w:val="24"/>
          <w:szCs w:val="24"/>
          <w:lang w:eastAsia="zh-CN"/>
          <w14:textFill>
            <w14:solidFill>
              <w14:schemeClr w14:val="tx1"/>
            </w14:solidFill>
          </w14:textFill>
        </w:rPr>
        <w:t>石灰岩或岩浆岩中强基性岩石等憎水性石料</w:t>
      </w:r>
      <w:r>
        <w:rPr>
          <w:rFonts w:hint="eastAsia" w:ascii="宋体" w:hAnsi="宋体" w:cs="宋体"/>
          <w:color w:val="000000" w:themeColor="text1"/>
          <w:sz w:val="24"/>
          <w:szCs w:val="24"/>
          <w:lang w:eastAsia="zh-CN"/>
          <w14:textFill>
            <w14:solidFill>
              <w14:schemeClr w14:val="tx1"/>
            </w14:solidFill>
          </w14:textFill>
        </w:rPr>
        <w:t>经磨细得到</w:t>
      </w:r>
      <w:r>
        <w:rPr>
          <w:rFonts w:hint="eastAsia" w:ascii="宋体" w:hAnsi="宋体" w:eastAsia="宋体" w:cs="宋体"/>
          <w:color w:val="000000" w:themeColor="text1"/>
          <w:sz w:val="24"/>
          <w:szCs w:val="24"/>
          <w:lang w:eastAsia="zh-CN"/>
          <w14:textFill>
            <w14:solidFill>
              <w14:schemeClr w14:val="tx1"/>
            </w14:solidFill>
          </w14:textFill>
        </w:rPr>
        <w:t>的矿粉</w:t>
      </w:r>
      <w:r>
        <w:rPr>
          <w:rFonts w:hint="eastAsia" w:ascii="宋体" w:hAnsi="宋体" w:eastAsia="宋体" w:cs="宋体"/>
          <w:color w:val="000000" w:themeColor="text1"/>
          <w:sz w:val="24"/>
          <w:szCs w:val="24"/>
          <w14:textFill>
            <w14:solidFill>
              <w14:schemeClr w14:val="tx1"/>
            </w14:solidFill>
          </w14:textFill>
        </w:rPr>
        <w:t>，原石料中的泥土等杂质应除净。矿粉</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干燥、洁净，</w:t>
      </w:r>
      <w:r>
        <w:rPr>
          <w:rFonts w:hint="eastAsia" w:ascii="宋体" w:hAnsi="宋体" w:cs="宋体"/>
          <w:color w:val="000000" w:themeColor="text1"/>
          <w:sz w:val="24"/>
          <w:szCs w:val="24"/>
          <w:lang w:val="en-US" w:eastAsia="zh-CN"/>
          <w14:textFill>
            <w14:solidFill>
              <w14:schemeClr w14:val="tx1"/>
            </w14:solidFill>
          </w14:textFill>
        </w:rPr>
        <w:t>不应使用回收粉尘</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质量要求见下表</w:t>
      </w:r>
      <w:r>
        <w:rPr>
          <w:rFonts w:hint="eastAsia" w:ascii="宋体" w:hAnsi="宋体" w:eastAsia="宋体" w:cs="宋体"/>
          <w:bCs/>
          <w:color w:val="000000" w:themeColor="text1"/>
          <w:sz w:val="24"/>
          <w:szCs w:val="24"/>
          <w:lang w:val="en-US" w:eastAsia="zh-CN"/>
          <w14:textFill>
            <w14:solidFill>
              <w14:schemeClr w14:val="tx1"/>
            </w14:solidFill>
          </w14:textFill>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1097"/>
        <w:gridCol w:w="3528"/>
      </w:tblGrid>
      <w:tr w14:paraId="6093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8" w:type="dxa"/>
            <w:noWrap w:val="0"/>
            <w:vAlign w:val="center"/>
          </w:tcPr>
          <w:p w14:paraId="048BF64B">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项目</w:t>
            </w:r>
          </w:p>
        </w:tc>
        <w:tc>
          <w:tcPr>
            <w:tcW w:w="1097" w:type="dxa"/>
            <w:noWrap w:val="0"/>
            <w:vAlign w:val="center"/>
          </w:tcPr>
          <w:p w14:paraId="2EA4966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单位</w:t>
            </w:r>
          </w:p>
        </w:tc>
        <w:tc>
          <w:tcPr>
            <w:tcW w:w="3528" w:type="dxa"/>
            <w:noWrap w:val="0"/>
            <w:vAlign w:val="center"/>
          </w:tcPr>
          <w:p w14:paraId="31DB18F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技术指标</w:t>
            </w:r>
          </w:p>
        </w:tc>
      </w:tr>
      <w:tr w14:paraId="1878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8" w:type="dxa"/>
            <w:noWrap w:val="0"/>
            <w:vAlign w:val="center"/>
          </w:tcPr>
          <w:p w14:paraId="791CB283">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表观密度</w:t>
            </w:r>
            <w:r>
              <w:rPr>
                <w:rFonts w:hint="eastAsia" w:ascii="宋体" w:hAnsi="宋体" w:cs="宋体"/>
                <w:bCs/>
                <w:color w:val="000000" w:themeColor="text1"/>
                <w:sz w:val="24"/>
                <w:szCs w:val="24"/>
                <w:lang w:eastAsia="zh-CN"/>
                <w14:textFill>
                  <w14:solidFill>
                    <w14:schemeClr w14:val="tx1"/>
                  </w14:solidFill>
                </w14:textFill>
              </w:rPr>
              <w:t>，不小于</w:t>
            </w:r>
          </w:p>
        </w:tc>
        <w:tc>
          <w:tcPr>
            <w:tcW w:w="1097" w:type="dxa"/>
            <w:noWrap w:val="0"/>
            <w:vAlign w:val="center"/>
          </w:tcPr>
          <w:p w14:paraId="29A7166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t/</w:t>
            </w:r>
            <w:r>
              <w:rPr>
                <w:rFonts w:hint="eastAsia" w:ascii="宋体" w:hAnsi="宋体" w:eastAsia="宋体" w:cs="宋体"/>
                <w:color w:val="000000" w:themeColor="text1"/>
                <w:sz w:val="24"/>
                <w:szCs w:val="24"/>
                <w:shd w:val="clear" w:color="auto" w:fill="FFFFFF"/>
                <w14:textFill>
                  <w14:solidFill>
                    <w14:schemeClr w14:val="tx1"/>
                  </w14:solidFill>
                </w14:textFill>
              </w:rPr>
              <w:t>m</w:t>
            </w:r>
            <w:r>
              <w:rPr>
                <w:rFonts w:hint="eastAsia" w:ascii="宋体" w:hAnsi="宋体" w:eastAsia="宋体" w:cs="宋体"/>
                <w:color w:val="000000" w:themeColor="text1"/>
                <w:sz w:val="24"/>
                <w:szCs w:val="24"/>
                <w:shd w:val="clear" w:color="auto" w:fill="FFFFFF"/>
                <w:vertAlign w:val="superscript"/>
                <w:lang w:val="en-US" w:eastAsia="zh-CN"/>
                <w14:textFill>
                  <w14:solidFill>
                    <w14:schemeClr w14:val="tx1"/>
                  </w14:solidFill>
                </w14:textFill>
              </w:rPr>
              <w:t>3</w:t>
            </w:r>
          </w:p>
        </w:tc>
        <w:tc>
          <w:tcPr>
            <w:tcW w:w="3528" w:type="dxa"/>
            <w:noWrap w:val="0"/>
            <w:vAlign w:val="center"/>
          </w:tcPr>
          <w:p w14:paraId="6EF2212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2.60</w:t>
            </w:r>
          </w:p>
        </w:tc>
      </w:tr>
      <w:tr w14:paraId="4382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8" w:type="dxa"/>
            <w:noWrap w:val="0"/>
            <w:vAlign w:val="center"/>
          </w:tcPr>
          <w:p w14:paraId="0873F4D9">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含水量</w:t>
            </w:r>
            <w:r>
              <w:rPr>
                <w:rFonts w:hint="eastAsia" w:ascii="宋体" w:hAnsi="宋体" w:cs="宋体"/>
                <w:bCs/>
                <w:color w:val="000000" w:themeColor="text1"/>
                <w:sz w:val="24"/>
                <w:szCs w:val="24"/>
                <w:lang w:eastAsia="zh-CN"/>
                <w14:textFill>
                  <w14:solidFill>
                    <w14:schemeClr w14:val="tx1"/>
                  </w14:solidFill>
                </w14:textFill>
              </w:rPr>
              <w:t>，不大于</w:t>
            </w:r>
          </w:p>
        </w:tc>
        <w:tc>
          <w:tcPr>
            <w:tcW w:w="1097" w:type="dxa"/>
            <w:noWrap w:val="0"/>
            <w:vAlign w:val="center"/>
          </w:tcPr>
          <w:p w14:paraId="4B81D54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3528" w:type="dxa"/>
            <w:noWrap w:val="0"/>
            <w:vAlign w:val="center"/>
          </w:tcPr>
          <w:p w14:paraId="55731D6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1</w:t>
            </w:r>
          </w:p>
        </w:tc>
      </w:tr>
      <w:tr w14:paraId="3BA7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938" w:type="dxa"/>
            <w:noWrap w:val="0"/>
            <w:vAlign w:val="center"/>
          </w:tcPr>
          <w:p w14:paraId="06C26356">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粒度范围＜</w:t>
            </w:r>
            <w:r>
              <w:rPr>
                <w:rFonts w:hint="eastAsia" w:ascii="宋体" w:hAnsi="宋体" w:cs="宋体"/>
                <w:bCs/>
                <w:color w:val="000000" w:themeColor="text1"/>
                <w:sz w:val="24"/>
                <w:szCs w:val="24"/>
                <w:lang w:val="en-US" w:eastAsia="zh-CN"/>
                <w14:textFill>
                  <w14:solidFill>
                    <w14:schemeClr w14:val="tx1"/>
                  </w14:solidFill>
                </w14:textFill>
              </w:rPr>
              <w:t>0.6mm</w:t>
            </w:r>
          </w:p>
          <w:p w14:paraId="3669EE0B">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 xml:space="preserve">        ＜0.15mm</w:t>
            </w:r>
          </w:p>
          <w:p w14:paraId="75404E7E">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 xml:space="preserve">         ＜0.075mm</w:t>
            </w:r>
          </w:p>
        </w:tc>
        <w:tc>
          <w:tcPr>
            <w:tcW w:w="1097" w:type="dxa"/>
            <w:noWrap w:val="0"/>
            <w:vAlign w:val="center"/>
          </w:tcPr>
          <w:p w14:paraId="2FCF3F30">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w:t>
            </w:r>
          </w:p>
          <w:p w14:paraId="668F5A00">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w:t>
            </w:r>
          </w:p>
          <w:p w14:paraId="329AFBE6">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w:t>
            </w:r>
          </w:p>
        </w:tc>
        <w:tc>
          <w:tcPr>
            <w:tcW w:w="3528" w:type="dxa"/>
            <w:noWrap w:val="0"/>
            <w:vAlign w:val="center"/>
          </w:tcPr>
          <w:p w14:paraId="213482DD">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100</w:t>
            </w:r>
          </w:p>
          <w:p w14:paraId="6A6DF6F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90~100</w:t>
            </w:r>
          </w:p>
          <w:p w14:paraId="44D0ED7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75~100</w:t>
            </w:r>
          </w:p>
        </w:tc>
      </w:tr>
      <w:tr w14:paraId="5B2A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8" w:type="dxa"/>
            <w:noWrap w:val="0"/>
            <w:vAlign w:val="center"/>
          </w:tcPr>
          <w:p w14:paraId="71E9F766">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外观</w:t>
            </w:r>
          </w:p>
        </w:tc>
        <w:tc>
          <w:tcPr>
            <w:tcW w:w="1097" w:type="dxa"/>
            <w:noWrap w:val="0"/>
            <w:vAlign w:val="center"/>
          </w:tcPr>
          <w:p w14:paraId="592A5F57">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bidi="ar-SA"/>
                <w14:textFill>
                  <w14:solidFill>
                    <w14:schemeClr w14:val="tx1"/>
                  </w14:solidFill>
                </w14:textFill>
              </w:rPr>
            </w:pPr>
            <w:r>
              <w:rPr>
                <w:rFonts w:hint="eastAsia" w:ascii="宋体" w:hAnsi="宋体" w:cs="宋体"/>
                <w:bCs/>
                <w:color w:val="000000" w:themeColor="text1"/>
                <w:sz w:val="24"/>
                <w:szCs w:val="24"/>
                <w:vertAlign w:val="baseline"/>
                <w:lang w:val="en-US" w:eastAsia="zh-CN" w:bidi="ar-SA"/>
                <w14:textFill>
                  <w14:solidFill>
                    <w14:schemeClr w14:val="tx1"/>
                  </w14:solidFill>
                </w14:textFill>
              </w:rPr>
              <w:t>-</w:t>
            </w:r>
          </w:p>
        </w:tc>
        <w:tc>
          <w:tcPr>
            <w:tcW w:w="3528" w:type="dxa"/>
            <w:noWrap w:val="0"/>
            <w:vAlign w:val="center"/>
          </w:tcPr>
          <w:p w14:paraId="0092AD3F">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无团粒结块</w:t>
            </w:r>
          </w:p>
        </w:tc>
      </w:tr>
      <w:tr w14:paraId="1438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8" w:type="dxa"/>
            <w:noWrap w:val="0"/>
            <w:vAlign w:val="center"/>
          </w:tcPr>
          <w:p w14:paraId="49FA3991">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亲水系数</w:t>
            </w:r>
          </w:p>
        </w:tc>
        <w:tc>
          <w:tcPr>
            <w:tcW w:w="1097" w:type="dxa"/>
            <w:noWrap w:val="0"/>
            <w:vAlign w:val="center"/>
          </w:tcPr>
          <w:p w14:paraId="50BEB20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vertAlign w:val="baseline"/>
                <w:lang w:val="en-US" w:eastAsia="zh-CN" w:bidi="ar-SA"/>
                <w14:textFill>
                  <w14:solidFill>
                    <w14:schemeClr w14:val="tx1"/>
                  </w14:solidFill>
                </w14:textFill>
              </w:rPr>
              <w:t>-</w:t>
            </w:r>
          </w:p>
        </w:tc>
        <w:tc>
          <w:tcPr>
            <w:tcW w:w="3528" w:type="dxa"/>
            <w:noWrap w:val="0"/>
            <w:vAlign w:val="center"/>
          </w:tcPr>
          <w:p w14:paraId="2B3B2177">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w:t>
            </w:r>
          </w:p>
        </w:tc>
      </w:tr>
      <w:tr w14:paraId="2437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38" w:type="dxa"/>
            <w:noWrap w:val="0"/>
            <w:vAlign w:val="center"/>
          </w:tcPr>
          <w:p w14:paraId="0D135A1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塑性指数</w:t>
            </w:r>
          </w:p>
        </w:tc>
        <w:tc>
          <w:tcPr>
            <w:tcW w:w="1097" w:type="dxa"/>
            <w:noWrap w:val="0"/>
            <w:vAlign w:val="center"/>
          </w:tcPr>
          <w:p w14:paraId="2E51120E">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w:t>
            </w:r>
          </w:p>
        </w:tc>
        <w:tc>
          <w:tcPr>
            <w:tcW w:w="3528" w:type="dxa"/>
            <w:noWrap w:val="0"/>
            <w:vAlign w:val="center"/>
          </w:tcPr>
          <w:p w14:paraId="09B9634B">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w:t>
            </w:r>
          </w:p>
        </w:tc>
      </w:tr>
    </w:tbl>
    <w:p w14:paraId="15A70D8D">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供货要求：</w:t>
      </w:r>
    </w:p>
    <w:p w14:paraId="44D8A17F">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（1）供货时间：根据业主需要，早上6：00时至下午18：00时段送货，并须有采购人当场验收。</w:t>
      </w:r>
    </w:p>
    <w:p w14:paraId="0B8B89F6">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供货地点：中标人应将材料送达</w:t>
      </w:r>
      <w:r>
        <w:rPr>
          <w:rFonts w:hint="eastAsia" w:ascii="宋体" w:hAnsi="宋体" w:eastAsia="宋体" w:cs="宋体"/>
          <w:color w:val="auto"/>
          <w:sz w:val="24"/>
          <w:szCs w:val="24"/>
          <w:lang w:val="en-US" w:eastAsia="zh-CN"/>
        </w:rPr>
        <w:t>诸暨市范围内</w:t>
      </w:r>
      <w:r>
        <w:rPr>
          <w:rFonts w:hint="eastAsia" w:ascii="宋体" w:hAnsi="宋体" w:eastAsia="宋体" w:cs="宋体"/>
          <w:color w:val="auto"/>
          <w:sz w:val="24"/>
          <w:szCs w:val="24"/>
        </w:rPr>
        <w:t>采购人指定地点。</w:t>
      </w:r>
    </w:p>
    <w:p w14:paraId="04393430">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000000" w:themeColor="text1"/>
          <w:sz w:val="24"/>
          <w:szCs w:val="24"/>
          <w14:textFill>
            <w14:solidFill>
              <w14:schemeClr w14:val="tx1"/>
            </w14:solidFill>
          </w14:textFill>
        </w:rPr>
        <w:t>交货和提供服务的时间</w:t>
      </w:r>
      <w:r>
        <w:rPr>
          <w:rFonts w:hint="eastAsia" w:ascii="宋体" w:hAnsi="宋体" w:cs="宋体"/>
          <w:color w:val="000000" w:themeColor="text1"/>
          <w:sz w:val="24"/>
          <w:szCs w:val="24"/>
          <w:lang w:eastAsia="zh-CN"/>
          <w14:textFill>
            <w14:solidFill>
              <w14:schemeClr w14:val="tx1"/>
            </w14:solidFill>
          </w14:textFill>
        </w:rPr>
        <w:t>：</w:t>
      </w:r>
    </w:p>
    <w:p w14:paraId="55FFA950">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本项目供货期为：自合同签订之日起</w:t>
      </w:r>
      <w:r>
        <w:rPr>
          <w:rFonts w:hint="eastAsia" w:ascii="宋体" w:hAnsi="宋体" w:eastAsia="宋体" w:cs="宋体"/>
          <w:color w:val="000000" w:themeColor="text1"/>
          <w:sz w:val="24"/>
          <w:szCs w:val="24"/>
          <w:lang w:val="en-US" w:eastAsia="zh-CN"/>
          <w14:textFill>
            <w14:solidFill>
              <w14:schemeClr w14:val="tx1"/>
            </w14:solidFill>
          </w14:textFill>
        </w:rPr>
        <w:t>一年或采购预算金额满为止，以先到时间为准</w:t>
      </w:r>
      <w:r>
        <w:rPr>
          <w:rFonts w:hint="eastAsia" w:ascii="宋体" w:hAnsi="宋体" w:eastAsia="宋体" w:cs="宋体"/>
          <w:color w:val="000000" w:themeColor="text1"/>
          <w:sz w:val="24"/>
          <w:szCs w:val="24"/>
          <w14:textFill>
            <w14:solidFill>
              <w14:schemeClr w14:val="tx1"/>
            </w14:solidFill>
          </w14:textFill>
        </w:rPr>
        <w:t>。</w:t>
      </w:r>
    </w:p>
    <w:p w14:paraId="52D71128">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在采购人要求的供货时间内中标人应及时按要求在采购人工作时间内供应，</w:t>
      </w:r>
      <w:r>
        <w:rPr>
          <w:rFonts w:hint="eastAsia" w:ascii="宋体" w:hAnsi="宋体" w:eastAsia="宋体" w:cs="宋体"/>
          <w:color w:val="000000" w:themeColor="text1"/>
          <w:sz w:val="24"/>
          <w:szCs w:val="24"/>
          <w:lang w:val="en-US" w:eastAsia="zh-CN"/>
          <w14:textFill>
            <w14:solidFill>
              <w14:schemeClr w14:val="tx1"/>
            </w14:solidFill>
          </w14:textFill>
        </w:rPr>
        <w:t>每批</w:t>
      </w:r>
      <w:r>
        <w:rPr>
          <w:rFonts w:hint="eastAsia" w:ascii="宋体" w:hAnsi="宋体" w:eastAsia="宋体" w:cs="宋体"/>
          <w:color w:val="000000" w:themeColor="text1"/>
          <w:sz w:val="24"/>
          <w:szCs w:val="24"/>
          <w14:textFill>
            <w14:solidFill>
              <w14:schemeClr w14:val="tx1"/>
            </w14:solidFill>
          </w14:textFill>
        </w:rPr>
        <w:t>实际需要数量由采购人按需要提前</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天</w:t>
      </w:r>
      <w:r>
        <w:rPr>
          <w:rFonts w:hint="eastAsia" w:ascii="宋体" w:hAnsi="宋体" w:eastAsia="宋体" w:cs="宋体"/>
          <w:color w:val="000000" w:themeColor="text1"/>
          <w:sz w:val="24"/>
          <w:szCs w:val="24"/>
          <w:lang w:eastAsia="zh-CN"/>
          <w14:textFill>
            <w14:solidFill>
              <w14:schemeClr w14:val="tx1"/>
            </w14:solidFill>
          </w14:textFill>
        </w:rPr>
        <w:t>以电话、短信、微信等方式</w:t>
      </w:r>
      <w:r>
        <w:rPr>
          <w:rFonts w:hint="eastAsia" w:ascii="宋体" w:hAnsi="宋体" w:eastAsia="宋体" w:cs="宋体"/>
          <w:color w:val="000000" w:themeColor="text1"/>
          <w:sz w:val="24"/>
          <w:szCs w:val="24"/>
          <w14:textFill>
            <w14:solidFill>
              <w14:schemeClr w14:val="tx1"/>
            </w14:solidFill>
          </w14:textFill>
        </w:rPr>
        <w:t>通知中标人，未能按时供货的除每延迟一天中标人应向采购人支付</w:t>
      </w:r>
      <w:r>
        <w:rPr>
          <w:rFonts w:hint="eastAsia" w:ascii="宋体" w:hAnsi="宋体" w:eastAsia="宋体" w:cs="宋体"/>
          <w:color w:val="000000" w:themeColor="text1"/>
          <w:sz w:val="24"/>
          <w:szCs w:val="24"/>
          <w:lang w:val="en-US" w:eastAsia="zh-CN"/>
          <w14:textFill>
            <w14:solidFill>
              <w14:schemeClr w14:val="tx1"/>
            </w14:solidFill>
          </w14:textFill>
        </w:rPr>
        <w:t>延期货物对应货款金额日0.5%的</w:t>
      </w:r>
      <w:r>
        <w:rPr>
          <w:rFonts w:hint="eastAsia" w:ascii="宋体" w:hAnsi="宋体" w:eastAsia="宋体" w:cs="宋体"/>
          <w:color w:val="000000" w:themeColor="text1"/>
          <w:sz w:val="24"/>
          <w:szCs w:val="24"/>
          <w14:textFill>
            <w14:solidFill>
              <w14:schemeClr w14:val="tx1"/>
            </w14:solidFill>
          </w14:textFill>
        </w:rPr>
        <w:t>违约金（</w:t>
      </w:r>
      <w:r>
        <w:rPr>
          <w:rFonts w:hint="eastAsia" w:ascii="宋体" w:hAnsi="宋体" w:eastAsia="宋体" w:cs="宋体"/>
          <w:color w:val="000000" w:themeColor="text1"/>
          <w:sz w:val="24"/>
          <w:szCs w:val="24"/>
          <w:lang w:val="en-US" w:eastAsia="zh-CN"/>
          <w14:textFill>
            <w14:solidFill>
              <w14:schemeClr w14:val="tx1"/>
            </w14:solidFill>
          </w14:textFill>
        </w:rPr>
        <w:t>采购人有权在</w:t>
      </w:r>
      <w:r>
        <w:rPr>
          <w:rFonts w:hint="eastAsia" w:ascii="宋体" w:hAnsi="宋体" w:eastAsia="宋体" w:cs="宋体"/>
          <w:color w:val="000000" w:themeColor="text1"/>
          <w:sz w:val="24"/>
          <w:szCs w:val="24"/>
          <w14:textFill>
            <w14:solidFill>
              <w14:schemeClr w14:val="tx1"/>
            </w14:solidFill>
          </w14:textFill>
        </w:rPr>
        <w:t>履约保证金中</w:t>
      </w:r>
      <w:r>
        <w:rPr>
          <w:rFonts w:hint="eastAsia" w:ascii="宋体" w:hAnsi="宋体" w:eastAsia="宋体" w:cs="宋体"/>
          <w:color w:val="000000" w:themeColor="text1"/>
          <w:sz w:val="24"/>
          <w:szCs w:val="24"/>
          <w:lang w:val="en-US" w:eastAsia="zh-CN"/>
          <w14:textFill>
            <w14:solidFill>
              <w14:schemeClr w14:val="tx1"/>
            </w14:solidFill>
          </w14:textFill>
        </w:rPr>
        <w:t>直接</w:t>
      </w:r>
      <w:r>
        <w:rPr>
          <w:rFonts w:hint="eastAsia" w:ascii="宋体" w:hAnsi="宋体" w:eastAsia="宋体" w:cs="宋体"/>
          <w:color w:val="000000" w:themeColor="text1"/>
          <w:sz w:val="24"/>
          <w:szCs w:val="24"/>
          <w14:textFill>
            <w14:solidFill>
              <w14:schemeClr w14:val="tx1"/>
            </w14:solidFill>
          </w14:textFill>
        </w:rPr>
        <w:t>扣除）外，采购人有权另行采购，由此给采购人造成的损失（包括但不限于运输费、中标价和另行采购差价）由中标人承担，在履约保证金中扣除，如发生三次</w:t>
      </w:r>
      <w:r>
        <w:rPr>
          <w:rFonts w:hint="eastAsia" w:ascii="宋体" w:hAnsi="宋体" w:eastAsia="宋体" w:cs="宋体"/>
          <w:color w:val="000000" w:themeColor="text1"/>
          <w:sz w:val="24"/>
          <w:szCs w:val="24"/>
          <w:lang w:val="en-US" w:eastAsia="zh-CN"/>
          <w14:textFill>
            <w14:solidFill>
              <w14:schemeClr w14:val="tx1"/>
            </w14:solidFill>
          </w14:textFill>
        </w:rPr>
        <w:t>及以上</w:t>
      </w:r>
      <w:r>
        <w:rPr>
          <w:rFonts w:hint="eastAsia" w:ascii="宋体" w:hAnsi="宋体" w:eastAsia="宋体" w:cs="宋体"/>
          <w:color w:val="000000" w:themeColor="text1"/>
          <w:sz w:val="24"/>
          <w:szCs w:val="24"/>
          <w14:textFill>
            <w14:solidFill>
              <w14:schemeClr w14:val="tx1"/>
            </w14:solidFill>
          </w14:textFill>
        </w:rPr>
        <w:t>供货不及时，采购人有权终止合同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履约保证金予以没收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且采购人有权</w:t>
      </w:r>
      <w:r>
        <w:rPr>
          <w:rFonts w:hint="eastAsia" w:ascii="宋体" w:hAnsi="宋体" w:eastAsia="宋体" w:cs="宋体"/>
          <w:color w:val="000000" w:themeColor="text1"/>
          <w:sz w:val="24"/>
          <w:szCs w:val="24"/>
          <w14:textFill>
            <w14:solidFill>
              <w14:schemeClr w14:val="tx1"/>
            </w14:solidFill>
          </w14:textFill>
        </w:rPr>
        <w:t>要求中标人赔偿损失。</w:t>
      </w:r>
      <w:r>
        <w:rPr>
          <w:rFonts w:hint="eastAsia" w:ascii="宋体" w:hAnsi="宋体" w:eastAsia="宋体" w:cs="宋体"/>
          <w:color w:val="000000" w:themeColor="text1"/>
          <w:sz w:val="24"/>
          <w:szCs w:val="24"/>
          <w:highlight w:val="none"/>
          <w14:textFill>
            <w14:solidFill>
              <w14:schemeClr w14:val="tx1"/>
            </w14:solidFill>
          </w14:textFill>
        </w:rPr>
        <w:t>如由采购人原因引起的要求延期供应，中标人应无条件配合。</w:t>
      </w:r>
    </w:p>
    <w:p w14:paraId="183D07D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（4）供应商的报价应包括应承包本次项目供货所需的</w:t>
      </w:r>
      <w:r>
        <w:rPr>
          <w:rFonts w:hint="eastAsia" w:ascii="宋体" w:hAnsi="宋体" w:eastAsia="宋体" w:cs="宋体"/>
          <w:color w:val="000000" w:themeColor="text1"/>
          <w:sz w:val="24"/>
          <w:szCs w:val="24"/>
          <w:lang w:val="en-US" w:eastAsia="zh-CN"/>
          <w14:textFill>
            <w14:solidFill>
              <w14:schemeClr w14:val="tx1"/>
            </w14:solidFill>
          </w14:textFill>
        </w:rPr>
        <w:t>材料</w:t>
      </w:r>
      <w:r>
        <w:rPr>
          <w:rFonts w:hint="eastAsia" w:ascii="宋体" w:hAnsi="宋体" w:eastAsia="宋体" w:cs="宋体"/>
          <w:color w:val="000000" w:themeColor="text1"/>
          <w:sz w:val="24"/>
          <w:szCs w:val="24"/>
          <w14:textFill>
            <w14:solidFill>
              <w14:schemeClr w14:val="tx1"/>
            </w14:solidFill>
          </w14:textFill>
        </w:rPr>
        <w:t>价款、到指定施工现场的运输及装卸费用、材料、质检（自检）、管理、保险、税费、人工费等一切相关的费用。材料运输应按国家标准轴载执行。本次采购数量为暂估数量，供应商需在编制投标报价时应充分考虑由于实际采购量未达到该数量或超出该数量而带来的风险。</w:t>
      </w:r>
    </w:p>
    <w:p w14:paraId="1EE5FD36">
      <w:pPr>
        <w:keepNext w:val="0"/>
        <w:keepLines w:val="0"/>
        <w:pageBreakBefore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中标人承担货物交货前的所有安全责任问题。</w:t>
      </w:r>
      <w:r>
        <w:rPr>
          <w:rFonts w:hint="eastAsia" w:ascii="宋体" w:hAnsi="宋体" w:eastAsia="宋体" w:cs="宋体"/>
          <w:color w:val="000000" w:themeColor="text1"/>
          <w:sz w:val="24"/>
          <w:szCs w:val="24"/>
          <w:lang w:val="en-US" w:eastAsia="zh-CN"/>
          <w14:textFill>
            <w14:solidFill>
              <w14:schemeClr w14:val="tx1"/>
            </w14:solidFill>
          </w14:textFill>
        </w:rPr>
        <w:t>如因中标人原因造成采购人、中标人或任何第三方的财产、人身损失的，均由中标人赔偿</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中标人在项目服务期间必须无条件满足招标人需求。</w:t>
      </w:r>
    </w:p>
    <w:p w14:paraId="29B75C0E">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验收：</w:t>
      </w:r>
    </w:p>
    <w:p w14:paraId="69E2AA0B">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（1）材料到达交货地点后，由采购人清点接货。如因包装或运输不当造成材料质量下降或缺损等，中标人承担</w:t>
      </w:r>
      <w:r>
        <w:rPr>
          <w:rFonts w:hint="eastAsia" w:ascii="宋体" w:hAnsi="宋体" w:eastAsia="宋体" w:cs="宋体"/>
          <w:color w:val="000000" w:themeColor="text1"/>
          <w:sz w:val="24"/>
          <w:szCs w:val="24"/>
          <w:highlight w:val="none"/>
          <w:lang w:val="en-US" w:eastAsia="zh-CN"/>
          <w14:textFill>
            <w14:solidFill>
              <w14:schemeClr w14:val="tx1"/>
            </w14:solidFill>
          </w14:textFill>
        </w:rPr>
        <w:t>更换或赔偿</w:t>
      </w:r>
      <w:r>
        <w:rPr>
          <w:rFonts w:hint="eastAsia" w:ascii="宋体" w:hAnsi="宋体" w:eastAsia="宋体" w:cs="宋体"/>
          <w:color w:val="000000" w:themeColor="text1"/>
          <w:sz w:val="24"/>
          <w:szCs w:val="24"/>
          <w:highlight w:val="none"/>
          <w14:textFill>
            <w14:solidFill>
              <w14:schemeClr w14:val="tx1"/>
            </w14:solidFill>
          </w14:textFill>
        </w:rPr>
        <w:t>责任。</w:t>
      </w:r>
    </w:p>
    <w:p w14:paraId="7CE6C42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材料到达交货地点后，中标人应按采购人安排的时间派人到交货点进行检验。中标人应按合同所需供应的材料提供检测报告单，供需双方按合同要求进行验收，若有短少或不符合标准的材料，中标人应12小时内补足或更换全新同规格的材料，并承担由此产生的一切费用；如果该不合格材料已经被使用，由此引发的一切后果由中标人承担，</w:t>
      </w:r>
      <w:r>
        <w:rPr>
          <w:rFonts w:hint="eastAsia" w:ascii="宋体" w:hAnsi="宋体" w:eastAsia="宋体" w:cs="宋体"/>
          <w:b/>
          <w:bCs/>
          <w:color w:val="000000" w:themeColor="text1"/>
          <w:sz w:val="24"/>
          <w:szCs w:val="24"/>
          <w14:textFill>
            <w14:solidFill>
              <w14:schemeClr w14:val="tx1"/>
            </w14:solidFill>
          </w14:textFill>
        </w:rPr>
        <w:t>且中标人三年内不得参加诸暨市</w:t>
      </w:r>
      <w:r>
        <w:rPr>
          <w:rFonts w:hint="eastAsia" w:ascii="宋体" w:hAnsi="宋体" w:eastAsia="宋体" w:cs="宋体"/>
          <w:b/>
          <w:bCs/>
          <w:color w:val="000000" w:themeColor="text1"/>
          <w:sz w:val="24"/>
          <w:szCs w:val="24"/>
          <w:lang w:val="en-US" w:eastAsia="zh-CN"/>
          <w14:textFill>
            <w14:solidFill>
              <w14:schemeClr w14:val="tx1"/>
            </w14:solidFill>
          </w14:textFill>
        </w:rPr>
        <w:t>建设</w:t>
      </w:r>
      <w:r>
        <w:rPr>
          <w:rFonts w:hint="eastAsia" w:ascii="宋体" w:hAnsi="宋体" w:eastAsia="宋体" w:cs="宋体"/>
          <w:b/>
          <w:bCs/>
          <w:color w:val="000000" w:themeColor="text1"/>
          <w:sz w:val="24"/>
          <w:szCs w:val="24"/>
          <w14:textFill>
            <w14:solidFill>
              <w14:schemeClr w14:val="tx1"/>
            </w14:solidFill>
          </w14:textFill>
        </w:rPr>
        <w:t>集团有限公司及</w:t>
      </w:r>
      <w:r>
        <w:rPr>
          <w:rFonts w:hint="eastAsia" w:ascii="宋体" w:hAnsi="宋体" w:eastAsia="宋体" w:cs="宋体"/>
          <w:b/>
          <w:bCs/>
          <w:color w:val="000000" w:themeColor="text1"/>
          <w:sz w:val="24"/>
          <w:szCs w:val="24"/>
          <w:lang w:eastAsia="zh-CN"/>
          <w14:textFill>
            <w14:solidFill>
              <w14:schemeClr w14:val="tx1"/>
            </w14:solidFill>
          </w14:textFill>
        </w:rPr>
        <w:t>各</w:t>
      </w:r>
      <w:r>
        <w:rPr>
          <w:rFonts w:hint="eastAsia" w:ascii="宋体" w:hAnsi="宋体" w:eastAsia="宋体" w:cs="宋体"/>
          <w:b/>
          <w:bCs/>
          <w:color w:val="000000" w:themeColor="text1"/>
          <w:sz w:val="24"/>
          <w:szCs w:val="24"/>
          <w14:textFill>
            <w14:solidFill>
              <w14:schemeClr w14:val="tx1"/>
            </w14:solidFill>
          </w14:textFill>
        </w:rPr>
        <w:t>下属</w:t>
      </w:r>
      <w:r>
        <w:rPr>
          <w:rFonts w:hint="eastAsia" w:ascii="宋体" w:hAnsi="宋体" w:eastAsia="宋体" w:cs="宋体"/>
          <w:b/>
          <w:bCs/>
          <w:color w:val="000000" w:themeColor="text1"/>
          <w:sz w:val="24"/>
          <w:szCs w:val="24"/>
          <w:lang w:eastAsia="zh-CN"/>
          <w14:textFill>
            <w14:solidFill>
              <w14:schemeClr w14:val="tx1"/>
            </w14:solidFill>
          </w14:textFill>
        </w:rPr>
        <w:t>子公司</w:t>
      </w:r>
      <w:r>
        <w:rPr>
          <w:rFonts w:hint="eastAsia" w:ascii="宋体" w:hAnsi="宋体" w:eastAsia="宋体" w:cs="宋体"/>
          <w:b/>
          <w:bCs/>
          <w:color w:val="000000" w:themeColor="text1"/>
          <w:sz w:val="24"/>
          <w:szCs w:val="24"/>
          <w14:textFill>
            <w14:solidFill>
              <w14:schemeClr w14:val="tx1"/>
            </w14:solidFill>
          </w14:textFill>
        </w:rPr>
        <w:t>的招投标活动</w:t>
      </w:r>
      <w:r>
        <w:rPr>
          <w:rFonts w:hint="eastAsia" w:ascii="宋体" w:hAnsi="宋体" w:cs="宋体"/>
          <w:b/>
          <w:bCs/>
          <w:color w:val="000000" w:themeColor="text1"/>
          <w:sz w:val="24"/>
          <w:szCs w:val="24"/>
          <w:lang w:eastAsia="zh-CN"/>
          <w14:textFill>
            <w14:solidFill>
              <w14:schemeClr w14:val="tx1"/>
            </w14:solidFill>
          </w14:textFill>
        </w:rPr>
        <w:t>。</w:t>
      </w:r>
    </w:p>
    <w:p w14:paraId="14BEA51F">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（3）在供货期间如采购人发现产品存在质量疑问时，中标人须和采购人一起在公开、公正的情况下按现行规范对存在疑问的产品进行取样、封存，并</w:t>
      </w:r>
      <w:r>
        <w:rPr>
          <w:rFonts w:hint="eastAsia" w:ascii="宋体" w:hAnsi="宋体" w:eastAsia="宋体" w:cs="宋体"/>
          <w:color w:val="000000" w:themeColor="text1"/>
          <w:sz w:val="24"/>
          <w:szCs w:val="24"/>
          <w:lang w:eastAsia="zh-CN"/>
          <w14:textFill>
            <w14:solidFill>
              <w14:schemeClr w14:val="tx1"/>
            </w14:solidFill>
          </w14:textFill>
        </w:rPr>
        <w:t>委托具有</w:t>
      </w:r>
      <w:r>
        <w:rPr>
          <w:rFonts w:hint="eastAsia" w:ascii="宋体" w:hAnsi="宋体" w:cs="宋体"/>
          <w:color w:val="000000" w:themeColor="text1"/>
          <w:sz w:val="24"/>
          <w:szCs w:val="24"/>
          <w:lang w:val="en-US" w:eastAsia="zh-CN"/>
          <w14:textFill>
            <w14:solidFill>
              <w14:schemeClr w14:val="tx1"/>
            </w14:solidFill>
          </w14:textFill>
        </w:rPr>
        <w:t>相应</w:t>
      </w:r>
      <w:r>
        <w:rPr>
          <w:rFonts w:hint="eastAsia" w:ascii="宋体" w:hAnsi="宋体" w:eastAsia="宋体" w:cs="宋体"/>
          <w:color w:val="000000" w:themeColor="text1"/>
          <w:sz w:val="24"/>
          <w:szCs w:val="24"/>
          <w:lang w:eastAsia="zh-CN"/>
          <w14:textFill>
            <w14:solidFill>
              <w14:schemeClr w14:val="tx1"/>
            </w14:solidFill>
          </w14:textFill>
        </w:rPr>
        <w:t>资质的</w:t>
      </w:r>
      <w:r>
        <w:rPr>
          <w:rFonts w:hint="eastAsia" w:ascii="宋体" w:hAnsi="宋体" w:eastAsia="宋体" w:cs="宋体"/>
          <w:color w:val="000000" w:themeColor="text1"/>
          <w:sz w:val="24"/>
          <w:szCs w:val="24"/>
          <w14:textFill>
            <w14:solidFill>
              <w14:schemeClr w14:val="tx1"/>
            </w14:solidFill>
          </w14:textFill>
        </w:rPr>
        <w:t>试验检测单位进行检验，试验费用由中标人承担。</w:t>
      </w:r>
    </w:p>
    <w:p w14:paraId="296A1227">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（4）中标人所提供产品的试验费用由中标人承担，相应材料的抽验频率按有关国家标准、行业标准确定。</w:t>
      </w:r>
    </w:p>
    <w:p w14:paraId="5E35CF9B">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履约保证金及付款方式：</w:t>
      </w:r>
    </w:p>
    <w:p w14:paraId="227D3F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val="0"/>
          <w:bCs w:val="0"/>
          <w:color w:val="000000" w:themeColor="text1"/>
          <w:sz w:val="24"/>
          <w:u w:val="none"/>
          <w:lang w:eastAsia="zh-CN"/>
          <w14:textFill>
            <w14:solidFill>
              <w14:schemeClr w14:val="tx1"/>
            </w14:solidFill>
          </w14:textFill>
        </w:rPr>
      </w:pPr>
      <w:r>
        <w:rPr>
          <w:rFonts w:hint="eastAsia" w:ascii="宋体" w:hAnsi="宋体" w:cs="宋体"/>
          <w:b w:val="0"/>
          <w:bCs w:val="0"/>
          <w:color w:val="000000" w:themeColor="text1"/>
          <w:sz w:val="24"/>
          <w:u w:val="none"/>
          <w:lang w:eastAsia="zh-CN"/>
          <w14:textFill>
            <w14:solidFill>
              <w14:schemeClr w14:val="tx1"/>
            </w14:solidFill>
          </w14:textFill>
        </w:rPr>
        <w:t>（</w:t>
      </w:r>
      <w:r>
        <w:rPr>
          <w:rFonts w:hint="eastAsia" w:ascii="宋体" w:hAnsi="宋体" w:cs="宋体"/>
          <w:b w:val="0"/>
          <w:bCs w:val="0"/>
          <w:color w:val="000000" w:themeColor="text1"/>
          <w:sz w:val="24"/>
          <w:u w:val="none"/>
          <w:lang w:val="en-US" w:eastAsia="zh-CN"/>
          <w14:textFill>
            <w14:solidFill>
              <w14:schemeClr w14:val="tx1"/>
            </w14:solidFill>
          </w14:textFill>
        </w:rPr>
        <w:t>1</w:t>
      </w:r>
      <w:r>
        <w:rPr>
          <w:rFonts w:hint="eastAsia" w:ascii="宋体" w:hAnsi="宋体" w:cs="宋体"/>
          <w:b w:val="0"/>
          <w:bCs w:val="0"/>
          <w:color w:val="000000" w:themeColor="text1"/>
          <w:sz w:val="24"/>
          <w:u w:val="none"/>
          <w:lang w:eastAsia="zh-CN"/>
          <w14:textFill>
            <w14:solidFill>
              <w14:schemeClr w14:val="tx1"/>
            </w14:solidFill>
          </w14:textFill>
        </w:rPr>
        <w:t>）</w:t>
      </w:r>
      <w:r>
        <w:rPr>
          <w:rFonts w:hint="eastAsia" w:ascii="宋体" w:hAnsi="宋体" w:eastAsia="宋体" w:cs="宋体"/>
          <w:b w:val="0"/>
          <w:bCs w:val="0"/>
          <w:color w:val="000000" w:themeColor="text1"/>
          <w:sz w:val="24"/>
          <w:u w:val="none"/>
          <w14:textFill>
            <w14:solidFill>
              <w14:schemeClr w14:val="tx1"/>
            </w14:solidFill>
          </w14:textFill>
        </w:rPr>
        <w:t>履约保证金</w:t>
      </w:r>
      <w:r>
        <w:rPr>
          <w:rFonts w:hint="eastAsia" w:ascii="宋体" w:hAnsi="宋体" w:eastAsia="宋体" w:cs="宋体"/>
          <w:b w:val="0"/>
          <w:bCs w:val="0"/>
          <w:color w:val="000000" w:themeColor="text1"/>
          <w:sz w:val="24"/>
          <w:u w:val="none"/>
          <w:lang w:eastAsia="zh-CN"/>
          <w14:textFill>
            <w14:solidFill>
              <w14:schemeClr w14:val="tx1"/>
            </w14:solidFill>
          </w14:textFill>
        </w:rPr>
        <w:t>：</w:t>
      </w:r>
      <w:r>
        <w:rPr>
          <w:rFonts w:hint="eastAsia" w:ascii="宋体" w:hAnsi="宋体" w:eastAsia="宋体" w:cs="宋体"/>
          <w:b w:val="0"/>
          <w:bCs w:val="0"/>
          <w:color w:val="000000" w:themeColor="text1"/>
          <w:sz w:val="24"/>
          <w:u w:val="none"/>
          <w:lang w:val="en-US" w:eastAsia="zh-CN"/>
          <w14:textFill>
            <w14:solidFill>
              <w14:schemeClr w14:val="tx1"/>
            </w14:solidFill>
          </w14:textFill>
        </w:rPr>
        <w:t>项目实施</w:t>
      </w:r>
      <w:r>
        <w:rPr>
          <w:rFonts w:hint="eastAsia" w:ascii="宋体" w:hAnsi="宋体" w:eastAsia="宋体" w:cs="宋体"/>
          <w:b w:val="0"/>
          <w:bCs w:val="0"/>
          <w:color w:val="000000" w:themeColor="text1"/>
          <w:sz w:val="24"/>
          <w:u w:val="none"/>
          <w14:textFill>
            <w14:solidFill>
              <w14:schemeClr w14:val="tx1"/>
            </w14:solidFill>
          </w14:textFill>
        </w:rPr>
        <w:t>前</w:t>
      </w:r>
      <w:r>
        <w:rPr>
          <w:rFonts w:hint="eastAsia" w:ascii="宋体" w:hAnsi="宋体" w:eastAsia="宋体" w:cs="宋体"/>
          <w:b w:val="0"/>
          <w:bCs w:val="0"/>
          <w:color w:val="000000" w:themeColor="text1"/>
          <w:sz w:val="24"/>
          <w:u w:val="none"/>
          <w:lang w:eastAsia="zh-CN"/>
          <w14:textFill>
            <w14:solidFill>
              <w14:schemeClr w14:val="tx1"/>
            </w14:solidFill>
          </w14:textFill>
        </w:rPr>
        <w:t>，</w:t>
      </w:r>
      <w:r>
        <w:rPr>
          <w:rFonts w:hint="eastAsia" w:ascii="宋体" w:hAnsi="宋体" w:eastAsia="宋体" w:cs="宋体"/>
          <w:b w:val="0"/>
          <w:bCs w:val="0"/>
          <w:color w:val="000000" w:themeColor="text1"/>
          <w:sz w:val="24"/>
          <w:u w:val="none"/>
          <w14:textFill>
            <w14:solidFill>
              <w14:schemeClr w14:val="tx1"/>
            </w14:solidFill>
          </w14:textFill>
        </w:rPr>
        <w:t>中标人向采购人缴纳</w:t>
      </w:r>
      <w:r>
        <w:rPr>
          <w:rFonts w:hint="eastAsia" w:ascii="宋体" w:hAnsi="宋体" w:eastAsia="宋体" w:cs="宋体"/>
          <w:b w:val="0"/>
          <w:bCs w:val="0"/>
          <w:color w:val="000000" w:themeColor="text1"/>
          <w:sz w:val="24"/>
          <w:u w:val="none"/>
          <w:lang w:val="en-US" w:eastAsia="zh-CN"/>
          <w14:textFill>
            <w14:solidFill>
              <w14:schemeClr w14:val="tx1"/>
            </w14:solidFill>
          </w14:textFill>
        </w:rPr>
        <w:t>人民币</w:t>
      </w:r>
      <w:r>
        <w:rPr>
          <w:rFonts w:hint="eastAsia" w:ascii="宋体" w:hAnsi="宋体" w:cs="宋体"/>
          <w:b w:val="0"/>
          <w:bCs w:val="0"/>
          <w:color w:val="000000" w:themeColor="text1"/>
          <w:sz w:val="24"/>
          <w:u w:val="none"/>
          <w:lang w:val="en-US" w:eastAsia="zh-CN"/>
          <w14:textFill>
            <w14:solidFill>
              <w14:schemeClr w14:val="tx1"/>
            </w14:solidFill>
          </w14:textFill>
        </w:rPr>
        <w:t>30</w:t>
      </w:r>
      <w:r>
        <w:rPr>
          <w:rFonts w:hint="eastAsia" w:ascii="宋体" w:hAnsi="宋体" w:eastAsia="宋体" w:cs="宋体"/>
          <w:b w:val="0"/>
          <w:bCs w:val="0"/>
          <w:color w:val="000000" w:themeColor="text1"/>
          <w:sz w:val="24"/>
          <w:u w:val="none"/>
          <w:lang w:val="en-US" w:eastAsia="zh-CN"/>
          <w14:textFill>
            <w14:solidFill>
              <w14:schemeClr w14:val="tx1"/>
            </w14:solidFill>
          </w14:textFill>
        </w:rPr>
        <w:t>万元的履约保证金或履约保函，履约保证金可以采用转账、汇款等形式提交</w:t>
      </w:r>
      <w:r>
        <w:rPr>
          <w:rFonts w:hint="eastAsia" w:ascii="宋体" w:hAnsi="宋体" w:cs="宋体"/>
          <w:b w:val="0"/>
          <w:bCs w:val="0"/>
          <w:color w:val="000000" w:themeColor="text1"/>
          <w:sz w:val="24"/>
          <w:u w:val="none"/>
          <w:lang w:val="en-US" w:eastAsia="zh-CN"/>
          <w14:textFill>
            <w14:solidFill>
              <w14:schemeClr w14:val="tx1"/>
            </w14:solidFill>
          </w14:textFill>
        </w:rPr>
        <w:t>。 合同履约完成后，</w:t>
      </w:r>
      <w:r>
        <w:rPr>
          <w:rFonts w:hint="eastAsia" w:ascii="宋体" w:hAnsi="宋体" w:eastAsia="宋体" w:cs="宋体"/>
          <w:b w:val="0"/>
          <w:bCs w:val="0"/>
          <w:color w:val="000000" w:themeColor="text1"/>
          <w:sz w:val="24"/>
          <w:u w:val="none"/>
          <w:lang w:val="en-US" w:eastAsia="zh-CN"/>
          <w14:textFill>
            <w14:solidFill>
              <w14:schemeClr w14:val="tx1"/>
            </w14:solidFill>
          </w14:textFill>
        </w:rPr>
        <w:t>货物经验收无任何质量问题，30日内退还（不计息）。</w:t>
      </w:r>
    </w:p>
    <w:p w14:paraId="0ACDCA7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highlight w:val="none"/>
          <w:u w:val="none"/>
          <w14:textFill>
            <w14:solidFill>
              <w14:schemeClr w14:val="tx1"/>
            </w14:solidFill>
          </w14:textFill>
        </w:rPr>
        <w:t>结算及付款方式</w:t>
      </w:r>
    </w:p>
    <w:p w14:paraId="7EA0B28F">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本项目无预付款，</w:t>
      </w:r>
      <w:r>
        <w:rPr>
          <w:rFonts w:hint="eastAsia" w:ascii="宋体" w:hAnsi="宋体" w:cs="宋体"/>
          <w:color w:val="000000" w:themeColor="text1"/>
          <w:sz w:val="24"/>
          <w:szCs w:val="24"/>
          <w:lang w:val="en-US" w:eastAsia="zh-CN"/>
          <w14:textFill>
            <w14:solidFill>
              <w14:schemeClr w14:val="tx1"/>
            </w14:solidFill>
          </w14:textFill>
        </w:rPr>
        <w:t>每月甲乙双方完成对账，</w:t>
      </w:r>
      <w:r>
        <w:rPr>
          <w:rFonts w:hint="eastAsia" w:ascii="宋体" w:hAnsi="宋体" w:eastAsia="宋体" w:cs="宋体"/>
          <w:color w:val="000000" w:themeColor="text1"/>
          <w:sz w:val="24"/>
          <w:szCs w:val="24"/>
          <w:lang w:val="en-US" w:eastAsia="zh-CN"/>
          <w14:textFill>
            <w14:solidFill>
              <w14:schemeClr w14:val="tx1"/>
            </w14:solidFill>
          </w14:textFill>
        </w:rPr>
        <w:t>材料款</w:t>
      </w:r>
      <w:r>
        <w:rPr>
          <w:rFonts w:hint="eastAsia" w:ascii="宋体" w:hAnsi="宋体" w:eastAsia="宋体" w:cs="宋体"/>
          <w:color w:val="000000" w:themeColor="text1"/>
          <w:sz w:val="24"/>
          <w:szCs w:val="24"/>
          <w:lang w:eastAsia="zh-CN"/>
          <w14:textFill>
            <w14:solidFill>
              <w14:schemeClr w14:val="tx1"/>
            </w14:solidFill>
          </w14:textFill>
        </w:rPr>
        <w:t>每</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个月按实结算</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结算完成后30日内支付材料款。</w:t>
      </w:r>
      <w:r>
        <w:rPr>
          <w:rFonts w:hint="eastAsia" w:ascii="宋体" w:hAnsi="宋体" w:cs="宋体"/>
          <w:color w:val="000000" w:themeColor="text1"/>
          <w:sz w:val="24"/>
          <w:szCs w:val="24"/>
          <w:lang w:val="en-US" w:eastAsia="zh-CN"/>
          <w14:textFill>
            <w14:solidFill>
              <w14:schemeClr w14:val="tx1"/>
            </w14:solidFill>
          </w14:textFill>
        </w:rPr>
        <w:t>中标人</w:t>
      </w:r>
      <w:r>
        <w:rPr>
          <w:rFonts w:hint="eastAsia" w:ascii="宋体" w:hAnsi="宋体" w:eastAsia="宋体" w:cs="宋体"/>
          <w:color w:val="000000" w:themeColor="text1"/>
          <w:sz w:val="24"/>
          <w:szCs w:val="24"/>
          <w:lang w:val="en-US" w:eastAsia="zh-CN"/>
          <w14:textFill>
            <w14:solidFill>
              <w14:schemeClr w14:val="tx1"/>
            </w14:solidFill>
          </w14:textFill>
        </w:rPr>
        <w:t>向</w:t>
      </w:r>
      <w:r>
        <w:rPr>
          <w:rFonts w:hint="eastAsia" w:ascii="宋体" w:hAnsi="宋体" w:cs="宋体"/>
          <w:color w:val="000000" w:themeColor="text1"/>
          <w:sz w:val="24"/>
          <w:szCs w:val="24"/>
          <w:lang w:val="en-US" w:eastAsia="zh-CN"/>
          <w14:textFill>
            <w14:solidFill>
              <w14:schemeClr w14:val="tx1"/>
            </w14:solidFill>
          </w14:textFill>
        </w:rPr>
        <w:t>招标人</w:t>
      </w:r>
      <w:r>
        <w:rPr>
          <w:rFonts w:hint="eastAsia" w:ascii="宋体" w:hAnsi="宋体" w:eastAsia="宋体" w:cs="宋体"/>
          <w:color w:val="000000" w:themeColor="text1"/>
          <w:sz w:val="24"/>
          <w:szCs w:val="24"/>
          <w:lang w:val="en-US" w:eastAsia="zh-CN"/>
          <w14:textFill>
            <w14:solidFill>
              <w14:schemeClr w14:val="tx1"/>
            </w14:solidFill>
          </w14:textFill>
        </w:rPr>
        <w:t>提供税率为13%的增值税专用发票，</w:t>
      </w:r>
      <w:r>
        <w:rPr>
          <w:rFonts w:hint="eastAsia" w:ascii="宋体" w:hAnsi="宋体" w:eastAsia="宋体" w:cs="宋体"/>
          <w:color w:val="000000" w:themeColor="text1"/>
          <w:sz w:val="24"/>
          <w:szCs w:val="24"/>
          <w:highlight w:val="none"/>
          <w:lang w:eastAsia="zh-CN"/>
          <w14:textFill>
            <w14:solidFill>
              <w14:schemeClr w14:val="tx1"/>
            </w14:solidFill>
          </w14:textFill>
        </w:rPr>
        <w:t>（结算时供应商不提供</w:t>
      </w:r>
      <w:r>
        <w:rPr>
          <w:rFonts w:hint="eastAsia" w:ascii="宋体" w:hAnsi="宋体" w:eastAsia="宋体" w:cs="宋体"/>
          <w:color w:val="000000" w:themeColor="text1"/>
          <w:sz w:val="24"/>
          <w:szCs w:val="24"/>
          <w:lang w:val="en-US" w:eastAsia="zh-CN"/>
          <w14:textFill>
            <w14:solidFill>
              <w14:schemeClr w14:val="tx1"/>
            </w14:solidFill>
          </w14:textFill>
        </w:rPr>
        <w:t>税率为13%的增值税专用发票，不予结算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14:paraId="788AD8DB">
      <w:pPr>
        <w:pStyle w:val="26"/>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（六）特别说明：</w:t>
      </w:r>
    </w:p>
    <w:p w14:paraId="1FEF7BE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本次中标供应商具有进入诸暨市建设集团供应商库的资格</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u w:val="none"/>
          <w:lang w:val="en-US" w:eastAsia="zh-CN"/>
          <w14:textFill>
            <w14:solidFill>
              <w14:schemeClr w14:val="tx1"/>
            </w14:solidFill>
          </w14:textFill>
        </w:rPr>
        <w:t>且产生的相关费用由中标单位承担。</w:t>
      </w:r>
    </w:p>
    <w:p w14:paraId="05270F5F">
      <w:pPr>
        <w:pStyle w:val="7"/>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lang w:eastAsia="zh-CN"/>
          <w14:textFill>
            <w14:solidFill>
              <w14:schemeClr w14:val="tx1"/>
            </w14:solidFill>
          </w14:textFill>
        </w:rPr>
        <w:t>最高限价</w:t>
      </w:r>
      <w:r>
        <w:rPr>
          <w:rFonts w:hint="eastAsia" w:ascii="宋体" w:hAnsi="宋体" w:eastAsia="宋体" w:cs="宋体"/>
          <w:b/>
          <w:bCs/>
          <w:color w:val="000000" w:themeColor="text1"/>
          <w:sz w:val="24"/>
          <w:szCs w:val="24"/>
          <w:lang w:val="en-US" w:eastAsia="zh-CN"/>
          <w14:textFill>
            <w14:solidFill>
              <w14:schemeClr w14:val="tx1"/>
            </w14:solidFill>
          </w14:textFill>
        </w:rPr>
        <w:t>及报价要求</w:t>
      </w:r>
      <w:r>
        <w:rPr>
          <w:rFonts w:hint="eastAsia" w:ascii="宋体" w:hAnsi="宋体" w:eastAsia="宋体" w:cs="宋体"/>
          <w:b/>
          <w:bCs/>
          <w:color w:val="000000" w:themeColor="text1"/>
          <w:sz w:val="24"/>
          <w:szCs w:val="24"/>
          <w:lang w:eastAsia="zh-CN"/>
          <w14:textFill>
            <w14:solidFill>
              <w14:schemeClr w14:val="tx1"/>
            </w14:solidFill>
          </w14:textFill>
        </w:rPr>
        <w:t>：</w:t>
      </w:r>
    </w:p>
    <w:p w14:paraId="1AA14B1C">
      <w:pPr>
        <w:pStyle w:val="28"/>
        <w:keepNext w:val="0"/>
        <w:keepLines w:val="0"/>
        <w:pageBreakBefore w:val="0"/>
        <w:kinsoku/>
        <w:wordWrap/>
        <w:overflowPunct/>
        <w:topLinePunct w:val="0"/>
        <w:autoSpaceDE w:val="0"/>
        <w:autoSpaceDN w:val="0"/>
        <w:bidi w:val="0"/>
        <w:adjustRightInd w:val="0"/>
        <w:snapToGrid/>
        <w:spacing w:after="0" w:afterLines="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最高单价限价</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玄武岩石料</w:t>
      </w:r>
      <w:r>
        <w:rPr>
          <w:rFonts w:hint="eastAsia" w:ascii="宋体" w:hAnsi="宋体" w:cs="宋体"/>
          <w:color w:val="000000" w:themeColor="text1"/>
          <w:sz w:val="24"/>
          <w:szCs w:val="24"/>
          <w:lang w:val="en-US" w:eastAsia="zh-CN"/>
          <w14:textFill>
            <w14:solidFill>
              <w14:schemeClr w14:val="tx1"/>
            </w14:solidFill>
          </w14:textFill>
        </w:rPr>
        <w:t>（5~10mm)</w:t>
      </w:r>
      <w:r>
        <w:rPr>
          <w:rFonts w:hint="eastAsia" w:ascii="宋体" w:hAnsi="宋体" w:cs="宋体"/>
          <w:color w:val="000000" w:themeColor="text1"/>
          <w:sz w:val="24"/>
          <w:szCs w:val="24"/>
          <w:highlight w:val="none"/>
          <w:lang w:val="en-US" w:eastAsia="zh-CN"/>
          <w14:textFill>
            <w14:solidFill>
              <w14:schemeClr w14:val="tx1"/>
            </w14:solidFill>
          </w14:textFill>
        </w:rPr>
        <w:t>346</w:t>
      </w:r>
      <w:r>
        <w:rPr>
          <w:rFonts w:hint="eastAsia" w:ascii="宋体" w:hAnsi="宋体" w:eastAsia="宋体" w:cs="宋体"/>
          <w:color w:val="000000" w:themeColor="text1"/>
          <w:sz w:val="24"/>
          <w:szCs w:val="24"/>
          <w:highlight w:val="none"/>
          <w:lang w:val="en-US" w:eastAsia="zh-CN"/>
          <w14:textFill>
            <w14:solidFill>
              <w14:schemeClr w14:val="tx1"/>
            </w14:solidFill>
          </w14:textFill>
        </w:rPr>
        <w:t>元/吨</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玄武岩石料</w:t>
      </w:r>
      <w:r>
        <w:rPr>
          <w:rFonts w:hint="eastAsia" w:ascii="宋体" w:hAnsi="宋体" w:cs="宋体"/>
          <w:color w:val="000000" w:themeColor="text1"/>
          <w:sz w:val="24"/>
          <w:szCs w:val="24"/>
          <w:highlight w:val="none"/>
          <w:lang w:val="en-US" w:eastAsia="zh-CN"/>
          <w14:textFill>
            <w14:solidFill>
              <w14:schemeClr w14:val="tx1"/>
            </w14:solidFill>
          </w14:textFill>
        </w:rPr>
        <w:t>（10~16mm)350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元/吨</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石灰岩矿粉</w:t>
      </w:r>
      <w:r>
        <w:rPr>
          <w:rFonts w:hint="eastAsia" w:ascii="宋体" w:hAnsi="宋体" w:cs="宋体"/>
          <w:color w:val="000000" w:themeColor="text1"/>
          <w:sz w:val="24"/>
          <w:szCs w:val="24"/>
          <w:highlight w:val="none"/>
          <w:lang w:val="en-US" w:eastAsia="zh-CN"/>
          <w14:textFill>
            <w14:solidFill>
              <w14:schemeClr w14:val="tx1"/>
            </w14:solidFill>
          </w14:textFill>
        </w:rPr>
        <w:t>275</w:t>
      </w:r>
      <w:r>
        <w:rPr>
          <w:rFonts w:hint="eastAsia" w:ascii="宋体" w:hAnsi="宋体" w:eastAsia="宋体" w:cs="宋体"/>
          <w:color w:val="000000" w:themeColor="text1"/>
          <w:sz w:val="24"/>
          <w:szCs w:val="24"/>
          <w:highlight w:val="none"/>
          <w:lang w:val="en-US" w:eastAsia="zh-CN"/>
          <w14:textFill>
            <w14:solidFill>
              <w14:schemeClr w14:val="tx1"/>
            </w14:solidFill>
          </w14:textFill>
        </w:rPr>
        <w:t>元/吨</w:t>
      </w:r>
      <w:r>
        <w:rPr>
          <w:rFonts w:hint="eastAsia" w:ascii="宋体" w:hAnsi="宋体" w:eastAsia="宋体" w:cs="宋体"/>
          <w:color w:val="000000" w:themeColor="text1"/>
          <w:sz w:val="24"/>
          <w:szCs w:val="24"/>
          <w:lang w:val="en-US" w:eastAsia="zh-CN"/>
          <w14:textFill>
            <w14:solidFill>
              <w14:schemeClr w14:val="tx1"/>
            </w14:solidFill>
          </w14:textFill>
        </w:rPr>
        <w:t>；本项目按单价统一折扣率报价，最高报价折扣率100%，任何超过最高报价折扣率的报价按无效报价处理，投标报价包含供货所需的材料价款、到指定施工现场的运输及装卸费用、材料、质检（自检）、管理、保险、税费、人工费等一切为完成本项目的相关费用</w:t>
      </w:r>
      <w:r>
        <w:rPr>
          <w:rFonts w:hint="eastAsia" w:ascii="宋体" w:hAnsi="宋体" w:cs="宋体"/>
          <w:color w:val="000000" w:themeColor="text1"/>
          <w:sz w:val="24"/>
          <w:szCs w:val="24"/>
          <w:lang w:val="en-US" w:eastAsia="zh-CN"/>
          <w14:textFill>
            <w14:solidFill>
              <w14:schemeClr w14:val="tx1"/>
            </w14:solidFill>
          </w14:textFill>
        </w:rPr>
        <w:t>。</w:t>
      </w:r>
    </w:p>
    <w:p w14:paraId="5F36CB6C">
      <w:pPr>
        <w:spacing w:line="360" w:lineRule="auto"/>
        <w:ind w:firstLine="482"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备注：标注“★”项为实质性响应项，</w:t>
      </w:r>
      <w:r>
        <w:rPr>
          <w:rFonts w:hint="eastAsia" w:ascii="宋体" w:hAnsi="宋体" w:eastAsia="宋体" w:cs="宋体"/>
          <w:b/>
          <w:bCs/>
          <w:color w:val="000000" w:themeColor="text1"/>
          <w:sz w:val="24"/>
          <w:szCs w:val="24"/>
          <w:lang w:eastAsia="zh-CN"/>
          <w14:textFill>
            <w14:solidFill>
              <w14:schemeClr w14:val="tx1"/>
            </w14:solidFill>
          </w14:textFill>
        </w:rPr>
        <w:t>承诺书格式自拟，</w:t>
      </w:r>
      <w:r>
        <w:rPr>
          <w:rFonts w:hint="eastAsia" w:ascii="宋体" w:hAnsi="宋体" w:eastAsia="宋体" w:cs="宋体"/>
          <w:b/>
          <w:bCs/>
          <w:color w:val="000000" w:themeColor="text1"/>
          <w:sz w:val="24"/>
          <w:szCs w:val="24"/>
          <w14:textFill>
            <w14:solidFill>
              <w14:schemeClr w14:val="tx1"/>
            </w14:solidFill>
          </w14:textFill>
        </w:rPr>
        <w:t>不满足则投标无效。</w:t>
      </w:r>
    </w:p>
    <w:p w14:paraId="64BA0166">
      <w:pPr>
        <w:pStyle w:val="30"/>
        <w:rPr>
          <w:rFonts w:hint="eastAsia" w:ascii="宋体" w:hAnsi="宋体" w:eastAsia="宋体" w:cs="宋体"/>
          <w:b/>
          <w:bCs/>
          <w:color w:val="000000" w:themeColor="text1"/>
          <w:sz w:val="24"/>
          <w14:textFill>
            <w14:solidFill>
              <w14:schemeClr w14:val="tx1"/>
            </w14:solidFill>
          </w14:textFill>
        </w:rPr>
      </w:pPr>
    </w:p>
    <w:p w14:paraId="7ABD8DCC">
      <w:pPr>
        <w:rPr>
          <w:rFonts w:hint="eastAsia" w:ascii="黑体" w:hAnsi="黑体" w:eastAsia="仿宋_GB2312" w:cs="黑体"/>
          <w:color w:val="000000" w:themeColor="text1"/>
          <w:sz w:val="44"/>
          <w:szCs w:val="44"/>
          <w14:textFill>
            <w14:solidFill>
              <w14:schemeClr w14:val="tx1"/>
            </w14:solidFill>
          </w14:textFill>
        </w:rPr>
      </w:pPr>
      <w:r>
        <w:rPr>
          <w:rFonts w:hint="eastAsia" w:ascii="黑体" w:hAnsi="黑体" w:eastAsia="仿宋_GB2312" w:cs="黑体"/>
          <w:color w:val="000000" w:themeColor="text1"/>
          <w:sz w:val="44"/>
          <w:szCs w:val="44"/>
          <w14:textFill>
            <w14:solidFill>
              <w14:schemeClr w14:val="tx1"/>
            </w14:solidFill>
          </w14:textFill>
        </w:rPr>
        <w:br w:type="page"/>
      </w:r>
    </w:p>
    <w:p w14:paraId="4D429E82">
      <w:pPr>
        <w:numPr>
          <w:ilvl w:val="0"/>
          <w:numId w:val="2"/>
        </w:numPr>
        <w:ind w:left="0" w:leftChars="0" w:firstLine="0" w:firstLineChars="0"/>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 xml:space="preserve"> 采购合同</w:t>
      </w:r>
    </w:p>
    <w:p w14:paraId="75A36465">
      <w:pPr>
        <w:keepNext w:val="0"/>
        <w:keepLines w:val="0"/>
        <w:pageBreakBefore w:val="0"/>
        <w:widowControl w:val="0"/>
        <w:kinsoku/>
        <w:wordWrap/>
        <w:overflowPunct/>
        <w:topLinePunct w:val="0"/>
        <w:autoSpaceDE w:val="0"/>
        <w:autoSpaceDN w:val="0"/>
        <w:bidi w:val="0"/>
        <w:adjustRightInd w:val="0"/>
        <w:spacing w:line="480" w:lineRule="exact"/>
        <w:ind w:firstLine="6720" w:firstLineChars="3200"/>
        <w:jc w:val="left"/>
        <w:textAlignment w:val="auto"/>
        <w:rPr>
          <w:rFonts w:hint="eastAsia" w:ascii="宋体" w:hAnsi="宋体" w:eastAsia="仿宋_GB2312" w:cs="宋体"/>
          <w:color w:val="000000" w:themeColor="text1"/>
          <w14:textFill>
            <w14:solidFill>
              <w14:schemeClr w14:val="tx1"/>
            </w14:solidFill>
          </w14:textFill>
        </w:rPr>
      </w:pPr>
      <w:r>
        <w:rPr>
          <w:rFonts w:hint="eastAsia" w:ascii="宋体" w:hAnsi="宋体" w:eastAsia="仿宋_GB2312" w:cs="宋体"/>
          <w:color w:val="000000" w:themeColor="text1"/>
          <w14:textFill>
            <w14:solidFill>
              <w14:schemeClr w14:val="tx1"/>
            </w14:solidFill>
          </w14:textFill>
        </w:rPr>
        <w:t>合同编号：</w:t>
      </w:r>
    </w:p>
    <w:p w14:paraId="61F863C2">
      <w:pPr>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0" w:firstLineChars="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甲方（采购单位）：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签订日期：         年    月    日</w:t>
      </w:r>
    </w:p>
    <w:p w14:paraId="6EE591F3">
      <w:pPr>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0" w:firstLineChars="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乙方（供货单位）：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签订地点：                        </w:t>
      </w:r>
    </w:p>
    <w:p w14:paraId="0C5FB0FD">
      <w:pPr>
        <w:shd w:val="clear" w:color="auto" w:fill="auto"/>
        <w:ind w:firstLine="420" w:firstLineChars="200"/>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14:textFill>
            <w14:solidFill>
              <w14:schemeClr w14:val="tx1"/>
            </w14:solidFill>
          </w14:textFill>
        </w:rPr>
        <w:t>根</w:t>
      </w:r>
      <w:r>
        <w:rPr>
          <w:rFonts w:hint="eastAsia"/>
          <w:color w:val="000000" w:themeColor="text1"/>
          <w:highlight w:val="none"/>
          <w14:textFill>
            <w14:solidFill>
              <w14:schemeClr w14:val="tx1"/>
            </w14:solidFill>
          </w14:textFill>
        </w:rPr>
        <w:t>根据</w:t>
      </w:r>
      <w:r>
        <w:rPr>
          <w:rFonts w:hint="eastAsia"/>
          <w:color w:val="000000" w:themeColor="text1"/>
          <w:highlight w:val="none"/>
          <w:lang w:eastAsia="zh-CN"/>
          <w14:textFill>
            <w14:solidFill>
              <w14:schemeClr w14:val="tx1"/>
            </w14:solidFill>
          </w14:textFill>
        </w:rPr>
        <w:t>《中华人民共和国民法典》</w:t>
      </w:r>
      <w:r>
        <w:rPr>
          <w:rFonts w:hint="eastAsia"/>
          <w:color w:val="000000" w:themeColor="text1"/>
          <w:highlight w:val="none"/>
          <w14:textFill>
            <w14:solidFill>
              <w14:schemeClr w14:val="tx1"/>
            </w14:solidFill>
          </w14:textFill>
        </w:rPr>
        <w:t>等有关规定，以及</w:t>
      </w:r>
      <w:r>
        <w:rPr>
          <w:rFonts w:hint="eastAsia"/>
          <w:color w:val="000000" w:themeColor="text1"/>
          <w:highlight w:val="none"/>
          <w:lang w:eastAsia="zh-CN"/>
          <w14:textFill>
            <w14:solidFill>
              <w14:schemeClr w14:val="tx1"/>
            </w14:solidFill>
          </w14:textFill>
        </w:rPr>
        <w:t>诸暨市杰虎工程咨询有限公司</w:t>
      </w:r>
      <w:r>
        <w:rPr>
          <w:rFonts w:hint="eastAsia"/>
          <w:color w:val="000000" w:themeColor="text1"/>
          <w:highlight w:val="none"/>
          <w14:textFill>
            <w14:solidFill>
              <w14:schemeClr w14:val="tx1"/>
            </w14:solidFill>
          </w14:textFill>
        </w:rPr>
        <w:t>（编号：</w:t>
      </w:r>
      <w:r>
        <w:rPr>
          <w:rFonts w:hint="eastAsia"/>
          <w:color w:val="000000" w:themeColor="text1"/>
          <w:highlight w:val="none"/>
          <w:lang w:val="en-US" w:eastAsia="zh-CN"/>
          <w14:textFill>
            <w14:solidFill>
              <w14:schemeClr w14:val="tx1"/>
            </w14:solidFill>
          </w14:textFill>
        </w:rPr>
        <w:t>诸杰虎</w:t>
      </w:r>
      <w:r>
        <w:rPr>
          <w:rFonts w:hint="eastAsia"/>
          <w:color w:val="000000" w:themeColor="text1"/>
          <w:highlight w:val="none"/>
          <w14:textFill>
            <w14:solidFill>
              <w14:schemeClr w14:val="tx1"/>
            </w14:solidFill>
          </w14:textFill>
        </w:rPr>
        <w:t>20</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号）招标文</w:t>
      </w:r>
      <w:r>
        <w:rPr>
          <w:rFonts w:hint="eastAsia"/>
          <w:color w:val="000000" w:themeColor="text1"/>
          <w:sz w:val="21"/>
          <w:szCs w:val="21"/>
          <w:highlight w:val="none"/>
          <w14:textFill>
            <w14:solidFill>
              <w14:schemeClr w14:val="tx1"/>
            </w14:solidFill>
          </w14:textFill>
        </w:rPr>
        <w:t>件相关要求，经法定程序采购，双方同意签订以下合同条款，以便双方共同遵守、履行合同。</w:t>
      </w:r>
    </w:p>
    <w:p w14:paraId="2607D087">
      <w:pPr>
        <w:rPr>
          <w:rFonts w:hint="eastAsia" w:eastAsia="宋体"/>
          <w:b/>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 一、采购项目</w:t>
      </w:r>
      <w:r>
        <w:rPr>
          <w:rFonts w:hint="eastAsia"/>
          <w:b/>
          <w:color w:val="000000" w:themeColor="text1"/>
          <w:sz w:val="21"/>
          <w:szCs w:val="21"/>
          <w:lang w:eastAsia="zh-CN"/>
          <w14:textFill>
            <w14:solidFill>
              <w14:schemeClr w14:val="tx1"/>
            </w14:solidFill>
          </w14:textFill>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728"/>
        <w:gridCol w:w="1729"/>
        <w:gridCol w:w="2280"/>
        <w:gridCol w:w="1611"/>
      </w:tblGrid>
      <w:tr w14:paraId="0EBD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0"/>
            <w:vAlign w:val="center"/>
          </w:tcPr>
          <w:p w14:paraId="157E0E2B">
            <w:pPr>
              <w:pStyle w:val="11"/>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材料名称</w:t>
            </w:r>
          </w:p>
        </w:tc>
        <w:tc>
          <w:tcPr>
            <w:tcW w:w="1728" w:type="dxa"/>
            <w:noWrap w:val="0"/>
            <w:vAlign w:val="center"/>
          </w:tcPr>
          <w:p w14:paraId="7ABD6035">
            <w:pPr>
              <w:pStyle w:val="11"/>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规格</w:t>
            </w:r>
          </w:p>
        </w:tc>
        <w:tc>
          <w:tcPr>
            <w:tcW w:w="1729" w:type="dxa"/>
            <w:noWrap w:val="0"/>
            <w:vAlign w:val="center"/>
          </w:tcPr>
          <w:p w14:paraId="4298D2D3">
            <w:pPr>
              <w:pStyle w:val="11"/>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最高单价限价</w:t>
            </w:r>
          </w:p>
        </w:tc>
        <w:tc>
          <w:tcPr>
            <w:tcW w:w="2280" w:type="dxa"/>
            <w:noWrap w:val="0"/>
            <w:vAlign w:val="center"/>
          </w:tcPr>
          <w:p w14:paraId="10CBD26B">
            <w:pPr>
              <w:pStyle w:val="11"/>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中标折扣率</w:t>
            </w:r>
          </w:p>
        </w:tc>
        <w:tc>
          <w:tcPr>
            <w:tcW w:w="1611" w:type="dxa"/>
            <w:noWrap w:val="0"/>
            <w:vAlign w:val="center"/>
          </w:tcPr>
          <w:p w14:paraId="2117C9DE">
            <w:pPr>
              <w:pStyle w:val="11"/>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备注</w:t>
            </w:r>
          </w:p>
        </w:tc>
      </w:tr>
      <w:tr w14:paraId="06CF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75" w:type="dxa"/>
            <w:vMerge w:val="restart"/>
            <w:noWrap w:val="0"/>
            <w:vAlign w:val="center"/>
          </w:tcPr>
          <w:p w14:paraId="5EC4DD7F">
            <w:pPr>
              <w:pStyle w:val="11"/>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玄武岩石料</w:t>
            </w:r>
          </w:p>
        </w:tc>
        <w:tc>
          <w:tcPr>
            <w:tcW w:w="1728" w:type="dxa"/>
            <w:noWrap w:val="0"/>
            <w:vAlign w:val="center"/>
          </w:tcPr>
          <w:p w14:paraId="7E79C758">
            <w:pPr>
              <w:pStyle w:val="11"/>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5~10mm</w:t>
            </w:r>
          </w:p>
        </w:tc>
        <w:tc>
          <w:tcPr>
            <w:tcW w:w="1729" w:type="dxa"/>
            <w:noWrap w:val="0"/>
            <w:vAlign w:val="center"/>
          </w:tcPr>
          <w:p w14:paraId="62FC85B6">
            <w:pPr>
              <w:pStyle w:val="11"/>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元/吨</w:t>
            </w:r>
          </w:p>
        </w:tc>
        <w:tc>
          <w:tcPr>
            <w:tcW w:w="2280" w:type="dxa"/>
            <w:vMerge w:val="restart"/>
            <w:noWrap w:val="0"/>
            <w:vAlign w:val="center"/>
          </w:tcPr>
          <w:p w14:paraId="73C40F41">
            <w:pPr>
              <w:pStyle w:val="11"/>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611" w:type="dxa"/>
            <w:vMerge w:val="restart"/>
            <w:noWrap w:val="0"/>
            <w:vAlign w:val="center"/>
          </w:tcPr>
          <w:p w14:paraId="1C90AEDA">
            <w:pPr>
              <w:pStyle w:val="11"/>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5A4C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75" w:type="dxa"/>
            <w:vMerge w:val="continue"/>
            <w:noWrap w:val="0"/>
            <w:vAlign w:val="center"/>
          </w:tcPr>
          <w:p w14:paraId="4D498F79">
            <w:pPr>
              <w:pStyle w:val="11"/>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728" w:type="dxa"/>
            <w:noWrap w:val="0"/>
            <w:vAlign w:val="center"/>
          </w:tcPr>
          <w:p w14:paraId="4AF607F6">
            <w:pPr>
              <w:pStyle w:val="11"/>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10~16mm</w:t>
            </w:r>
          </w:p>
        </w:tc>
        <w:tc>
          <w:tcPr>
            <w:tcW w:w="1729" w:type="dxa"/>
            <w:noWrap w:val="0"/>
            <w:vAlign w:val="center"/>
          </w:tcPr>
          <w:p w14:paraId="7304B970">
            <w:pPr>
              <w:pStyle w:val="11"/>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350</w:t>
            </w:r>
            <w:r>
              <w:rPr>
                <w:rFonts w:hint="eastAsia" w:ascii="宋体" w:hAnsi="宋体" w:eastAsia="宋体" w:cs="宋体"/>
                <w:color w:val="000000" w:themeColor="text1"/>
                <w:sz w:val="21"/>
                <w:szCs w:val="21"/>
                <w:highlight w:val="none"/>
                <w:lang w:val="en-US" w:eastAsia="zh-CN"/>
                <w14:textFill>
                  <w14:solidFill>
                    <w14:schemeClr w14:val="tx1"/>
                  </w14:solidFill>
                </w14:textFill>
              </w:rPr>
              <w:t>元/吨</w:t>
            </w:r>
          </w:p>
        </w:tc>
        <w:tc>
          <w:tcPr>
            <w:tcW w:w="2280" w:type="dxa"/>
            <w:vMerge w:val="continue"/>
            <w:noWrap w:val="0"/>
            <w:vAlign w:val="center"/>
          </w:tcPr>
          <w:p w14:paraId="1DE00182">
            <w:pPr>
              <w:pStyle w:val="11"/>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611" w:type="dxa"/>
            <w:vMerge w:val="continue"/>
            <w:noWrap w:val="0"/>
            <w:vAlign w:val="center"/>
          </w:tcPr>
          <w:p w14:paraId="11A650C0">
            <w:pPr>
              <w:pStyle w:val="11"/>
              <w:spacing w:line="360" w:lineRule="auto"/>
              <w:jc w:val="center"/>
              <w:rPr>
                <w:rFonts w:hint="eastAsia" w:ascii="宋体" w:hAnsi="宋体" w:eastAsia="宋体" w:cs="宋体"/>
                <w:color w:val="000000" w:themeColor="text1"/>
                <w:sz w:val="21"/>
                <w:szCs w:val="21"/>
                <w:lang w:val="en-US" w:eastAsia="zh-CN"/>
                <w:rPrChange w:id="3" w:author="1395191119" w:date="2023-06-14T07:58:00Z">
                  <w:rPr>
                    <w:rFonts w:hint="eastAsia" w:ascii="仿宋" w:hAnsi="仿宋" w:eastAsia="仿宋" w:cs="仿宋"/>
                    <w:color w:val="FF0000"/>
                    <w:sz w:val="24"/>
                    <w:szCs w:val="24"/>
                    <w:lang w:val="en-US" w:eastAsia="zh-CN"/>
                  </w:rPr>
                </w:rPrChange>
                <w14:textFill>
                  <w14:solidFill>
                    <w14:schemeClr w14:val="tx1"/>
                  </w14:solidFill>
                </w14:textFill>
              </w:rPr>
            </w:pPr>
          </w:p>
        </w:tc>
      </w:tr>
      <w:tr w14:paraId="2B5D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5" w:type="dxa"/>
            <w:noWrap w:val="0"/>
            <w:vAlign w:val="center"/>
          </w:tcPr>
          <w:p w14:paraId="1D6AFFBD">
            <w:pPr>
              <w:pStyle w:val="11"/>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石灰岩矿粉</w:t>
            </w:r>
          </w:p>
        </w:tc>
        <w:tc>
          <w:tcPr>
            <w:tcW w:w="1728" w:type="dxa"/>
            <w:noWrap w:val="0"/>
            <w:vAlign w:val="center"/>
          </w:tcPr>
          <w:p w14:paraId="539784FE">
            <w:pPr>
              <w:pStyle w:val="11"/>
              <w:spacing w:line="360" w:lineRule="auto"/>
              <w:jc w:val="center"/>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w:t>
            </w:r>
          </w:p>
        </w:tc>
        <w:tc>
          <w:tcPr>
            <w:tcW w:w="1729" w:type="dxa"/>
            <w:noWrap w:val="0"/>
            <w:vAlign w:val="center"/>
          </w:tcPr>
          <w:p w14:paraId="46DC5022">
            <w:pPr>
              <w:pStyle w:val="11"/>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275</w:t>
            </w:r>
            <w:r>
              <w:rPr>
                <w:rFonts w:hint="eastAsia" w:ascii="宋体" w:hAnsi="宋体" w:eastAsia="宋体" w:cs="宋体"/>
                <w:color w:val="000000" w:themeColor="text1"/>
                <w:sz w:val="21"/>
                <w:szCs w:val="21"/>
                <w:highlight w:val="none"/>
                <w:lang w:val="en-US" w:eastAsia="zh-CN"/>
                <w14:textFill>
                  <w14:solidFill>
                    <w14:schemeClr w14:val="tx1"/>
                  </w14:solidFill>
                </w14:textFill>
              </w:rPr>
              <w:t>元/吨</w:t>
            </w:r>
          </w:p>
        </w:tc>
        <w:tc>
          <w:tcPr>
            <w:tcW w:w="2280" w:type="dxa"/>
            <w:vMerge w:val="continue"/>
            <w:noWrap w:val="0"/>
            <w:vAlign w:val="center"/>
          </w:tcPr>
          <w:p w14:paraId="3D4BD56A">
            <w:pPr>
              <w:pStyle w:val="11"/>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611" w:type="dxa"/>
            <w:vMerge w:val="continue"/>
            <w:noWrap w:val="0"/>
            <w:vAlign w:val="center"/>
          </w:tcPr>
          <w:p w14:paraId="7949AC10">
            <w:pPr>
              <w:pStyle w:val="11"/>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6B37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23" w:type="dxa"/>
            <w:gridSpan w:val="5"/>
            <w:noWrap w:val="0"/>
            <w:vAlign w:val="center"/>
          </w:tcPr>
          <w:p w14:paraId="6922EE35">
            <w:pPr>
              <w:pStyle w:val="11"/>
              <w:spacing w:line="36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r>
              <w:rPr>
                <w:rFonts w:hint="eastAsia" w:ascii="宋体" w:hAnsi="宋体" w:eastAsia="宋体" w:cs="宋体"/>
                <w:color w:val="000000" w:themeColor="text1"/>
                <w:sz w:val="21"/>
                <w:szCs w:val="21"/>
                <w:lang w:eastAsia="zh-CN"/>
                <w14:textFill>
                  <w14:solidFill>
                    <w14:schemeClr w14:val="tx1"/>
                  </w14:solidFill>
                </w14:textFill>
              </w:rPr>
              <w:t>：</w:t>
            </w:r>
          </w:p>
          <w:p w14:paraId="68BA93F4">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1、本项目按单价</w:t>
            </w:r>
            <w:r>
              <w:rPr>
                <w:rFonts w:hint="eastAsia" w:ascii="宋体" w:hAnsi="宋体" w:eastAsia="宋体" w:cs="宋体"/>
                <w:color w:val="000000" w:themeColor="text1"/>
                <w:sz w:val="21"/>
                <w:szCs w:val="21"/>
                <w:lang w:val="en-US" w:eastAsia="zh-CN"/>
                <w14:textFill>
                  <w14:solidFill>
                    <w14:schemeClr w14:val="tx1"/>
                  </w14:solidFill>
                </w14:textFill>
              </w:rPr>
              <w:t>折扣率</w:t>
            </w:r>
            <w:r>
              <w:rPr>
                <w:rFonts w:hint="eastAsia" w:ascii="宋体" w:hAnsi="宋体" w:eastAsia="宋体" w:cs="宋体"/>
                <w:color w:val="000000" w:themeColor="text1"/>
                <w:sz w:val="21"/>
                <w:szCs w:val="21"/>
                <w14:textFill>
                  <w14:solidFill>
                    <w14:schemeClr w14:val="tx1"/>
                  </w14:solidFill>
                </w14:textFill>
              </w:rPr>
              <w:t>招标，数量按实结算。</w:t>
            </w:r>
          </w:p>
          <w:p w14:paraId="6B72FF0D">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2、服务期限自合同签订之日起</w:t>
            </w:r>
            <w:r>
              <w:rPr>
                <w:rFonts w:hint="eastAsia" w:ascii="宋体" w:hAnsi="宋体" w:eastAsia="宋体" w:cs="宋体"/>
                <w:color w:val="000000" w:themeColor="text1"/>
                <w:sz w:val="21"/>
                <w:szCs w:val="21"/>
                <w:lang w:val="en-US" w:eastAsia="zh-CN"/>
                <w14:textFill>
                  <w14:solidFill>
                    <w14:schemeClr w14:val="tx1"/>
                  </w14:solidFill>
                </w14:textFill>
              </w:rPr>
              <w:t>一年或采购预算金额满为止，以先到时间为准， 诸暨市交投公路工程有限公司有权优先使用诸暨市建设集团有限公司自有矿山产品，且不受本合同约束</w:t>
            </w:r>
            <w:r>
              <w:rPr>
                <w:rFonts w:hint="eastAsia" w:ascii="宋体" w:hAnsi="宋体" w:eastAsia="宋体" w:cs="宋体"/>
                <w:color w:val="000000" w:themeColor="text1"/>
                <w:sz w:val="21"/>
                <w:szCs w:val="21"/>
                <w14:textFill>
                  <w14:solidFill>
                    <w14:schemeClr w14:val="tx1"/>
                  </w14:solidFill>
                </w14:textFill>
              </w:rPr>
              <w:t>。</w:t>
            </w:r>
          </w:p>
          <w:p w14:paraId="0792D5CF">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3、本次采购数量为暂估数量，供应商需在编制投标报价时应充分考虑由于实际采购量未达到该数量而带来的风险。</w:t>
            </w:r>
          </w:p>
          <w:p w14:paraId="16EA8087">
            <w:pPr>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4、投标报价包含供货所需的材料价款、到指定施工现场的运输及装卸费用、材料、质检（自检）、管理、保险、税费、人工费等一切为完成本项目的相关费用。</w:t>
            </w:r>
          </w:p>
        </w:tc>
      </w:tr>
    </w:tbl>
    <w:p w14:paraId="78447A35">
      <w:pPr>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二、产品（或服务）质量要求</w:t>
      </w:r>
      <w:r>
        <w:rPr>
          <w:rFonts w:hint="eastAsia"/>
          <w:b/>
          <w:color w:val="000000" w:themeColor="text1"/>
          <w:sz w:val="21"/>
          <w:szCs w:val="21"/>
          <w:lang w:eastAsia="zh-CN"/>
          <w14:textFill>
            <w14:solidFill>
              <w14:schemeClr w14:val="tx1"/>
            </w14:solidFill>
          </w14:textFill>
        </w:rPr>
        <w:t>：</w:t>
      </w:r>
    </w:p>
    <w:p w14:paraId="3EAA46C0">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石料必须符合JTG 3432-2024《公路工程集料试验规程》的规定并满足招标人施工要求；</w:t>
      </w:r>
    </w:p>
    <w:p w14:paraId="7D58D84E">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石料分为粗集料、矿粉</w:t>
      </w:r>
      <w:r>
        <w:rPr>
          <w:rFonts w:hint="eastAsia" w:ascii="宋体" w:hAnsi="宋体" w:eastAsia="宋体" w:cs="宋体"/>
          <w:color w:val="000000" w:themeColor="text1"/>
          <w:kern w:val="2"/>
          <w:sz w:val="21"/>
          <w:szCs w:val="21"/>
          <w:lang w:val="en-US" w:eastAsia="zh-CN" w:bidi="ar-SA"/>
          <w14:textFill>
            <w14:solidFill>
              <w14:schemeClr w14:val="tx1"/>
            </w14:solidFill>
          </w14:textFill>
        </w:rPr>
        <w:t>。具体数量根据实际需要采购。</w:t>
      </w:r>
    </w:p>
    <w:p w14:paraId="5F35ABEE">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原材料质量技术要求、规格应符合现行沥青路面相关规范要求；</w:t>
      </w:r>
    </w:p>
    <w:p w14:paraId="0E51DA8F">
      <w:pPr>
        <w:keepNext w:val="0"/>
        <w:keepLines w:val="0"/>
        <w:pageBreakBefore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原材料在进料前应在有资质的试验室至少做一次试验，确保合格后，方可使用。并在供货时向业主提交相关检验报告单。</w:t>
      </w:r>
    </w:p>
    <w:p w14:paraId="5DC7E0B7">
      <w:pPr>
        <w:pStyle w:val="30"/>
        <w:numPr>
          <w:ilvl w:val="0"/>
          <w:numId w:val="0"/>
        </w:numPr>
        <w:ind w:firstLine="482" w:firstLineChars="200"/>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bidi="ar-SA"/>
          <w14:textFill>
            <w14:solidFill>
              <w14:schemeClr w14:val="tx1"/>
            </w14:solidFill>
          </w14:textFill>
        </w:rPr>
        <w:t>1、</w:t>
      </w:r>
      <w:r>
        <w:rPr>
          <w:rFonts w:hint="eastAsia" w:ascii="宋体" w:hAnsi="宋体" w:eastAsia="宋体" w:cs="宋体"/>
          <w:b/>
          <w:bCs w:val="0"/>
          <w:color w:val="000000" w:themeColor="text1"/>
          <w:sz w:val="24"/>
          <w:szCs w:val="24"/>
          <w:lang w:val="en-US" w:eastAsia="zh-CN"/>
          <w14:textFill>
            <w14:solidFill>
              <w14:schemeClr w14:val="tx1"/>
            </w14:solidFill>
          </w14:textFill>
        </w:rPr>
        <w:t>粗集料质量要求：</w:t>
      </w:r>
    </w:p>
    <w:p w14:paraId="286460B4">
      <w:pPr>
        <w:pStyle w:val="30"/>
        <w:numPr>
          <w:ilvl w:val="0"/>
          <w:numId w:val="0"/>
        </w:numPr>
        <w:ind w:firstLine="480" w:firstLineChars="200"/>
        <w:rPr>
          <w:rFonts w:hint="eastAsia" w:ascii="宋体" w:hAnsi="宋体" w:eastAsia="宋体" w:cs="宋体"/>
          <w:bCs/>
          <w:strike/>
          <w:dstrike w:val="0"/>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应该洁净、干燥、表面粗糙，质量应符合下表规定。</w:t>
      </w:r>
    </w:p>
    <w:tbl>
      <w:tblPr>
        <w:tblStyle w:val="19"/>
        <w:tblW w:w="0" w:type="auto"/>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2"/>
        <w:gridCol w:w="1558"/>
        <w:gridCol w:w="1558"/>
      </w:tblGrid>
      <w:tr w14:paraId="1BA5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0DC86CE9">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项目</w:t>
            </w:r>
          </w:p>
        </w:tc>
        <w:tc>
          <w:tcPr>
            <w:tcW w:w="1558" w:type="dxa"/>
            <w:noWrap w:val="0"/>
            <w:vAlign w:val="center"/>
          </w:tcPr>
          <w:p w14:paraId="2C6CD9C9">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单位</w:t>
            </w:r>
          </w:p>
        </w:tc>
        <w:tc>
          <w:tcPr>
            <w:tcW w:w="1558" w:type="dxa"/>
            <w:noWrap w:val="0"/>
            <w:vAlign w:val="center"/>
          </w:tcPr>
          <w:p w14:paraId="3ABE59F4">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技术指标</w:t>
            </w:r>
          </w:p>
        </w:tc>
      </w:tr>
      <w:tr w14:paraId="2F63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3F7BE9D0">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石料压碎值，不大于</w:t>
            </w:r>
          </w:p>
        </w:tc>
        <w:tc>
          <w:tcPr>
            <w:tcW w:w="1558" w:type="dxa"/>
            <w:noWrap w:val="0"/>
            <w:vAlign w:val="center"/>
          </w:tcPr>
          <w:p w14:paraId="535BAF2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448386A6">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2</w:t>
            </w:r>
            <w:r>
              <w:rPr>
                <w:rFonts w:hint="eastAsia" w:ascii="宋体" w:hAnsi="宋体" w:cs="宋体"/>
                <w:bCs/>
                <w:color w:val="000000" w:themeColor="text1"/>
                <w:sz w:val="24"/>
                <w:szCs w:val="24"/>
                <w:vertAlign w:val="baseline"/>
                <w:lang w:val="en-US" w:eastAsia="zh-CN"/>
                <w14:textFill>
                  <w14:solidFill>
                    <w14:schemeClr w14:val="tx1"/>
                  </w14:solidFill>
                </w14:textFill>
              </w:rPr>
              <w:t>0</w:t>
            </w:r>
          </w:p>
        </w:tc>
      </w:tr>
      <w:tr w14:paraId="5654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23F905B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洛杉矶磨耗损失，不大于</w:t>
            </w:r>
          </w:p>
        </w:tc>
        <w:tc>
          <w:tcPr>
            <w:tcW w:w="1558" w:type="dxa"/>
            <w:noWrap w:val="0"/>
            <w:vAlign w:val="center"/>
          </w:tcPr>
          <w:p w14:paraId="4DA5FA72">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0F6E3412">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28</w:t>
            </w:r>
          </w:p>
        </w:tc>
      </w:tr>
      <w:tr w14:paraId="5E2E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4B52C5D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表观相对密度，不小于</w:t>
            </w:r>
          </w:p>
        </w:tc>
        <w:tc>
          <w:tcPr>
            <w:tcW w:w="1558" w:type="dxa"/>
            <w:noWrap w:val="0"/>
            <w:vAlign w:val="center"/>
          </w:tcPr>
          <w:p w14:paraId="2D1C8693">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t/</w:t>
            </w:r>
            <w:r>
              <w:rPr>
                <w:rFonts w:hint="eastAsia" w:ascii="宋体" w:hAnsi="宋体" w:eastAsia="宋体" w:cs="宋体"/>
                <w:color w:val="000000" w:themeColor="text1"/>
                <w:sz w:val="24"/>
                <w:szCs w:val="24"/>
                <w:shd w:val="clear" w:color="auto" w:fill="FFFFFF"/>
                <w14:textFill>
                  <w14:solidFill>
                    <w14:schemeClr w14:val="tx1"/>
                  </w14:solidFill>
                </w14:textFill>
              </w:rPr>
              <w:t>m</w:t>
            </w:r>
            <w:r>
              <w:rPr>
                <w:rFonts w:hint="eastAsia" w:ascii="宋体" w:hAnsi="宋体" w:eastAsia="宋体" w:cs="宋体"/>
                <w:color w:val="000000" w:themeColor="text1"/>
                <w:sz w:val="24"/>
                <w:szCs w:val="24"/>
                <w:shd w:val="clear" w:color="auto" w:fill="FFFFFF"/>
                <w:vertAlign w:val="superscript"/>
                <w:lang w:val="en-US" w:eastAsia="zh-CN"/>
                <w14:textFill>
                  <w14:solidFill>
                    <w14:schemeClr w14:val="tx1"/>
                  </w14:solidFill>
                </w14:textFill>
              </w:rPr>
              <w:t>3</w:t>
            </w:r>
          </w:p>
        </w:tc>
        <w:tc>
          <w:tcPr>
            <w:tcW w:w="1558" w:type="dxa"/>
            <w:noWrap w:val="0"/>
            <w:vAlign w:val="center"/>
          </w:tcPr>
          <w:p w14:paraId="1B93C82C">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2.60</w:t>
            </w:r>
          </w:p>
        </w:tc>
      </w:tr>
      <w:tr w14:paraId="7626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5DA1167A">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吸水率，不大于</w:t>
            </w:r>
          </w:p>
        </w:tc>
        <w:tc>
          <w:tcPr>
            <w:tcW w:w="1558" w:type="dxa"/>
            <w:noWrap w:val="0"/>
            <w:vAlign w:val="center"/>
          </w:tcPr>
          <w:p w14:paraId="67C62DC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646CC63D">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w:t>
            </w: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.0</w:t>
            </w:r>
          </w:p>
        </w:tc>
      </w:tr>
      <w:tr w14:paraId="5950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72EA13D7">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对沥青的粘附性，不小于</w:t>
            </w:r>
          </w:p>
        </w:tc>
        <w:tc>
          <w:tcPr>
            <w:tcW w:w="1558" w:type="dxa"/>
            <w:noWrap w:val="0"/>
            <w:vAlign w:val="center"/>
          </w:tcPr>
          <w:p w14:paraId="0C14B20B">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级</w:t>
            </w:r>
          </w:p>
        </w:tc>
        <w:tc>
          <w:tcPr>
            <w:tcW w:w="1558" w:type="dxa"/>
            <w:noWrap w:val="0"/>
            <w:vAlign w:val="center"/>
          </w:tcPr>
          <w:p w14:paraId="294442FE">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5</w:t>
            </w:r>
          </w:p>
        </w:tc>
      </w:tr>
      <w:tr w14:paraId="08B0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42" w:type="dxa"/>
            <w:noWrap w:val="0"/>
            <w:vAlign w:val="center"/>
          </w:tcPr>
          <w:p w14:paraId="026F6D07">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坚固性</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不大于</w:t>
            </w:r>
          </w:p>
        </w:tc>
        <w:tc>
          <w:tcPr>
            <w:tcW w:w="1558" w:type="dxa"/>
            <w:noWrap w:val="0"/>
            <w:vAlign w:val="center"/>
          </w:tcPr>
          <w:p w14:paraId="2322DE71">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74A8A689">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12</w:t>
            </w:r>
          </w:p>
        </w:tc>
      </w:tr>
      <w:tr w14:paraId="44D8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542" w:type="dxa"/>
            <w:noWrap w:val="0"/>
            <w:vAlign w:val="center"/>
          </w:tcPr>
          <w:p w14:paraId="351851B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针片状颗粒含量</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混合料），</w:t>
            </w:r>
            <w:r>
              <w:rPr>
                <w:rFonts w:hint="eastAsia" w:ascii="宋体" w:hAnsi="宋体" w:eastAsia="宋体" w:cs="宋体"/>
                <w:bCs/>
                <w:color w:val="000000" w:themeColor="text1"/>
                <w:sz w:val="24"/>
                <w:szCs w:val="24"/>
                <w14:textFill>
                  <w14:solidFill>
                    <w14:schemeClr w14:val="tx1"/>
                  </w14:solidFill>
                </w14:textFill>
              </w:rPr>
              <w:t>不大于</w:t>
            </w:r>
          </w:p>
          <w:p w14:paraId="4278D40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其中粒径大于9.5mm，不大于</w:t>
            </w:r>
          </w:p>
          <w:p w14:paraId="1129FB09">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其中粒径小于9.5mm，不大于</w:t>
            </w:r>
          </w:p>
        </w:tc>
        <w:tc>
          <w:tcPr>
            <w:tcW w:w="1558" w:type="dxa"/>
            <w:noWrap w:val="0"/>
            <w:vAlign w:val="center"/>
          </w:tcPr>
          <w:p w14:paraId="53D3943B">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p w14:paraId="56F7C79B">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p w14:paraId="7B8379E4">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464C65B4">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12</w:t>
            </w:r>
          </w:p>
          <w:p w14:paraId="2DD74E6F">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10</w:t>
            </w:r>
          </w:p>
          <w:p w14:paraId="2FC4B85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15</w:t>
            </w:r>
          </w:p>
        </w:tc>
      </w:tr>
      <w:tr w14:paraId="7340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542" w:type="dxa"/>
            <w:noWrap w:val="0"/>
            <w:vAlign w:val="center"/>
          </w:tcPr>
          <w:p w14:paraId="4A0CADCE">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水洗法＜0.075mm颗粒含量，不大于</w:t>
            </w:r>
          </w:p>
        </w:tc>
        <w:tc>
          <w:tcPr>
            <w:tcW w:w="1558" w:type="dxa"/>
            <w:noWrap w:val="0"/>
            <w:vAlign w:val="center"/>
          </w:tcPr>
          <w:p w14:paraId="55C38840">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07A71642">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0.8</w:t>
            </w:r>
          </w:p>
        </w:tc>
      </w:tr>
      <w:tr w14:paraId="6355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42" w:type="dxa"/>
            <w:noWrap w:val="0"/>
            <w:vAlign w:val="center"/>
          </w:tcPr>
          <w:p w14:paraId="2430CC62">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软石含量，不大于</w:t>
            </w:r>
          </w:p>
        </w:tc>
        <w:tc>
          <w:tcPr>
            <w:tcW w:w="1558" w:type="dxa"/>
            <w:noWrap w:val="0"/>
            <w:vAlign w:val="center"/>
          </w:tcPr>
          <w:p w14:paraId="0E8F0FC3">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63E8431D">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2.5</w:t>
            </w:r>
          </w:p>
        </w:tc>
      </w:tr>
      <w:tr w14:paraId="4A71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42" w:type="dxa"/>
            <w:noWrap w:val="0"/>
            <w:vAlign w:val="center"/>
          </w:tcPr>
          <w:p w14:paraId="5DC43771">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石料磨光值（PSV），不小于</w:t>
            </w:r>
          </w:p>
        </w:tc>
        <w:tc>
          <w:tcPr>
            <w:tcW w:w="1558" w:type="dxa"/>
            <w:noWrap w:val="0"/>
            <w:vAlign w:val="center"/>
          </w:tcPr>
          <w:p w14:paraId="4ACE09F7">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4ECCEEFC">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42</w:t>
            </w:r>
          </w:p>
        </w:tc>
      </w:tr>
      <w:tr w14:paraId="5BCB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42" w:type="dxa"/>
            <w:noWrap w:val="0"/>
            <w:vAlign w:val="center"/>
          </w:tcPr>
          <w:p w14:paraId="5ECBA04E">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方解石含量，不大于</w:t>
            </w:r>
          </w:p>
        </w:tc>
        <w:tc>
          <w:tcPr>
            <w:tcW w:w="1558" w:type="dxa"/>
            <w:noWrap w:val="0"/>
            <w:vAlign w:val="center"/>
          </w:tcPr>
          <w:p w14:paraId="2A4E0995">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w:t>
            </w:r>
          </w:p>
        </w:tc>
        <w:tc>
          <w:tcPr>
            <w:tcW w:w="1558" w:type="dxa"/>
            <w:noWrap w:val="0"/>
            <w:vAlign w:val="center"/>
          </w:tcPr>
          <w:p w14:paraId="40B7C4EF">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15</w:t>
            </w:r>
          </w:p>
        </w:tc>
      </w:tr>
    </w:tbl>
    <w:p w14:paraId="756210E5">
      <w:pPr>
        <w:numPr>
          <w:ilvl w:val="0"/>
          <w:numId w:val="0"/>
        </w:numPr>
        <w:spacing w:line="360" w:lineRule="auto"/>
        <w:ind w:left="0" w:leftChars="0" w:firstLine="482" w:firstLineChars="20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val="en-US" w:eastAsia="zh-CN" w:bidi="ar-SA"/>
          <w14:textFill>
            <w14:solidFill>
              <w14:schemeClr w14:val="tx1"/>
            </w14:solidFill>
          </w14:textFill>
        </w:rPr>
        <w:t>2、</w:t>
      </w:r>
      <w:r>
        <w:rPr>
          <w:rFonts w:hint="eastAsia" w:ascii="宋体" w:hAnsi="宋体" w:eastAsia="宋体" w:cs="宋体"/>
          <w:b/>
          <w:bCs w:val="0"/>
          <w:color w:val="000000" w:themeColor="text1"/>
          <w:sz w:val="24"/>
          <w:szCs w:val="24"/>
          <w:lang w:val="en-US" w:eastAsia="zh-CN"/>
          <w14:textFill>
            <w14:solidFill>
              <w14:schemeClr w14:val="tx1"/>
            </w14:solidFill>
          </w14:textFill>
        </w:rPr>
        <w:t>石灰岩矿粉质量要求：</w:t>
      </w:r>
    </w:p>
    <w:p w14:paraId="10894B0C">
      <w:pPr>
        <w:pStyle w:val="30"/>
        <w:spacing w:line="360" w:lineRule="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石灰岩</w:t>
      </w:r>
      <w:r>
        <w:rPr>
          <w:rFonts w:hint="eastAsia" w:ascii="宋体" w:hAnsi="宋体" w:eastAsia="宋体" w:cs="宋体"/>
          <w:color w:val="000000" w:themeColor="text1"/>
          <w:sz w:val="24"/>
          <w:szCs w:val="24"/>
          <w14:textFill>
            <w14:solidFill>
              <w14:schemeClr w14:val="tx1"/>
            </w14:solidFill>
          </w14:textFill>
        </w:rPr>
        <w:t>矿粉要求</w:t>
      </w:r>
      <w:r>
        <w:rPr>
          <w:rFonts w:hint="eastAsia" w:ascii="宋体" w:hAnsi="宋体" w:eastAsia="宋体" w:cs="宋体"/>
          <w:color w:val="000000" w:themeColor="text1"/>
          <w:sz w:val="24"/>
          <w:szCs w:val="24"/>
          <w:lang w:eastAsia="zh-CN"/>
          <w14:textFill>
            <w14:solidFill>
              <w14:schemeClr w14:val="tx1"/>
            </w14:solidFill>
          </w14:textFill>
        </w:rPr>
        <w:t>石灰岩或岩浆岩中强基性岩石等憎水性石料</w:t>
      </w:r>
      <w:r>
        <w:rPr>
          <w:rFonts w:hint="eastAsia" w:ascii="宋体" w:hAnsi="宋体" w:cs="宋体"/>
          <w:color w:val="000000" w:themeColor="text1"/>
          <w:sz w:val="24"/>
          <w:szCs w:val="24"/>
          <w:lang w:eastAsia="zh-CN"/>
          <w14:textFill>
            <w14:solidFill>
              <w14:schemeClr w14:val="tx1"/>
            </w14:solidFill>
          </w14:textFill>
        </w:rPr>
        <w:t>经磨细得到</w:t>
      </w:r>
      <w:r>
        <w:rPr>
          <w:rFonts w:hint="eastAsia" w:ascii="宋体" w:hAnsi="宋体" w:eastAsia="宋体" w:cs="宋体"/>
          <w:color w:val="000000" w:themeColor="text1"/>
          <w:sz w:val="24"/>
          <w:szCs w:val="24"/>
          <w:lang w:eastAsia="zh-CN"/>
          <w14:textFill>
            <w14:solidFill>
              <w14:schemeClr w14:val="tx1"/>
            </w14:solidFill>
          </w14:textFill>
        </w:rPr>
        <w:t>的矿粉</w:t>
      </w:r>
      <w:r>
        <w:rPr>
          <w:rFonts w:hint="eastAsia" w:ascii="宋体" w:hAnsi="宋体" w:eastAsia="宋体" w:cs="宋体"/>
          <w:color w:val="000000" w:themeColor="text1"/>
          <w:sz w:val="24"/>
          <w:szCs w:val="24"/>
          <w14:textFill>
            <w14:solidFill>
              <w14:schemeClr w14:val="tx1"/>
            </w14:solidFill>
          </w14:textFill>
        </w:rPr>
        <w:t>，原石料中的泥土等杂质应除净。矿粉</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干燥、洁净，</w:t>
      </w:r>
      <w:r>
        <w:rPr>
          <w:rFonts w:hint="eastAsia" w:ascii="宋体" w:hAnsi="宋体" w:cs="宋体"/>
          <w:color w:val="000000" w:themeColor="text1"/>
          <w:sz w:val="24"/>
          <w:szCs w:val="24"/>
          <w:lang w:val="en-US" w:eastAsia="zh-CN"/>
          <w14:textFill>
            <w14:solidFill>
              <w14:schemeClr w14:val="tx1"/>
            </w14:solidFill>
          </w14:textFill>
        </w:rPr>
        <w:t>不应使用回收粉尘</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质量要求见下表</w:t>
      </w:r>
      <w:r>
        <w:rPr>
          <w:rFonts w:hint="eastAsia" w:ascii="宋体" w:hAnsi="宋体" w:eastAsia="宋体" w:cs="宋体"/>
          <w:bCs/>
          <w:color w:val="000000" w:themeColor="text1"/>
          <w:sz w:val="24"/>
          <w:szCs w:val="24"/>
          <w:lang w:val="en-US" w:eastAsia="zh-CN"/>
          <w14:textFill>
            <w14:solidFill>
              <w14:schemeClr w14:val="tx1"/>
            </w14:solidFill>
          </w14:textFill>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1097"/>
        <w:gridCol w:w="3528"/>
      </w:tblGrid>
      <w:tr w14:paraId="782E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8" w:type="dxa"/>
            <w:noWrap w:val="0"/>
            <w:vAlign w:val="center"/>
          </w:tcPr>
          <w:p w14:paraId="5D1116D9">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项目</w:t>
            </w:r>
          </w:p>
        </w:tc>
        <w:tc>
          <w:tcPr>
            <w:tcW w:w="1097" w:type="dxa"/>
            <w:noWrap w:val="0"/>
            <w:vAlign w:val="center"/>
          </w:tcPr>
          <w:p w14:paraId="3A785F5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单位</w:t>
            </w:r>
          </w:p>
        </w:tc>
        <w:tc>
          <w:tcPr>
            <w:tcW w:w="3528" w:type="dxa"/>
            <w:noWrap w:val="0"/>
            <w:vAlign w:val="center"/>
          </w:tcPr>
          <w:p w14:paraId="11E8746E">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技术指标</w:t>
            </w:r>
          </w:p>
        </w:tc>
      </w:tr>
      <w:tr w14:paraId="2E09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8" w:type="dxa"/>
            <w:noWrap w:val="0"/>
            <w:vAlign w:val="center"/>
          </w:tcPr>
          <w:p w14:paraId="38A53AFE">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表观密度</w:t>
            </w:r>
            <w:r>
              <w:rPr>
                <w:rFonts w:hint="eastAsia" w:ascii="宋体" w:hAnsi="宋体" w:cs="宋体"/>
                <w:bCs/>
                <w:color w:val="000000" w:themeColor="text1"/>
                <w:sz w:val="24"/>
                <w:szCs w:val="24"/>
                <w:lang w:eastAsia="zh-CN"/>
                <w14:textFill>
                  <w14:solidFill>
                    <w14:schemeClr w14:val="tx1"/>
                  </w14:solidFill>
                </w14:textFill>
              </w:rPr>
              <w:t>，不小于</w:t>
            </w:r>
          </w:p>
        </w:tc>
        <w:tc>
          <w:tcPr>
            <w:tcW w:w="1097" w:type="dxa"/>
            <w:noWrap w:val="0"/>
            <w:vAlign w:val="center"/>
          </w:tcPr>
          <w:p w14:paraId="007BFED7">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t/</w:t>
            </w:r>
            <w:r>
              <w:rPr>
                <w:rFonts w:hint="eastAsia" w:ascii="宋体" w:hAnsi="宋体" w:eastAsia="宋体" w:cs="宋体"/>
                <w:color w:val="000000" w:themeColor="text1"/>
                <w:sz w:val="24"/>
                <w:szCs w:val="24"/>
                <w:shd w:val="clear" w:color="auto" w:fill="FFFFFF"/>
                <w14:textFill>
                  <w14:solidFill>
                    <w14:schemeClr w14:val="tx1"/>
                  </w14:solidFill>
                </w14:textFill>
              </w:rPr>
              <w:t>m</w:t>
            </w:r>
            <w:r>
              <w:rPr>
                <w:rFonts w:hint="eastAsia" w:ascii="宋体" w:hAnsi="宋体" w:eastAsia="宋体" w:cs="宋体"/>
                <w:color w:val="000000" w:themeColor="text1"/>
                <w:sz w:val="24"/>
                <w:szCs w:val="24"/>
                <w:shd w:val="clear" w:color="auto" w:fill="FFFFFF"/>
                <w:vertAlign w:val="superscript"/>
                <w:lang w:val="en-US" w:eastAsia="zh-CN"/>
                <w14:textFill>
                  <w14:solidFill>
                    <w14:schemeClr w14:val="tx1"/>
                  </w14:solidFill>
                </w14:textFill>
              </w:rPr>
              <w:t>3</w:t>
            </w:r>
          </w:p>
        </w:tc>
        <w:tc>
          <w:tcPr>
            <w:tcW w:w="3528" w:type="dxa"/>
            <w:noWrap w:val="0"/>
            <w:vAlign w:val="center"/>
          </w:tcPr>
          <w:p w14:paraId="10BF9CE6">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2.60</w:t>
            </w:r>
          </w:p>
        </w:tc>
      </w:tr>
      <w:tr w14:paraId="5093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8" w:type="dxa"/>
            <w:noWrap w:val="0"/>
            <w:vAlign w:val="center"/>
          </w:tcPr>
          <w:p w14:paraId="555191A2">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含水量</w:t>
            </w:r>
            <w:r>
              <w:rPr>
                <w:rFonts w:hint="eastAsia" w:ascii="宋体" w:hAnsi="宋体" w:cs="宋体"/>
                <w:bCs/>
                <w:color w:val="000000" w:themeColor="text1"/>
                <w:sz w:val="24"/>
                <w:szCs w:val="24"/>
                <w:lang w:eastAsia="zh-CN"/>
                <w14:textFill>
                  <w14:solidFill>
                    <w14:schemeClr w14:val="tx1"/>
                  </w14:solidFill>
                </w14:textFill>
              </w:rPr>
              <w:t>，不大于</w:t>
            </w:r>
          </w:p>
        </w:tc>
        <w:tc>
          <w:tcPr>
            <w:tcW w:w="1097" w:type="dxa"/>
            <w:noWrap w:val="0"/>
            <w:vAlign w:val="center"/>
          </w:tcPr>
          <w:p w14:paraId="1EA8AE19">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vertAlign w:val="baseline"/>
                <w:lang w:val="en-US" w:eastAsia="zh-CN"/>
                <w14:textFill>
                  <w14:solidFill>
                    <w14:schemeClr w14:val="tx1"/>
                  </w14:solidFill>
                </w14:textFill>
              </w:rPr>
              <w:t>%</w:t>
            </w:r>
          </w:p>
        </w:tc>
        <w:tc>
          <w:tcPr>
            <w:tcW w:w="3528" w:type="dxa"/>
            <w:noWrap w:val="0"/>
            <w:vAlign w:val="center"/>
          </w:tcPr>
          <w:p w14:paraId="0B966700">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1</w:t>
            </w:r>
          </w:p>
        </w:tc>
      </w:tr>
      <w:tr w14:paraId="6236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938" w:type="dxa"/>
            <w:noWrap w:val="0"/>
            <w:vAlign w:val="center"/>
          </w:tcPr>
          <w:p w14:paraId="4F8692F3">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粒度范围＜</w:t>
            </w:r>
            <w:r>
              <w:rPr>
                <w:rFonts w:hint="eastAsia" w:ascii="宋体" w:hAnsi="宋体" w:cs="宋体"/>
                <w:bCs/>
                <w:color w:val="000000" w:themeColor="text1"/>
                <w:sz w:val="24"/>
                <w:szCs w:val="24"/>
                <w:lang w:val="en-US" w:eastAsia="zh-CN"/>
                <w14:textFill>
                  <w14:solidFill>
                    <w14:schemeClr w14:val="tx1"/>
                  </w14:solidFill>
                </w14:textFill>
              </w:rPr>
              <w:t>0.6mm</w:t>
            </w:r>
          </w:p>
          <w:p w14:paraId="3F71F4EE">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 xml:space="preserve">        ＜0.15mm</w:t>
            </w:r>
          </w:p>
          <w:p w14:paraId="092074D6">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 xml:space="preserve">         ＜0.075mm</w:t>
            </w:r>
          </w:p>
        </w:tc>
        <w:tc>
          <w:tcPr>
            <w:tcW w:w="1097" w:type="dxa"/>
            <w:noWrap w:val="0"/>
            <w:vAlign w:val="center"/>
          </w:tcPr>
          <w:p w14:paraId="33F73BEF">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w:t>
            </w:r>
          </w:p>
          <w:p w14:paraId="33E432F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w:t>
            </w:r>
          </w:p>
          <w:p w14:paraId="47D1B294">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w:t>
            </w:r>
          </w:p>
        </w:tc>
        <w:tc>
          <w:tcPr>
            <w:tcW w:w="3528" w:type="dxa"/>
            <w:noWrap w:val="0"/>
            <w:vAlign w:val="center"/>
          </w:tcPr>
          <w:p w14:paraId="4DDB3AD1">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100</w:t>
            </w:r>
          </w:p>
          <w:p w14:paraId="41BB6671">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90~100</w:t>
            </w:r>
          </w:p>
          <w:p w14:paraId="60852084">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75~100</w:t>
            </w:r>
          </w:p>
        </w:tc>
      </w:tr>
      <w:tr w14:paraId="40AE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8" w:type="dxa"/>
            <w:noWrap w:val="0"/>
            <w:vAlign w:val="center"/>
          </w:tcPr>
          <w:p w14:paraId="3EAF5A5B">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外观</w:t>
            </w:r>
          </w:p>
        </w:tc>
        <w:tc>
          <w:tcPr>
            <w:tcW w:w="1097" w:type="dxa"/>
            <w:noWrap w:val="0"/>
            <w:vAlign w:val="center"/>
          </w:tcPr>
          <w:p w14:paraId="1E49B4CB">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vertAlign w:val="baseline"/>
                <w:lang w:val="en-US" w:eastAsia="zh-CN" w:bidi="ar-SA"/>
                <w14:textFill>
                  <w14:solidFill>
                    <w14:schemeClr w14:val="tx1"/>
                  </w14:solidFill>
                </w14:textFill>
              </w:rPr>
            </w:pPr>
            <w:r>
              <w:rPr>
                <w:rFonts w:hint="eastAsia" w:ascii="宋体" w:hAnsi="宋体" w:cs="宋体"/>
                <w:bCs/>
                <w:color w:val="000000" w:themeColor="text1"/>
                <w:sz w:val="24"/>
                <w:szCs w:val="24"/>
                <w:vertAlign w:val="baseline"/>
                <w:lang w:val="en-US" w:eastAsia="zh-CN" w:bidi="ar-SA"/>
                <w14:textFill>
                  <w14:solidFill>
                    <w14:schemeClr w14:val="tx1"/>
                  </w14:solidFill>
                </w14:textFill>
              </w:rPr>
              <w:t>-</w:t>
            </w:r>
          </w:p>
        </w:tc>
        <w:tc>
          <w:tcPr>
            <w:tcW w:w="3528" w:type="dxa"/>
            <w:noWrap w:val="0"/>
            <w:vAlign w:val="center"/>
          </w:tcPr>
          <w:p w14:paraId="6627A186">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无团粒结块</w:t>
            </w:r>
          </w:p>
        </w:tc>
      </w:tr>
      <w:tr w14:paraId="7A99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8" w:type="dxa"/>
            <w:noWrap w:val="0"/>
            <w:vAlign w:val="center"/>
          </w:tcPr>
          <w:p w14:paraId="004F3253">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亲水系数</w:t>
            </w:r>
          </w:p>
        </w:tc>
        <w:tc>
          <w:tcPr>
            <w:tcW w:w="1097" w:type="dxa"/>
            <w:noWrap w:val="0"/>
            <w:vAlign w:val="center"/>
          </w:tcPr>
          <w:p w14:paraId="63B039C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vertAlign w:val="baseline"/>
                <w:lang w:val="en-US" w:eastAsia="zh-CN" w:bidi="ar-SA"/>
                <w14:textFill>
                  <w14:solidFill>
                    <w14:schemeClr w14:val="tx1"/>
                  </w14:solidFill>
                </w14:textFill>
              </w:rPr>
              <w:t>-</w:t>
            </w:r>
          </w:p>
        </w:tc>
        <w:tc>
          <w:tcPr>
            <w:tcW w:w="3528" w:type="dxa"/>
            <w:noWrap w:val="0"/>
            <w:vAlign w:val="center"/>
          </w:tcPr>
          <w:p w14:paraId="594A7682">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w:t>
            </w:r>
          </w:p>
        </w:tc>
      </w:tr>
      <w:tr w14:paraId="5DC3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38" w:type="dxa"/>
            <w:noWrap w:val="0"/>
            <w:vAlign w:val="center"/>
          </w:tcPr>
          <w:p w14:paraId="198FF63A">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塑性指数</w:t>
            </w:r>
          </w:p>
        </w:tc>
        <w:tc>
          <w:tcPr>
            <w:tcW w:w="1097" w:type="dxa"/>
            <w:noWrap w:val="0"/>
            <w:vAlign w:val="center"/>
          </w:tcPr>
          <w:p w14:paraId="7A3E3FE1">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w:t>
            </w:r>
          </w:p>
        </w:tc>
        <w:tc>
          <w:tcPr>
            <w:tcW w:w="3528" w:type="dxa"/>
            <w:noWrap w:val="0"/>
            <w:vAlign w:val="center"/>
          </w:tcPr>
          <w:p w14:paraId="5A2190D8">
            <w:pPr>
              <w:pStyle w:val="3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w:t>
            </w:r>
          </w:p>
        </w:tc>
      </w:tr>
    </w:tbl>
    <w:p w14:paraId="39DE9C96">
      <w:pPr>
        <w:pStyle w:val="30"/>
        <w:ind w:left="0" w:leftChars="0" w:firstLine="0" w:firstLineChars="0"/>
        <w:rPr>
          <w:rFonts w:hint="eastAsia" w:ascii="宋体" w:hAnsi="宋体" w:eastAsia="宋体" w:cs="宋体"/>
          <w:bCs/>
          <w:color w:val="000000" w:themeColor="text1"/>
          <w:sz w:val="21"/>
          <w:szCs w:val="21"/>
          <w:lang w:val="en-US" w:eastAsia="zh-CN"/>
          <w14:textFill>
            <w14:solidFill>
              <w14:schemeClr w14:val="tx1"/>
            </w14:solidFill>
          </w14:textFill>
        </w:rPr>
      </w:pPr>
    </w:p>
    <w:p w14:paraId="06E42C97">
      <w:pPr>
        <w:numPr>
          <w:ilvl w:val="0"/>
          <w:numId w:val="3"/>
        </w:numPr>
        <w:ind w:firstLine="422" w:firstLineChars="200"/>
        <w:rPr>
          <w:rFonts w:hint="eastAsia" w:ascii="宋体" w:hAnsi="宋体" w:eastAsia="宋体" w:cs="Times New Roman"/>
          <w:b/>
          <w:color w:val="000000" w:themeColor="text1"/>
          <w:sz w:val="21"/>
          <w:szCs w:val="21"/>
          <w:lang w:eastAsia="zh-CN"/>
          <w14:textFill>
            <w14:solidFill>
              <w14:schemeClr w14:val="tx1"/>
            </w14:solidFill>
          </w14:textFill>
        </w:rPr>
      </w:pPr>
      <w:r>
        <w:rPr>
          <w:rFonts w:hint="eastAsia" w:ascii="宋体" w:hAnsi="宋体" w:eastAsia="宋体" w:cs="Times New Roman"/>
          <w:b/>
          <w:color w:val="000000" w:themeColor="text1"/>
          <w:sz w:val="21"/>
          <w:szCs w:val="21"/>
          <w:lang w:eastAsia="zh-CN"/>
          <w14:textFill>
            <w14:solidFill>
              <w14:schemeClr w14:val="tx1"/>
            </w14:solidFill>
          </w14:textFill>
        </w:rPr>
        <w:t>供货要求</w:t>
      </w:r>
      <w:r>
        <w:rPr>
          <w:rFonts w:hint="eastAsia" w:ascii="宋体" w:hAnsi="宋体" w:cs="Times New Roman"/>
          <w:b/>
          <w:color w:val="000000" w:themeColor="text1"/>
          <w:sz w:val="21"/>
          <w:szCs w:val="21"/>
          <w:lang w:eastAsia="zh-CN"/>
          <w14:textFill>
            <w14:solidFill>
              <w14:schemeClr w14:val="tx1"/>
            </w14:solidFill>
          </w14:textFill>
        </w:rPr>
        <w:t>：</w:t>
      </w:r>
    </w:p>
    <w:p w14:paraId="525D30D8">
      <w:pPr>
        <w:keepNext w:val="0"/>
        <w:keepLines w:val="0"/>
        <w:pageBreakBefore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（1）供货时间：根据业主需要，早上6：00时至下午18：00时段送货，并须有采购人当场验收。</w:t>
      </w:r>
    </w:p>
    <w:p w14:paraId="7FE5A7C4">
      <w:pPr>
        <w:keepNext w:val="0"/>
        <w:keepLines w:val="0"/>
        <w:pageBreakBefore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供货地点：中标人应将材料送达</w:t>
      </w:r>
      <w:r>
        <w:rPr>
          <w:rFonts w:hint="eastAsia" w:ascii="宋体" w:hAnsi="宋体" w:eastAsia="宋体" w:cs="宋体"/>
          <w:color w:val="auto"/>
          <w:sz w:val="21"/>
          <w:szCs w:val="21"/>
          <w:lang w:val="en-US" w:eastAsia="zh-CN"/>
        </w:rPr>
        <w:t>诸暨市范围内</w:t>
      </w:r>
      <w:r>
        <w:rPr>
          <w:rFonts w:hint="eastAsia" w:ascii="宋体" w:hAnsi="宋体" w:eastAsia="宋体" w:cs="宋体"/>
          <w:color w:val="auto"/>
          <w:sz w:val="21"/>
          <w:szCs w:val="21"/>
        </w:rPr>
        <w:t>采购人指定地点。</w:t>
      </w:r>
    </w:p>
    <w:p w14:paraId="0F4F144E">
      <w:pPr>
        <w:keepNext w:val="0"/>
        <w:keepLines w:val="0"/>
        <w:pageBreakBefore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）交货和提供服务的时间</w:t>
      </w:r>
      <w:r>
        <w:rPr>
          <w:rFonts w:hint="eastAsia" w:ascii="宋体" w:hAnsi="宋体" w:cs="宋体"/>
          <w:color w:val="auto"/>
          <w:sz w:val="21"/>
          <w:szCs w:val="21"/>
          <w:lang w:eastAsia="zh-CN"/>
        </w:rPr>
        <w:t>：</w:t>
      </w:r>
    </w:p>
    <w:p w14:paraId="621B1257">
      <w:pPr>
        <w:keepNext w:val="0"/>
        <w:keepLines w:val="0"/>
        <w:pageBreakBefore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本项目供货期为：自合同签订之日起</w:t>
      </w:r>
      <w:r>
        <w:rPr>
          <w:rFonts w:hint="eastAsia" w:ascii="宋体" w:hAnsi="宋体" w:eastAsia="宋体" w:cs="宋体"/>
          <w:color w:val="auto"/>
          <w:sz w:val="21"/>
          <w:szCs w:val="21"/>
          <w:lang w:val="en-US" w:eastAsia="zh-CN"/>
        </w:rPr>
        <w:t>一年或采购预算金额满为止，以先到时间为准</w:t>
      </w:r>
      <w:r>
        <w:rPr>
          <w:rFonts w:hint="eastAsia" w:ascii="宋体" w:hAnsi="宋体" w:eastAsia="宋体" w:cs="宋体"/>
          <w:color w:val="auto"/>
          <w:sz w:val="21"/>
          <w:szCs w:val="21"/>
        </w:rPr>
        <w:t>。</w:t>
      </w:r>
    </w:p>
    <w:p w14:paraId="600F93A9">
      <w:pPr>
        <w:keepNext w:val="0"/>
        <w:keepLines w:val="0"/>
        <w:pageBreakBefore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在采购人要求的供货时间内中标人应及时按要求在采购人工作时间内供应，</w:t>
      </w:r>
      <w:r>
        <w:rPr>
          <w:rFonts w:hint="eastAsia" w:ascii="宋体" w:hAnsi="宋体" w:eastAsia="宋体" w:cs="宋体"/>
          <w:color w:val="000000" w:themeColor="text1"/>
          <w:sz w:val="21"/>
          <w:szCs w:val="21"/>
          <w:lang w:val="en-US" w:eastAsia="zh-CN"/>
          <w14:textFill>
            <w14:solidFill>
              <w14:schemeClr w14:val="tx1"/>
            </w14:solidFill>
          </w14:textFill>
        </w:rPr>
        <w:t>每批</w:t>
      </w:r>
      <w:r>
        <w:rPr>
          <w:rFonts w:hint="eastAsia" w:ascii="宋体" w:hAnsi="宋体" w:eastAsia="宋体" w:cs="宋体"/>
          <w:color w:val="000000" w:themeColor="text1"/>
          <w:sz w:val="21"/>
          <w:szCs w:val="21"/>
          <w14:textFill>
            <w14:solidFill>
              <w14:schemeClr w14:val="tx1"/>
            </w14:solidFill>
          </w14:textFill>
        </w:rPr>
        <w:t>实际需要数量由采购人按需要提前</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天</w:t>
      </w:r>
      <w:r>
        <w:rPr>
          <w:rFonts w:hint="eastAsia" w:ascii="宋体" w:hAnsi="宋体" w:eastAsia="宋体" w:cs="宋体"/>
          <w:color w:val="000000" w:themeColor="text1"/>
          <w:sz w:val="21"/>
          <w:szCs w:val="21"/>
          <w:lang w:eastAsia="zh-CN"/>
          <w14:textFill>
            <w14:solidFill>
              <w14:schemeClr w14:val="tx1"/>
            </w14:solidFill>
          </w14:textFill>
        </w:rPr>
        <w:t>以电话、短信、微信等方式</w:t>
      </w:r>
      <w:r>
        <w:rPr>
          <w:rFonts w:hint="eastAsia" w:ascii="宋体" w:hAnsi="宋体" w:eastAsia="宋体" w:cs="宋体"/>
          <w:color w:val="000000" w:themeColor="text1"/>
          <w:sz w:val="21"/>
          <w:szCs w:val="21"/>
          <w14:textFill>
            <w14:solidFill>
              <w14:schemeClr w14:val="tx1"/>
            </w14:solidFill>
          </w14:textFill>
        </w:rPr>
        <w:t>通知中标人，未能按时供货的除每延迟一天中标人应向采购人支付</w:t>
      </w:r>
      <w:r>
        <w:rPr>
          <w:rFonts w:hint="eastAsia" w:ascii="宋体" w:hAnsi="宋体" w:eastAsia="宋体" w:cs="宋体"/>
          <w:color w:val="000000" w:themeColor="text1"/>
          <w:sz w:val="21"/>
          <w:szCs w:val="21"/>
          <w:lang w:val="en-US" w:eastAsia="zh-CN"/>
          <w14:textFill>
            <w14:solidFill>
              <w14:schemeClr w14:val="tx1"/>
            </w14:solidFill>
          </w14:textFill>
        </w:rPr>
        <w:t>延期货物对应货款金额日0.5%的</w:t>
      </w:r>
      <w:r>
        <w:rPr>
          <w:rFonts w:hint="eastAsia" w:ascii="宋体" w:hAnsi="宋体" w:eastAsia="宋体" w:cs="宋体"/>
          <w:color w:val="000000" w:themeColor="text1"/>
          <w:sz w:val="21"/>
          <w:szCs w:val="21"/>
          <w14:textFill>
            <w14:solidFill>
              <w14:schemeClr w14:val="tx1"/>
            </w14:solidFill>
          </w14:textFill>
        </w:rPr>
        <w:t>违约金（</w:t>
      </w:r>
      <w:r>
        <w:rPr>
          <w:rFonts w:hint="eastAsia" w:ascii="宋体" w:hAnsi="宋体" w:eastAsia="宋体" w:cs="宋体"/>
          <w:color w:val="000000" w:themeColor="text1"/>
          <w:sz w:val="21"/>
          <w:szCs w:val="21"/>
          <w:lang w:val="en-US" w:eastAsia="zh-CN"/>
          <w14:textFill>
            <w14:solidFill>
              <w14:schemeClr w14:val="tx1"/>
            </w14:solidFill>
          </w14:textFill>
        </w:rPr>
        <w:t>采购人有权在</w:t>
      </w:r>
      <w:r>
        <w:rPr>
          <w:rFonts w:hint="eastAsia" w:ascii="宋体" w:hAnsi="宋体" w:eastAsia="宋体" w:cs="宋体"/>
          <w:color w:val="000000" w:themeColor="text1"/>
          <w:sz w:val="21"/>
          <w:szCs w:val="21"/>
          <w14:textFill>
            <w14:solidFill>
              <w14:schemeClr w14:val="tx1"/>
            </w14:solidFill>
          </w14:textFill>
        </w:rPr>
        <w:t>履约保证金中</w:t>
      </w:r>
      <w:r>
        <w:rPr>
          <w:rFonts w:hint="eastAsia" w:ascii="宋体" w:hAnsi="宋体" w:eastAsia="宋体" w:cs="宋体"/>
          <w:color w:val="000000" w:themeColor="text1"/>
          <w:sz w:val="21"/>
          <w:szCs w:val="21"/>
          <w:lang w:val="en-US" w:eastAsia="zh-CN"/>
          <w14:textFill>
            <w14:solidFill>
              <w14:schemeClr w14:val="tx1"/>
            </w14:solidFill>
          </w14:textFill>
        </w:rPr>
        <w:t>直接</w:t>
      </w:r>
      <w:r>
        <w:rPr>
          <w:rFonts w:hint="eastAsia" w:ascii="宋体" w:hAnsi="宋体" w:eastAsia="宋体" w:cs="宋体"/>
          <w:color w:val="000000" w:themeColor="text1"/>
          <w:sz w:val="21"/>
          <w:szCs w:val="21"/>
          <w14:textFill>
            <w14:solidFill>
              <w14:schemeClr w14:val="tx1"/>
            </w14:solidFill>
          </w14:textFill>
        </w:rPr>
        <w:t>扣除）外，采购人有权另行采购，由此给采购人造成的损失（包括但不限于运输费、中标价和另行采购差价）由中标人承担，在履约保证金中扣除，如发生三次</w:t>
      </w:r>
      <w:r>
        <w:rPr>
          <w:rFonts w:hint="eastAsia" w:ascii="宋体" w:hAnsi="宋体" w:eastAsia="宋体" w:cs="宋体"/>
          <w:color w:val="000000" w:themeColor="text1"/>
          <w:sz w:val="21"/>
          <w:szCs w:val="21"/>
          <w:lang w:val="en-US" w:eastAsia="zh-CN"/>
          <w14:textFill>
            <w14:solidFill>
              <w14:schemeClr w14:val="tx1"/>
            </w14:solidFill>
          </w14:textFill>
        </w:rPr>
        <w:t>及以上</w:t>
      </w:r>
      <w:r>
        <w:rPr>
          <w:rFonts w:hint="eastAsia" w:ascii="宋体" w:hAnsi="宋体" w:eastAsia="宋体" w:cs="宋体"/>
          <w:color w:val="000000" w:themeColor="text1"/>
          <w:sz w:val="21"/>
          <w:szCs w:val="21"/>
          <w14:textFill>
            <w14:solidFill>
              <w14:schemeClr w14:val="tx1"/>
            </w14:solidFill>
          </w14:textFill>
        </w:rPr>
        <w:t>供货不及时，采购人有权终止合同</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履约保证金予以没收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且采购人有权</w:t>
      </w:r>
      <w:r>
        <w:rPr>
          <w:rFonts w:hint="eastAsia" w:ascii="宋体" w:hAnsi="宋体" w:eastAsia="宋体" w:cs="宋体"/>
          <w:color w:val="000000" w:themeColor="text1"/>
          <w:sz w:val="21"/>
          <w:szCs w:val="21"/>
          <w14:textFill>
            <w14:solidFill>
              <w14:schemeClr w14:val="tx1"/>
            </w14:solidFill>
          </w14:textFill>
        </w:rPr>
        <w:t>要求中标人赔偿损失。</w:t>
      </w:r>
      <w:r>
        <w:rPr>
          <w:rFonts w:hint="eastAsia" w:ascii="宋体" w:hAnsi="宋体" w:eastAsia="宋体" w:cs="宋体"/>
          <w:color w:val="000000" w:themeColor="text1"/>
          <w:sz w:val="21"/>
          <w:szCs w:val="21"/>
          <w:highlight w:val="none"/>
          <w14:textFill>
            <w14:solidFill>
              <w14:schemeClr w14:val="tx1"/>
            </w14:solidFill>
          </w14:textFill>
        </w:rPr>
        <w:t>如由采购人原因引起的要求延期供应，中标人应无条件配合。</w:t>
      </w:r>
    </w:p>
    <w:p w14:paraId="66487C49">
      <w:pPr>
        <w:keepNext w:val="0"/>
        <w:keepLines w:val="0"/>
        <w:pageBreakBefore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themeColor="text1"/>
          <w:sz w:val="21"/>
          <w:szCs w:val="21"/>
          <w14:textFill>
            <w14:solidFill>
              <w14:schemeClr w14:val="tx1"/>
            </w14:solidFill>
          </w14:textFill>
        </w:rPr>
        <w:t>（4）供应商的报价应包括应承包本次项目供货所需的</w:t>
      </w:r>
      <w:r>
        <w:rPr>
          <w:rFonts w:hint="eastAsia" w:ascii="宋体" w:hAnsi="宋体" w:eastAsia="宋体" w:cs="宋体"/>
          <w:color w:val="auto"/>
          <w:sz w:val="21"/>
          <w:szCs w:val="21"/>
          <w:lang w:val="en-US" w:eastAsia="zh-CN"/>
        </w:rPr>
        <w:t>材料</w:t>
      </w:r>
      <w:r>
        <w:rPr>
          <w:rFonts w:hint="eastAsia" w:ascii="宋体" w:hAnsi="宋体" w:eastAsia="宋体" w:cs="宋体"/>
          <w:color w:val="auto"/>
          <w:sz w:val="21"/>
          <w:szCs w:val="21"/>
        </w:rPr>
        <w:t>价款、到指定施工现场的运输及装卸费用、材料、质检（自检）、管理、保险、税费、人工费等一切相关的费用。材料运输应按国家标准轴载执行。本次采购数量为暂估数量，供应商需在编制投标报价时应充分考虑由于实际采购量未达到该数量或超出该数量而带来的风险。</w:t>
      </w:r>
    </w:p>
    <w:p w14:paraId="60D6531F">
      <w:pPr>
        <w:keepNext w:val="0"/>
        <w:keepLines w:val="0"/>
        <w:pageBreakBefore w:val="0"/>
        <w:kinsoku/>
        <w:wordWrap/>
        <w:overflowPunct/>
        <w:topLinePunct w:val="0"/>
        <w:autoSpaceDE w:val="0"/>
        <w:autoSpaceDN w:val="0"/>
        <w:bidi w:val="0"/>
        <w:adjustRightInd w:val="0"/>
        <w:snapToGrid/>
        <w:spacing w:line="440" w:lineRule="exact"/>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rPr>
        <w:t>中标人承担货物交货前的所有安全责任问题。</w:t>
      </w:r>
      <w:r>
        <w:rPr>
          <w:rFonts w:hint="eastAsia" w:ascii="宋体" w:hAnsi="宋体" w:eastAsia="宋体" w:cs="宋体"/>
          <w:color w:val="auto"/>
          <w:sz w:val="21"/>
          <w:szCs w:val="21"/>
          <w:lang w:val="en-US" w:eastAsia="zh-CN"/>
        </w:rPr>
        <w:t>如因中标人原因造成采购人、中标人或任何</w:t>
      </w:r>
      <w:r>
        <w:rPr>
          <w:rFonts w:hint="eastAsia" w:ascii="宋体" w:hAnsi="宋体" w:eastAsia="宋体" w:cs="宋体"/>
          <w:color w:val="000000" w:themeColor="text1"/>
          <w:sz w:val="21"/>
          <w:szCs w:val="21"/>
          <w:lang w:val="en-US" w:eastAsia="zh-CN"/>
          <w14:textFill>
            <w14:solidFill>
              <w14:schemeClr w14:val="tx1"/>
            </w14:solidFill>
          </w14:textFill>
        </w:rPr>
        <w:t>第三方的财产、人身损失的，均由中标人赔偿</w:t>
      </w:r>
      <w:r>
        <w:rPr>
          <w:rFonts w:hint="eastAsia" w:ascii="宋体" w:hAnsi="宋体" w:eastAsia="宋体" w:cs="宋体"/>
          <w:color w:val="000000" w:themeColor="text1"/>
          <w:sz w:val="21"/>
          <w:szCs w:val="21"/>
          <w14:textFill>
            <w14:solidFill>
              <w14:schemeClr w14:val="tx1"/>
            </w14:solidFill>
          </w14:textFill>
        </w:rPr>
        <w:t>中标人在项目服务期间必须无条件满足招标人需求。</w:t>
      </w:r>
    </w:p>
    <w:p w14:paraId="0AAA92F3">
      <w:pPr>
        <w:keepNext w:val="0"/>
        <w:keepLines w:val="0"/>
        <w:pageBreakBefore w:val="0"/>
        <w:kinsoku/>
        <w:wordWrap/>
        <w:overflowPunct/>
        <w:topLinePunct w:val="0"/>
        <w:autoSpaceDE w:val="0"/>
        <w:autoSpaceDN w:val="0"/>
        <w:bidi w:val="0"/>
        <w:adjustRightInd w:val="0"/>
        <w:snapToGrid/>
        <w:spacing w:line="440" w:lineRule="exact"/>
        <w:ind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四、验收：</w:t>
      </w:r>
    </w:p>
    <w:p w14:paraId="413E7F5A">
      <w:pPr>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（1）材料到达交货地点后，由采购人清点接货。如因包装或运输不当造成材料质量下降或缺损等，中标人承担</w:t>
      </w:r>
      <w:r>
        <w:rPr>
          <w:rFonts w:hint="eastAsia" w:ascii="宋体" w:hAnsi="宋体"/>
          <w:color w:val="000000" w:themeColor="text1"/>
          <w:sz w:val="21"/>
          <w:szCs w:val="21"/>
          <w:lang w:val="en-US" w:eastAsia="zh-CN"/>
          <w14:textFill>
            <w14:solidFill>
              <w14:schemeClr w14:val="tx1"/>
            </w14:solidFill>
          </w14:textFill>
        </w:rPr>
        <w:t>更换或赔偿</w:t>
      </w:r>
      <w:r>
        <w:rPr>
          <w:rFonts w:hint="eastAsia" w:ascii="宋体" w:hAnsi="宋体"/>
          <w:color w:val="000000" w:themeColor="text1"/>
          <w:sz w:val="21"/>
          <w:szCs w:val="21"/>
          <w14:textFill>
            <w14:solidFill>
              <w14:schemeClr w14:val="tx1"/>
            </w14:solidFill>
          </w14:textFill>
        </w:rPr>
        <w:t>责任。</w:t>
      </w:r>
    </w:p>
    <w:p w14:paraId="630D64F1">
      <w:pPr>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材料到达交货地点后，中标人应按采购人安排的时间派人到交货点进行检验。中标人应按合同所需供应的材料提供检测报告单，供需双方按合同要求进行验收，若有短少或不符合标准的材料，中标人应12小时内补足或更换全新同规格的材料，并承担由此产生的一切费用；如果该不合格材料已经被使用，由此引发的一切后果由中标人承担，且中标人三年内不得参加诸暨市</w:t>
      </w:r>
      <w:r>
        <w:rPr>
          <w:rFonts w:hint="eastAsia" w:ascii="宋体" w:hAnsi="宋体"/>
          <w:color w:val="000000" w:themeColor="text1"/>
          <w:sz w:val="21"/>
          <w:szCs w:val="21"/>
          <w:lang w:val="en-US" w:eastAsia="zh-CN"/>
          <w14:textFill>
            <w14:solidFill>
              <w14:schemeClr w14:val="tx1"/>
            </w14:solidFill>
          </w14:textFill>
        </w:rPr>
        <w:t>建设</w:t>
      </w:r>
      <w:r>
        <w:rPr>
          <w:rFonts w:hint="eastAsia" w:ascii="宋体" w:hAnsi="宋体"/>
          <w:color w:val="000000" w:themeColor="text1"/>
          <w:sz w:val="21"/>
          <w:szCs w:val="21"/>
          <w14:textFill>
            <w14:solidFill>
              <w14:schemeClr w14:val="tx1"/>
            </w14:solidFill>
          </w14:textFill>
        </w:rPr>
        <w:t>集团有限公司及</w:t>
      </w:r>
      <w:r>
        <w:rPr>
          <w:rFonts w:hint="eastAsia" w:ascii="宋体" w:hAnsi="宋体"/>
          <w:color w:val="000000" w:themeColor="text1"/>
          <w:sz w:val="21"/>
          <w:szCs w:val="21"/>
          <w:lang w:eastAsia="zh-CN"/>
          <w14:textFill>
            <w14:solidFill>
              <w14:schemeClr w14:val="tx1"/>
            </w14:solidFill>
          </w14:textFill>
        </w:rPr>
        <w:t>各</w:t>
      </w:r>
      <w:r>
        <w:rPr>
          <w:rFonts w:hint="eastAsia" w:ascii="宋体" w:hAnsi="宋体"/>
          <w:color w:val="000000" w:themeColor="text1"/>
          <w:sz w:val="21"/>
          <w:szCs w:val="21"/>
          <w14:textFill>
            <w14:solidFill>
              <w14:schemeClr w14:val="tx1"/>
            </w14:solidFill>
          </w14:textFill>
        </w:rPr>
        <w:t>下属</w:t>
      </w:r>
      <w:r>
        <w:rPr>
          <w:rFonts w:hint="eastAsia" w:ascii="宋体" w:hAnsi="宋体"/>
          <w:color w:val="000000" w:themeColor="text1"/>
          <w:sz w:val="21"/>
          <w:szCs w:val="21"/>
          <w:lang w:eastAsia="zh-CN"/>
          <w14:textFill>
            <w14:solidFill>
              <w14:schemeClr w14:val="tx1"/>
            </w14:solidFill>
          </w14:textFill>
        </w:rPr>
        <w:t>子公司</w:t>
      </w:r>
      <w:r>
        <w:rPr>
          <w:rFonts w:hint="eastAsia" w:ascii="宋体" w:hAnsi="宋体"/>
          <w:color w:val="000000" w:themeColor="text1"/>
          <w:sz w:val="21"/>
          <w:szCs w:val="21"/>
          <w14:textFill>
            <w14:solidFill>
              <w14:schemeClr w14:val="tx1"/>
            </w14:solidFill>
          </w14:textFill>
        </w:rPr>
        <w:t>的招投标活动</w:t>
      </w:r>
      <w:r>
        <w:rPr>
          <w:rFonts w:hint="eastAsia" w:ascii="宋体" w:hAnsi="宋体"/>
          <w:color w:val="000000" w:themeColor="text1"/>
          <w:sz w:val="21"/>
          <w:szCs w:val="21"/>
          <w:lang w:eastAsia="zh-CN"/>
          <w14:textFill>
            <w14:solidFill>
              <w14:schemeClr w14:val="tx1"/>
            </w14:solidFill>
          </w14:textFill>
        </w:rPr>
        <w:t>。</w:t>
      </w:r>
    </w:p>
    <w:p w14:paraId="722C93E8">
      <w:pPr>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（3）在供货期间如采购人发现产品存在质量疑问时，中标人须和采购人一起在公开、公正的情况下按现行规范对存在疑问的产品进行取样、封存，并</w:t>
      </w:r>
      <w:r>
        <w:rPr>
          <w:rFonts w:hint="eastAsia" w:ascii="宋体" w:hAnsi="宋体"/>
          <w:color w:val="000000" w:themeColor="text1"/>
          <w:sz w:val="21"/>
          <w:szCs w:val="21"/>
          <w:lang w:eastAsia="zh-CN"/>
          <w14:textFill>
            <w14:solidFill>
              <w14:schemeClr w14:val="tx1"/>
            </w14:solidFill>
          </w14:textFill>
        </w:rPr>
        <w:t>委托具有</w:t>
      </w:r>
      <w:r>
        <w:rPr>
          <w:rFonts w:hint="eastAsia" w:ascii="宋体" w:hAnsi="宋体"/>
          <w:color w:val="000000" w:themeColor="text1"/>
          <w:sz w:val="21"/>
          <w:szCs w:val="21"/>
          <w:lang w:val="en-US" w:eastAsia="zh-CN"/>
          <w14:textFill>
            <w14:solidFill>
              <w14:schemeClr w14:val="tx1"/>
            </w14:solidFill>
          </w14:textFill>
        </w:rPr>
        <w:t>相应</w:t>
      </w:r>
      <w:r>
        <w:rPr>
          <w:rFonts w:hint="eastAsia" w:ascii="宋体" w:hAnsi="宋体"/>
          <w:color w:val="000000" w:themeColor="text1"/>
          <w:sz w:val="21"/>
          <w:szCs w:val="21"/>
          <w:lang w:eastAsia="zh-CN"/>
          <w14:textFill>
            <w14:solidFill>
              <w14:schemeClr w14:val="tx1"/>
            </w14:solidFill>
          </w14:textFill>
        </w:rPr>
        <w:t>资质的</w:t>
      </w:r>
      <w:r>
        <w:rPr>
          <w:rFonts w:hint="eastAsia" w:ascii="宋体" w:hAnsi="宋体"/>
          <w:color w:val="000000" w:themeColor="text1"/>
          <w:sz w:val="21"/>
          <w:szCs w:val="21"/>
          <w14:textFill>
            <w14:solidFill>
              <w14:schemeClr w14:val="tx1"/>
            </w14:solidFill>
          </w14:textFill>
        </w:rPr>
        <w:t>试验检测单位进行检验，试验费用由中标人承担。</w:t>
      </w:r>
    </w:p>
    <w:p w14:paraId="2E2EDBC0">
      <w:pPr>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（4）中标人所提供产品的试验费用由中标人承担，相应材料的抽验频率按有关国家标准、行业标准确定。</w:t>
      </w:r>
    </w:p>
    <w:p w14:paraId="06CEB6FF">
      <w:pPr>
        <w:ind w:firstLine="632" w:firstLineChars="300"/>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五、</w:t>
      </w:r>
      <w:r>
        <w:rPr>
          <w:rFonts w:hint="eastAsia" w:ascii="宋体" w:hAnsi="宋体"/>
          <w:b/>
          <w:bCs/>
          <w:color w:val="000000" w:themeColor="text1"/>
          <w:sz w:val="21"/>
          <w:szCs w:val="21"/>
          <w14:textFill>
            <w14:solidFill>
              <w14:schemeClr w14:val="tx1"/>
            </w14:solidFill>
          </w14:textFill>
        </w:rPr>
        <w:t>履约保证金及付款方式：</w:t>
      </w:r>
    </w:p>
    <w:p w14:paraId="1E09E71B">
      <w:pPr>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履约保证金</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项目实施</w:t>
      </w:r>
      <w:r>
        <w:rPr>
          <w:rFonts w:hint="eastAsia" w:ascii="宋体" w:hAnsi="宋体"/>
          <w:color w:val="000000" w:themeColor="text1"/>
          <w:sz w:val="21"/>
          <w:szCs w:val="21"/>
          <w14:textFill>
            <w14:solidFill>
              <w14:schemeClr w14:val="tx1"/>
            </w14:solidFill>
          </w14:textFill>
        </w:rPr>
        <w:t>前</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中标人向采购人缴纳</w:t>
      </w:r>
      <w:r>
        <w:rPr>
          <w:rFonts w:hint="eastAsia" w:ascii="宋体" w:hAnsi="宋体"/>
          <w:color w:val="000000" w:themeColor="text1"/>
          <w:sz w:val="21"/>
          <w:szCs w:val="21"/>
          <w:lang w:val="en-US" w:eastAsia="zh-CN"/>
          <w14:textFill>
            <w14:solidFill>
              <w14:schemeClr w14:val="tx1"/>
            </w14:solidFill>
          </w14:textFill>
        </w:rPr>
        <w:t>人民币30万元的履约保证金或履约保函，履约保证金可以采用转账、汇款等形式提交。 合同履约完成后，货物经验收无任何质量问题，30日内退还（不计息）。</w:t>
      </w:r>
    </w:p>
    <w:p w14:paraId="5A47206A">
      <w:pPr>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（2）结算及付款方式</w:t>
      </w:r>
    </w:p>
    <w:p w14:paraId="2EB7CA59">
      <w:pPr>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本项目无预付款，</w:t>
      </w:r>
      <w:r>
        <w:rPr>
          <w:rFonts w:hint="eastAsia" w:ascii="宋体" w:hAnsi="宋体"/>
          <w:color w:val="000000" w:themeColor="text1"/>
          <w:sz w:val="21"/>
          <w:szCs w:val="21"/>
          <w:lang w:val="en-US" w:eastAsia="zh-CN"/>
          <w14:textFill>
            <w14:solidFill>
              <w14:schemeClr w14:val="tx1"/>
            </w14:solidFill>
          </w14:textFill>
        </w:rPr>
        <w:t>每月甲乙双方完成对账，材料款</w:t>
      </w:r>
      <w:r>
        <w:rPr>
          <w:rFonts w:hint="eastAsia" w:ascii="宋体" w:hAnsi="宋体"/>
          <w:color w:val="000000" w:themeColor="text1"/>
          <w:sz w:val="21"/>
          <w:szCs w:val="21"/>
          <w:lang w:eastAsia="zh-CN"/>
          <w14:textFill>
            <w14:solidFill>
              <w14:schemeClr w14:val="tx1"/>
            </w14:solidFill>
          </w14:textFill>
        </w:rPr>
        <w:t>每</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个月按实结算</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结算完成后30日内支付材料款。中标人向招标人提供税率为13%的增值税专用发票，</w:t>
      </w:r>
      <w:r>
        <w:rPr>
          <w:rFonts w:hint="eastAsia" w:ascii="宋体" w:hAnsi="宋体"/>
          <w:color w:val="000000" w:themeColor="text1"/>
          <w:sz w:val="21"/>
          <w:szCs w:val="21"/>
          <w:lang w:eastAsia="zh-CN"/>
          <w14:textFill>
            <w14:solidFill>
              <w14:schemeClr w14:val="tx1"/>
            </w14:solidFill>
          </w14:textFill>
        </w:rPr>
        <w:t>（结算时供应商不提供</w:t>
      </w:r>
      <w:r>
        <w:rPr>
          <w:rFonts w:hint="eastAsia" w:ascii="宋体" w:hAnsi="宋体"/>
          <w:color w:val="000000" w:themeColor="text1"/>
          <w:sz w:val="21"/>
          <w:szCs w:val="21"/>
          <w:lang w:val="en-US" w:eastAsia="zh-CN"/>
          <w14:textFill>
            <w14:solidFill>
              <w14:schemeClr w14:val="tx1"/>
            </w14:solidFill>
          </w14:textFill>
        </w:rPr>
        <w:t>税率为13%的增值税专用发票，不予结算</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14:paraId="028B1C42">
      <w:pPr>
        <w:ind w:firstLine="422" w:firstLineChars="200"/>
        <w:rPr>
          <w:rFonts w:hint="eastAsia" w:ascii="宋体" w:hAnsi="宋体" w:eastAsia="宋体"/>
          <w:b/>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六</w:t>
      </w:r>
      <w:r>
        <w:rPr>
          <w:rFonts w:hint="eastAsia" w:ascii="宋体" w:hAnsi="宋体"/>
          <w:b/>
          <w:color w:val="000000" w:themeColor="text1"/>
          <w:sz w:val="21"/>
          <w:szCs w:val="21"/>
          <w14:textFill>
            <w14:solidFill>
              <w14:schemeClr w14:val="tx1"/>
            </w14:solidFill>
          </w14:textFill>
        </w:rPr>
        <w:t>、售后服务</w:t>
      </w:r>
      <w:r>
        <w:rPr>
          <w:rFonts w:hint="eastAsia" w:ascii="宋体" w:hAnsi="宋体"/>
          <w:b/>
          <w:color w:val="000000" w:themeColor="text1"/>
          <w:sz w:val="21"/>
          <w:szCs w:val="21"/>
          <w:lang w:eastAsia="zh-CN"/>
          <w14:textFill>
            <w14:solidFill>
              <w14:schemeClr w14:val="tx1"/>
            </w14:solidFill>
          </w14:textFill>
        </w:rPr>
        <w:t>：</w:t>
      </w:r>
    </w:p>
    <w:p w14:paraId="306237CB">
      <w:pPr>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具体售后服务条款参照</w:t>
      </w:r>
      <w:r>
        <w:rPr>
          <w:rFonts w:hint="eastAsia" w:ascii="宋体" w:hAnsi="宋体"/>
          <w:color w:val="000000" w:themeColor="text1"/>
          <w:sz w:val="21"/>
          <w:szCs w:val="21"/>
          <w:lang w:val="en-US"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文件及乙方</w:t>
      </w:r>
      <w:r>
        <w:rPr>
          <w:rFonts w:hint="eastAsia" w:ascii="宋体" w:hAnsi="宋体"/>
          <w:color w:val="000000" w:themeColor="text1"/>
          <w:sz w:val="21"/>
          <w:szCs w:val="21"/>
          <w:lang w:val="en-US"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文件中的售后服务承诺。</w:t>
      </w:r>
    </w:p>
    <w:p w14:paraId="6113F89C">
      <w:pPr>
        <w:ind w:firstLine="422" w:firstLineChars="200"/>
        <w:rPr>
          <w:rFonts w:hint="eastAsia" w:ascii="宋体" w:hAnsi="宋体" w:eastAsia="宋体"/>
          <w:b/>
          <w:color w:val="000000" w:themeColor="text1"/>
          <w:lang w:eastAsia="zh-CN"/>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七</w:t>
      </w:r>
      <w:r>
        <w:rPr>
          <w:rFonts w:hint="eastAsia" w:ascii="宋体" w:hAnsi="宋体"/>
          <w:b/>
          <w:color w:val="000000" w:themeColor="text1"/>
          <w14:textFill>
            <w14:solidFill>
              <w14:schemeClr w14:val="tx1"/>
            </w14:solidFill>
          </w14:textFill>
        </w:rPr>
        <w:t>、违约责任</w:t>
      </w:r>
      <w:r>
        <w:rPr>
          <w:rFonts w:hint="eastAsia" w:ascii="宋体" w:hAnsi="宋体"/>
          <w:b/>
          <w:color w:val="000000" w:themeColor="text1"/>
          <w:lang w:eastAsia="zh-CN"/>
          <w14:textFill>
            <w14:solidFill>
              <w14:schemeClr w14:val="tx1"/>
            </w14:solidFill>
          </w14:textFill>
        </w:rPr>
        <w:t>：</w:t>
      </w:r>
    </w:p>
    <w:p w14:paraId="2167E3A5">
      <w:pPr>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、乙方不能交付产品（或服务），甲方有权扣留全部履约保证金；同时乙方向甲方支付合同款总价5%的违约金。</w:t>
      </w:r>
      <w:r>
        <w:rPr>
          <w:rFonts w:hint="eastAsia" w:ascii="宋体" w:hAnsi="宋体"/>
          <w:color w:val="000000" w:themeColor="text1"/>
          <w:lang w:val="en-US" w:eastAsia="zh-CN"/>
          <w14:textFill>
            <w14:solidFill>
              <w14:schemeClr w14:val="tx1"/>
            </w14:solidFill>
          </w14:textFill>
        </w:rPr>
        <w:t>同时</w:t>
      </w:r>
      <w:r>
        <w:rPr>
          <w:rFonts w:hint="eastAsia" w:ascii="宋体" w:hAnsi="宋体"/>
          <w:color w:val="000000" w:themeColor="text1"/>
          <w14:textFill>
            <w14:solidFill>
              <w14:schemeClr w14:val="tx1"/>
            </w14:solidFill>
          </w14:textFill>
        </w:rPr>
        <w:t>甲方有权解除合同，解除合同的通知自到达乙方时生效。</w:t>
      </w:r>
    </w:p>
    <w:p w14:paraId="2F62C85A">
      <w:pPr>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、乙方逾期交付产品（或服务）的，每逾期1天，乙方向甲方偿付逾期部分产品（或服务）货款的0.5%的滞纳金，如乙方逾期15天，甲方有权扣留全部履约保证金</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乙方向甲方支付合同款总价5%的违约金。</w:t>
      </w:r>
      <w:r>
        <w:rPr>
          <w:rFonts w:hint="eastAsia" w:ascii="宋体" w:hAnsi="宋体"/>
          <w:color w:val="000000" w:themeColor="text1"/>
          <w:lang w:val="en-US" w:eastAsia="zh-CN"/>
          <w14:textFill>
            <w14:solidFill>
              <w14:schemeClr w14:val="tx1"/>
            </w14:solidFill>
          </w14:textFill>
        </w:rPr>
        <w:t>同时</w:t>
      </w:r>
      <w:r>
        <w:rPr>
          <w:rFonts w:hint="eastAsia" w:ascii="宋体" w:hAnsi="宋体"/>
          <w:color w:val="000000" w:themeColor="text1"/>
          <w14:textFill>
            <w14:solidFill>
              <w14:schemeClr w14:val="tx1"/>
            </w14:solidFill>
          </w14:textFill>
        </w:rPr>
        <w:t>甲方有权解除合同，解除合同的通知自到达乙方时生效。</w:t>
      </w:r>
    </w:p>
    <w:p w14:paraId="2EA16E7D">
      <w:pPr>
        <w:ind w:firstLine="422" w:firstLineChars="200"/>
        <w:rPr>
          <w:rFonts w:hint="eastAsia" w:ascii="宋体" w:hAnsi="宋体" w:eastAsia="宋体"/>
          <w:b/>
          <w:color w:val="000000" w:themeColor="text1"/>
          <w:lang w:eastAsia="zh-CN"/>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八</w:t>
      </w:r>
      <w:r>
        <w:rPr>
          <w:rFonts w:hint="eastAsia" w:ascii="宋体" w:hAnsi="宋体"/>
          <w:b/>
          <w:color w:val="000000" w:themeColor="text1"/>
          <w14:textFill>
            <w14:solidFill>
              <w14:schemeClr w14:val="tx1"/>
            </w14:solidFill>
          </w14:textFill>
        </w:rPr>
        <w:t>、其他约定事项</w:t>
      </w:r>
      <w:r>
        <w:rPr>
          <w:rFonts w:hint="eastAsia" w:ascii="宋体" w:hAnsi="宋体"/>
          <w:b/>
          <w:color w:val="000000" w:themeColor="text1"/>
          <w:lang w:eastAsia="zh-CN"/>
          <w14:textFill>
            <w14:solidFill>
              <w14:schemeClr w14:val="tx1"/>
            </w14:solidFill>
          </w14:textFill>
        </w:rPr>
        <w:t>：</w:t>
      </w:r>
    </w:p>
    <w:p w14:paraId="5CB58A55">
      <w:pPr>
        <w:ind w:firstLine="420" w:firstLineChars="200"/>
        <w:rPr>
          <w:rFonts w:hint="eastAsia"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p>
    <w:p w14:paraId="65212093">
      <w:pPr>
        <w:rPr>
          <w:rFonts w:hint="eastAsia"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p>
    <w:p w14:paraId="14AD6E74">
      <w:pPr>
        <w:ind w:firstLine="422" w:firstLineChars="200"/>
        <w:rPr>
          <w:rFonts w:hint="eastAsia" w:ascii="宋体" w:hAnsi="宋体" w:eastAsia="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九</w:t>
      </w:r>
      <w:r>
        <w:rPr>
          <w:rFonts w:hint="eastAsia" w:ascii="宋体" w:hAnsi="宋体"/>
          <w:b/>
          <w:color w:val="000000" w:themeColor="text1"/>
          <w14:textFill>
            <w14:solidFill>
              <w14:schemeClr w14:val="tx1"/>
            </w14:solidFill>
          </w14:textFill>
        </w:rPr>
        <w:t>、解决合同纠纷方式</w:t>
      </w:r>
      <w:r>
        <w:rPr>
          <w:rFonts w:hint="eastAsia" w:ascii="宋体" w:hAnsi="宋体"/>
          <w:b/>
          <w:color w:val="000000" w:themeColor="text1"/>
          <w:lang w:eastAsia="zh-CN"/>
          <w14:textFill>
            <w14:solidFill>
              <w14:schemeClr w14:val="tx1"/>
            </w14:solidFill>
          </w14:textFill>
        </w:rPr>
        <w:t>：</w:t>
      </w:r>
    </w:p>
    <w:p w14:paraId="180D29D6">
      <w:pPr>
        <w:ind w:firstLine="420" w:firstLineChars="200"/>
        <w:rPr>
          <w:rFonts w:hint="eastAsia" w:ascii="仿宋" w:hAnsi="仿宋" w:eastAsia="仿宋" w:cs="仿宋"/>
          <w:b/>
          <w:color w:val="000000" w:themeColor="text1"/>
          <w:sz w:val="21"/>
          <w:szCs w:val="21"/>
          <w14:textFill>
            <w14:solidFill>
              <w14:schemeClr w14:val="tx1"/>
            </w14:solidFill>
          </w14:textFill>
        </w:rPr>
      </w:pPr>
      <w:r>
        <w:rPr>
          <w:rFonts w:hint="eastAsia" w:ascii="宋体" w:hAnsi="宋体"/>
          <w:color w:val="000000" w:themeColor="text1"/>
          <w14:textFill>
            <w14:solidFill>
              <w14:schemeClr w14:val="tx1"/>
            </w14:solidFill>
          </w14:textFill>
        </w:rPr>
        <w:t>其它未尽事宜或履行时发生争议，由双方本着诚实信用的原则协商解决，协商不成功可选择</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：1）向绍兴仲裁委员会申请仲裁；2）向</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诸暨市</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人民法院起诉。</w:t>
      </w:r>
    </w:p>
    <w:p w14:paraId="3AA18EFE">
      <w:pPr>
        <w:ind w:firstLine="422" w:firstLineChars="200"/>
        <w:rPr>
          <w:rFonts w:hint="eastAsia" w:ascii="宋体" w:hAnsi="宋体" w:eastAsia="宋体" w:cs="Times New Roman"/>
          <w:b/>
          <w:color w:val="000000" w:themeColor="text1"/>
          <w:lang w:eastAsia="zh-CN"/>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十、其它</w:t>
      </w:r>
      <w:r>
        <w:rPr>
          <w:rFonts w:hint="eastAsia" w:ascii="宋体" w:hAnsi="宋体" w:cs="Times New Roman"/>
          <w:b/>
          <w:color w:val="000000" w:themeColor="text1"/>
          <w:lang w:eastAsia="zh-CN"/>
          <w14:textFill>
            <w14:solidFill>
              <w14:schemeClr w14:val="tx1"/>
            </w14:solidFill>
          </w14:textFill>
        </w:rPr>
        <w:t>：</w:t>
      </w:r>
    </w:p>
    <w:p w14:paraId="2CF1DB94">
      <w:pPr>
        <w:ind w:firstLine="420" w:firstLineChars="20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1、本项目的招标文件、投标文件、中标通知书作为合同的附件，具有同等法律效力。</w:t>
      </w:r>
    </w:p>
    <w:p w14:paraId="10928495">
      <w:pPr>
        <w:ind w:firstLine="420" w:firstLineChars="20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2、本合同自签订之日起生效。</w:t>
      </w:r>
    </w:p>
    <w:p w14:paraId="777E6A78">
      <w:pPr>
        <w:ind w:firstLine="420" w:firstLineChars="20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3、本合同一式四份，甲乙双方、代理机构各执一份，招标办备案一份。</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819"/>
      </w:tblGrid>
      <w:tr w14:paraId="3D96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820" w:type="dxa"/>
            <w:noWrap w:val="0"/>
            <w:vAlign w:val="center"/>
          </w:tcPr>
          <w:p w14:paraId="4CB41B9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采购单位</w:t>
            </w:r>
          </w:p>
        </w:tc>
        <w:tc>
          <w:tcPr>
            <w:tcW w:w="4819" w:type="dxa"/>
            <w:noWrap w:val="0"/>
            <w:vAlign w:val="center"/>
          </w:tcPr>
          <w:p w14:paraId="669465E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供货单位</w:t>
            </w:r>
          </w:p>
        </w:tc>
      </w:tr>
      <w:tr w14:paraId="5877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820" w:type="dxa"/>
            <w:noWrap w:val="0"/>
            <w:vAlign w:val="top"/>
          </w:tcPr>
          <w:p w14:paraId="1BD049F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单位名称（盖章）</w:t>
            </w:r>
          </w:p>
          <w:p w14:paraId="0F9274C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单位地址：</w:t>
            </w:r>
          </w:p>
          <w:p w14:paraId="1B6F8D6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p>
          <w:p w14:paraId="6993C53D">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p>
          <w:p w14:paraId="0AB4F80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p>
          <w:p w14:paraId="60765E4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传真号码：</w:t>
            </w:r>
          </w:p>
          <w:p w14:paraId="6CAEC30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邮政编码：</w:t>
            </w:r>
          </w:p>
        </w:tc>
        <w:tc>
          <w:tcPr>
            <w:tcW w:w="4819" w:type="dxa"/>
            <w:noWrap w:val="0"/>
            <w:vAlign w:val="top"/>
          </w:tcPr>
          <w:p w14:paraId="04FAC3A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单位名称（盖章）</w:t>
            </w:r>
          </w:p>
          <w:p w14:paraId="3D8A6282">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单位地址：</w:t>
            </w:r>
          </w:p>
          <w:p w14:paraId="018509C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p>
          <w:p w14:paraId="47950BF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p>
          <w:p w14:paraId="43B387B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p>
          <w:p w14:paraId="7F333DD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传真号码：</w:t>
            </w:r>
          </w:p>
          <w:p w14:paraId="075114D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邮政编码：</w:t>
            </w:r>
          </w:p>
          <w:p w14:paraId="4D49FB2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p>
          <w:p w14:paraId="66F5A53E">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    号：</w:t>
            </w:r>
          </w:p>
        </w:tc>
      </w:tr>
    </w:tbl>
    <w:p w14:paraId="0F50D399">
      <w:pPr>
        <w:keepNext w:val="0"/>
        <w:keepLines w:val="0"/>
        <w:pageBreakBefore w:val="0"/>
        <w:widowControl w:val="0"/>
        <w:kinsoku/>
        <w:wordWrap/>
        <w:overflowPunct/>
        <w:topLinePunct w:val="0"/>
        <w:autoSpaceDE/>
        <w:autoSpaceDN/>
        <w:bidi w:val="0"/>
        <w:adjustRightInd/>
        <w:snapToGrid/>
        <w:spacing w:beforeLines="50" w:line="240" w:lineRule="auto"/>
        <w:textAlignment w:val="auto"/>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注：</w:t>
      </w:r>
    </w:p>
    <w:p w14:paraId="51EA04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1、如本合同条款与招标文件中实质性内容不相符，以招标文件规定为准，在签订前进行调整。</w:t>
      </w:r>
    </w:p>
    <w:p w14:paraId="6CB649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2、在正式签订前，应根据招标文件要求及项目实际情况拟定更为详尽的合同书。</w:t>
      </w:r>
    </w:p>
    <w:p w14:paraId="6582903E">
      <w:pPr>
        <w:keepNext w:val="0"/>
        <w:keepLines w:val="0"/>
        <w:pageBreakBefore w:val="0"/>
        <w:widowControl w:val="0"/>
        <w:kinsoku/>
        <w:wordWrap/>
        <w:overflowPunct/>
        <w:topLinePunct w:val="0"/>
        <w:autoSpaceDE w:val="0"/>
        <w:autoSpaceDN w:val="0"/>
        <w:bidi w:val="0"/>
        <w:adjustRightInd w:val="0"/>
        <w:spacing w:line="480" w:lineRule="exact"/>
        <w:ind w:left="0" w:leftChars="0"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14:paraId="33F83BCF">
      <w:pPr>
        <w:jc w:val="center"/>
        <w:rPr>
          <w:rFonts w:hint="eastAsia" w:ascii="宋体" w:hAnsi="宋体" w:eastAsia="仿宋_GB2312" w:cs="宋体"/>
          <w:b/>
          <w:bCs/>
          <w:color w:val="000000" w:themeColor="text1"/>
          <w:sz w:val="44"/>
          <w:szCs w:val="44"/>
          <w14:textFill>
            <w14:solidFill>
              <w14:schemeClr w14:val="tx1"/>
            </w14:solidFill>
          </w14:textFill>
        </w:rPr>
      </w:pPr>
    </w:p>
    <w:p w14:paraId="61F8AE51">
      <w:pPr>
        <w:jc w:val="center"/>
        <w:rPr>
          <w:rFonts w:hint="eastAsia" w:asciiTheme="minorEastAsia" w:hAnsiTheme="minorEastAsia" w:eastAsiaTheme="minorEastAsia" w:cstheme="minorEastAsia"/>
          <w:color w:val="auto"/>
          <w:sz w:val="44"/>
          <w:szCs w:val="44"/>
        </w:rPr>
      </w:pPr>
      <w:r>
        <w:rPr>
          <w:rFonts w:hint="eastAsia" w:ascii="宋体" w:hAnsi="宋体" w:eastAsia="仿宋_GB2312" w:cs="宋体"/>
          <w:b/>
          <w:bCs/>
          <w:color w:val="000000" w:themeColor="text1"/>
          <w:sz w:val="44"/>
          <w:szCs w:val="44"/>
          <w14:textFill>
            <w14:solidFill>
              <w14:schemeClr w14:val="tx1"/>
            </w14:solidFill>
          </w14:textFill>
        </w:rPr>
        <w:br w:type="page"/>
      </w:r>
      <w:r>
        <w:rPr>
          <w:rFonts w:hint="eastAsia" w:asciiTheme="minorEastAsia" w:hAnsiTheme="minorEastAsia" w:eastAsiaTheme="minorEastAsia" w:cstheme="minorEastAsia"/>
          <w:b/>
          <w:bCs/>
          <w:color w:val="auto"/>
          <w:sz w:val="44"/>
          <w:szCs w:val="44"/>
        </w:rPr>
        <w:t>第六章  应提交的有关格式范例</w:t>
      </w:r>
    </w:p>
    <w:p w14:paraId="7FFECD99">
      <w:pPr>
        <w:widowControl/>
        <w:tabs>
          <w:tab w:val="left" w:pos="450"/>
          <w:tab w:val="left" w:pos="8280"/>
        </w:tabs>
        <w:spacing w:line="360" w:lineRule="auto"/>
        <w:ind w:firstLine="480"/>
        <w:jc w:val="center"/>
        <w:rPr>
          <w:rFonts w:hint="eastAsia" w:asciiTheme="minorEastAsia" w:hAnsiTheme="minorEastAsia" w:eastAsiaTheme="minorEastAsia" w:cstheme="minorEastAsia"/>
          <w:color w:val="auto"/>
          <w:sz w:val="28"/>
          <w:szCs w:val="28"/>
        </w:rPr>
      </w:pPr>
    </w:p>
    <w:p w14:paraId="6D63CA5A">
      <w:pPr>
        <w:widowControl/>
        <w:tabs>
          <w:tab w:val="left" w:pos="450"/>
          <w:tab w:val="left" w:pos="2520"/>
          <w:tab w:val="left" w:pos="8280"/>
        </w:tabs>
        <w:spacing w:line="360" w:lineRule="auto"/>
        <w:ind w:firstLine="480"/>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一、封面格式</w:t>
      </w:r>
    </w:p>
    <w:p w14:paraId="47C4AC17">
      <w:pPr>
        <w:widowControl/>
        <w:tabs>
          <w:tab w:val="left" w:pos="8280"/>
        </w:tabs>
        <w:spacing w:line="360" w:lineRule="auto"/>
        <w:ind w:firstLine="480"/>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商务技术文件或报价文件</w:t>
      </w:r>
    </w:p>
    <w:p w14:paraId="27B2C8DA">
      <w:pPr>
        <w:widowControl/>
        <w:tabs>
          <w:tab w:val="left" w:pos="275"/>
          <w:tab w:val="left" w:pos="8280"/>
        </w:tabs>
        <w:spacing w:line="360" w:lineRule="auto"/>
        <w:ind w:firstLine="480"/>
        <w:jc w:val="left"/>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ab/>
      </w:r>
    </w:p>
    <w:p w14:paraId="03598121">
      <w:pPr>
        <w:widowControl/>
        <w:tabs>
          <w:tab w:val="left" w:pos="275"/>
          <w:tab w:val="left" w:pos="8280"/>
        </w:tabs>
        <w:spacing w:line="360" w:lineRule="auto"/>
        <w:jc w:val="left"/>
        <w:rPr>
          <w:rFonts w:hint="eastAsia" w:asciiTheme="minorEastAsia" w:hAnsiTheme="minorEastAsia" w:eastAsiaTheme="minorEastAsia" w:cstheme="minorEastAsia"/>
          <w:b/>
          <w:color w:val="auto"/>
          <w:sz w:val="32"/>
          <w:szCs w:val="32"/>
          <w:u w:val="single"/>
        </w:rPr>
      </w:pPr>
      <w:r>
        <w:rPr>
          <w:rFonts w:hint="eastAsia" w:asciiTheme="minorEastAsia" w:hAnsiTheme="minorEastAsia" w:eastAsiaTheme="minorEastAsia" w:cstheme="minorEastAsia"/>
          <w:b/>
          <w:color w:val="auto"/>
          <w:sz w:val="32"/>
          <w:szCs w:val="32"/>
        </w:rPr>
        <w:t>项目名称：</w:t>
      </w:r>
      <w:r>
        <w:rPr>
          <w:rFonts w:hint="eastAsia" w:asciiTheme="minorEastAsia" w:hAnsiTheme="minorEastAsia" w:eastAsiaTheme="minorEastAsia" w:cstheme="minorEastAsia"/>
          <w:b/>
          <w:color w:val="auto"/>
          <w:sz w:val="32"/>
          <w:szCs w:val="32"/>
          <w:u w:val="single"/>
        </w:rPr>
        <w:t xml:space="preserve">                                      </w:t>
      </w:r>
    </w:p>
    <w:p w14:paraId="3865E64D">
      <w:pPr>
        <w:widowControl/>
        <w:tabs>
          <w:tab w:val="left" w:pos="275"/>
          <w:tab w:val="left" w:pos="8280"/>
        </w:tabs>
        <w:spacing w:line="360" w:lineRule="auto"/>
        <w:ind w:firstLine="472" w:firstLineChars="147"/>
        <w:jc w:val="left"/>
        <w:rPr>
          <w:rFonts w:hint="eastAsia" w:asciiTheme="minorEastAsia" w:hAnsiTheme="minorEastAsia" w:eastAsiaTheme="minorEastAsia" w:cstheme="minorEastAsia"/>
          <w:b/>
          <w:color w:val="auto"/>
          <w:sz w:val="32"/>
          <w:szCs w:val="32"/>
        </w:rPr>
      </w:pPr>
    </w:p>
    <w:p w14:paraId="4DFEFBB2">
      <w:pPr>
        <w:widowControl/>
        <w:tabs>
          <w:tab w:val="left" w:pos="275"/>
          <w:tab w:val="left" w:pos="8280"/>
        </w:tabs>
        <w:spacing w:line="360" w:lineRule="auto"/>
        <w:jc w:val="left"/>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2"/>
          <w:szCs w:val="32"/>
        </w:rPr>
        <w:t>项目编号：</w:t>
      </w:r>
      <w:r>
        <w:rPr>
          <w:rFonts w:hint="eastAsia" w:asciiTheme="minorEastAsia" w:hAnsiTheme="minorEastAsia" w:eastAsiaTheme="minorEastAsia" w:cstheme="minorEastAsia"/>
          <w:b/>
          <w:color w:val="auto"/>
          <w:sz w:val="32"/>
          <w:szCs w:val="32"/>
          <w:u w:val="single"/>
        </w:rPr>
        <w:t xml:space="preserve">                                      </w:t>
      </w:r>
      <w:r>
        <w:rPr>
          <w:rFonts w:hint="eastAsia" w:asciiTheme="minorEastAsia" w:hAnsiTheme="minorEastAsia" w:eastAsiaTheme="minorEastAsia" w:cstheme="minorEastAsia"/>
          <w:b/>
          <w:color w:val="auto"/>
          <w:sz w:val="32"/>
          <w:szCs w:val="32"/>
        </w:rPr>
        <w:t xml:space="preserve">   </w:t>
      </w:r>
    </w:p>
    <w:p w14:paraId="4E5B81F3">
      <w:pPr>
        <w:widowControl/>
        <w:tabs>
          <w:tab w:val="left" w:pos="765"/>
          <w:tab w:val="left" w:pos="8280"/>
        </w:tabs>
        <w:spacing w:line="360" w:lineRule="auto"/>
        <w:ind w:firstLine="480"/>
        <w:jc w:val="left"/>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ab/>
      </w:r>
    </w:p>
    <w:p w14:paraId="30516AE0">
      <w:pPr>
        <w:widowControl/>
        <w:tabs>
          <w:tab w:val="left" w:pos="765"/>
          <w:tab w:val="left" w:pos="8280"/>
        </w:tabs>
        <w:spacing w:line="360" w:lineRule="auto"/>
        <w:jc w:val="left"/>
        <w:rPr>
          <w:rFonts w:hint="eastAsia" w:asciiTheme="minorEastAsia" w:hAnsiTheme="minorEastAsia" w:eastAsiaTheme="minorEastAsia" w:cstheme="minorEastAsia"/>
          <w:b/>
          <w:color w:val="auto"/>
          <w:sz w:val="36"/>
          <w:szCs w:val="36"/>
          <w:u w:val="single"/>
        </w:rPr>
      </w:pPr>
      <w:r>
        <w:rPr>
          <w:rFonts w:hint="eastAsia" w:asciiTheme="minorEastAsia" w:hAnsiTheme="minorEastAsia" w:eastAsiaTheme="minorEastAsia" w:cstheme="minorEastAsia"/>
          <w:b/>
          <w:color w:val="auto"/>
          <w:sz w:val="32"/>
          <w:szCs w:val="32"/>
        </w:rPr>
        <w:t>投标人：</w:t>
      </w:r>
      <w:r>
        <w:rPr>
          <w:rFonts w:hint="eastAsia" w:asciiTheme="minorEastAsia" w:hAnsiTheme="minorEastAsia" w:eastAsiaTheme="minorEastAsia" w:cstheme="minorEastAsia"/>
          <w:b/>
          <w:color w:val="auto"/>
          <w:sz w:val="32"/>
          <w:szCs w:val="32"/>
          <w:u w:val="single"/>
        </w:rPr>
        <w:t xml:space="preserve">           （盖章）              </w:t>
      </w:r>
    </w:p>
    <w:p w14:paraId="47062B80">
      <w:pPr>
        <w:widowControl/>
        <w:tabs>
          <w:tab w:val="left" w:pos="8280"/>
        </w:tabs>
        <w:spacing w:line="360" w:lineRule="auto"/>
        <w:ind w:firstLine="480"/>
        <w:jc w:val="center"/>
        <w:rPr>
          <w:rFonts w:hint="eastAsia" w:asciiTheme="minorEastAsia" w:hAnsiTheme="minorEastAsia" w:eastAsiaTheme="minorEastAsia" w:cstheme="minorEastAsia"/>
          <w:b/>
          <w:color w:val="auto"/>
          <w:sz w:val="32"/>
          <w:szCs w:val="32"/>
        </w:rPr>
      </w:pPr>
    </w:p>
    <w:p w14:paraId="3038CF4C">
      <w:pPr>
        <w:widowControl/>
        <w:tabs>
          <w:tab w:val="left" w:pos="8280"/>
        </w:tabs>
        <w:spacing w:line="360" w:lineRule="auto"/>
        <w:ind w:firstLine="480"/>
        <w:jc w:val="center"/>
        <w:rPr>
          <w:rFonts w:hint="eastAsia" w:asciiTheme="minorEastAsia" w:hAnsiTheme="minorEastAsia" w:eastAsiaTheme="minorEastAsia" w:cstheme="minorEastAsia"/>
          <w:b/>
          <w:color w:val="auto"/>
          <w:sz w:val="32"/>
          <w:szCs w:val="32"/>
        </w:rPr>
      </w:pPr>
    </w:p>
    <w:p w14:paraId="57D4A7E9">
      <w:pPr>
        <w:widowControl/>
        <w:tabs>
          <w:tab w:val="left" w:pos="350"/>
          <w:tab w:val="left" w:pos="8280"/>
        </w:tabs>
        <w:spacing w:line="360" w:lineRule="auto"/>
        <w:jc w:val="left"/>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日期：      </w:t>
      </w:r>
      <w:r>
        <w:rPr>
          <w:rFonts w:hint="eastAsia"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2"/>
          <w:szCs w:val="32"/>
        </w:rPr>
        <w:t>年</w:t>
      </w:r>
      <w:r>
        <w:rPr>
          <w:rFonts w:hint="eastAsia"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2"/>
          <w:szCs w:val="32"/>
        </w:rPr>
        <w:t>月</w:t>
      </w:r>
      <w:r>
        <w:rPr>
          <w:rFonts w:hint="eastAsia"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2"/>
          <w:szCs w:val="32"/>
        </w:rPr>
        <w:t>日</w:t>
      </w:r>
    </w:p>
    <w:p w14:paraId="513BFC62">
      <w:pPr>
        <w:widowControl/>
        <w:tabs>
          <w:tab w:val="left" w:pos="350"/>
          <w:tab w:val="left" w:pos="8280"/>
        </w:tabs>
        <w:spacing w:line="360" w:lineRule="auto"/>
        <w:ind w:firstLine="480"/>
        <w:jc w:val="left"/>
        <w:rPr>
          <w:rFonts w:hint="eastAsia" w:ascii="黑体" w:hAnsi="黑体" w:eastAsia="仿宋_GB2312" w:cs="黑体"/>
          <w:b/>
          <w:color w:val="auto"/>
          <w:sz w:val="32"/>
          <w:szCs w:val="32"/>
        </w:rPr>
      </w:pPr>
    </w:p>
    <w:p w14:paraId="24C30499">
      <w:pPr>
        <w:pStyle w:val="4"/>
        <w:spacing w:line="500" w:lineRule="exact"/>
        <w:jc w:val="center"/>
        <w:rPr>
          <w:rFonts w:hint="eastAsia" w:ascii="黑体" w:hAnsi="黑体" w:eastAsia="仿宋_GB2312" w:cs="黑体"/>
          <w:b w:val="0"/>
          <w:color w:val="auto"/>
        </w:rPr>
      </w:pPr>
    </w:p>
    <w:p w14:paraId="6041B84C">
      <w:pPr>
        <w:rPr>
          <w:rFonts w:hint="eastAsia" w:ascii="黑体" w:hAnsi="黑体" w:eastAsia="仿宋_GB2312" w:cs="黑体"/>
          <w:color w:val="auto"/>
        </w:rPr>
      </w:pPr>
    </w:p>
    <w:p w14:paraId="381FE612">
      <w:pPr>
        <w:rPr>
          <w:rFonts w:hint="eastAsia" w:ascii="黑体" w:hAnsi="黑体" w:eastAsia="仿宋_GB2312" w:cs="黑体"/>
          <w:color w:val="auto"/>
        </w:rPr>
      </w:pPr>
    </w:p>
    <w:p w14:paraId="49D74D1A">
      <w:pPr>
        <w:rPr>
          <w:rFonts w:hint="eastAsia" w:ascii="黑体" w:hAnsi="黑体" w:eastAsia="仿宋_GB2312" w:cs="黑体"/>
          <w:color w:val="auto"/>
        </w:rPr>
      </w:pPr>
    </w:p>
    <w:p w14:paraId="7E94F1A8">
      <w:pPr>
        <w:rPr>
          <w:rFonts w:hint="eastAsia" w:ascii="黑体" w:hAnsi="黑体" w:eastAsia="仿宋_GB2312" w:cs="黑体"/>
          <w:color w:val="auto"/>
        </w:rPr>
      </w:pPr>
    </w:p>
    <w:p w14:paraId="11D8543C">
      <w:pPr>
        <w:rPr>
          <w:rFonts w:hint="eastAsia" w:ascii="黑体" w:hAnsi="黑体" w:eastAsia="仿宋_GB2312" w:cs="黑体"/>
          <w:color w:val="auto"/>
        </w:rPr>
      </w:pPr>
    </w:p>
    <w:p w14:paraId="4EC3C494">
      <w:pPr>
        <w:rPr>
          <w:rFonts w:hint="eastAsia" w:ascii="黑体" w:hAnsi="黑体" w:eastAsia="仿宋_GB2312" w:cs="黑体"/>
          <w:color w:val="auto"/>
        </w:rPr>
      </w:pPr>
    </w:p>
    <w:p w14:paraId="03D06FF7">
      <w:pPr>
        <w:rPr>
          <w:rFonts w:hint="eastAsia" w:ascii="黑体" w:hAnsi="黑体" w:eastAsia="仿宋_GB2312" w:cs="黑体"/>
          <w:color w:val="auto"/>
        </w:rPr>
      </w:pPr>
    </w:p>
    <w:p w14:paraId="70882DDE">
      <w:pPr>
        <w:rPr>
          <w:rFonts w:hint="eastAsia" w:ascii="黑体" w:hAnsi="黑体" w:eastAsia="仿宋_GB2312" w:cs="黑体"/>
          <w:color w:val="auto"/>
        </w:rPr>
      </w:pPr>
    </w:p>
    <w:p w14:paraId="27A6FFA0">
      <w:pPr>
        <w:rPr>
          <w:rFonts w:hint="eastAsia" w:ascii="黑体" w:hAnsi="黑体" w:eastAsia="仿宋_GB2312" w:cs="黑体"/>
          <w:color w:val="auto"/>
        </w:rPr>
      </w:pPr>
    </w:p>
    <w:p w14:paraId="7E3CA673">
      <w:pPr>
        <w:pStyle w:val="28"/>
        <w:rPr>
          <w:rFonts w:hint="eastAsia" w:ascii="仿宋_GB2312" w:hAnsi="宋体" w:eastAsia="仿宋_GB2312"/>
          <w:b/>
          <w:bCs/>
          <w:color w:val="auto"/>
        </w:rPr>
      </w:pPr>
    </w:p>
    <w:p w14:paraId="4D3811B6">
      <w:pPr>
        <w:pStyle w:val="28"/>
        <w:rPr>
          <w:rFonts w:hint="eastAsia" w:ascii="仿宋_GB2312" w:hAnsi="宋体" w:eastAsia="仿宋_GB2312"/>
          <w:b/>
          <w:bCs/>
          <w:color w:val="auto"/>
        </w:rPr>
      </w:pPr>
    </w:p>
    <w:p w14:paraId="56DBD301">
      <w:pPr>
        <w:rPr>
          <w:rFonts w:hint="eastAsia" w:ascii="黑体" w:hAnsi="黑体" w:eastAsia="仿宋_GB2312" w:cs="黑体"/>
          <w:color w:val="auto"/>
        </w:rPr>
      </w:pPr>
    </w:p>
    <w:p w14:paraId="5E8C099C">
      <w:pPr>
        <w:rPr>
          <w:rFonts w:hint="eastAsia" w:ascii="黑体" w:hAnsi="黑体" w:eastAsia="仿宋_GB2312" w:cs="黑体"/>
          <w:color w:val="auto"/>
        </w:rPr>
      </w:pPr>
    </w:p>
    <w:p w14:paraId="595BA618">
      <w:pPr>
        <w:rPr>
          <w:rFonts w:hint="eastAsia" w:ascii="黑体" w:hAnsi="黑体" w:eastAsia="仿宋_GB2312" w:cs="黑体"/>
          <w:color w:val="auto"/>
        </w:rPr>
      </w:pPr>
    </w:p>
    <w:p w14:paraId="61D23D53">
      <w:pPr>
        <w:pStyle w:val="4"/>
        <w:spacing w:line="500" w:lineRule="exact"/>
        <w:jc w:val="cente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lang w:val="en-US" w:eastAsia="zh-CN"/>
        </w:rPr>
        <w:t>二</w:t>
      </w:r>
      <w:r>
        <w:rPr>
          <w:rFonts w:hint="eastAsia" w:asciiTheme="minorEastAsia" w:hAnsiTheme="minorEastAsia" w:eastAsiaTheme="minorEastAsia" w:cstheme="minorEastAsia"/>
          <w:b/>
          <w:bCs w:val="0"/>
          <w:color w:val="auto"/>
        </w:rPr>
        <w:t>、投标函（格式）</w:t>
      </w:r>
    </w:p>
    <w:p w14:paraId="47C74C75">
      <w:pPr>
        <w:spacing w:line="660" w:lineRule="exact"/>
        <w:rPr>
          <w:rFonts w:hint="eastAsia" w:ascii="宋体" w:hAnsi="宋体" w:eastAsia="宋体"/>
          <w:color w:val="auto"/>
          <w:spacing w:val="8"/>
          <w:sz w:val="24"/>
          <w:szCs w:val="24"/>
          <w:lang w:eastAsia="zh-CN"/>
        </w:rPr>
      </w:pPr>
      <w:r>
        <w:rPr>
          <w:rFonts w:hint="eastAsia" w:ascii="宋体" w:hAnsi="宋体"/>
          <w:color w:val="auto"/>
          <w:spacing w:val="8"/>
          <w:sz w:val="24"/>
          <w:szCs w:val="24"/>
        </w:rPr>
        <w:t>致：</w:t>
      </w:r>
      <w:r>
        <w:rPr>
          <w:rFonts w:hint="eastAsia" w:ascii="宋体" w:hAnsi="宋体"/>
          <w:color w:val="auto"/>
          <w:sz w:val="24"/>
          <w:szCs w:val="24"/>
          <w:lang w:eastAsia="zh-CN"/>
        </w:rPr>
        <w:t>诸暨市杰虎工程咨询有限公司</w:t>
      </w:r>
    </w:p>
    <w:p w14:paraId="47E0CF4E">
      <w:pPr>
        <w:spacing w:line="360" w:lineRule="auto"/>
        <w:ind w:firstLine="384" w:firstLineChars="150"/>
        <w:rPr>
          <w:rFonts w:hint="eastAsia" w:ascii="宋体" w:hAnsi="宋体"/>
          <w:color w:val="auto"/>
          <w:sz w:val="24"/>
          <w:szCs w:val="24"/>
        </w:rPr>
      </w:pPr>
      <w:r>
        <w:rPr>
          <w:rFonts w:hint="eastAsia" w:ascii="宋体" w:hAnsi="宋体"/>
          <w:color w:val="auto"/>
          <w:spacing w:val="8"/>
          <w:sz w:val="24"/>
          <w:szCs w:val="24"/>
        </w:rPr>
        <w:t>根据贵方</w:t>
      </w:r>
      <w:r>
        <w:rPr>
          <w:rFonts w:hint="eastAsia" w:ascii="宋体" w:hAnsi="宋体"/>
          <w:color w:val="auto"/>
          <w:spacing w:val="8"/>
          <w:sz w:val="24"/>
          <w:szCs w:val="24"/>
          <w:u w:val="single"/>
        </w:rPr>
        <w:t xml:space="preserve">                           项目的</w:t>
      </w:r>
      <w:r>
        <w:rPr>
          <w:rFonts w:hint="eastAsia" w:ascii="宋体" w:hAnsi="宋体"/>
          <w:color w:val="auto"/>
          <w:spacing w:val="8"/>
          <w:sz w:val="24"/>
          <w:szCs w:val="24"/>
        </w:rPr>
        <w:t>招标文件（编号：</w:t>
      </w:r>
      <w:r>
        <w:rPr>
          <w:rFonts w:hint="eastAsia" w:ascii="宋体" w:hAnsi="宋体"/>
          <w:color w:val="auto"/>
          <w:spacing w:val="8"/>
          <w:sz w:val="24"/>
          <w:szCs w:val="24"/>
          <w:lang w:val="en-US" w:eastAsia="zh-CN"/>
        </w:rPr>
        <w:t xml:space="preserve">    </w:t>
      </w:r>
      <w:r>
        <w:rPr>
          <w:rFonts w:hint="eastAsia" w:ascii="宋体" w:hAnsi="宋体"/>
          <w:color w:val="auto"/>
          <w:spacing w:val="8"/>
          <w:sz w:val="24"/>
          <w:szCs w:val="24"/>
        </w:rPr>
        <w:t xml:space="preserve">）有关要求， </w:t>
      </w:r>
      <w:r>
        <w:rPr>
          <w:rFonts w:hint="eastAsia" w:ascii="宋体" w:hAnsi="宋体"/>
          <w:color w:val="auto"/>
          <w:spacing w:val="8"/>
          <w:sz w:val="24"/>
          <w:szCs w:val="24"/>
          <w:u w:val="single"/>
        </w:rPr>
        <w:t xml:space="preserve">   　　（投标人全称）       </w:t>
      </w:r>
      <w:r>
        <w:rPr>
          <w:rFonts w:hint="eastAsia" w:ascii="宋体" w:hAnsi="宋体"/>
          <w:color w:val="auto"/>
          <w:spacing w:val="8"/>
          <w:sz w:val="24"/>
          <w:szCs w:val="24"/>
        </w:rPr>
        <w:t>授权</w:t>
      </w:r>
      <w:r>
        <w:rPr>
          <w:rFonts w:hint="eastAsia" w:ascii="宋体" w:hAnsi="宋体"/>
          <w:color w:val="auto"/>
          <w:spacing w:val="8"/>
          <w:sz w:val="24"/>
          <w:szCs w:val="24"/>
          <w:u w:val="single"/>
        </w:rPr>
        <w:t xml:space="preserve">     （委托代理人姓名）   </w:t>
      </w:r>
      <w:r>
        <w:rPr>
          <w:rFonts w:hint="eastAsia" w:ascii="宋体" w:hAnsi="宋体"/>
          <w:color w:val="auto"/>
          <w:sz w:val="24"/>
          <w:szCs w:val="24"/>
        </w:rPr>
        <w:t>为全权代表，参加贵方组织的招标采购活动，并进行投标。为此：</w:t>
      </w:r>
    </w:p>
    <w:p w14:paraId="571BEAFA">
      <w:pPr>
        <w:snapToGrid w:val="0"/>
        <w:spacing w:line="360" w:lineRule="auto"/>
        <w:ind w:firstLine="480" w:firstLineChars="200"/>
        <w:rPr>
          <w:rFonts w:hint="eastAsia" w:ascii="宋体" w:hAnsi="宋体"/>
          <w:bCs/>
          <w:color w:val="auto"/>
          <w:sz w:val="24"/>
          <w:szCs w:val="24"/>
        </w:rPr>
      </w:pPr>
      <w:r>
        <w:rPr>
          <w:rFonts w:hint="eastAsia" w:ascii="宋体" w:hAnsi="宋体"/>
          <w:color w:val="auto"/>
          <w:sz w:val="24"/>
          <w:szCs w:val="24"/>
        </w:rPr>
        <w:t>1、我方已详细研读了全部招标文件，包括修改文件（如有的话）以及全部参考资料和有关附件等，</w:t>
      </w:r>
      <w:r>
        <w:rPr>
          <w:rFonts w:hint="eastAsia" w:ascii="宋体" w:hAnsi="宋体"/>
          <w:bCs/>
          <w:color w:val="auto"/>
          <w:sz w:val="24"/>
          <w:szCs w:val="24"/>
        </w:rPr>
        <w:t>完全理解并接受招标文件的各项规定和要求，对招标文件的合理性、合法性不再有异议。</w:t>
      </w:r>
    </w:p>
    <w:p w14:paraId="7C680975">
      <w:pPr>
        <w:tabs>
          <w:tab w:val="left" w:pos="900"/>
        </w:tabs>
        <w:spacing w:line="360" w:lineRule="auto"/>
        <w:ind w:firstLine="480" w:firstLineChars="200"/>
        <w:rPr>
          <w:rFonts w:hint="eastAsia" w:ascii="宋体" w:hAnsi="宋体"/>
          <w:color w:val="auto"/>
          <w:sz w:val="24"/>
          <w:szCs w:val="24"/>
        </w:rPr>
      </w:pPr>
      <w:r>
        <w:rPr>
          <w:rFonts w:hint="eastAsia" w:ascii="宋体" w:hAnsi="宋体"/>
          <w:color w:val="auto"/>
          <w:sz w:val="24"/>
          <w:szCs w:val="24"/>
        </w:rPr>
        <w:t>2、我方承诺本投标文件在开标之日起至投标有效期满均具有约束力，并严格遵守投标文件中的承诺。</w:t>
      </w:r>
    </w:p>
    <w:p w14:paraId="7BFB1D7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3、我方承诺已经具备招标文件中规定的参加本项目的</w:t>
      </w:r>
      <w:r>
        <w:rPr>
          <w:rFonts w:hint="eastAsia" w:ascii="宋体" w:hAnsi="宋体"/>
          <w:color w:val="auto"/>
          <w:sz w:val="24"/>
          <w:szCs w:val="24"/>
          <w:lang w:val="en-US" w:eastAsia="zh-CN"/>
        </w:rPr>
        <w:t>投标人</w:t>
      </w:r>
      <w:r>
        <w:rPr>
          <w:rFonts w:hint="eastAsia" w:ascii="宋体" w:hAnsi="宋体"/>
          <w:color w:val="auto"/>
          <w:sz w:val="24"/>
          <w:szCs w:val="24"/>
        </w:rPr>
        <w:t>资格条件。</w:t>
      </w:r>
    </w:p>
    <w:p w14:paraId="6404D78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4、我方严格按照招标文件的规定报价，并提供招标文件规定的全部投标文件。</w:t>
      </w:r>
    </w:p>
    <w:p w14:paraId="3FACAD81">
      <w:pPr>
        <w:spacing w:line="360" w:lineRule="auto"/>
        <w:ind w:firstLine="480" w:firstLineChars="200"/>
        <w:rPr>
          <w:rFonts w:ascii="宋体" w:hAnsi="宋体"/>
          <w:color w:val="auto"/>
          <w:sz w:val="24"/>
          <w:szCs w:val="24"/>
        </w:rPr>
      </w:pPr>
      <w:r>
        <w:rPr>
          <w:rFonts w:hint="eastAsia" w:ascii="宋体" w:hAnsi="宋体"/>
          <w:color w:val="auto"/>
          <w:sz w:val="24"/>
          <w:szCs w:val="24"/>
        </w:rPr>
        <w:t>5、如我方中标，投标文件将作为本项目合同的组成部分，直到合同履行完毕均保持有效，我方将按招标文件及招投标法律、法规的规定履行合同责任和义务。</w:t>
      </w:r>
    </w:p>
    <w:p w14:paraId="26ABA3F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6、我方完全理解贵方不一定接受最低价的投标。</w:t>
      </w:r>
    </w:p>
    <w:p w14:paraId="71289DB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7、我方同意向贵方提供任何与该项投标有关的一切数据或资料。若贵方需要，我方愿意提供我方作出的一切承诺的证明材料。</w:t>
      </w:r>
    </w:p>
    <w:p w14:paraId="527FF0F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8、与本次投标有关的一切正式往来通讯，请寄：</w:t>
      </w:r>
    </w:p>
    <w:p w14:paraId="7E698DEF">
      <w:pPr>
        <w:spacing w:line="360" w:lineRule="auto"/>
        <w:ind w:firstLine="425"/>
        <w:rPr>
          <w:rFonts w:hint="eastAsia" w:ascii="宋体" w:hAnsi="宋体"/>
          <w:color w:val="auto"/>
          <w:sz w:val="24"/>
          <w:szCs w:val="24"/>
          <w:u w:val="single"/>
        </w:rPr>
      </w:pPr>
      <w:r>
        <w:rPr>
          <w:rFonts w:hint="eastAsia" w:ascii="宋体" w:hAnsi="宋体"/>
          <w:color w:val="auto"/>
          <w:sz w:val="24"/>
          <w:szCs w:val="24"/>
        </w:rPr>
        <w:t xml:space="preserve"> 地址：</w:t>
      </w:r>
      <w:r>
        <w:rPr>
          <w:rFonts w:hint="eastAsia" w:ascii="宋体" w:hAnsi="宋体"/>
          <w:color w:val="auto"/>
          <w:sz w:val="24"/>
          <w:szCs w:val="24"/>
          <w:u w:val="single"/>
        </w:rPr>
        <w:t xml:space="preserve">                          </w:t>
      </w:r>
      <w:r>
        <w:rPr>
          <w:rFonts w:hint="eastAsia" w:ascii="宋体" w:hAnsi="宋体"/>
          <w:color w:val="auto"/>
          <w:sz w:val="24"/>
          <w:szCs w:val="24"/>
        </w:rPr>
        <w:t>邮编：</w:t>
      </w:r>
      <w:r>
        <w:rPr>
          <w:rFonts w:hint="eastAsia" w:ascii="宋体" w:hAnsi="宋体"/>
          <w:color w:val="auto"/>
          <w:sz w:val="24"/>
          <w:szCs w:val="24"/>
          <w:u w:val="single"/>
        </w:rPr>
        <w:t xml:space="preserve">                     </w:t>
      </w:r>
    </w:p>
    <w:p w14:paraId="3A34E232">
      <w:pPr>
        <w:spacing w:line="360" w:lineRule="auto"/>
        <w:ind w:firstLine="425"/>
        <w:rPr>
          <w:rFonts w:hint="eastAsia" w:ascii="宋体" w:hAnsi="宋体"/>
          <w:color w:val="auto"/>
          <w:sz w:val="24"/>
          <w:szCs w:val="24"/>
          <w:u w:val="single"/>
        </w:rPr>
      </w:pPr>
      <w:r>
        <w:rPr>
          <w:rFonts w:hint="eastAsia" w:ascii="宋体" w:hAnsi="宋体"/>
          <w:color w:val="auto"/>
          <w:sz w:val="24"/>
          <w:szCs w:val="24"/>
        </w:rPr>
        <w:t xml:space="preserve"> 电话：</w:t>
      </w:r>
      <w:r>
        <w:rPr>
          <w:rFonts w:hint="eastAsia" w:ascii="宋体" w:hAnsi="宋体"/>
          <w:color w:val="auto"/>
          <w:sz w:val="24"/>
          <w:szCs w:val="24"/>
          <w:u w:val="single"/>
        </w:rPr>
        <w:t xml:space="preserve">                          </w:t>
      </w:r>
      <w:r>
        <w:rPr>
          <w:rFonts w:hint="eastAsia" w:ascii="宋体" w:hAnsi="宋体"/>
          <w:color w:val="auto"/>
          <w:sz w:val="24"/>
          <w:szCs w:val="24"/>
        </w:rPr>
        <w:t>传真：</w:t>
      </w:r>
      <w:r>
        <w:rPr>
          <w:rFonts w:hint="eastAsia" w:ascii="宋体" w:hAnsi="宋体"/>
          <w:color w:val="auto"/>
          <w:sz w:val="24"/>
          <w:szCs w:val="24"/>
          <w:u w:val="single"/>
        </w:rPr>
        <w:t xml:space="preserve">                     </w:t>
      </w:r>
    </w:p>
    <w:p w14:paraId="26D6C3C5">
      <w:pPr>
        <w:spacing w:line="360" w:lineRule="auto"/>
        <w:ind w:firstLine="425"/>
        <w:rPr>
          <w:rFonts w:hint="eastAsia" w:ascii="宋体" w:hAnsi="宋体"/>
          <w:color w:val="auto"/>
          <w:sz w:val="24"/>
          <w:szCs w:val="24"/>
        </w:rPr>
      </w:pPr>
    </w:p>
    <w:p w14:paraId="2E1D0D41">
      <w:pPr>
        <w:spacing w:line="360" w:lineRule="auto"/>
        <w:ind w:firstLine="425"/>
        <w:rPr>
          <w:rFonts w:hint="eastAsia" w:ascii="宋体" w:hAnsi="宋体"/>
          <w:color w:val="auto"/>
          <w:sz w:val="24"/>
          <w:szCs w:val="24"/>
        </w:rPr>
      </w:pPr>
      <w:r>
        <w:rPr>
          <w:rFonts w:hint="eastAsia" w:ascii="宋体" w:hAnsi="宋体"/>
          <w:color w:val="auto"/>
          <w:sz w:val="24"/>
          <w:szCs w:val="24"/>
        </w:rPr>
        <w:t xml:space="preserve"> 投标人名称：</w:t>
      </w:r>
      <w:r>
        <w:rPr>
          <w:rFonts w:hint="eastAsia" w:ascii="宋体" w:hAnsi="宋体"/>
          <w:color w:val="auto"/>
          <w:sz w:val="24"/>
          <w:szCs w:val="24"/>
          <w:u w:val="single"/>
        </w:rPr>
        <w:t xml:space="preserve">             （盖章）          </w:t>
      </w:r>
    </w:p>
    <w:p w14:paraId="67110237">
      <w:pPr>
        <w:spacing w:line="360" w:lineRule="auto"/>
        <w:rPr>
          <w:rFonts w:hint="eastAsia" w:ascii="宋体" w:hAnsi="宋体"/>
          <w:color w:val="auto"/>
          <w:sz w:val="24"/>
          <w:szCs w:val="24"/>
          <w:u w:val="single"/>
        </w:rPr>
      </w:pPr>
    </w:p>
    <w:p w14:paraId="5B3EF2C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44744BB8">
      <w:pPr>
        <w:spacing w:line="360" w:lineRule="auto"/>
        <w:ind w:firstLine="480" w:firstLineChars="200"/>
        <w:rPr>
          <w:rFonts w:hint="eastAsia" w:ascii="宋体" w:hAnsi="宋体" w:eastAsia="仿宋_GB2312" w:cs="宋体"/>
          <w:color w:val="auto"/>
          <w:sz w:val="24"/>
          <w:szCs w:val="24"/>
        </w:rPr>
      </w:pPr>
    </w:p>
    <w:p w14:paraId="1BB03799">
      <w:pPr>
        <w:spacing w:line="360" w:lineRule="auto"/>
        <w:ind w:firstLine="480" w:firstLineChars="200"/>
        <w:rPr>
          <w:rFonts w:hint="eastAsia" w:ascii="宋体" w:hAnsi="宋体" w:eastAsia="仿宋_GB2312" w:cs="宋体"/>
          <w:color w:val="auto"/>
          <w:sz w:val="24"/>
          <w:szCs w:val="24"/>
        </w:rPr>
      </w:pPr>
    </w:p>
    <w:p w14:paraId="171A8AC3">
      <w:pPr>
        <w:pStyle w:val="4"/>
        <w:spacing w:line="500" w:lineRule="exact"/>
        <w:jc w:val="center"/>
        <w:rPr>
          <w:rFonts w:hint="eastAsia" w:ascii="宋体" w:hAnsi="宋体" w:eastAsia="仿宋_GB2312" w:cs="宋体"/>
          <w:b w:val="0"/>
          <w:color w:val="auto"/>
        </w:rPr>
      </w:pPr>
      <w:r>
        <w:rPr>
          <w:rFonts w:hint="eastAsia" w:ascii="宋体" w:hAnsi="宋体" w:eastAsia="仿宋_GB2312" w:cs="宋体"/>
          <w:b w:val="0"/>
          <w:color w:val="auto"/>
        </w:rPr>
        <w:br w:type="page"/>
      </w:r>
      <w:r>
        <w:rPr>
          <w:rFonts w:hint="eastAsia" w:asciiTheme="minorEastAsia" w:hAnsiTheme="minorEastAsia" w:eastAsiaTheme="minorEastAsia" w:cstheme="minorEastAsia"/>
          <w:b/>
          <w:bCs w:val="0"/>
          <w:color w:val="auto"/>
          <w:lang w:val="en-US" w:eastAsia="zh-CN"/>
        </w:rPr>
        <w:t>三</w:t>
      </w:r>
      <w:r>
        <w:rPr>
          <w:rFonts w:hint="eastAsia" w:asciiTheme="minorEastAsia" w:hAnsiTheme="minorEastAsia" w:eastAsiaTheme="minorEastAsia" w:cstheme="minorEastAsia"/>
          <w:b/>
          <w:bCs w:val="0"/>
          <w:color w:val="auto"/>
        </w:rPr>
        <w:t>、授权委托书（格式）</w:t>
      </w:r>
    </w:p>
    <w:p w14:paraId="162275A6">
      <w:pPr>
        <w:spacing w:line="360" w:lineRule="auto"/>
        <w:rPr>
          <w:rFonts w:hint="eastAsia" w:ascii="宋体" w:hAnsi="宋体" w:eastAsia="宋体"/>
          <w:color w:val="auto"/>
          <w:sz w:val="24"/>
          <w:szCs w:val="24"/>
          <w:lang w:eastAsia="zh-CN"/>
        </w:rPr>
      </w:pPr>
      <w:r>
        <w:rPr>
          <w:rFonts w:hint="eastAsia" w:ascii="宋体" w:hAnsi="宋体"/>
          <w:color w:val="auto"/>
          <w:sz w:val="24"/>
          <w:szCs w:val="24"/>
        </w:rPr>
        <w:t>致：</w:t>
      </w:r>
      <w:r>
        <w:rPr>
          <w:rFonts w:hint="eastAsia" w:ascii="宋体" w:hAnsi="宋体"/>
          <w:color w:val="auto"/>
          <w:sz w:val="24"/>
          <w:szCs w:val="24"/>
          <w:lang w:eastAsia="zh-CN"/>
        </w:rPr>
        <w:t>诸暨市杰虎工程咨询有限公司</w:t>
      </w:r>
    </w:p>
    <w:p w14:paraId="1E5D5921">
      <w:pPr>
        <w:spacing w:line="360" w:lineRule="auto"/>
        <w:ind w:firstLine="480" w:firstLineChars="200"/>
        <w:rPr>
          <w:rFonts w:ascii="宋体" w:hAnsi="宋体"/>
          <w:color w:val="auto"/>
          <w:sz w:val="24"/>
          <w:szCs w:val="24"/>
        </w:rPr>
      </w:pPr>
      <w:r>
        <w:rPr>
          <w:rFonts w:hint="eastAsia" w:ascii="宋体" w:hAnsi="宋体"/>
          <w:color w:val="auto"/>
          <w:sz w:val="24"/>
          <w:szCs w:val="24"/>
        </w:rPr>
        <w:t>我</w:t>
      </w:r>
      <w:r>
        <w:rPr>
          <w:rFonts w:ascii="宋体" w:hAnsi="宋体"/>
          <w:color w:val="auto"/>
          <w:sz w:val="24"/>
          <w:szCs w:val="24"/>
          <w:u w:val="single"/>
        </w:rPr>
        <w:t xml:space="preserve">   (</w:t>
      </w:r>
      <w:r>
        <w:rPr>
          <w:rFonts w:hint="eastAsia" w:ascii="宋体" w:hAnsi="宋体"/>
          <w:color w:val="auto"/>
          <w:sz w:val="24"/>
          <w:szCs w:val="24"/>
          <w:u w:val="single"/>
        </w:rPr>
        <w:t>姓名</w:t>
      </w:r>
      <w:r>
        <w:rPr>
          <w:rFonts w:ascii="宋体" w:hAnsi="宋体"/>
          <w:color w:val="auto"/>
          <w:sz w:val="24"/>
          <w:szCs w:val="24"/>
          <w:u w:val="single"/>
        </w:rPr>
        <w:t>)</w:t>
      </w:r>
      <w:r>
        <w:rPr>
          <w:rFonts w:hint="eastAsia" w:ascii="宋体" w:hAnsi="宋体"/>
          <w:color w:val="auto"/>
          <w:sz w:val="24"/>
          <w:szCs w:val="24"/>
          <w:u w:val="single"/>
        </w:rPr>
        <w:t>　</w:t>
      </w:r>
      <w:r>
        <w:rPr>
          <w:rFonts w:hint="eastAsia" w:ascii="宋体" w:hAnsi="宋体"/>
          <w:color w:val="auto"/>
          <w:sz w:val="24"/>
          <w:szCs w:val="24"/>
        </w:rPr>
        <w:t>系</w:t>
      </w:r>
      <w:r>
        <w:rPr>
          <w:rFonts w:ascii="宋体" w:hAnsi="宋体"/>
          <w:color w:val="auto"/>
          <w:sz w:val="24"/>
          <w:szCs w:val="24"/>
          <w:u w:val="single"/>
        </w:rPr>
        <w:t xml:space="preserve">        (</w:t>
      </w:r>
      <w:r>
        <w:rPr>
          <w:rFonts w:hint="eastAsia" w:ascii="宋体" w:hAnsi="宋体"/>
          <w:color w:val="auto"/>
          <w:sz w:val="24"/>
          <w:szCs w:val="24"/>
          <w:u w:val="single"/>
        </w:rPr>
        <w:t>投标人名称</w:t>
      </w:r>
      <w:r>
        <w:rPr>
          <w:rFonts w:ascii="宋体" w:hAnsi="宋体"/>
          <w:color w:val="auto"/>
          <w:sz w:val="24"/>
          <w:szCs w:val="24"/>
          <w:u w:val="single"/>
        </w:rPr>
        <w:t>)</w:t>
      </w:r>
      <w:r>
        <w:rPr>
          <w:rFonts w:hint="eastAsia" w:ascii="宋体" w:hAnsi="宋体"/>
          <w:color w:val="auto"/>
          <w:sz w:val="24"/>
          <w:szCs w:val="24"/>
          <w:u w:val="single"/>
        </w:rPr>
        <w:t>　　　</w:t>
      </w:r>
      <w:r>
        <w:rPr>
          <w:rFonts w:hint="eastAsia" w:ascii="宋体" w:hAnsi="宋体"/>
          <w:color w:val="auto"/>
          <w:sz w:val="24"/>
          <w:szCs w:val="24"/>
        </w:rPr>
        <w:t>的法定代表人</w:t>
      </w:r>
      <w:r>
        <w:rPr>
          <w:rFonts w:hint="eastAsia" w:ascii="宋体" w:hAnsi="宋体"/>
          <w:color w:val="auto"/>
          <w:sz w:val="24"/>
          <w:szCs w:val="24"/>
          <w:lang w:eastAsia="zh-CN"/>
        </w:rPr>
        <w:t>（</w:t>
      </w:r>
      <w:r>
        <w:rPr>
          <w:rFonts w:hint="eastAsia" w:ascii="宋体" w:hAnsi="宋体"/>
          <w:color w:val="auto"/>
          <w:sz w:val="24"/>
          <w:szCs w:val="24"/>
          <w:lang w:val="en-US" w:eastAsia="zh-CN"/>
        </w:rPr>
        <w:t>或单位负责人）</w:t>
      </w:r>
      <w:r>
        <w:rPr>
          <w:rFonts w:hint="eastAsia" w:ascii="宋体" w:hAnsi="宋体"/>
          <w:color w:val="auto"/>
          <w:sz w:val="24"/>
          <w:szCs w:val="24"/>
        </w:rPr>
        <w:t>，现授权委托本单位在职职工</w:t>
      </w:r>
      <w:r>
        <w:rPr>
          <w:rFonts w:ascii="宋体" w:hAnsi="宋体"/>
          <w:color w:val="auto"/>
          <w:sz w:val="24"/>
          <w:szCs w:val="24"/>
          <w:u w:val="single"/>
        </w:rPr>
        <w:t xml:space="preserve">   (</w:t>
      </w:r>
      <w:r>
        <w:rPr>
          <w:rFonts w:hint="eastAsia" w:ascii="宋体" w:hAnsi="宋体"/>
          <w:color w:val="auto"/>
          <w:sz w:val="24"/>
          <w:szCs w:val="24"/>
          <w:u w:val="single"/>
        </w:rPr>
        <w:t>姓名</w:t>
      </w:r>
      <w:r>
        <w:rPr>
          <w:rFonts w:ascii="宋体" w:hAnsi="宋体"/>
          <w:color w:val="auto"/>
          <w:sz w:val="24"/>
          <w:szCs w:val="24"/>
          <w:u w:val="single"/>
        </w:rPr>
        <w:t>)</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，身份证号码</w:t>
      </w:r>
      <w:r>
        <w:rPr>
          <w:rFonts w:hint="eastAsia" w:ascii="宋体" w:hAnsi="宋体"/>
          <w:color w:val="auto"/>
          <w:sz w:val="24"/>
          <w:szCs w:val="24"/>
          <w:u w:val="single"/>
        </w:rPr>
        <w:t xml:space="preserve">                            </w:t>
      </w:r>
      <w:r>
        <w:rPr>
          <w:rFonts w:hint="eastAsia" w:ascii="宋体" w:hAnsi="宋体"/>
          <w:color w:val="auto"/>
          <w:sz w:val="24"/>
          <w:szCs w:val="24"/>
        </w:rPr>
        <w:t>，以我方的名义参加贵</w:t>
      </w:r>
      <w:r>
        <w:rPr>
          <w:rFonts w:hint="eastAsia" w:ascii="宋体" w:hAnsi="宋体"/>
          <w:color w:val="auto"/>
          <w:sz w:val="24"/>
          <w:szCs w:val="24"/>
          <w:lang w:val="en-US" w:eastAsia="zh-CN"/>
        </w:rPr>
        <w:t>公司</w:t>
      </w:r>
      <w:r>
        <w:rPr>
          <w:rFonts w:hint="eastAsia" w:ascii="宋体" w:hAnsi="宋体"/>
          <w:color w:val="auto"/>
          <w:sz w:val="24"/>
          <w:szCs w:val="24"/>
        </w:rPr>
        <w:t>组织的</w:t>
      </w:r>
      <w:r>
        <w:rPr>
          <w:rFonts w:hint="eastAsia" w:ascii="宋体" w:hAnsi="宋体"/>
          <w:color w:val="auto"/>
          <w:sz w:val="24"/>
          <w:szCs w:val="24"/>
          <w:u w:val="single"/>
        </w:rPr>
        <w:t>诸暨市</w:t>
      </w:r>
      <w:r>
        <w:rPr>
          <w:rFonts w:ascii="宋体" w:hAnsi="宋体"/>
          <w:color w:val="auto"/>
          <w:sz w:val="24"/>
          <w:szCs w:val="24"/>
          <w:u w:val="single"/>
        </w:rPr>
        <w:t xml:space="preserve">    </w:t>
      </w:r>
      <w:r>
        <w:rPr>
          <w:rFonts w:hint="eastAsia" w:ascii="宋体" w:hAnsi="宋体"/>
          <w:color w:val="auto"/>
          <w:sz w:val="24"/>
          <w:szCs w:val="24"/>
          <w:u w:val="single"/>
        </w:rPr>
        <w:t>　</w:t>
      </w:r>
      <w:r>
        <w:rPr>
          <w:rFonts w:ascii="宋体" w:hAnsi="宋体"/>
          <w:color w:val="auto"/>
          <w:sz w:val="24"/>
          <w:szCs w:val="24"/>
          <w:u w:val="single"/>
        </w:rPr>
        <w:t>(</w:t>
      </w:r>
      <w:r>
        <w:rPr>
          <w:rFonts w:hint="eastAsia" w:ascii="宋体" w:hAnsi="宋体"/>
          <w:color w:val="auto"/>
          <w:sz w:val="24"/>
          <w:szCs w:val="24"/>
          <w:u w:val="single"/>
        </w:rPr>
        <w:t>招标项目</w:t>
      </w:r>
      <w:r>
        <w:rPr>
          <w:rFonts w:ascii="宋体" w:hAnsi="宋体"/>
          <w:color w:val="auto"/>
          <w:sz w:val="24"/>
          <w:szCs w:val="24"/>
          <w:u w:val="single"/>
        </w:rPr>
        <w:t xml:space="preserve">)        </w:t>
      </w:r>
      <w:r>
        <w:rPr>
          <w:rFonts w:hint="eastAsia" w:ascii="宋体" w:hAnsi="宋体"/>
          <w:color w:val="auto"/>
          <w:sz w:val="24"/>
          <w:szCs w:val="24"/>
          <w:u w:val="single"/>
        </w:rPr>
        <w:t>项目</w:t>
      </w:r>
      <w:r>
        <w:rPr>
          <w:rFonts w:hint="eastAsia" w:ascii="宋体" w:hAnsi="宋体"/>
          <w:color w:val="auto"/>
          <w:sz w:val="24"/>
          <w:szCs w:val="24"/>
        </w:rPr>
        <w:t>的投标活动，并代表我方全权办理针对上述项目的投标、开标、评标、签约等具体事务和签署相关文件。</w:t>
      </w:r>
    </w:p>
    <w:p w14:paraId="772221C7">
      <w:pPr>
        <w:snapToGrid w:val="0"/>
        <w:spacing w:line="360" w:lineRule="auto"/>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我方对被授权人的签名事项负全部责任。</w:t>
      </w:r>
    </w:p>
    <w:p w14:paraId="2D7271B3">
      <w:pPr>
        <w:snapToGrid w:val="0"/>
        <w:spacing w:line="360" w:lineRule="auto"/>
        <w:ind w:firstLine="480"/>
        <w:rPr>
          <w:rFonts w:ascii="宋体" w:hAnsi="宋体"/>
          <w:color w:val="auto"/>
          <w:sz w:val="24"/>
          <w:szCs w:val="24"/>
        </w:rPr>
      </w:pPr>
      <w:r>
        <w:rPr>
          <w:rFonts w:hint="eastAsia" w:ascii="宋体" w:hAnsi="宋体"/>
          <w:color w:val="auto"/>
          <w:sz w:val="24"/>
          <w:szCs w:val="24"/>
        </w:rPr>
        <w:t>在撤销授权的书面通知以前，本授权书一直有效。被授权人在授权书有效期内签署的所有文件不因授权的撤销而失效。</w:t>
      </w:r>
    </w:p>
    <w:p w14:paraId="2E3B97B9">
      <w:pPr>
        <w:snapToGrid w:val="0"/>
        <w:spacing w:line="360" w:lineRule="auto"/>
        <w:ind w:firstLine="480"/>
        <w:rPr>
          <w:rFonts w:ascii="宋体" w:hAnsi="宋体"/>
          <w:color w:val="auto"/>
          <w:sz w:val="24"/>
          <w:szCs w:val="24"/>
        </w:rPr>
      </w:pPr>
      <w:r>
        <w:rPr>
          <w:rFonts w:hint="eastAsia" w:ascii="宋体" w:hAnsi="宋体"/>
          <w:color w:val="auto"/>
          <w:sz w:val="24"/>
          <w:szCs w:val="24"/>
        </w:rPr>
        <w:t>被授权人无转委托权，特此委托。</w:t>
      </w:r>
    </w:p>
    <w:p w14:paraId="03B61357">
      <w:pPr>
        <w:pStyle w:val="4"/>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授权委托代表</w:t>
      </w:r>
      <w:r>
        <w:rPr>
          <w:rFonts w:hint="eastAsia" w:ascii="仿宋" w:hAnsi="仿宋" w:eastAsia="仿宋" w:cs="仿宋"/>
          <w:b/>
          <w:bCs/>
          <w:color w:val="auto"/>
          <w:sz w:val="24"/>
          <w:szCs w:val="24"/>
          <w:highlight w:val="none"/>
          <w:lang w:val="en-US" w:eastAsia="zh-CN"/>
        </w:rPr>
        <w:t>（身份证复印件）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14:paraId="68DA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120" w:type="dxa"/>
            <w:noWrap w:val="0"/>
            <w:vAlign w:val="top"/>
          </w:tcPr>
          <w:p w14:paraId="7D18989B">
            <w:pPr>
              <w:pStyle w:val="35"/>
              <w:adjustRightInd w:val="0"/>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6BCD6E70">
            <w:pPr>
              <w:pStyle w:val="35"/>
              <w:adjustRightInd w:val="0"/>
              <w:spacing w:line="360" w:lineRule="auto"/>
              <w:rPr>
                <w:rFonts w:hint="eastAsia" w:ascii="仿宋" w:hAnsi="仿宋" w:eastAsia="仿宋" w:cs="仿宋"/>
                <w:bCs/>
                <w:color w:val="auto"/>
                <w:sz w:val="24"/>
                <w:szCs w:val="21"/>
                <w:highlight w:val="none"/>
              </w:rPr>
            </w:pPr>
          </w:p>
          <w:p w14:paraId="493C4E0A">
            <w:pPr>
              <w:pStyle w:val="35"/>
              <w:adjustRightInd w:val="0"/>
              <w:spacing w:line="360" w:lineRule="auto"/>
              <w:rPr>
                <w:rFonts w:hint="eastAsia" w:ascii="仿宋" w:hAnsi="仿宋" w:eastAsia="仿宋" w:cs="仿宋"/>
                <w:bCs/>
                <w:color w:val="auto"/>
                <w:sz w:val="24"/>
                <w:szCs w:val="21"/>
                <w:highlight w:val="none"/>
              </w:rPr>
            </w:pPr>
          </w:p>
          <w:p w14:paraId="069B5454">
            <w:pPr>
              <w:pStyle w:val="35"/>
              <w:adjustRightInd w:val="0"/>
              <w:spacing w:line="360" w:lineRule="auto"/>
              <w:rPr>
                <w:rFonts w:hint="eastAsia" w:ascii="仿宋" w:hAnsi="仿宋" w:eastAsia="仿宋" w:cs="仿宋"/>
                <w:bCs/>
                <w:color w:val="auto"/>
                <w:sz w:val="24"/>
                <w:szCs w:val="21"/>
                <w:highlight w:val="none"/>
              </w:rPr>
            </w:pPr>
          </w:p>
          <w:p w14:paraId="2E14EE49">
            <w:pPr>
              <w:pStyle w:val="35"/>
              <w:adjustRightInd w:val="0"/>
              <w:spacing w:line="360" w:lineRule="auto"/>
              <w:rPr>
                <w:rFonts w:hint="eastAsia" w:ascii="仿宋" w:hAnsi="仿宋" w:eastAsia="仿宋" w:cs="仿宋"/>
                <w:bCs/>
                <w:color w:val="auto"/>
                <w:sz w:val="24"/>
                <w:szCs w:val="21"/>
                <w:highlight w:val="none"/>
              </w:rPr>
            </w:pPr>
          </w:p>
          <w:p w14:paraId="05D24AA8">
            <w:pPr>
              <w:pStyle w:val="35"/>
              <w:adjustRightInd w:val="0"/>
              <w:spacing w:line="360" w:lineRule="auto"/>
              <w:rPr>
                <w:rFonts w:hint="eastAsia" w:ascii="仿宋" w:hAnsi="仿宋" w:eastAsia="仿宋" w:cs="仿宋"/>
                <w:bCs/>
                <w:color w:val="auto"/>
                <w:sz w:val="24"/>
                <w:szCs w:val="21"/>
                <w:highlight w:val="none"/>
              </w:rPr>
            </w:pPr>
          </w:p>
        </w:tc>
      </w:tr>
    </w:tbl>
    <w:p w14:paraId="6DF58EBB">
      <w:pPr>
        <w:rPr>
          <w:rFonts w:hint="eastAsia" w:ascii="仿宋" w:hAnsi="仿宋" w:eastAsia="仿宋" w:cs="仿宋"/>
          <w:lang w:val="en-US" w:eastAsia="zh-CN"/>
        </w:rPr>
      </w:pPr>
    </w:p>
    <w:p w14:paraId="5B54A8EF">
      <w:p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法定代表人（身份证复印件）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14:paraId="660E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8120" w:type="dxa"/>
            <w:noWrap w:val="0"/>
            <w:vAlign w:val="top"/>
          </w:tcPr>
          <w:p w14:paraId="251066A6">
            <w:pPr>
              <w:pStyle w:val="35"/>
              <w:adjustRightInd w:val="0"/>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31976296">
            <w:pPr>
              <w:pStyle w:val="35"/>
              <w:adjustRightInd w:val="0"/>
              <w:spacing w:line="360" w:lineRule="auto"/>
              <w:rPr>
                <w:rFonts w:hint="eastAsia" w:ascii="仿宋" w:hAnsi="仿宋" w:eastAsia="仿宋" w:cs="仿宋"/>
                <w:bCs/>
                <w:color w:val="auto"/>
                <w:sz w:val="24"/>
                <w:szCs w:val="21"/>
                <w:highlight w:val="none"/>
              </w:rPr>
            </w:pPr>
          </w:p>
        </w:tc>
      </w:tr>
    </w:tbl>
    <w:p w14:paraId="611466E3">
      <w:pPr>
        <w:spacing w:line="360" w:lineRule="auto"/>
        <w:rPr>
          <w:rFonts w:hint="eastAsia" w:ascii="宋体" w:hAnsi="宋体"/>
          <w:color w:val="auto"/>
          <w:sz w:val="24"/>
          <w:szCs w:val="24"/>
        </w:rPr>
      </w:pPr>
    </w:p>
    <w:p w14:paraId="1693B08A">
      <w:pPr>
        <w:spacing w:line="360" w:lineRule="auto"/>
        <w:ind w:firstLine="4440" w:firstLineChars="1850"/>
        <w:rPr>
          <w:rFonts w:ascii="宋体" w:hAnsi="宋体"/>
          <w:color w:val="auto"/>
          <w:sz w:val="24"/>
          <w:szCs w:val="24"/>
        </w:rPr>
      </w:pPr>
      <w:r>
        <w:rPr>
          <w:rFonts w:hint="eastAsia" w:ascii="宋体" w:hAnsi="宋体"/>
          <w:color w:val="auto"/>
          <w:sz w:val="24"/>
          <w:szCs w:val="24"/>
        </w:rPr>
        <w:t>投标人名称：</w:t>
      </w:r>
      <w:r>
        <w:rPr>
          <w:rFonts w:ascii="宋体" w:hAnsi="宋体"/>
          <w:color w:val="auto"/>
          <w:sz w:val="24"/>
          <w:szCs w:val="24"/>
          <w:u w:val="single"/>
        </w:rPr>
        <w:t xml:space="preserve">           </w:t>
      </w:r>
      <w:r>
        <w:rPr>
          <w:rFonts w:hint="eastAsia" w:ascii="宋体" w:hAnsi="宋体"/>
          <w:color w:val="auto"/>
          <w:sz w:val="24"/>
          <w:szCs w:val="24"/>
          <w:u w:val="single"/>
        </w:rPr>
        <w:t>　　　</w:t>
      </w:r>
      <w:r>
        <w:rPr>
          <w:rFonts w:ascii="宋体" w:hAnsi="宋体"/>
          <w:color w:val="auto"/>
          <w:sz w:val="24"/>
          <w:szCs w:val="24"/>
          <w:u w:val="single"/>
        </w:rPr>
        <w:t xml:space="preserve"> (</w:t>
      </w:r>
      <w:r>
        <w:rPr>
          <w:rFonts w:hint="eastAsia" w:ascii="宋体" w:hAnsi="宋体"/>
          <w:color w:val="auto"/>
          <w:sz w:val="24"/>
          <w:szCs w:val="24"/>
          <w:u w:val="single"/>
        </w:rPr>
        <w:t>盖章</w:t>
      </w:r>
      <w:r>
        <w:rPr>
          <w:rFonts w:ascii="宋体" w:hAnsi="宋体"/>
          <w:color w:val="auto"/>
          <w:sz w:val="24"/>
          <w:szCs w:val="24"/>
          <w:u w:val="single"/>
        </w:rPr>
        <w:t>)</w:t>
      </w:r>
    </w:p>
    <w:p w14:paraId="509A64C5">
      <w:pPr>
        <w:spacing w:line="360" w:lineRule="auto"/>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日</w:t>
      </w:r>
      <w:r>
        <w:rPr>
          <w:rFonts w:hint="eastAsia" w:ascii="宋体" w:hAnsi="宋体"/>
          <w:color w:val="auto"/>
          <w:sz w:val="24"/>
          <w:szCs w:val="24"/>
          <w:lang w:val="en-US" w:eastAsia="zh-CN"/>
        </w:rPr>
        <w:t xml:space="preserve">      </w:t>
      </w:r>
      <w:r>
        <w:rPr>
          <w:rFonts w:hint="eastAsia" w:ascii="宋体" w:hAnsi="宋体"/>
          <w:color w:val="auto"/>
          <w:sz w:val="24"/>
          <w:szCs w:val="24"/>
        </w:rPr>
        <w:t>期：</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p>
    <w:p w14:paraId="2A060B35">
      <w:pPr>
        <w:pStyle w:val="4"/>
        <w:spacing w:line="500" w:lineRule="exact"/>
        <w:jc w:val="center"/>
        <w:rPr>
          <w:rFonts w:hint="eastAsia" w:asciiTheme="minorEastAsia" w:hAnsiTheme="minorEastAsia" w:eastAsiaTheme="minorEastAsia" w:cstheme="minorEastAsia"/>
          <w:b w:val="0"/>
          <w:color w:val="auto"/>
        </w:rPr>
      </w:pPr>
      <w:bookmarkStart w:id="10" w:name="_Toc48672384"/>
      <w:bookmarkStart w:id="11" w:name="_Toc331876394"/>
      <w:r>
        <w:rPr>
          <w:rFonts w:hint="eastAsia" w:asciiTheme="minorEastAsia" w:hAnsiTheme="minorEastAsia" w:eastAsiaTheme="minorEastAsia" w:cstheme="minorEastAsia"/>
          <w:b/>
          <w:bCs w:val="0"/>
          <w:color w:val="auto"/>
          <w:lang w:val="en-US" w:eastAsia="zh-CN"/>
        </w:rPr>
        <w:br w:type="textWrapping"/>
      </w:r>
      <w:r>
        <w:rPr>
          <w:rFonts w:hint="eastAsia" w:asciiTheme="minorEastAsia" w:hAnsiTheme="minorEastAsia" w:eastAsiaTheme="minorEastAsia" w:cstheme="minorEastAsia"/>
          <w:b/>
          <w:bCs w:val="0"/>
          <w:color w:val="auto"/>
          <w:lang w:val="en-US" w:eastAsia="zh-CN"/>
        </w:rPr>
        <w:t>四</w:t>
      </w:r>
      <w:r>
        <w:rPr>
          <w:rFonts w:hint="eastAsia" w:asciiTheme="minorEastAsia" w:hAnsiTheme="minorEastAsia" w:eastAsiaTheme="minorEastAsia" w:cstheme="minorEastAsia"/>
          <w:b/>
          <w:bCs w:val="0"/>
          <w:color w:val="auto"/>
        </w:rPr>
        <w:t>、</w:t>
      </w:r>
      <w:bookmarkEnd w:id="10"/>
      <w:bookmarkEnd w:id="11"/>
      <w:r>
        <w:rPr>
          <w:rFonts w:hint="eastAsia" w:asciiTheme="minorEastAsia" w:hAnsiTheme="minorEastAsia" w:eastAsiaTheme="minorEastAsia" w:cstheme="minorEastAsia"/>
          <w:b/>
          <w:bCs w:val="0"/>
          <w:color w:val="auto"/>
        </w:rPr>
        <w:t>开标一览表（格式）</w:t>
      </w:r>
    </w:p>
    <w:p w14:paraId="3E3A6017">
      <w:pPr>
        <w:rPr>
          <w:rFonts w:hint="eastAsia" w:asciiTheme="minorEastAsia" w:hAnsiTheme="minorEastAsia" w:eastAsiaTheme="minorEastAsia" w:cstheme="minorEastAsia"/>
          <w:color w:val="auto"/>
          <w:sz w:val="24"/>
          <w:szCs w:val="24"/>
        </w:rPr>
      </w:pPr>
    </w:p>
    <w:p w14:paraId="23D23B29">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诸暨市交投公路工程有限公司玄武岩石料、石灰岩矿粉采购项目（第二次）</w:t>
      </w:r>
    </w:p>
    <w:p w14:paraId="7424172D">
      <w:pPr>
        <w:rPr>
          <w:rFonts w:hint="eastAsia" w:asciiTheme="minorEastAsia" w:hAnsiTheme="minorEastAsia" w:eastAsiaTheme="minorEastAsia" w:cstheme="minorEastAsia"/>
          <w:color w:val="auto"/>
          <w:sz w:val="24"/>
          <w:szCs w:val="24"/>
        </w:rPr>
      </w:pPr>
    </w:p>
    <w:p w14:paraId="1926C59D">
      <w:p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val="en-US" w:eastAsia="zh-CN"/>
        </w:rPr>
        <w:t xml:space="preserve"> </w:t>
      </w:r>
    </w:p>
    <w:p w14:paraId="5E50FED7">
      <w:pPr>
        <w:pStyle w:val="17"/>
        <w:keepNext w:val="0"/>
        <w:keepLines w:val="0"/>
        <w:pageBreakBefore w:val="0"/>
        <w:widowControl w:val="0"/>
        <w:kinsoku/>
        <w:wordWrap/>
        <w:overflowPunct/>
        <w:topLinePunct w:val="0"/>
        <w:autoSpaceDE/>
        <w:autoSpaceDN/>
        <w:bidi w:val="0"/>
        <w:adjustRightInd/>
        <w:snapToGrid/>
        <w:jc w:val="right"/>
        <w:textAlignment w:val="auto"/>
        <w:rPr>
          <w:rFonts w:hint="eastAsia" w:asciiTheme="minorEastAsia" w:hAnsiTheme="minorEastAsia" w:eastAsiaTheme="minorEastAsia" w:cstheme="minorEastAsia"/>
          <w:color w:val="auto"/>
        </w:rPr>
      </w:pPr>
    </w:p>
    <w:tbl>
      <w:tblPr>
        <w:tblStyle w:val="18"/>
        <w:tblW w:w="0" w:type="auto"/>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673"/>
        <w:gridCol w:w="5552"/>
      </w:tblGrid>
      <w:tr w14:paraId="0398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1" w:hRule="atLeast"/>
        </w:trPr>
        <w:tc>
          <w:tcPr>
            <w:tcW w:w="3673" w:type="dxa"/>
            <w:tcBorders>
              <w:top w:val="single" w:color="000000" w:sz="8" w:space="0"/>
              <w:left w:val="single" w:color="000000" w:sz="8" w:space="0"/>
              <w:right w:val="single" w:color="000000" w:sz="8" w:space="0"/>
            </w:tcBorders>
            <w:shd w:val="clear" w:color="auto" w:fill="FFFFFF"/>
            <w:noWrap w:val="0"/>
            <w:vAlign w:val="center"/>
          </w:tcPr>
          <w:p w14:paraId="3898295E">
            <w:pPr>
              <w:autoSpaceDE/>
              <w:autoSpaceDN/>
              <w:adjustRightInd/>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val="0"/>
                <w:color w:val="auto"/>
                <w:sz w:val="24"/>
                <w:szCs w:val="24"/>
                <w:lang w:eastAsia="zh-CN"/>
              </w:rPr>
              <w:t>标</w:t>
            </w:r>
            <w:r>
              <w:rPr>
                <w:rFonts w:hint="eastAsia" w:asciiTheme="minorEastAsia" w:hAnsiTheme="minorEastAsia" w:eastAsiaTheme="minorEastAsia" w:cstheme="minorEastAsia"/>
                <w:b/>
                <w:bCs w:val="0"/>
                <w:color w:val="auto"/>
                <w:sz w:val="24"/>
                <w:szCs w:val="24"/>
                <w:lang w:val="en-US" w:eastAsia="zh-CN"/>
              </w:rPr>
              <w:t>项</w:t>
            </w:r>
            <w:r>
              <w:rPr>
                <w:rFonts w:hint="eastAsia" w:asciiTheme="minorEastAsia" w:hAnsiTheme="minorEastAsia" w:eastAsiaTheme="minorEastAsia" w:cstheme="minorEastAsia"/>
                <w:b/>
                <w:bCs w:val="0"/>
                <w:color w:val="auto"/>
                <w:sz w:val="24"/>
                <w:szCs w:val="24"/>
              </w:rPr>
              <w:t>内容</w:t>
            </w:r>
          </w:p>
        </w:tc>
        <w:tc>
          <w:tcPr>
            <w:tcW w:w="5552" w:type="dxa"/>
            <w:tcBorders>
              <w:top w:val="single" w:color="000000" w:sz="8" w:space="0"/>
              <w:bottom w:val="single" w:color="000000" w:sz="8" w:space="0"/>
              <w:right w:val="single" w:color="000000" w:sz="8" w:space="0"/>
            </w:tcBorders>
            <w:shd w:val="clear" w:color="auto" w:fill="FFFFFF"/>
            <w:noWrap w:val="0"/>
            <w:vAlign w:val="center"/>
          </w:tcPr>
          <w:p w14:paraId="77B2EA9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color w:val="auto"/>
                <w:sz w:val="24"/>
                <w:szCs w:val="24"/>
                <w:lang w:val="en-US" w:eastAsia="zh-CN"/>
              </w:rPr>
              <w:t>统一折扣率</w:t>
            </w:r>
          </w:p>
        </w:tc>
      </w:tr>
      <w:tr w14:paraId="6C26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3" w:hRule="atLeast"/>
        </w:trPr>
        <w:tc>
          <w:tcPr>
            <w:tcW w:w="3673" w:type="dxa"/>
            <w:vMerge w:val="restart"/>
            <w:tcBorders>
              <w:top w:val="single" w:color="auto" w:sz="4" w:space="0"/>
              <w:left w:val="single" w:color="000000" w:sz="8" w:space="0"/>
              <w:right w:val="single" w:color="000000" w:sz="8" w:space="0"/>
            </w:tcBorders>
            <w:shd w:val="clear" w:color="auto" w:fill="FFFFFF"/>
            <w:noWrap w:val="0"/>
            <w:vAlign w:val="center"/>
          </w:tcPr>
          <w:p w14:paraId="11722338">
            <w:pPr>
              <w:jc w:val="both"/>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color w:val="auto"/>
                <w:sz w:val="24"/>
                <w:szCs w:val="24"/>
                <w:lang w:eastAsia="zh-CN"/>
              </w:rPr>
              <w:t>诸暨市交投公路工程有限公司玄武岩石料、石灰岩矿粉采购项目（第二次）</w:t>
            </w:r>
          </w:p>
        </w:tc>
        <w:tc>
          <w:tcPr>
            <w:tcW w:w="5552" w:type="dxa"/>
            <w:tcBorders>
              <w:top w:val="single" w:color="auto" w:sz="4" w:space="0"/>
              <w:bottom w:val="single" w:color="auto" w:sz="4" w:space="0"/>
              <w:right w:val="single" w:color="000000" w:sz="8" w:space="0"/>
            </w:tcBorders>
            <w:shd w:val="clear" w:color="auto" w:fill="FFFFFF"/>
            <w:noWrap w:val="0"/>
            <w:vAlign w:val="center"/>
          </w:tcPr>
          <w:p w14:paraId="705C4DE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小写：</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w:t>
            </w:r>
          </w:p>
        </w:tc>
      </w:tr>
      <w:tr w14:paraId="6FBD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3" w:hRule="atLeast"/>
        </w:trPr>
        <w:tc>
          <w:tcPr>
            <w:tcW w:w="3673" w:type="dxa"/>
            <w:vMerge w:val="continue"/>
            <w:tcBorders>
              <w:left w:val="single" w:color="000000" w:sz="8" w:space="0"/>
              <w:bottom w:val="single" w:color="auto" w:sz="4" w:space="0"/>
              <w:right w:val="single" w:color="000000" w:sz="8" w:space="0"/>
            </w:tcBorders>
            <w:shd w:val="clear" w:color="auto" w:fill="FFFFFF"/>
            <w:noWrap w:val="0"/>
            <w:vAlign w:val="center"/>
          </w:tcPr>
          <w:p w14:paraId="67FBC8A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Change w:id="4" w:author="1395191119" w:date="2023-06-14T07:58:00Z">
                  <w:rPr/>
                </w:rPrChange>
              </w:rPr>
            </w:pPr>
          </w:p>
        </w:tc>
        <w:tc>
          <w:tcPr>
            <w:tcW w:w="5552" w:type="dxa"/>
            <w:tcBorders>
              <w:top w:val="single" w:color="auto" w:sz="4" w:space="0"/>
              <w:bottom w:val="single" w:color="auto" w:sz="4" w:space="0"/>
              <w:right w:val="single" w:color="000000" w:sz="8" w:space="0"/>
            </w:tcBorders>
            <w:shd w:val="clear" w:color="auto" w:fill="FFFFFF"/>
            <w:noWrap w:val="0"/>
            <w:vAlign w:val="center"/>
          </w:tcPr>
          <w:p w14:paraId="5D551C2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大写：百分之</w:t>
            </w:r>
            <w:r>
              <w:rPr>
                <w:rFonts w:hint="eastAsia" w:asciiTheme="minorEastAsia" w:hAnsiTheme="minorEastAsia" w:eastAsiaTheme="minorEastAsia" w:cstheme="minorEastAsia"/>
                <w:color w:val="auto"/>
                <w:sz w:val="21"/>
                <w:szCs w:val="21"/>
                <w:u w:val="single"/>
                <w:lang w:val="en-US" w:eastAsia="zh-CN"/>
              </w:rPr>
              <w:t xml:space="preserve">                </w:t>
            </w:r>
          </w:p>
        </w:tc>
      </w:tr>
    </w:tbl>
    <w:p w14:paraId="2BB5713F">
      <w:pPr>
        <w:rPr>
          <w:rFonts w:hint="eastAsia" w:asciiTheme="minorEastAsia" w:hAnsiTheme="minorEastAsia" w:eastAsiaTheme="minorEastAsia" w:cstheme="minorEastAsia"/>
          <w:color w:val="auto"/>
          <w:sz w:val="24"/>
          <w:szCs w:val="20"/>
        </w:rPr>
      </w:pPr>
    </w:p>
    <w:p w14:paraId="2B258B51">
      <w:pPr>
        <w:snapToGrid w:val="0"/>
        <w:spacing w:line="276" w:lineRule="auto"/>
        <w:ind w:left="225" w:leftChars="107" w:firstLine="239" w:firstLineChars="99"/>
        <w:jc w:val="left"/>
        <w:rPr>
          <w:rFonts w:hint="eastAsia" w:asciiTheme="minorEastAsia" w:hAnsiTheme="minorEastAsia" w:eastAsiaTheme="minorEastAsia" w:cstheme="minorEastAsia"/>
          <w:b/>
          <w:bCs/>
          <w:color w:val="auto"/>
          <w:sz w:val="24"/>
          <w:szCs w:val="24"/>
          <w:u w:val="none"/>
        </w:rPr>
      </w:pPr>
      <w:r>
        <w:rPr>
          <w:rFonts w:hint="eastAsia" w:asciiTheme="minorEastAsia" w:hAnsiTheme="minorEastAsia" w:eastAsiaTheme="minorEastAsia" w:cstheme="minorEastAsia"/>
          <w:b/>
          <w:bCs/>
          <w:color w:val="auto"/>
          <w:sz w:val="24"/>
          <w:szCs w:val="24"/>
          <w:u w:val="none"/>
        </w:rPr>
        <w:t>注：</w:t>
      </w:r>
    </w:p>
    <w:p w14:paraId="71873837">
      <w:pPr>
        <w:spacing w:line="46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投标</w:t>
      </w:r>
      <w:r>
        <w:rPr>
          <w:rFonts w:hint="eastAsia" w:asciiTheme="minorEastAsia" w:hAnsiTheme="minorEastAsia" w:eastAsiaTheme="minorEastAsia" w:cstheme="minorEastAsia"/>
          <w:color w:val="auto"/>
          <w:sz w:val="24"/>
          <w:szCs w:val="24"/>
          <w:lang w:val="en-US" w:eastAsia="zh-CN"/>
        </w:rPr>
        <w:t>报价说明：根据本项目最高单价限价填写折扣率，折扣率必须小于等于100%，否则按无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效报价处理，折扣率报价保留到小数点后二位。结算单价=最高单价限价*中标折扣率。</w:t>
      </w:r>
    </w:p>
    <w:p w14:paraId="5B7D82ED">
      <w:pPr>
        <w:spacing w:line="460" w:lineRule="exact"/>
        <w:ind w:firstLine="480" w:firstLineChars="200"/>
        <w:rPr>
          <w:rFonts w:hint="eastAsia" w:ascii="宋体" w:hAnsi="宋体" w:eastAsia="仿宋_GB2312" w:cs="宋体"/>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投标报价包含供货所需的材料价款、到指定施工现场的运输及装卸费用、材料、质检（自检）、管理、保险、税费</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lang w:val="en-US" w:eastAsia="zh-CN"/>
          <w14:textFill>
            <w14:solidFill>
              <w14:schemeClr w14:val="tx1"/>
            </w14:solidFill>
          </w14:textFill>
        </w:rPr>
        <w:t>、人工费等一切为完成本项目的相关费用</w:t>
      </w:r>
      <w:r>
        <w:rPr>
          <w:rFonts w:hint="eastAsia" w:ascii="宋体" w:hAnsi="宋体" w:eastAsia="仿宋_GB2312" w:cs="宋体"/>
          <w:color w:val="000000" w:themeColor="text1"/>
          <w:sz w:val="24"/>
          <w:szCs w:val="24"/>
          <w:lang w:val="en-US" w:eastAsia="zh-CN"/>
          <w14:textFill>
            <w14:solidFill>
              <w14:schemeClr w14:val="tx1"/>
            </w14:solidFill>
          </w14:textFill>
        </w:rPr>
        <w:t>。</w:t>
      </w:r>
    </w:p>
    <w:p w14:paraId="70B852B8">
      <w:pPr>
        <w:spacing w:line="460" w:lineRule="exact"/>
        <w:ind w:firstLine="480" w:firstLineChars="2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eastAsia="仿宋_GB2312" w:cs="宋体"/>
          <w:color w:val="000000" w:themeColor="text1"/>
          <w:sz w:val="24"/>
          <w:szCs w:val="24"/>
          <w:lang w:val="en-US" w:eastAsia="zh-CN"/>
          <w14:textFill>
            <w14:solidFill>
              <w14:schemeClr w14:val="tx1"/>
            </w14:solidFill>
          </w14:textFill>
        </w:rPr>
        <w:t xml:space="preserve">    </w:t>
      </w:r>
    </w:p>
    <w:p w14:paraId="0782CE49">
      <w:pPr>
        <w:rPr>
          <w:rFonts w:hint="eastAsia" w:asciiTheme="minorEastAsia" w:hAnsiTheme="minorEastAsia" w:eastAsiaTheme="minorEastAsia" w:cstheme="minorEastAsia"/>
          <w:color w:val="auto"/>
          <w:sz w:val="28"/>
        </w:rPr>
      </w:pPr>
    </w:p>
    <w:p w14:paraId="0CCA0AB0">
      <w:pPr>
        <w:rPr>
          <w:rFonts w:hint="eastAsia" w:asciiTheme="minorEastAsia" w:hAnsiTheme="minorEastAsia" w:eastAsiaTheme="minorEastAsia" w:cstheme="minorEastAsia"/>
          <w:color w:val="auto"/>
          <w:sz w:val="28"/>
        </w:rPr>
      </w:pPr>
    </w:p>
    <w:p w14:paraId="1E17DF6F">
      <w:pPr>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投标人名称：</w:t>
      </w:r>
      <w:r>
        <w:rPr>
          <w:rFonts w:hint="eastAsia" w:asciiTheme="minorEastAsia" w:hAnsiTheme="minorEastAsia" w:eastAsiaTheme="minorEastAsia" w:cstheme="minorEastAsia"/>
          <w:color w:val="auto"/>
          <w:sz w:val="28"/>
          <w:u w:val="single"/>
        </w:rPr>
        <w:t xml:space="preserve">           </w:t>
      </w:r>
      <w:r>
        <w:rPr>
          <w:rFonts w:hint="eastAsia" w:asciiTheme="minorEastAsia" w:hAnsiTheme="minorEastAsia" w:eastAsiaTheme="minorEastAsia" w:cstheme="minorEastAsia"/>
          <w:color w:val="auto"/>
          <w:sz w:val="28"/>
          <w:u w:val="single"/>
          <w:lang w:val="en-US" w:eastAsia="zh-CN"/>
        </w:rPr>
        <w:t xml:space="preserve">            </w:t>
      </w:r>
      <w:r>
        <w:rPr>
          <w:rFonts w:hint="eastAsia" w:asciiTheme="minorEastAsia" w:hAnsiTheme="minorEastAsia" w:eastAsiaTheme="minorEastAsia" w:cstheme="minorEastAsia"/>
          <w:color w:val="auto"/>
          <w:sz w:val="28"/>
          <w:u w:val="single"/>
        </w:rPr>
        <w:t xml:space="preserve">     （盖章）  </w:t>
      </w:r>
    </w:p>
    <w:p w14:paraId="5053CC86">
      <w:pPr>
        <w:spacing w:line="340" w:lineRule="exact"/>
        <w:rPr>
          <w:rFonts w:hint="eastAsia" w:asciiTheme="minorEastAsia" w:hAnsiTheme="minorEastAsia" w:eastAsiaTheme="minorEastAsia" w:cstheme="minorEastAsia"/>
          <w:color w:val="auto"/>
          <w:sz w:val="28"/>
        </w:rPr>
      </w:pPr>
    </w:p>
    <w:p w14:paraId="5CA118A6">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日</w:t>
      </w:r>
      <w:r>
        <w:rPr>
          <w:rFonts w:hint="eastAsia" w:asciiTheme="minorEastAsia" w:hAnsiTheme="minorEastAsia" w:eastAsiaTheme="minorEastAsia" w:cstheme="minorEastAsia"/>
          <w:color w:val="auto"/>
          <w:sz w:val="28"/>
          <w:lang w:val="en-US" w:eastAsia="zh-CN"/>
        </w:rPr>
        <w:t xml:space="preserve">      </w:t>
      </w:r>
      <w:r>
        <w:rPr>
          <w:rFonts w:hint="eastAsia" w:asciiTheme="minorEastAsia" w:hAnsiTheme="minorEastAsia" w:eastAsiaTheme="minorEastAsia" w:cstheme="minorEastAsia"/>
          <w:color w:val="auto"/>
          <w:sz w:val="28"/>
        </w:rPr>
        <w:t>期：</w:t>
      </w:r>
      <w:r>
        <w:rPr>
          <w:rFonts w:hint="eastAsia" w:asciiTheme="minorEastAsia" w:hAnsiTheme="minorEastAsia" w:eastAsiaTheme="minorEastAsia" w:cstheme="minorEastAsia"/>
          <w:color w:val="auto"/>
          <w:sz w:val="28"/>
          <w:u w:val="single"/>
        </w:rPr>
        <w:t xml:space="preserve">     </w:t>
      </w:r>
      <w:r>
        <w:rPr>
          <w:rFonts w:hint="eastAsia" w:asciiTheme="minorEastAsia" w:hAnsiTheme="minorEastAsia" w:eastAsiaTheme="minorEastAsia" w:cstheme="minorEastAsia"/>
          <w:color w:val="auto"/>
          <w:sz w:val="28"/>
        </w:rPr>
        <w:t>年</w:t>
      </w:r>
      <w:r>
        <w:rPr>
          <w:rFonts w:hint="eastAsia" w:asciiTheme="minorEastAsia" w:hAnsiTheme="minorEastAsia" w:eastAsiaTheme="minorEastAsia" w:cstheme="minorEastAsia"/>
          <w:color w:val="auto"/>
          <w:sz w:val="28"/>
          <w:u w:val="single"/>
        </w:rPr>
        <w:t xml:space="preserve">    </w:t>
      </w:r>
      <w:r>
        <w:rPr>
          <w:rFonts w:hint="eastAsia" w:asciiTheme="minorEastAsia" w:hAnsiTheme="minorEastAsia" w:eastAsiaTheme="minorEastAsia" w:cstheme="minorEastAsia"/>
          <w:color w:val="auto"/>
          <w:sz w:val="28"/>
        </w:rPr>
        <w:t>月</w:t>
      </w:r>
      <w:r>
        <w:rPr>
          <w:rFonts w:hint="eastAsia" w:asciiTheme="minorEastAsia" w:hAnsiTheme="minorEastAsia" w:eastAsiaTheme="minorEastAsia" w:cstheme="minorEastAsia"/>
          <w:color w:val="auto"/>
          <w:sz w:val="28"/>
          <w:u w:val="single"/>
        </w:rPr>
        <w:t xml:space="preserve">    </w:t>
      </w:r>
      <w:r>
        <w:rPr>
          <w:rFonts w:hint="eastAsia" w:asciiTheme="minorEastAsia" w:hAnsiTheme="minorEastAsia" w:eastAsiaTheme="minorEastAsia" w:cstheme="minorEastAsia"/>
          <w:color w:val="auto"/>
          <w:sz w:val="28"/>
        </w:rPr>
        <w:t>日</w:t>
      </w:r>
    </w:p>
    <w:p w14:paraId="363713C8">
      <w:pPr>
        <w:spacing w:line="40" w:lineRule="atLeast"/>
        <w:rPr>
          <w:rFonts w:hint="eastAsia" w:asciiTheme="minorEastAsia" w:hAnsiTheme="minorEastAsia" w:eastAsiaTheme="minorEastAsia" w:cstheme="minorEastAsia"/>
          <w:b/>
          <w:color w:val="auto"/>
          <w:sz w:val="30"/>
          <w:szCs w:val="30"/>
        </w:rPr>
      </w:pPr>
    </w:p>
    <w:p w14:paraId="36323469">
      <w:pPr>
        <w:spacing w:line="40" w:lineRule="atLeast"/>
        <w:rPr>
          <w:rFonts w:hint="eastAsia" w:asciiTheme="minorEastAsia" w:hAnsiTheme="minorEastAsia" w:eastAsiaTheme="minorEastAsia" w:cstheme="minorEastAsia"/>
          <w:b/>
          <w:color w:val="auto"/>
          <w:sz w:val="30"/>
          <w:szCs w:val="30"/>
        </w:rPr>
      </w:pPr>
    </w:p>
    <w:p w14:paraId="0AEF0631">
      <w:pPr>
        <w:pStyle w:val="28"/>
        <w:rPr>
          <w:rFonts w:hint="eastAsia" w:ascii="仿宋_GB2312" w:hAnsi="宋体" w:eastAsia="仿宋_GB2312"/>
          <w:b/>
          <w:bCs/>
          <w:color w:val="auto"/>
        </w:rPr>
      </w:pPr>
    </w:p>
    <w:p w14:paraId="676AD9AA">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heme="minorEastAsia" w:hAnsiTheme="minorEastAsia" w:eastAsiaTheme="minorEastAsia" w:cstheme="minorEastAsia"/>
          <w:b/>
          <w:bCs/>
          <w:color w:val="auto"/>
        </w:rPr>
      </w:pPr>
      <w:r>
        <w:rPr>
          <w:rFonts w:hint="eastAsia" w:ascii="黑体" w:hAnsi="黑体" w:eastAsia="仿宋_GB2312" w:cs="黑体"/>
          <w:color w:val="auto"/>
          <w:sz w:val="32"/>
          <w:szCs w:val="44"/>
        </w:rPr>
        <w:br w:type="page"/>
      </w:r>
      <w:r>
        <w:rPr>
          <w:rFonts w:hint="eastAsia" w:asciiTheme="minorEastAsia" w:hAnsiTheme="minorEastAsia" w:eastAsiaTheme="minorEastAsia" w:cstheme="minorEastAsia"/>
          <w:b/>
          <w:bCs/>
          <w:color w:val="auto"/>
          <w:sz w:val="32"/>
          <w:szCs w:val="44"/>
          <w:lang w:val="en-US" w:eastAsia="zh-CN"/>
        </w:rPr>
        <w:t>五</w:t>
      </w:r>
      <w:r>
        <w:rPr>
          <w:rFonts w:hint="eastAsia" w:asciiTheme="minorEastAsia" w:hAnsiTheme="minorEastAsia" w:eastAsiaTheme="minorEastAsia" w:cstheme="minorEastAsia"/>
          <w:b/>
          <w:bCs/>
          <w:color w:val="auto"/>
          <w:sz w:val="32"/>
          <w:szCs w:val="44"/>
        </w:rPr>
        <w:t>、投标承诺书（格式）</w:t>
      </w:r>
    </w:p>
    <w:p w14:paraId="4EFF0B93">
      <w:pPr>
        <w:spacing w:line="340" w:lineRule="exact"/>
        <w:ind w:firstLine="420" w:firstLineChars="200"/>
        <w:rPr>
          <w:rFonts w:hint="eastAsia"/>
          <w:color w:val="auto"/>
        </w:rPr>
      </w:pPr>
    </w:p>
    <w:p w14:paraId="1528FCAC">
      <w:pPr>
        <w:spacing w:line="340" w:lineRule="exact"/>
        <w:ind w:firstLine="420" w:firstLineChars="200"/>
        <w:rPr>
          <w:rFonts w:hint="eastAsia"/>
          <w:color w:val="auto"/>
        </w:rPr>
      </w:pPr>
      <w:r>
        <w:rPr>
          <w:rFonts w:hint="eastAsia"/>
          <w:color w:val="auto"/>
        </w:rPr>
        <w:t>我公司已详细阅读了</w:t>
      </w:r>
      <w:r>
        <w:rPr>
          <w:rFonts w:hint="eastAsia"/>
          <w:color w:val="auto"/>
          <w:u w:val="single"/>
        </w:rPr>
        <w:t xml:space="preserve">                     </w:t>
      </w:r>
      <w:r>
        <w:rPr>
          <w:rFonts w:hint="eastAsia"/>
          <w:color w:val="auto"/>
        </w:rPr>
        <w:t>项目（项目编号：</w:t>
      </w:r>
      <w:r>
        <w:rPr>
          <w:rFonts w:hint="eastAsia"/>
          <w:color w:val="auto"/>
          <w:u w:val="single"/>
          <w:lang w:val="en-US" w:eastAsia="zh-CN"/>
        </w:rPr>
        <w:t xml:space="preserve">   </w:t>
      </w:r>
      <w:r>
        <w:rPr>
          <w:rFonts w:hint="eastAsia"/>
          <w:color w:val="auto"/>
          <w:u w:val="single"/>
        </w:rPr>
        <w:t xml:space="preserve">         </w:t>
      </w:r>
      <w:r>
        <w:rPr>
          <w:rFonts w:hint="eastAsia"/>
          <w:color w:val="auto"/>
        </w:rPr>
        <w:t>）招标文件，现参加该项目投标，并就有关事项作出如下承诺：</w:t>
      </w:r>
    </w:p>
    <w:p w14:paraId="65AA8876">
      <w:pPr>
        <w:spacing w:line="340" w:lineRule="exact"/>
        <w:ind w:firstLine="420" w:firstLineChars="200"/>
        <w:rPr>
          <w:rFonts w:hint="eastAsia"/>
          <w:color w:val="auto"/>
        </w:rPr>
      </w:pPr>
      <w:r>
        <w:rPr>
          <w:rFonts w:hint="eastAsia"/>
          <w:color w:val="auto"/>
        </w:rPr>
        <w:t>一、我公司在该项目招投标及合同履约过程中，不会出现以下行为，否则我公司愿意接受该行为被记录为不良行为，并在不良行为记录时限</w:t>
      </w:r>
      <w:r>
        <w:rPr>
          <w:rFonts w:hint="eastAsia" w:ascii="Times New Roman" w:hAnsi="Times New Roman" w:eastAsia="宋体" w:cs="Times New Roman"/>
          <w:color w:val="auto"/>
        </w:rPr>
        <w:t>内放弃诸暨市</w:t>
      </w:r>
      <w:r>
        <w:rPr>
          <w:rFonts w:hint="eastAsia" w:ascii="Times New Roman" w:hAnsi="Times New Roman" w:eastAsia="宋体" w:cs="Times New Roman"/>
          <w:color w:val="auto"/>
          <w:lang w:val="en-US" w:eastAsia="zh-CN"/>
        </w:rPr>
        <w:t>建设</w:t>
      </w:r>
      <w:r>
        <w:rPr>
          <w:rFonts w:hint="eastAsia" w:ascii="Times New Roman" w:hAnsi="Times New Roman" w:eastAsia="宋体" w:cs="Times New Roman"/>
          <w:color w:val="auto"/>
        </w:rPr>
        <w:t>集团有限公司及下属公司范围</w:t>
      </w:r>
      <w:r>
        <w:rPr>
          <w:rFonts w:hint="eastAsia"/>
          <w:color w:val="auto"/>
        </w:rPr>
        <w:t>内项目投标的资格。</w:t>
      </w:r>
    </w:p>
    <w:p w14:paraId="175C9537">
      <w:pPr>
        <w:spacing w:line="340" w:lineRule="exact"/>
        <w:ind w:firstLine="420" w:firstLineChars="200"/>
        <w:rPr>
          <w:color w:val="auto"/>
        </w:rPr>
      </w:pPr>
      <w:r>
        <w:rPr>
          <w:rFonts w:hint="eastAsia"/>
          <w:color w:val="auto"/>
        </w:rPr>
        <w:t>（</w:t>
      </w:r>
      <w:r>
        <w:rPr>
          <w:color w:val="auto"/>
        </w:rPr>
        <w:t>1</w:t>
      </w:r>
      <w:r>
        <w:rPr>
          <w:rFonts w:hint="eastAsia"/>
          <w:color w:val="auto"/>
        </w:rPr>
        <w:t>）已报名但无故放弃投标(开标前已有书面说明并证实的除外)一年内累计3次以上的；</w:t>
      </w:r>
    </w:p>
    <w:p w14:paraId="4CD6521B">
      <w:pPr>
        <w:spacing w:line="340" w:lineRule="exact"/>
        <w:ind w:firstLine="420" w:firstLineChars="200"/>
        <w:rPr>
          <w:rFonts w:hint="eastAsia"/>
          <w:color w:val="auto"/>
        </w:rPr>
      </w:pPr>
      <w:r>
        <w:rPr>
          <w:rFonts w:hint="eastAsia"/>
          <w:color w:val="auto"/>
        </w:rPr>
        <w:t>（</w:t>
      </w:r>
      <w:r>
        <w:rPr>
          <w:color w:val="auto"/>
        </w:rPr>
        <w:t>2</w:t>
      </w:r>
      <w:r>
        <w:rPr>
          <w:rFonts w:hint="eastAsia"/>
          <w:color w:val="auto"/>
        </w:rPr>
        <w:t>）在招标采购过程中，与采购人进行协商谈判的；</w:t>
      </w:r>
    </w:p>
    <w:p w14:paraId="70FB7DC5">
      <w:pPr>
        <w:spacing w:line="340" w:lineRule="exact"/>
        <w:ind w:firstLine="420" w:firstLineChars="200"/>
        <w:rPr>
          <w:rFonts w:hint="eastAsia"/>
          <w:color w:val="auto"/>
        </w:rPr>
      </w:pPr>
      <w:r>
        <w:rPr>
          <w:rFonts w:hint="eastAsia"/>
          <w:color w:val="auto"/>
        </w:rPr>
        <w:t>（</w:t>
      </w:r>
      <w:r>
        <w:rPr>
          <w:color w:val="auto"/>
        </w:rPr>
        <w:t>3</w:t>
      </w:r>
      <w:r>
        <w:rPr>
          <w:rFonts w:hint="eastAsia"/>
          <w:color w:val="auto"/>
        </w:rPr>
        <w:t>）投标有效期内撤回其投标文件的；</w:t>
      </w:r>
    </w:p>
    <w:p w14:paraId="2F2153ED">
      <w:pPr>
        <w:spacing w:line="340" w:lineRule="exact"/>
        <w:ind w:firstLine="420" w:firstLineChars="200"/>
        <w:rPr>
          <w:rFonts w:hint="eastAsia"/>
          <w:color w:val="auto"/>
        </w:rPr>
      </w:pPr>
      <w:r>
        <w:rPr>
          <w:rFonts w:hint="eastAsia"/>
          <w:color w:val="auto"/>
        </w:rPr>
        <w:t>（4）拒绝有关部门监督检查或提供虚假情况的；</w:t>
      </w:r>
    </w:p>
    <w:p w14:paraId="0E11C863">
      <w:pPr>
        <w:spacing w:line="340" w:lineRule="exact"/>
        <w:ind w:firstLine="420" w:firstLineChars="200"/>
        <w:rPr>
          <w:rFonts w:hint="eastAsia"/>
          <w:color w:val="auto"/>
        </w:rPr>
      </w:pPr>
      <w:r>
        <w:rPr>
          <w:rFonts w:hint="eastAsia"/>
          <w:color w:val="auto"/>
        </w:rPr>
        <w:t>（5）不积极配合采购单位做好标的验收工作的；</w:t>
      </w:r>
    </w:p>
    <w:p w14:paraId="5A598011">
      <w:pPr>
        <w:spacing w:line="340" w:lineRule="exact"/>
        <w:ind w:firstLine="420" w:firstLineChars="200"/>
        <w:rPr>
          <w:rFonts w:hint="eastAsia"/>
          <w:color w:val="auto"/>
        </w:rPr>
      </w:pPr>
      <w:r>
        <w:rPr>
          <w:rFonts w:hint="eastAsia"/>
          <w:color w:val="auto"/>
        </w:rPr>
        <w:t>（6）在有关部门的监督检查或考核中被通报批评或处以警告及以上处罚的；</w:t>
      </w:r>
    </w:p>
    <w:p w14:paraId="3F7D5D94">
      <w:pPr>
        <w:spacing w:line="340" w:lineRule="exact"/>
        <w:ind w:firstLine="420" w:firstLineChars="200"/>
        <w:rPr>
          <w:color w:val="auto"/>
        </w:rPr>
      </w:pPr>
      <w:r>
        <w:rPr>
          <w:rFonts w:hint="eastAsia"/>
          <w:color w:val="auto"/>
        </w:rPr>
        <w:t>（7）不遵守投标会场纪律，无理取闹，扰乱交易秩序的；</w:t>
      </w:r>
    </w:p>
    <w:p w14:paraId="11C7781F">
      <w:pPr>
        <w:spacing w:line="340" w:lineRule="exact"/>
        <w:ind w:firstLine="420" w:firstLineChars="200"/>
        <w:rPr>
          <w:rFonts w:hint="eastAsia"/>
          <w:color w:val="auto"/>
        </w:rPr>
      </w:pPr>
      <w:r>
        <w:rPr>
          <w:rFonts w:hint="eastAsia"/>
          <w:color w:val="auto"/>
        </w:rPr>
        <w:t>（8）中标后无正当理由放弃中标，或不与采购人签订采购合同，或在签订合同时提出附加条件或更改合同实质性内容，或拒不提交所要求的履约保证金的；</w:t>
      </w:r>
    </w:p>
    <w:p w14:paraId="55EC4AD7">
      <w:pPr>
        <w:spacing w:line="340" w:lineRule="exact"/>
        <w:ind w:firstLine="420" w:firstLineChars="200"/>
        <w:rPr>
          <w:rFonts w:hint="eastAsia"/>
          <w:color w:val="auto"/>
        </w:rPr>
      </w:pPr>
      <w:r>
        <w:rPr>
          <w:rFonts w:hint="eastAsia"/>
          <w:color w:val="auto"/>
        </w:rPr>
        <w:t>（</w:t>
      </w:r>
      <w:r>
        <w:rPr>
          <w:color w:val="auto"/>
        </w:rPr>
        <w:t>9</w:t>
      </w:r>
      <w:r>
        <w:rPr>
          <w:rFonts w:hint="eastAsia"/>
          <w:color w:val="auto"/>
        </w:rPr>
        <w:t>）虚假投诉、恶意投诉或未按层级和相关程序逐级质疑、投诉而影响采购工作正常进行或造成不良影响的；</w:t>
      </w:r>
    </w:p>
    <w:p w14:paraId="0EC949E7">
      <w:pPr>
        <w:spacing w:line="340" w:lineRule="exact"/>
        <w:ind w:firstLine="420" w:firstLineChars="200"/>
        <w:rPr>
          <w:rFonts w:hint="eastAsia"/>
          <w:color w:val="auto"/>
        </w:rPr>
      </w:pPr>
      <w:r>
        <w:rPr>
          <w:rFonts w:hint="eastAsia"/>
          <w:color w:val="auto"/>
        </w:rPr>
        <w:t>（</w:t>
      </w:r>
      <w:r>
        <w:rPr>
          <w:color w:val="auto"/>
        </w:rPr>
        <w:t>10</w:t>
      </w:r>
      <w:r>
        <w:rPr>
          <w:rFonts w:hint="eastAsia"/>
          <w:color w:val="auto"/>
        </w:rPr>
        <w:t>）不按照与采购人订立的合同履行义务（包括提供标的、售后服务、技术支持等），严重违反合同规定和廉政合同要求的；</w:t>
      </w:r>
    </w:p>
    <w:p w14:paraId="1E99DCDC">
      <w:pPr>
        <w:spacing w:line="340" w:lineRule="exact"/>
        <w:ind w:firstLine="420" w:firstLineChars="200"/>
        <w:rPr>
          <w:color w:val="auto"/>
        </w:rPr>
      </w:pPr>
      <w:r>
        <w:rPr>
          <w:rFonts w:hint="eastAsia"/>
          <w:color w:val="auto"/>
        </w:rPr>
        <w:t>（11）项目负责人不到位，或擅自变换项目负责人，或不认真履行职责造成采购人损失的；</w:t>
      </w:r>
    </w:p>
    <w:p w14:paraId="786744F2">
      <w:pPr>
        <w:spacing w:line="340" w:lineRule="exact"/>
        <w:ind w:firstLine="420" w:firstLineChars="200"/>
        <w:rPr>
          <w:rFonts w:hint="eastAsia"/>
          <w:color w:val="auto"/>
        </w:rPr>
      </w:pPr>
      <w:r>
        <w:rPr>
          <w:rFonts w:hint="eastAsia"/>
          <w:color w:val="auto"/>
        </w:rPr>
        <w:t>（12）发生经营状况重大变化以及重要担保、重大合同纠纷或诉讼、信用等级和资质变化等可能影响履约能力的重大事项，未及时向</w:t>
      </w:r>
      <w:r>
        <w:rPr>
          <w:rFonts w:hint="eastAsia"/>
          <w:color w:val="auto"/>
          <w:lang w:val="en-US" w:eastAsia="zh-CN"/>
        </w:rPr>
        <w:t>采购人</w:t>
      </w:r>
      <w:r>
        <w:rPr>
          <w:rFonts w:hint="eastAsia"/>
          <w:color w:val="auto"/>
        </w:rPr>
        <w:t>提供书面报告，因而造成采购人损失的；</w:t>
      </w:r>
    </w:p>
    <w:p w14:paraId="307085A6">
      <w:pPr>
        <w:spacing w:line="340" w:lineRule="exact"/>
        <w:ind w:firstLine="420" w:firstLineChars="200"/>
        <w:rPr>
          <w:rFonts w:hint="eastAsia"/>
          <w:color w:val="auto"/>
        </w:rPr>
      </w:pPr>
      <w:r>
        <w:rPr>
          <w:rFonts w:hint="eastAsia"/>
          <w:color w:val="auto"/>
        </w:rPr>
        <w:t>（13）与采购人、其他</w:t>
      </w:r>
      <w:r>
        <w:rPr>
          <w:rFonts w:hint="eastAsia"/>
          <w:color w:val="auto"/>
          <w:lang w:val="en-US" w:eastAsia="zh-CN"/>
        </w:rPr>
        <w:t>投标人</w:t>
      </w:r>
      <w:r>
        <w:rPr>
          <w:rFonts w:hint="eastAsia"/>
          <w:color w:val="auto"/>
        </w:rPr>
        <w:t>或者采购代理机构相互串通的；</w:t>
      </w:r>
    </w:p>
    <w:p w14:paraId="4616EB1F">
      <w:pPr>
        <w:spacing w:line="340" w:lineRule="exact"/>
        <w:ind w:firstLine="420" w:firstLineChars="200"/>
        <w:rPr>
          <w:rFonts w:hint="eastAsia"/>
          <w:color w:val="auto"/>
        </w:rPr>
      </w:pPr>
      <w:r>
        <w:rPr>
          <w:rFonts w:hint="eastAsia"/>
          <w:color w:val="auto"/>
        </w:rPr>
        <w:t>（14）采取不正当手段排挤其他</w:t>
      </w:r>
      <w:r>
        <w:rPr>
          <w:rFonts w:hint="eastAsia"/>
          <w:color w:val="auto"/>
          <w:lang w:val="en-US" w:eastAsia="zh-CN"/>
        </w:rPr>
        <w:t>投标人</w:t>
      </w:r>
      <w:r>
        <w:rPr>
          <w:rFonts w:hint="eastAsia"/>
          <w:color w:val="auto"/>
        </w:rPr>
        <w:t>，进行不公平竞争的；</w:t>
      </w:r>
    </w:p>
    <w:p w14:paraId="03004435">
      <w:pPr>
        <w:spacing w:line="340" w:lineRule="exact"/>
        <w:ind w:firstLine="420" w:firstLineChars="200"/>
        <w:rPr>
          <w:rFonts w:hint="eastAsia"/>
          <w:color w:val="auto"/>
        </w:rPr>
      </w:pPr>
      <w:r>
        <w:rPr>
          <w:rFonts w:hint="eastAsia"/>
          <w:color w:val="auto"/>
        </w:rPr>
        <w:t>（15）中标后与采购人另行订立背离合同实质内容的协议的；</w:t>
      </w:r>
    </w:p>
    <w:p w14:paraId="572BF7C3">
      <w:pPr>
        <w:spacing w:line="340" w:lineRule="exact"/>
        <w:ind w:firstLine="420" w:firstLineChars="200"/>
        <w:rPr>
          <w:rFonts w:hint="eastAsia"/>
          <w:color w:val="auto"/>
        </w:rPr>
      </w:pPr>
      <w:r>
        <w:rPr>
          <w:rFonts w:hint="eastAsia"/>
          <w:color w:val="auto"/>
        </w:rPr>
        <w:t>（</w:t>
      </w:r>
      <w:r>
        <w:rPr>
          <w:color w:val="auto"/>
        </w:rPr>
        <w:t>1</w:t>
      </w:r>
      <w:r>
        <w:rPr>
          <w:rFonts w:hint="eastAsia"/>
          <w:color w:val="auto"/>
        </w:rPr>
        <w:t>6）事先有承诺，而事后违反承诺内容的；</w:t>
      </w:r>
    </w:p>
    <w:p w14:paraId="3BFF5D54">
      <w:pPr>
        <w:spacing w:line="340" w:lineRule="exact"/>
        <w:ind w:firstLine="420" w:firstLineChars="200"/>
        <w:rPr>
          <w:rFonts w:hint="eastAsia"/>
          <w:color w:val="auto"/>
        </w:rPr>
      </w:pPr>
      <w:r>
        <w:rPr>
          <w:rFonts w:hint="eastAsia"/>
          <w:color w:val="auto"/>
        </w:rPr>
        <w:t>（17）将中标项目转包或违反规定进行分包的；</w:t>
      </w:r>
    </w:p>
    <w:p w14:paraId="1F3B5A1F">
      <w:pPr>
        <w:spacing w:line="340" w:lineRule="exact"/>
        <w:ind w:firstLine="420" w:firstLineChars="200"/>
        <w:rPr>
          <w:rFonts w:hint="eastAsia"/>
          <w:color w:val="auto"/>
        </w:rPr>
      </w:pPr>
      <w:r>
        <w:rPr>
          <w:rFonts w:hint="eastAsia"/>
          <w:color w:val="auto"/>
        </w:rPr>
        <w:t>（18）以他人名义投标或允许他人以自己名义投标，或者以其他方式弄虚作假的；</w:t>
      </w:r>
    </w:p>
    <w:p w14:paraId="35378F20">
      <w:pPr>
        <w:spacing w:line="340" w:lineRule="exact"/>
        <w:ind w:firstLine="420" w:firstLineChars="200"/>
        <w:rPr>
          <w:rFonts w:hint="eastAsia"/>
          <w:color w:val="auto"/>
        </w:rPr>
      </w:pPr>
      <w:r>
        <w:rPr>
          <w:rFonts w:hint="eastAsia"/>
          <w:color w:val="auto"/>
        </w:rPr>
        <w:t>（19）未按照采购合同约定及时提供全部货物的，或无故拖延工期的；</w:t>
      </w:r>
    </w:p>
    <w:p w14:paraId="3E1DD456">
      <w:pPr>
        <w:spacing w:line="340" w:lineRule="exact"/>
        <w:ind w:firstLine="420" w:firstLineChars="200"/>
        <w:rPr>
          <w:rFonts w:hint="eastAsia"/>
          <w:color w:val="auto"/>
        </w:rPr>
      </w:pPr>
      <w:r>
        <w:rPr>
          <w:rFonts w:hint="eastAsia"/>
          <w:color w:val="auto"/>
        </w:rPr>
        <w:t>（20）无故不提供中标要求的型号、配置等产品的，或有拆换、调换、截留产品零部件和备品备件的行为的；</w:t>
      </w:r>
    </w:p>
    <w:p w14:paraId="76DFDCE8">
      <w:pPr>
        <w:spacing w:line="340" w:lineRule="exact"/>
        <w:ind w:firstLine="420" w:firstLineChars="200"/>
        <w:rPr>
          <w:rFonts w:hint="eastAsia"/>
          <w:color w:val="auto"/>
        </w:rPr>
      </w:pPr>
      <w:r>
        <w:rPr>
          <w:rFonts w:hint="eastAsia"/>
          <w:color w:val="auto"/>
        </w:rPr>
        <w:t>（21）为获取自身利益，向采购人及其他有利害关系的单位或个人提供不正当利益的；</w:t>
      </w:r>
    </w:p>
    <w:p w14:paraId="3C9F16FA">
      <w:pPr>
        <w:spacing w:line="340" w:lineRule="exact"/>
        <w:ind w:firstLine="420" w:firstLineChars="200"/>
        <w:rPr>
          <w:rFonts w:hint="eastAsia"/>
          <w:color w:val="auto"/>
        </w:rPr>
      </w:pPr>
      <w:r>
        <w:rPr>
          <w:rFonts w:hint="eastAsia"/>
          <w:color w:val="auto"/>
        </w:rPr>
        <w:t>（22）提供假冒伪劣产品或走私物品的；</w:t>
      </w:r>
    </w:p>
    <w:p w14:paraId="5A70A303">
      <w:pPr>
        <w:spacing w:line="340" w:lineRule="exact"/>
        <w:ind w:firstLine="420" w:firstLineChars="200"/>
        <w:rPr>
          <w:rFonts w:hint="eastAsia"/>
          <w:color w:val="auto"/>
        </w:rPr>
      </w:pPr>
      <w:r>
        <w:rPr>
          <w:rFonts w:hint="eastAsia"/>
          <w:color w:val="auto"/>
        </w:rPr>
        <w:t>（23）擅自变更、中止、终止或解除采购合同的；</w:t>
      </w:r>
    </w:p>
    <w:p w14:paraId="33C57EB5">
      <w:pPr>
        <w:spacing w:line="340" w:lineRule="exact"/>
        <w:ind w:firstLine="420" w:firstLineChars="200"/>
        <w:rPr>
          <w:rFonts w:hint="eastAsia"/>
          <w:color w:val="auto"/>
        </w:rPr>
      </w:pPr>
      <w:r>
        <w:rPr>
          <w:rFonts w:hint="eastAsia"/>
          <w:color w:val="auto"/>
        </w:rPr>
        <w:t>（24）向有关人员行贿或者提供不正当利益谋取中标的；</w:t>
      </w:r>
    </w:p>
    <w:p w14:paraId="6A80CD22">
      <w:pPr>
        <w:spacing w:line="340" w:lineRule="exact"/>
        <w:ind w:firstLine="420" w:firstLineChars="200"/>
        <w:rPr>
          <w:rFonts w:hint="eastAsia"/>
          <w:color w:val="auto"/>
        </w:rPr>
      </w:pPr>
      <w:r>
        <w:rPr>
          <w:rFonts w:hint="eastAsia"/>
          <w:color w:val="auto"/>
        </w:rPr>
        <w:t>（25）在采购活动期间，对管理机构、采购人、其他投标人、评标专家、中介机构等采购相关机构和人员，采取诋毁、诽谤、胁迫、暴力等不正当手段的；</w:t>
      </w:r>
    </w:p>
    <w:p w14:paraId="3DFA7040">
      <w:pPr>
        <w:spacing w:line="340" w:lineRule="exact"/>
        <w:ind w:firstLine="420" w:firstLineChars="200"/>
        <w:rPr>
          <w:rFonts w:hint="eastAsia"/>
          <w:color w:val="auto"/>
        </w:rPr>
      </w:pPr>
      <w:r>
        <w:rPr>
          <w:rFonts w:hint="eastAsia"/>
          <w:color w:val="auto"/>
        </w:rPr>
        <w:t>（26）</w:t>
      </w:r>
      <w:r>
        <w:rPr>
          <w:rFonts w:hint="eastAsia"/>
          <w:color w:val="auto"/>
          <w:lang w:eastAsia="zh-CN"/>
        </w:rPr>
        <w:t>诸暨市建设集团有限公司</w:t>
      </w:r>
      <w:r>
        <w:rPr>
          <w:rFonts w:hint="eastAsia"/>
          <w:color w:val="auto"/>
        </w:rPr>
        <w:t>认定的其他违反采购管理的行为。</w:t>
      </w:r>
    </w:p>
    <w:p w14:paraId="43491276">
      <w:pPr>
        <w:spacing w:line="340" w:lineRule="exact"/>
        <w:ind w:firstLine="420" w:firstLineChars="200"/>
        <w:rPr>
          <w:color w:val="auto"/>
        </w:rPr>
      </w:pPr>
      <w:r>
        <w:rPr>
          <w:rFonts w:hint="eastAsia"/>
          <w:color w:val="auto"/>
        </w:rPr>
        <w:t>出现（</w:t>
      </w:r>
      <w:r>
        <w:rPr>
          <w:color w:val="auto"/>
        </w:rPr>
        <w:t>1</w:t>
      </w:r>
      <w:r>
        <w:rPr>
          <w:rFonts w:hint="eastAsia"/>
          <w:color w:val="auto"/>
        </w:rPr>
        <w:t>）</w:t>
      </w:r>
      <w:r>
        <w:rPr>
          <w:color w:val="auto"/>
        </w:rPr>
        <w:t>~</w:t>
      </w:r>
      <w:r>
        <w:rPr>
          <w:rFonts w:hint="eastAsia"/>
          <w:color w:val="auto"/>
        </w:rPr>
        <w:t>（6）行为之一，记录时限为6个月；出现（7）</w:t>
      </w:r>
      <w:r>
        <w:rPr>
          <w:color w:val="auto"/>
        </w:rPr>
        <w:t>~</w:t>
      </w:r>
      <w:r>
        <w:rPr>
          <w:rFonts w:hint="eastAsia"/>
          <w:color w:val="auto"/>
        </w:rPr>
        <w:t>（12）行为之一，记录时限为1年；出现（13）</w:t>
      </w:r>
      <w:r>
        <w:rPr>
          <w:color w:val="auto"/>
        </w:rPr>
        <w:t>~</w:t>
      </w:r>
      <w:r>
        <w:rPr>
          <w:rFonts w:hint="eastAsia"/>
          <w:color w:val="auto"/>
        </w:rPr>
        <w:t>（17）行为之一，记录时限为2年；出现（18）</w:t>
      </w:r>
      <w:r>
        <w:rPr>
          <w:color w:val="auto"/>
        </w:rPr>
        <w:t>~</w:t>
      </w:r>
      <w:r>
        <w:rPr>
          <w:rFonts w:hint="eastAsia"/>
          <w:color w:val="auto"/>
        </w:rPr>
        <w:t>（21）行为之一，记录时限为3年；出现（22）</w:t>
      </w:r>
      <w:r>
        <w:rPr>
          <w:color w:val="auto"/>
        </w:rPr>
        <w:t>~</w:t>
      </w:r>
      <w:r>
        <w:rPr>
          <w:rFonts w:hint="eastAsia"/>
          <w:color w:val="auto"/>
        </w:rPr>
        <w:t>（25）行为之一，记录时限为5年；出现（26）行为，酌情处理。时限以被记录为不良行为之日起算，在记录时限内再次被计为不良行为的，记录时限应从上次记录时限截止日起算。</w:t>
      </w:r>
    </w:p>
    <w:p w14:paraId="60FA45F3">
      <w:pPr>
        <w:spacing w:line="340" w:lineRule="exact"/>
        <w:ind w:firstLine="420" w:firstLineChars="200"/>
        <w:rPr>
          <w:rFonts w:hint="eastAsia"/>
          <w:color w:val="auto"/>
        </w:rPr>
      </w:pPr>
      <w:r>
        <w:rPr>
          <w:rFonts w:hint="eastAsia"/>
          <w:color w:val="auto"/>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w:t>
      </w:r>
      <w:r>
        <w:rPr>
          <w:rFonts w:hint="eastAsia"/>
          <w:color w:val="auto"/>
          <w:highlight w:val="none"/>
        </w:rPr>
        <w:t>愿意接受相关部门依据采购</w:t>
      </w:r>
      <w:r>
        <w:rPr>
          <w:rFonts w:hint="eastAsia"/>
          <w:color w:val="auto"/>
          <w:highlight w:val="none"/>
          <w:lang w:val="en-US" w:eastAsia="zh-CN"/>
        </w:rPr>
        <w:t>相关法律法规</w:t>
      </w:r>
      <w:r>
        <w:rPr>
          <w:rFonts w:hint="eastAsia"/>
          <w:color w:val="auto"/>
          <w:highlight w:val="none"/>
        </w:rPr>
        <w:t>做出的处罚决定。</w:t>
      </w:r>
    </w:p>
    <w:p w14:paraId="2349D67B">
      <w:pPr>
        <w:spacing w:line="340" w:lineRule="exact"/>
        <w:ind w:firstLine="420" w:firstLineChars="200"/>
        <w:rPr>
          <w:rFonts w:hint="eastAsia"/>
          <w:color w:val="auto"/>
        </w:rPr>
      </w:pPr>
      <w:r>
        <w:rPr>
          <w:rFonts w:hint="eastAsia"/>
          <w:color w:val="auto"/>
        </w:rPr>
        <w:t>三、我公司及其他利害关系人如对该项目的中标公示有异议，将在采购文件规定的公示期限内提出符合以下条件的有效质疑，否则我公司愿意接受相关部门不予受理的决定。</w:t>
      </w:r>
    </w:p>
    <w:p w14:paraId="0C20ED91">
      <w:pPr>
        <w:spacing w:line="340" w:lineRule="exact"/>
        <w:ind w:firstLine="420" w:firstLineChars="200"/>
        <w:rPr>
          <w:rFonts w:hint="eastAsia"/>
          <w:color w:val="auto"/>
        </w:rPr>
      </w:pPr>
      <w:r>
        <w:rPr>
          <w:rFonts w:hint="eastAsia"/>
          <w:color w:val="auto"/>
        </w:rPr>
        <w:t>1、质疑人须为采购响应人和其他利害关系人；</w:t>
      </w:r>
    </w:p>
    <w:p w14:paraId="04948B09">
      <w:pPr>
        <w:spacing w:line="340" w:lineRule="exact"/>
        <w:ind w:firstLine="420" w:firstLineChars="200"/>
        <w:rPr>
          <w:rFonts w:hint="eastAsia"/>
          <w:color w:val="auto"/>
        </w:rPr>
      </w:pPr>
      <w:r>
        <w:rPr>
          <w:rFonts w:hint="eastAsia"/>
          <w:color w:val="auto"/>
        </w:rPr>
        <w:t>2、投诉时，应当递交质疑书，质疑书应当包括下列内容：</w:t>
      </w:r>
    </w:p>
    <w:p w14:paraId="5D0215DF">
      <w:pPr>
        <w:spacing w:line="340" w:lineRule="exact"/>
        <w:ind w:firstLine="420" w:firstLineChars="200"/>
        <w:rPr>
          <w:rFonts w:hint="eastAsia"/>
          <w:color w:val="auto"/>
        </w:rPr>
      </w:pPr>
      <w:r>
        <w:rPr>
          <w:rFonts w:hint="eastAsia"/>
          <w:color w:val="auto"/>
        </w:rPr>
        <w:t>（</w:t>
      </w:r>
      <w:r>
        <w:rPr>
          <w:color w:val="auto"/>
        </w:rPr>
        <w:t>1</w:t>
      </w:r>
      <w:r>
        <w:rPr>
          <w:rFonts w:hint="eastAsia"/>
          <w:color w:val="auto"/>
        </w:rPr>
        <w:t>）质疑人的名称、地址及有效联系方式；</w:t>
      </w:r>
    </w:p>
    <w:p w14:paraId="1B687863">
      <w:pPr>
        <w:spacing w:line="340" w:lineRule="exact"/>
        <w:ind w:firstLine="420" w:firstLineChars="200"/>
        <w:rPr>
          <w:rFonts w:hint="eastAsia"/>
          <w:color w:val="auto"/>
        </w:rPr>
      </w:pPr>
      <w:r>
        <w:rPr>
          <w:rFonts w:hint="eastAsia"/>
          <w:color w:val="auto"/>
        </w:rPr>
        <w:t>（</w:t>
      </w:r>
      <w:r>
        <w:rPr>
          <w:color w:val="auto"/>
        </w:rPr>
        <w:t>2</w:t>
      </w:r>
      <w:r>
        <w:rPr>
          <w:rFonts w:hint="eastAsia"/>
          <w:color w:val="auto"/>
        </w:rPr>
        <w:t>）被质疑人的名称、地址及联系方式；</w:t>
      </w:r>
    </w:p>
    <w:p w14:paraId="4D369B05">
      <w:pPr>
        <w:spacing w:line="340" w:lineRule="exact"/>
        <w:ind w:firstLine="420" w:firstLineChars="200"/>
        <w:rPr>
          <w:rFonts w:hint="eastAsia"/>
          <w:color w:val="auto"/>
        </w:rPr>
      </w:pPr>
      <w:r>
        <w:rPr>
          <w:rFonts w:hint="eastAsia"/>
          <w:color w:val="auto"/>
        </w:rPr>
        <w:t>（</w:t>
      </w:r>
      <w:r>
        <w:rPr>
          <w:color w:val="auto"/>
        </w:rPr>
        <w:t>3</w:t>
      </w:r>
      <w:r>
        <w:rPr>
          <w:rFonts w:hint="eastAsia"/>
          <w:color w:val="auto"/>
        </w:rPr>
        <w:t>）质疑事项的基本事实；</w:t>
      </w:r>
    </w:p>
    <w:p w14:paraId="58F0FBDF">
      <w:pPr>
        <w:spacing w:line="340" w:lineRule="exact"/>
        <w:ind w:firstLine="420" w:firstLineChars="200"/>
        <w:rPr>
          <w:rFonts w:hint="eastAsia"/>
          <w:color w:val="auto"/>
        </w:rPr>
      </w:pPr>
      <w:r>
        <w:rPr>
          <w:rFonts w:hint="eastAsia"/>
          <w:color w:val="auto"/>
        </w:rPr>
        <w:t>（</w:t>
      </w:r>
      <w:r>
        <w:rPr>
          <w:color w:val="auto"/>
        </w:rPr>
        <w:t>4</w:t>
      </w:r>
      <w:r>
        <w:rPr>
          <w:rFonts w:hint="eastAsia"/>
          <w:color w:val="auto"/>
        </w:rPr>
        <w:t>）相关请求及主张；</w:t>
      </w:r>
    </w:p>
    <w:p w14:paraId="4A8CD301">
      <w:pPr>
        <w:spacing w:line="340" w:lineRule="exact"/>
        <w:ind w:firstLine="420" w:firstLineChars="200"/>
        <w:rPr>
          <w:rFonts w:hint="eastAsia"/>
          <w:color w:val="auto"/>
        </w:rPr>
      </w:pPr>
      <w:r>
        <w:rPr>
          <w:rFonts w:hint="eastAsia"/>
          <w:color w:val="auto"/>
        </w:rPr>
        <w:t>（</w:t>
      </w:r>
      <w:r>
        <w:rPr>
          <w:color w:val="auto"/>
        </w:rPr>
        <w:t>5</w:t>
      </w:r>
      <w:r>
        <w:rPr>
          <w:rFonts w:hint="eastAsia"/>
          <w:color w:val="auto"/>
        </w:rPr>
        <w:t>）有效线索和相关证明材料；</w:t>
      </w:r>
    </w:p>
    <w:p w14:paraId="63542A99">
      <w:pPr>
        <w:spacing w:line="340" w:lineRule="exact"/>
        <w:ind w:firstLine="420" w:firstLineChars="200"/>
        <w:rPr>
          <w:rFonts w:hint="eastAsia" w:ascii="宋体" w:hAnsi="宋体" w:eastAsia="仿宋_GB2312" w:cs="宋体"/>
          <w:b/>
          <w:color w:val="auto"/>
          <w:sz w:val="24"/>
          <w:szCs w:val="24"/>
        </w:rPr>
      </w:pPr>
      <w:r>
        <w:rPr>
          <w:rFonts w:hint="eastAsia"/>
          <w:color w:val="auto"/>
        </w:rPr>
        <w:t>（</w:t>
      </w:r>
      <w:r>
        <w:rPr>
          <w:color w:val="auto"/>
        </w:rPr>
        <w:t>6</w:t>
      </w:r>
      <w:r>
        <w:rPr>
          <w:rFonts w:hint="eastAsia"/>
          <w:color w:val="auto"/>
        </w:rPr>
        <w:t>）质疑人是法人的，质疑书必须由其法定代表人或者授权代表签字并加盖公章；其他组织或者个人质疑的，质疑书必须由其主要负责人或者质疑人本人签字，并附有效身份证明复印件。</w:t>
      </w:r>
    </w:p>
    <w:p w14:paraId="4758F64B">
      <w:pPr>
        <w:spacing w:line="340" w:lineRule="exact"/>
        <w:ind w:firstLine="960" w:firstLineChars="400"/>
        <w:rPr>
          <w:rFonts w:hint="eastAsia" w:ascii="宋体" w:hAnsi="宋体" w:eastAsia="仿宋_GB2312" w:cs="宋体"/>
          <w:color w:val="auto"/>
          <w:sz w:val="24"/>
          <w:szCs w:val="24"/>
        </w:rPr>
      </w:pPr>
    </w:p>
    <w:p w14:paraId="2A21E1E2">
      <w:pPr>
        <w:spacing w:line="340" w:lineRule="exact"/>
        <w:ind w:firstLine="960" w:firstLineChars="400"/>
        <w:rPr>
          <w:rFonts w:hint="eastAsia" w:ascii="宋体" w:hAnsi="宋体" w:eastAsia="仿宋_GB2312" w:cs="宋体"/>
          <w:color w:val="auto"/>
          <w:sz w:val="24"/>
          <w:szCs w:val="24"/>
        </w:rPr>
      </w:pPr>
    </w:p>
    <w:p w14:paraId="7E66BE60">
      <w:pPr>
        <w:spacing w:line="360" w:lineRule="auto"/>
        <w:rPr>
          <w:rFonts w:hint="eastAsia" w:asciiTheme="minorEastAsia" w:hAnsiTheme="minorEastAsia" w:eastAsiaTheme="minorEastAsia" w:cstheme="minorEastAsia"/>
          <w:color w:val="auto"/>
          <w:sz w:val="24"/>
          <w:szCs w:val="24"/>
        </w:rPr>
      </w:pPr>
    </w:p>
    <w:p w14:paraId="7ABE603B">
      <w:pPr>
        <w:spacing w:line="360" w:lineRule="auto"/>
        <w:rPr>
          <w:rFonts w:hint="eastAsia" w:asciiTheme="minorEastAsia" w:hAnsiTheme="minorEastAsia" w:eastAsiaTheme="minorEastAsia" w:cstheme="minorEastAsia"/>
          <w:color w:val="auto"/>
          <w:sz w:val="24"/>
          <w:szCs w:val="24"/>
        </w:rPr>
      </w:pPr>
    </w:p>
    <w:p w14:paraId="356AFCC1">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（盖公章）  </w:t>
      </w:r>
    </w:p>
    <w:p w14:paraId="181A9192">
      <w:pPr>
        <w:spacing w:line="360" w:lineRule="auto"/>
        <w:ind w:firstLine="425"/>
        <w:rPr>
          <w:rFonts w:hint="eastAsia" w:asciiTheme="minorEastAsia" w:hAnsiTheme="minorEastAsia" w:eastAsiaTheme="minorEastAsia" w:cstheme="minorEastAsia"/>
          <w:color w:val="auto"/>
          <w:sz w:val="24"/>
          <w:szCs w:val="24"/>
          <w:u w:val="single"/>
        </w:rPr>
      </w:pPr>
    </w:p>
    <w:p w14:paraId="28E69074">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4FD8243A">
      <w:pPr>
        <w:spacing w:line="560" w:lineRule="exact"/>
        <w:ind w:firstLine="480" w:firstLineChars="200"/>
        <w:rPr>
          <w:rFonts w:hint="eastAsia" w:ascii="宋体" w:hAnsi="宋体" w:eastAsia="仿宋_GB2312" w:cs="宋体"/>
          <w:color w:val="auto"/>
          <w:sz w:val="24"/>
          <w:szCs w:val="24"/>
        </w:rPr>
      </w:pPr>
    </w:p>
    <w:p w14:paraId="17403937">
      <w:pPr>
        <w:spacing w:line="360" w:lineRule="auto"/>
        <w:ind w:firstLine="480" w:firstLineChars="200"/>
        <w:rPr>
          <w:rFonts w:hint="eastAsia" w:ascii="宋体" w:hAnsi="宋体" w:eastAsia="仿宋_GB2312" w:cs="宋体"/>
          <w:color w:val="auto"/>
          <w:sz w:val="24"/>
          <w:szCs w:val="24"/>
        </w:rPr>
      </w:pPr>
    </w:p>
    <w:p w14:paraId="63945CF5">
      <w:pPr>
        <w:pStyle w:val="28"/>
        <w:rPr>
          <w:rFonts w:hint="eastAsia" w:ascii="黑体" w:hAnsi="黑体" w:eastAsia="仿宋_GB2312" w:cs="黑体"/>
          <w:color w:val="auto"/>
        </w:rPr>
      </w:pPr>
    </w:p>
    <w:p w14:paraId="0AD5476D">
      <w:pPr>
        <w:rPr>
          <w:rFonts w:hint="eastAsia" w:ascii="黑体" w:hAnsi="黑体" w:eastAsia="仿宋_GB2312" w:cs="黑体"/>
          <w:color w:val="auto"/>
        </w:rPr>
      </w:pPr>
    </w:p>
    <w:p w14:paraId="5DAC3D1C">
      <w:pPr>
        <w:rPr>
          <w:rFonts w:hint="eastAsia" w:ascii="黑体" w:hAnsi="黑体" w:eastAsia="仿宋_GB2312" w:cs="黑体"/>
          <w:color w:val="auto"/>
        </w:rPr>
      </w:pPr>
    </w:p>
    <w:p w14:paraId="4103649A">
      <w:pPr>
        <w:numPr>
          <w:ilvl w:val="0"/>
          <w:numId w:val="4"/>
        </w:numPr>
        <w:spacing w:line="440" w:lineRule="exact"/>
        <w:jc w:val="center"/>
        <w:rPr>
          <w:rFonts w:hint="eastAsia" w:asciiTheme="minorEastAsia" w:hAnsiTheme="minorEastAsia" w:eastAsiaTheme="minorEastAsia" w:cstheme="minorEastAsia"/>
          <w:b/>
          <w:color w:val="auto"/>
          <w:sz w:val="32"/>
          <w:szCs w:val="32"/>
        </w:rPr>
      </w:pPr>
      <w:r>
        <w:rPr>
          <w:rFonts w:hint="eastAsia" w:ascii="黑体" w:hAnsi="黑体" w:eastAsia="仿宋_GB2312" w:cs="黑体"/>
          <w:b/>
          <w:color w:val="auto"/>
          <w:sz w:val="28"/>
          <w:szCs w:val="28"/>
        </w:rPr>
        <w:br w:type="page"/>
      </w:r>
      <w:r>
        <w:rPr>
          <w:rFonts w:hint="eastAsia" w:asciiTheme="minorEastAsia" w:hAnsiTheme="minorEastAsia" w:eastAsiaTheme="minorEastAsia" w:cstheme="minorEastAsia"/>
          <w:b/>
          <w:color w:val="auto"/>
          <w:sz w:val="32"/>
          <w:szCs w:val="32"/>
        </w:rPr>
        <w:t>技 术 偏 离 表</w:t>
      </w:r>
    </w:p>
    <w:p w14:paraId="5EEDA6C8">
      <w:pPr>
        <w:pStyle w:val="8"/>
        <w:numPr>
          <w:ilvl w:val="0"/>
          <w:numId w:val="4"/>
        </w:numPr>
        <w:rPr>
          <w:rFonts w:hint="eastAsia"/>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40"/>
        <w:gridCol w:w="2160"/>
        <w:gridCol w:w="2160"/>
      </w:tblGrid>
      <w:tr w14:paraId="1760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6526AA43">
            <w:pPr>
              <w:pStyle w:val="11"/>
              <w:spacing w:line="400" w:lineRule="atLeas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内容</w:t>
            </w:r>
          </w:p>
        </w:tc>
        <w:tc>
          <w:tcPr>
            <w:tcW w:w="2340" w:type="dxa"/>
            <w:noWrap w:val="0"/>
            <w:vAlign w:val="center"/>
          </w:tcPr>
          <w:p w14:paraId="1050506C">
            <w:pPr>
              <w:pStyle w:val="11"/>
              <w:spacing w:line="400" w:lineRule="atLeas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招标文件</w:t>
            </w:r>
          </w:p>
          <w:p w14:paraId="0DEAD25F">
            <w:pPr>
              <w:pStyle w:val="11"/>
              <w:spacing w:line="400" w:lineRule="atLeas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规范要求</w:t>
            </w:r>
          </w:p>
        </w:tc>
        <w:tc>
          <w:tcPr>
            <w:tcW w:w="2160" w:type="dxa"/>
            <w:noWrap w:val="0"/>
            <w:vAlign w:val="center"/>
          </w:tcPr>
          <w:p w14:paraId="4AF413CC">
            <w:pPr>
              <w:pStyle w:val="11"/>
              <w:spacing w:line="400" w:lineRule="atLeas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投标文件</w:t>
            </w:r>
          </w:p>
          <w:p w14:paraId="09ABA761">
            <w:pPr>
              <w:pStyle w:val="11"/>
              <w:spacing w:line="400" w:lineRule="atLeas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对应规范</w:t>
            </w:r>
          </w:p>
        </w:tc>
        <w:tc>
          <w:tcPr>
            <w:tcW w:w="2160" w:type="dxa"/>
            <w:noWrap w:val="0"/>
            <w:vAlign w:val="center"/>
          </w:tcPr>
          <w:p w14:paraId="1282E2EB">
            <w:pPr>
              <w:pStyle w:val="11"/>
              <w:spacing w:line="400" w:lineRule="atLeas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xml:space="preserve"> 偏离情况</w:t>
            </w:r>
          </w:p>
        </w:tc>
      </w:tr>
      <w:tr w14:paraId="4D26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06BF01A9">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3B843B8B">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379ED2BE">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1C723218">
            <w:pPr>
              <w:pStyle w:val="11"/>
              <w:spacing w:line="400" w:lineRule="atLeast"/>
              <w:jc w:val="center"/>
              <w:rPr>
                <w:rFonts w:hint="eastAsia" w:asciiTheme="minorEastAsia" w:hAnsiTheme="minorEastAsia" w:eastAsiaTheme="minorEastAsia" w:cstheme="minorEastAsia"/>
                <w:color w:val="auto"/>
                <w:szCs w:val="24"/>
              </w:rPr>
            </w:pPr>
          </w:p>
        </w:tc>
      </w:tr>
      <w:tr w14:paraId="7010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47ECDE77">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629F90FE">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4F812050">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566EDB88">
            <w:pPr>
              <w:pStyle w:val="11"/>
              <w:spacing w:line="400" w:lineRule="atLeast"/>
              <w:jc w:val="center"/>
              <w:rPr>
                <w:rFonts w:hint="eastAsia" w:asciiTheme="minorEastAsia" w:hAnsiTheme="minorEastAsia" w:eastAsiaTheme="minorEastAsia" w:cstheme="minorEastAsia"/>
                <w:color w:val="auto"/>
                <w:szCs w:val="24"/>
              </w:rPr>
            </w:pPr>
          </w:p>
        </w:tc>
      </w:tr>
      <w:tr w14:paraId="5EBB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0FE04C7F">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3E3C1B3B">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4ACAF3D4">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18B608A2">
            <w:pPr>
              <w:pStyle w:val="11"/>
              <w:spacing w:line="400" w:lineRule="atLeast"/>
              <w:jc w:val="center"/>
              <w:rPr>
                <w:rFonts w:hint="eastAsia" w:asciiTheme="minorEastAsia" w:hAnsiTheme="minorEastAsia" w:eastAsiaTheme="minorEastAsia" w:cstheme="minorEastAsia"/>
                <w:color w:val="auto"/>
                <w:szCs w:val="24"/>
              </w:rPr>
            </w:pPr>
          </w:p>
        </w:tc>
      </w:tr>
      <w:tr w14:paraId="31A0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635671FD">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6F6DFD27">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766C783C">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02CCE458">
            <w:pPr>
              <w:pStyle w:val="11"/>
              <w:spacing w:line="400" w:lineRule="atLeast"/>
              <w:jc w:val="center"/>
              <w:rPr>
                <w:rFonts w:hint="eastAsia" w:asciiTheme="minorEastAsia" w:hAnsiTheme="minorEastAsia" w:eastAsiaTheme="minorEastAsia" w:cstheme="minorEastAsia"/>
                <w:color w:val="auto"/>
                <w:szCs w:val="24"/>
              </w:rPr>
            </w:pPr>
          </w:p>
        </w:tc>
      </w:tr>
      <w:tr w14:paraId="35AC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000B9518">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7E5EEB97">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330856AA">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0860008C">
            <w:pPr>
              <w:pStyle w:val="11"/>
              <w:spacing w:line="400" w:lineRule="atLeast"/>
              <w:jc w:val="center"/>
              <w:rPr>
                <w:rFonts w:hint="eastAsia" w:asciiTheme="minorEastAsia" w:hAnsiTheme="minorEastAsia" w:eastAsiaTheme="minorEastAsia" w:cstheme="minorEastAsia"/>
                <w:color w:val="auto"/>
                <w:szCs w:val="24"/>
              </w:rPr>
            </w:pPr>
          </w:p>
        </w:tc>
      </w:tr>
      <w:tr w14:paraId="53E6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5A6CEA95">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2F770B3D">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4C775884">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003F4917">
            <w:pPr>
              <w:pStyle w:val="11"/>
              <w:spacing w:line="400" w:lineRule="atLeast"/>
              <w:jc w:val="center"/>
              <w:rPr>
                <w:rFonts w:hint="eastAsia" w:asciiTheme="minorEastAsia" w:hAnsiTheme="minorEastAsia" w:eastAsiaTheme="minorEastAsia" w:cstheme="minorEastAsia"/>
                <w:color w:val="auto"/>
                <w:szCs w:val="24"/>
              </w:rPr>
            </w:pPr>
          </w:p>
        </w:tc>
      </w:tr>
      <w:tr w14:paraId="4B8B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62A1B3C0">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3794F5D2">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1BB1B934">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48995F34">
            <w:pPr>
              <w:pStyle w:val="11"/>
              <w:spacing w:line="400" w:lineRule="atLeast"/>
              <w:jc w:val="center"/>
              <w:rPr>
                <w:rFonts w:hint="eastAsia" w:asciiTheme="minorEastAsia" w:hAnsiTheme="minorEastAsia" w:eastAsiaTheme="minorEastAsia" w:cstheme="minorEastAsia"/>
                <w:color w:val="auto"/>
                <w:szCs w:val="24"/>
              </w:rPr>
            </w:pPr>
          </w:p>
        </w:tc>
      </w:tr>
      <w:tr w14:paraId="1FE3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4A740B8C">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0ABC4F5D">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69D65F46">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22FA2B99">
            <w:pPr>
              <w:pStyle w:val="11"/>
              <w:spacing w:line="400" w:lineRule="atLeast"/>
              <w:jc w:val="center"/>
              <w:rPr>
                <w:rFonts w:hint="eastAsia" w:asciiTheme="minorEastAsia" w:hAnsiTheme="minorEastAsia" w:eastAsiaTheme="minorEastAsia" w:cstheme="minorEastAsia"/>
                <w:color w:val="auto"/>
                <w:szCs w:val="24"/>
              </w:rPr>
            </w:pPr>
          </w:p>
        </w:tc>
      </w:tr>
      <w:tr w14:paraId="594E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2EB6EB1A">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011FEBA5">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0AFE3A25">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1CA7DD87">
            <w:pPr>
              <w:pStyle w:val="11"/>
              <w:spacing w:line="400" w:lineRule="atLeast"/>
              <w:jc w:val="center"/>
              <w:rPr>
                <w:rFonts w:hint="eastAsia" w:asciiTheme="minorEastAsia" w:hAnsiTheme="minorEastAsia" w:eastAsiaTheme="minorEastAsia" w:cstheme="minorEastAsia"/>
                <w:color w:val="auto"/>
                <w:szCs w:val="24"/>
              </w:rPr>
            </w:pPr>
          </w:p>
        </w:tc>
      </w:tr>
      <w:tr w14:paraId="248E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7F9D4686">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1673A692">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21F86034">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5C735A0C">
            <w:pPr>
              <w:pStyle w:val="11"/>
              <w:spacing w:line="400" w:lineRule="atLeast"/>
              <w:jc w:val="center"/>
              <w:rPr>
                <w:rFonts w:hint="eastAsia" w:asciiTheme="minorEastAsia" w:hAnsiTheme="minorEastAsia" w:eastAsiaTheme="minorEastAsia" w:cstheme="minorEastAsia"/>
                <w:color w:val="auto"/>
                <w:szCs w:val="24"/>
              </w:rPr>
            </w:pPr>
          </w:p>
        </w:tc>
      </w:tr>
      <w:tr w14:paraId="1443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4CFAF81C">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471DDB83">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03624D86">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2F2B56B7">
            <w:pPr>
              <w:pStyle w:val="11"/>
              <w:spacing w:line="400" w:lineRule="atLeast"/>
              <w:jc w:val="center"/>
              <w:rPr>
                <w:rFonts w:hint="eastAsia" w:asciiTheme="minorEastAsia" w:hAnsiTheme="minorEastAsia" w:eastAsiaTheme="minorEastAsia" w:cstheme="minorEastAsia"/>
                <w:color w:val="auto"/>
                <w:szCs w:val="24"/>
              </w:rPr>
            </w:pPr>
          </w:p>
        </w:tc>
      </w:tr>
      <w:tr w14:paraId="3015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1E3270D3">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34A2047C">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7C1148AD">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513F855E">
            <w:pPr>
              <w:pStyle w:val="11"/>
              <w:spacing w:line="400" w:lineRule="atLeast"/>
              <w:jc w:val="center"/>
              <w:rPr>
                <w:rFonts w:hint="eastAsia" w:asciiTheme="minorEastAsia" w:hAnsiTheme="minorEastAsia" w:eastAsiaTheme="minorEastAsia" w:cstheme="minorEastAsia"/>
                <w:color w:val="auto"/>
                <w:szCs w:val="24"/>
              </w:rPr>
            </w:pPr>
          </w:p>
        </w:tc>
      </w:tr>
      <w:tr w14:paraId="0C67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58B4533C">
            <w:pPr>
              <w:pStyle w:val="11"/>
              <w:spacing w:line="400" w:lineRule="atLeast"/>
              <w:jc w:val="center"/>
              <w:rPr>
                <w:rFonts w:hint="eastAsia" w:asciiTheme="minorEastAsia" w:hAnsiTheme="minorEastAsia" w:eastAsiaTheme="minorEastAsia" w:cstheme="minorEastAsia"/>
                <w:color w:val="auto"/>
                <w:szCs w:val="24"/>
              </w:rPr>
            </w:pPr>
          </w:p>
        </w:tc>
        <w:tc>
          <w:tcPr>
            <w:tcW w:w="2340" w:type="dxa"/>
            <w:noWrap w:val="0"/>
            <w:vAlign w:val="center"/>
          </w:tcPr>
          <w:p w14:paraId="46187458">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261E41C5">
            <w:pPr>
              <w:pStyle w:val="11"/>
              <w:spacing w:line="400" w:lineRule="atLeast"/>
              <w:jc w:val="center"/>
              <w:rPr>
                <w:rFonts w:hint="eastAsia" w:asciiTheme="minorEastAsia" w:hAnsiTheme="minorEastAsia" w:eastAsiaTheme="minorEastAsia" w:cstheme="minorEastAsia"/>
                <w:color w:val="auto"/>
                <w:szCs w:val="24"/>
              </w:rPr>
            </w:pPr>
          </w:p>
        </w:tc>
        <w:tc>
          <w:tcPr>
            <w:tcW w:w="2160" w:type="dxa"/>
            <w:noWrap w:val="0"/>
            <w:vAlign w:val="center"/>
          </w:tcPr>
          <w:p w14:paraId="11CE6BBA">
            <w:pPr>
              <w:pStyle w:val="11"/>
              <w:spacing w:line="400" w:lineRule="atLeast"/>
              <w:jc w:val="center"/>
              <w:rPr>
                <w:rFonts w:hint="eastAsia" w:asciiTheme="minorEastAsia" w:hAnsiTheme="minorEastAsia" w:eastAsiaTheme="minorEastAsia" w:cstheme="minorEastAsia"/>
                <w:color w:val="auto"/>
                <w:szCs w:val="24"/>
              </w:rPr>
            </w:pPr>
          </w:p>
        </w:tc>
      </w:tr>
    </w:tbl>
    <w:p w14:paraId="01F280DA">
      <w:pPr>
        <w:pStyle w:val="11"/>
        <w:spacing w:line="400" w:lineRule="atLeas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注：</w:t>
      </w:r>
    </w:p>
    <w:p w14:paraId="2FB32641">
      <w:pPr>
        <w:pStyle w:val="11"/>
        <w:spacing w:line="400" w:lineRule="atLeas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14:paraId="3A20CF44">
      <w:pPr>
        <w:pStyle w:val="11"/>
        <w:spacing w:line="400" w:lineRule="atLeas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2、投标人递交的技术规格书中必须真实逐条列明，否则由投标人自行承担相关风险。</w:t>
      </w:r>
    </w:p>
    <w:p w14:paraId="55A15711">
      <w:pPr>
        <w:pStyle w:val="11"/>
        <w:spacing w:line="400" w:lineRule="atLeas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3、此表在不改变格式的情况下可自行制作。</w:t>
      </w:r>
    </w:p>
    <w:p w14:paraId="02FC7F08">
      <w:pPr>
        <w:pStyle w:val="11"/>
        <w:spacing w:line="400" w:lineRule="atLeas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4、此表置于</w:t>
      </w:r>
      <w:r>
        <w:rPr>
          <w:rFonts w:hint="eastAsia" w:asciiTheme="minorEastAsia" w:hAnsiTheme="minorEastAsia" w:eastAsiaTheme="minorEastAsia" w:cstheme="minorEastAsia"/>
          <w:color w:val="auto"/>
          <w:szCs w:val="24"/>
          <w:lang w:val="en-US" w:eastAsia="zh-CN"/>
        </w:rPr>
        <w:t>商务技术文件</w:t>
      </w:r>
      <w:r>
        <w:rPr>
          <w:rFonts w:hint="eastAsia" w:asciiTheme="minorEastAsia" w:hAnsiTheme="minorEastAsia" w:eastAsiaTheme="minorEastAsia" w:cstheme="minorEastAsia"/>
          <w:color w:val="auto"/>
          <w:szCs w:val="24"/>
        </w:rPr>
        <w:t>中。</w:t>
      </w:r>
    </w:p>
    <w:p w14:paraId="75A60010">
      <w:pPr>
        <w:rPr>
          <w:rFonts w:hint="eastAsia" w:asciiTheme="minorEastAsia" w:hAnsiTheme="minorEastAsia" w:eastAsiaTheme="minorEastAsia" w:cstheme="minorEastAsia"/>
          <w:color w:val="auto"/>
          <w:sz w:val="28"/>
        </w:rPr>
      </w:pPr>
    </w:p>
    <w:p w14:paraId="4B2F44DF">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w:t>
      </w:r>
      <w:r>
        <w:rPr>
          <w:rFonts w:hint="eastAsia" w:asciiTheme="minorEastAsia" w:hAnsiTheme="minorEastAsia" w:eastAsiaTheme="minorEastAsia" w:cstheme="minorEastAsia"/>
          <w:color w:val="auto"/>
          <w:sz w:val="24"/>
          <w:szCs w:val="24"/>
          <w:u w:val="single"/>
        </w:rPr>
        <w:t xml:space="preserve">            （盖公章）              </w:t>
      </w:r>
    </w:p>
    <w:p w14:paraId="53F7E3B9">
      <w:pPr>
        <w:spacing w:line="360" w:lineRule="auto"/>
        <w:ind w:firstLine="425"/>
        <w:rPr>
          <w:rFonts w:hint="eastAsia" w:asciiTheme="minorEastAsia" w:hAnsiTheme="minorEastAsia" w:eastAsiaTheme="minorEastAsia" w:cstheme="minorEastAsia"/>
          <w:color w:val="auto"/>
          <w:sz w:val="24"/>
          <w:szCs w:val="24"/>
        </w:rPr>
      </w:pPr>
    </w:p>
    <w:p w14:paraId="1BC9AE50">
      <w:pPr>
        <w:spacing w:line="360" w:lineRule="auto"/>
        <w:ind w:firstLine="425"/>
        <w:rPr>
          <w:rFonts w:hint="eastAsia" w:asciiTheme="minorEastAsia" w:hAnsiTheme="minorEastAsia" w:eastAsiaTheme="minorEastAsia" w:cstheme="minorEastAsia"/>
          <w:color w:val="auto"/>
          <w:sz w:val="24"/>
          <w:szCs w:val="24"/>
          <w:u w:val="single"/>
        </w:rPr>
      </w:pPr>
    </w:p>
    <w:p w14:paraId="7672896B">
      <w:pPr>
        <w:spacing w:line="360" w:lineRule="auto"/>
        <w:rPr>
          <w:rFonts w:hint="eastAsia" w:ascii="仿宋" w:hAnsi="仿宋" w:eastAsia="仿宋" w:cs="仿宋"/>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7A7A2B7C">
      <w:pPr>
        <w:jc w:val="center"/>
        <w:rPr>
          <w:rFonts w:hint="eastAsia" w:asciiTheme="minorEastAsia" w:hAnsiTheme="minorEastAsia" w:eastAsiaTheme="minorEastAsia" w:cstheme="minorEastAsia"/>
          <w:color w:val="auto"/>
        </w:rPr>
      </w:pPr>
      <w:r>
        <w:rPr>
          <w:rFonts w:hint="eastAsia" w:ascii="黑体" w:hAnsi="黑体" w:eastAsia="仿宋_GB2312" w:cs="黑体"/>
          <w:b/>
          <w:color w:val="auto"/>
          <w:sz w:val="28"/>
          <w:szCs w:val="28"/>
        </w:rPr>
        <w:br w:type="page"/>
      </w:r>
      <w:r>
        <w:rPr>
          <w:rFonts w:hint="eastAsia" w:asciiTheme="minorEastAsia" w:hAnsiTheme="minorEastAsia" w:eastAsiaTheme="minorEastAsia" w:cstheme="minorEastAsia"/>
          <w:b/>
          <w:color w:val="auto"/>
          <w:sz w:val="28"/>
          <w:szCs w:val="28"/>
          <w:lang w:val="en-US" w:eastAsia="zh-CN"/>
        </w:rPr>
        <w:t>七</w:t>
      </w:r>
      <w:r>
        <w:rPr>
          <w:rFonts w:hint="eastAsia" w:asciiTheme="minorEastAsia" w:hAnsiTheme="minorEastAsia" w:eastAsiaTheme="minorEastAsia" w:cstheme="minorEastAsia"/>
          <w:b/>
          <w:color w:val="auto"/>
          <w:sz w:val="28"/>
          <w:szCs w:val="28"/>
        </w:rPr>
        <w:t>、投标人需要说明的其他文件和说明（格式自拟）</w:t>
      </w:r>
    </w:p>
    <w:p w14:paraId="7BB05CF9">
      <w:pPr>
        <w:rPr>
          <w:rFonts w:hint="eastAsia" w:asciiTheme="minorEastAsia" w:hAnsiTheme="minorEastAsia" w:eastAsiaTheme="minorEastAsia" w:cstheme="minorEastAsia"/>
        </w:rPr>
      </w:pPr>
    </w:p>
    <w:sectPr>
      <w:footerReference r:id="rId9" w:type="default"/>
      <w:footerReference r:id="rId10" w:type="even"/>
      <w:pgSz w:w="11906" w:h="16838"/>
      <w:pgMar w:top="1047" w:right="1028" w:bottom="604" w:left="1018" w:header="851" w:footer="907"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16893">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14:paraId="27AC4C0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C58AF">
    <w:pPr>
      <w:pStyle w:val="12"/>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1F7C56D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56EA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AE859">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0C1B5">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10BEE">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6A10BEE">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C624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1F996A">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601F996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36DB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C69EFA">
                          <w:pPr>
                            <w:pStyle w:val="12"/>
                            <w:rPr>
                              <w:rStyle w:val="22"/>
                            </w:rPr>
                          </w:pPr>
                          <w:r>
                            <w:fldChar w:fldCharType="begin"/>
                          </w:r>
                          <w:r>
                            <w:rPr>
                              <w:rStyle w:val="22"/>
                            </w:rPr>
                            <w:instrText xml:space="preserve">PAGE  </w:instrText>
                          </w:r>
                          <w:r>
                            <w:fldChar w:fldCharType="separate"/>
                          </w:r>
                          <w:r>
                            <w:rPr>
                              <w:rStyle w:val="22"/>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7C69EFA">
                    <w:pPr>
                      <w:pStyle w:val="12"/>
                      <w:rPr>
                        <w:rStyle w:val="22"/>
                      </w:rPr>
                    </w:pPr>
                    <w:r>
                      <w:fldChar w:fldCharType="begin"/>
                    </w:r>
                    <w:r>
                      <w:rPr>
                        <w:rStyle w:val="22"/>
                      </w:rPr>
                      <w:instrText xml:space="preserve">PAGE  </w:instrText>
                    </w:r>
                    <w:r>
                      <w:fldChar w:fldCharType="separate"/>
                    </w:r>
                    <w:r>
                      <w:rPr>
                        <w:rStyle w:val="22"/>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F946">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0</w:t>
    </w:r>
    <w:r>
      <w:fldChar w:fldCharType="end"/>
    </w:r>
  </w:p>
  <w:p w14:paraId="685BC814">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056D6"/>
    <w:multiLevelType w:val="singleLevel"/>
    <w:tmpl w:val="E22056D6"/>
    <w:lvl w:ilvl="0" w:tentative="0">
      <w:start w:val="3"/>
      <w:numFmt w:val="chineseCounting"/>
      <w:suff w:val="nothing"/>
      <w:lvlText w:val="%1、"/>
      <w:lvlJc w:val="left"/>
      <w:rPr>
        <w:rFonts w:hint="eastAsia"/>
      </w:rPr>
    </w:lvl>
  </w:abstractNum>
  <w:abstractNum w:abstractNumId="1">
    <w:nsid w:val="E7D2E73B"/>
    <w:multiLevelType w:val="singleLevel"/>
    <w:tmpl w:val="E7D2E73B"/>
    <w:lvl w:ilvl="0" w:tentative="0">
      <w:start w:val="1"/>
      <w:numFmt w:val="decimal"/>
      <w:pStyle w:val="5"/>
      <w:lvlText w:val="%1."/>
      <w:lvlJc w:val="left"/>
      <w:pPr>
        <w:tabs>
          <w:tab w:val="left" w:pos="360"/>
        </w:tabs>
        <w:ind w:left="360" w:hanging="360"/>
      </w:pPr>
    </w:lvl>
  </w:abstractNum>
  <w:abstractNum w:abstractNumId="2">
    <w:nsid w:val="22972513"/>
    <w:multiLevelType w:val="singleLevel"/>
    <w:tmpl w:val="22972513"/>
    <w:lvl w:ilvl="0" w:tentative="0">
      <w:start w:val="4"/>
      <w:numFmt w:val="chineseCounting"/>
      <w:suff w:val="space"/>
      <w:lvlText w:val="第%1章"/>
      <w:lvlJc w:val="left"/>
      <w:rPr>
        <w:rFonts w:hint="eastAsia"/>
      </w:rPr>
    </w:lvl>
  </w:abstractNum>
  <w:abstractNum w:abstractNumId="3">
    <w:nsid w:val="3F1D4832"/>
    <w:multiLevelType w:val="singleLevel"/>
    <w:tmpl w:val="3F1D4832"/>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395191119">
    <w15:presenceInfo w15:providerId="None" w15:userId="139519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NWNhYTk5NTQyN2Q1ODY0NjY4MjgxYzdmNTQ5NjIifQ=="/>
  </w:docVars>
  <w:rsids>
    <w:rsidRoot w:val="1ADC0818"/>
    <w:rsid w:val="00DD0341"/>
    <w:rsid w:val="02216EF0"/>
    <w:rsid w:val="02217FDE"/>
    <w:rsid w:val="030818FC"/>
    <w:rsid w:val="030D00F5"/>
    <w:rsid w:val="031374C5"/>
    <w:rsid w:val="032E44DC"/>
    <w:rsid w:val="03FD2384"/>
    <w:rsid w:val="04410D46"/>
    <w:rsid w:val="04504BAA"/>
    <w:rsid w:val="04784101"/>
    <w:rsid w:val="04BC5D9C"/>
    <w:rsid w:val="04C348FB"/>
    <w:rsid w:val="06205AE5"/>
    <w:rsid w:val="069522FC"/>
    <w:rsid w:val="070D6D82"/>
    <w:rsid w:val="07A86AAB"/>
    <w:rsid w:val="07B40FAC"/>
    <w:rsid w:val="08FB2C0B"/>
    <w:rsid w:val="0BB91287"/>
    <w:rsid w:val="0C831895"/>
    <w:rsid w:val="0CBC5855"/>
    <w:rsid w:val="0CDD0FA5"/>
    <w:rsid w:val="0D4E1EA3"/>
    <w:rsid w:val="0ECC307F"/>
    <w:rsid w:val="0F655282"/>
    <w:rsid w:val="0F9D2C6D"/>
    <w:rsid w:val="108543C8"/>
    <w:rsid w:val="11963E18"/>
    <w:rsid w:val="11B20C52"/>
    <w:rsid w:val="12661A3D"/>
    <w:rsid w:val="12E3308D"/>
    <w:rsid w:val="1310159D"/>
    <w:rsid w:val="13531FC1"/>
    <w:rsid w:val="13AB3BAB"/>
    <w:rsid w:val="13CB5FFB"/>
    <w:rsid w:val="14610F54"/>
    <w:rsid w:val="14C12F5A"/>
    <w:rsid w:val="14E530ED"/>
    <w:rsid w:val="15210B5F"/>
    <w:rsid w:val="153E45AB"/>
    <w:rsid w:val="15986308"/>
    <w:rsid w:val="15DB2014"/>
    <w:rsid w:val="160710E8"/>
    <w:rsid w:val="17475437"/>
    <w:rsid w:val="174A5D05"/>
    <w:rsid w:val="17AE0EE9"/>
    <w:rsid w:val="17E92EF4"/>
    <w:rsid w:val="183A78F6"/>
    <w:rsid w:val="195108AC"/>
    <w:rsid w:val="19A670B8"/>
    <w:rsid w:val="1ADC0818"/>
    <w:rsid w:val="1C534DE0"/>
    <w:rsid w:val="1D4110DC"/>
    <w:rsid w:val="1EDE5B69"/>
    <w:rsid w:val="1F470853"/>
    <w:rsid w:val="1F9B2DAC"/>
    <w:rsid w:val="200B429D"/>
    <w:rsid w:val="206671ED"/>
    <w:rsid w:val="20DD55C0"/>
    <w:rsid w:val="21662215"/>
    <w:rsid w:val="21B3271F"/>
    <w:rsid w:val="234A58B3"/>
    <w:rsid w:val="23804366"/>
    <w:rsid w:val="23E10F23"/>
    <w:rsid w:val="243C43AB"/>
    <w:rsid w:val="24BA47EE"/>
    <w:rsid w:val="263C2D4F"/>
    <w:rsid w:val="270F3FF9"/>
    <w:rsid w:val="27231678"/>
    <w:rsid w:val="275C0D8F"/>
    <w:rsid w:val="27677991"/>
    <w:rsid w:val="27702CEA"/>
    <w:rsid w:val="27846795"/>
    <w:rsid w:val="27B506FD"/>
    <w:rsid w:val="286C182A"/>
    <w:rsid w:val="287E31E4"/>
    <w:rsid w:val="28C01A4F"/>
    <w:rsid w:val="28D15C98"/>
    <w:rsid w:val="299D58EC"/>
    <w:rsid w:val="2AD74E2E"/>
    <w:rsid w:val="2AF64E81"/>
    <w:rsid w:val="2B307E9C"/>
    <w:rsid w:val="2C46226B"/>
    <w:rsid w:val="2DCC054E"/>
    <w:rsid w:val="2E494294"/>
    <w:rsid w:val="2E7110F5"/>
    <w:rsid w:val="2EAC0272"/>
    <w:rsid w:val="2ED03A6C"/>
    <w:rsid w:val="2F0401BB"/>
    <w:rsid w:val="2F212B1B"/>
    <w:rsid w:val="2F8D6403"/>
    <w:rsid w:val="314C1A25"/>
    <w:rsid w:val="31E4216D"/>
    <w:rsid w:val="329C5B2C"/>
    <w:rsid w:val="33492641"/>
    <w:rsid w:val="335222FD"/>
    <w:rsid w:val="3422536C"/>
    <w:rsid w:val="34602FDD"/>
    <w:rsid w:val="35EB5C31"/>
    <w:rsid w:val="368C2F70"/>
    <w:rsid w:val="36AA33F6"/>
    <w:rsid w:val="36DB5CA6"/>
    <w:rsid w:val="36E83F1F"/>
    <w:rsid w:val="371E3E47"/>
    <w:rsid w:val="37207EEF"/>
    <w:rsid w:val="37307DA0"/>
    <w:rsid w:val="3871454A"/>
    <w:rsid w:val="38D16CBB"/>
    <w:rsid w:val="391C0D1A"/>
    <w:rsid w:val="3A1A4D37"/>
    <w:rsid w:val="3A916DA7"/>
    <w:rsid w:val="3AE20037"/>
    <w:rsid w:val="3AF10209"/>
    <w:rsid w:val="3B750124"/>
    <w:rsid w:val="3C2E6878"/>
    <w:rsid w:val="3C8B3CCA"/>
    <w:rsid w:val="3CEC29BB"/>
    <w:rsid w:val="3D734E8A"/>
    <w:rsid w:val="3E444130"/>
    <w:rsid w:val="3EAE6AD9"/>
    <w:rsid w:val="3EE020AB"/>
    <w:rsid w:val="3FB7714C"/>
    <w:rsid w:val="400D3374"/>
    <w:rsid w:val="401F6C03"/>
    <w:rsid w:val="40242B4C"/>
    <w:rsid w:val="40923879"/>
    <w:rsid w:val="422449A5"/>
    <w:rsid w:val="42DD3A38"/>
    <w:rsid w:val="42F06635"/>
    <w:rsid w:val="42FA7FA2"/>
    <w:rsid w:val="431F3B16"/>
    <w:rsid w:val="43AF4742"/>
    <w:rsid w:val="441D7844"/>
    <w:rsid w:val="44540999"/>
    <w:rsid w:val="44BE2E8F"/>
    <w:rsid w:val="44C10289"/>
    <w:rsid w:val="44CE0742"/>
    <w:rsid w:val="456F23DB"/>
    <w:rsid w:val="468C0859"/>
    <w:rsid w:val="46E35B11"/>
    <w:rsid w:val="4774202F"/>
    <w:rsid w:val="488E0757"/>
    <w:rsid w:val="49940EDE"/>
    <w:rsid w:val="4A233794"/>
    <w:rsid w:val="4B46773A"/>
    <w:rsid w:val="4B5D2CD5"/>
    <w:rsid w:val="4BEA27BB"/>
    <w:rsid w:val="4BED2CAE"/>
    <w:rsid w:val="4C1F7DAB"/>
    <w:rsid w:val="4C575977"/>
    <w:rsid w:val="4D394B3D"/>
    <w:rsid w:val="4E1276A7"/>
    <w:rsid w:val="4E45017D"/>
    <w:rsid w:val="4E772300"/>
    <w:rsid w:val="4ED60DD5"/>
    <w:rsid w:val="4EEF42B8"/>
    <w:rsid w:val="4EF821DA"/>
    <w:rsid w:val="4F50502B"/>
    <w:rsid w:val="4FE90FDC"/>
    <w:rsid w:val="5014388A"/>
    <w:rsid w:val="50410931"/>
    <w:rsid w:val="50883755"/>
    <w:rsid w:val="50EF2622"/>
    <w:rsid w:val="51136310"/>
    <w:rsid w:val="51AD179C"/>
    <w:rsid w:val="51CD559C"/>
    <w:rsid w:val="520B5239"/>
    <w:rsid w:val="524710EC"/>
    <w:rsid w:val="526B5CD8"/>
    <w:rsid w:val="52720E14"/>
    <w:rsid w:val="527673D0"/>
    <w:rsid w:val="53233497"/>
    <w:rsid w:val="53A616BE"/>
    <w:rsid w:val="56670EB9"/>
    <w:rsid w:val="57BA23AE"/>
    <w:rsid w:val="58B3387C"/>
    <w:rsid w:val="58B343EB"/>
    <w:rsid w:val="59060509"/>
    <w:rsid w:val="597746A4"/>
    <w:rsid w:val="59AA5768"/>
    <w:rsid w:val="59F64A21"/>
    <w:rsid w:val="59F70789"/>
    <w:rsid w:val="5A8A32B5"/>
    <w:rsid w:val="5C2B112F"/>
    <w:rsid w:val="5C533A65"/>
    <w:rsid w:val="5D683540"/>
    <w:rsid w:val="5DA309D1"/>
    <w:rsid w:val="5DE53983"/>
    <w:rsid w:val="5EA51C4A"/>
    <w:rsid w:val="5F42499A"/>
    <w:rsid w:val="5F944465"/>
    <w:rsid w:val="5FB567E4"/>
    <w:rsid w:val="6252656D"/>
    <w:rsid w:val="62F615EE"/>
    <w:rsid w:val="65094F15"/>
    <w:rsid w:val="65206DF6"/>
    <w:rsid w:val="653528A1"/>
    <w:rsid w:val="65515201"/>
    <w:rsid w:val="657B79F4"/>
    <w:rsid w:val="65BB267B"/>
    <w:rsid w:val="6638778D"/>
    <w:rsid w:val="667B6DC6"/>
    <w:rsid w:val="67126190"/>
    <w:rsid w:val="67656D42"/>
    <w:rsid w:val="67797A29"/>
    <w:rsid w:val="684A6664"/>
    <w:rsid w:val="68725BBA"/>
    <w:rsid w:val="6A4610AD"/>
    <w:rsid w:val="6A7E67B9"/>
    <w:rsid w:val="6B6D264C"/>
    <w:rsid w:val="6BB474B0"/>
    <w:rsid w:val="6BBB1626"/>
    <w:rsid w:val="6BE0108D"/>
    <w:rsid w:val="6C7314A5"/>
    <w:rsid w:val="6D05528D"/>
    <w:rsid w:val="6D400035"/>
    <w:rsid w:val="6D5E2269"/>
    <w:rsid w:val="6D641E4C"/>
    <w:rsid w:val="6DAD1516"/>
    <w:rsid w:val="6E5E3657"/>
    <w:rsid w:val="6EA12D56"/>
    <w:rsid w:val="6EF53162"/>
    <w:rsid w:val="70514307"/>
    <w:rsid w:val="705E16A5"/>
    <w:rsid w:val="70BB4D56"/>
    <w:rsid w:val="70C7556A"/>
    <w:rsid w:val="7131532A"/>
    <w:rsid w:val="7134644B"/>
    <w:rsid w:val="727F515C"/>
    <w:rsid w:val="72F94B37"/>
    <w:rsid w:val="7423420D"/>
    <w:rsid w:val="74574874"/>
    <w:rsid w:val="74884CA9"/>
    <w:rsid w:val="74AA429D"/>
    <w:rsid w:val="74B55E99"/>
    <w:rsid w:val="74EE0377"/>
    <w:rsid w:val="74EE4AA7"/>
    <w:rsid w:val="7512440D"/>
    <w:rsid w:val="75D97A47"/>
    <w:rsid w:val="7754551C"/>
    <w:rsid w:val="786C7F30"/>
    <w:rsid w:val="78724169"/>
    <w:rsid w:val="79C67B14"/>
    <w:rsid w:val="7B326BAF"/>
    <w:rsid w:val="7B90733F"/>
    <w:rsid w:val="7D6E64F9"/>
    <w:rsid w:val="7E582D05"/>
    <w:rsid w:val="7E5C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kern w:val="44"/>
      <w:sz w:val="44"/>
    </w:rPr>
  </w:style>
  <w:style w:type="paragraph" w:styleId="4">
    <w:name w:val="heading 2"/>
    <w:basedOn w:val="1"/>
    <w:next w:val="1"/>
    <w:autoRedefine/>
    <w:qFormat/>
    <w:uiPriority w:val="0"/>
    <w:pPr>
      <w:keepNext/>
      <w:keepLines/>
      <w:autoSpaceDE/>
      <w:autoSpaceDN/>
      <w:adjustRightInd/>
      <w:spacing w:before="260" w:beforeLines="0" w:after="260" w:afterLines="0" w:line="413" w:lineRule="auto"/>
      <w:outlineLvl w:val="1"/>
    </w:pPr>
    <w:rPr>
      <w:rFonts w:ascii="Arial" w:hAnsi="Arial" w:eastAsia="黑体"/>
      <w:b/>
      <w:bCs/>
      <w:color w:val="auto"/>
      <w:kern w:val="2"/>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5">
    <w:name w:val="List Number"/>
    <w:basedOn w:val="1"/>
    <w:autoRedefine/>
    <w:qFormat/>
    <w:uiPriority w:val="0"/>
    <w:pPr>
      <w:numPr>
        <w:ilvl w:val="0"/>
        <w:numId w:val="1"/>
      </w:numPr>
    </w:pPr>
  </w:style>
  <w:style w:type="paragraph" w:styleId="6">
    <w:name w:val="Normal Indent"/>
    <w:basedOn w:val="1"/>
    <w:next w:val="1"/>
    <w:autoRedefine/>
    <w:qFormat/>
    <w:uiPriority w:val="0"/>
    <w:pPr>
      <w:autoSpaceDE/>
      <w:autoSpaceDN/>
      <w:adjustRightInd/>
      <w:ind w:firstLine="420"/>
    </w:pPr>
    <w:rPr>
      <w:rFonts w:eastAsia="宋体"/>
      <w:kern w:val="2"/>
      <w:sz w:val="21"/>
      <w:lang w:val="en-US" w:eastAsia="zh-CN" w:bidi="ar-SA"/>
    </w:rPr>
  </w:style>
  <w:style w:type="paragraph" w:styleId="7">
    <w:name w:val="Body Text"/>
    <w:basedOn w:val="1"/>
    <w:next w:val="8"/>
    <w:autoRedefine/>
    <w:qFormat/>
    <w:uiPriority w:val="0"/>
    <w:pPr>
      <w:spacing w:after="120" w:afterLines="0"/>
    </w:pPr>
  </w:style>
  <w:style w:type="paragraph" w:styleId="8">
    <w:name w:val="Body Text First Indent"/>
    <w:basedOn w:val="7"/>
    <w:next w:val="9"/>
    <w:autoRedefine/>
    <w:qFormat/>
    <w:uiPriority w:val="0"/>
    <w:pPr>
      <w:spacing w:line="312" w:lineRule="auto"/>
      <w:ind w:firstLine="420"/>
    </w:pPr>
    <w:rPr>
      <w:szCs w:val="24"/>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after="120" w:afterLines="0"/>
      <w:ind w:left="420" w:leftChars="200"/>
    </w:pPr>
  </w:style>
  <w:style w:type="paragraph" w:styleId="11">
    <w:name w:val="Plain Text"/>
    <w:basedOn w:val="1"/>
    <w:next w:val="1"/>
    <w:autoRedefine/>
    <w:qFormat/>
    <w:uiPriority w:val="0"/>
    <w:pPr>
      <w:autoSpaceDE/>
      <w:autoSpaceDN/>
      <w:adjustRightInd/>
    </w:pPr>
    <w:rPr>
      <w:rFonts w:eastAsia="宋体"/>
      <w:kern w:val="2"/>
      <w:sz w:val="24"/>
      <w:lang w:val="en-US" w:eastAsia="zh-CN" w:bidi="ar-SA"/>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autoRedefine/>
    <w:qFormat/>
    <w:uiPriority w:val="0"/>
    <w:pPr>
      <w:autoSpaceDE/>
      <w:autoSpaceDN/>
      <w:adjustRightInd/>
      <w:ind w:firstLine="435"/>
    </w:pPr>
    <w:rPr>
      <w:color w:val="auto"/>
      <w:kern w:val="2"/>
      <w:szCs w:val="24"/>
    </w:rPr>
  </w:style>
  <w:style w:type="paragraph" w:styleId="15">
    <w:name w:val="index 7"/>
    <w:basedOn w:val="1"/>
    <w:next w:val="1"/>
    <w:autoRedefine/>
    <w:qFormat/>
    <w:uiPriority w:val="0"/>
    <w:pPr>
      <w:ind w:left="1200" w:leftChars="1200"/>
    </w:p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10"/>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style>
  <w:style w:type="character" w:styleId="22">
    <w:name w:val="page number"/>
    <w:basedOn w:val="20"/>
    <w:autoRedefine/>
    <w:qFormat/>
    <w:uiPriority w:val="0"/>
  </w:style>
  <w:style w:type="paragraph" w:customStyle="1" w:styleId="23">
    <w:name w:val="Body Text First Indent 21"/>
    <w:basedOn w:val="24"/>
    <w:autoRedefine/>
    <w:qFormat/>
    <w:uiPriority w:val="0"/>
    <w:pPr>
      <w:ind w:firstLine="420"/>
    </w:pPr>
    <w:rPr>
      <w:rFonts w:cs="宋体"/>
    </w:rPr>
  </w:style>
  <w:style w:type="paragraph" w:customStyle="1" w:styleId="24">
    <w:name w:val="Body Text Indent1"/>
    <w:basedOn w:val="1"/>
    <w:next w:val="1"/>
    <w:autoRedefine/>
    <w:qFormat/>
    <w:uiPriority w:val="0"/>
    <w:pPr>
      <w:spacing w:after="120"/>
      <w:ind w:left="420" w:leftChars="200"/>
    </w:pPr>
  </w:style>
  <w:style w:type="paragraph" w:customStyle="1" w:styleId="2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26">
    <w:name w:val="表格文字"/>
    <w:basedOn w:val="27"/>
    <w:next w:val="7"/>
    <w:autoRedefine/>
    <w:qFormat/>
    <w:uiPriority w:val="0"/>
    <w:pPr>
      <w:autoSpaceDE/>
      <w:autoSpaceDN/>
      <w:adjustRightInd/>
      <w:spacing w:line="300" w:lineRule="exact"/>
      <w:jc w:val="both"/>
    </w:pPr>
    <w:rPr>
      <w:rFonts w:ascii="Arial Narrow" w:hAnsi="Arial Narrow"/>
      <w:kern w:val="2"/>
    </w:rPr>
  </w:style>
  <w:style w:type="paragraph" w:customStyle="1" w:styleId="27">
    <w:name w:val="表格文字（两侧对齐）"/>
    <w:basedOn w:val="1"/>
    <w:autoRedefine/>
    <w:qFormat/>
    <w:uiPriority w:val="0"/>
    <w:pPr>
      <w:snapToGrid w:val="0"/>
    </w:pPr>
    <w:rPr>
      <w:sz w:val="20"/>
      <w:szCs w:val="24"/>
    </w:rPr>
  </w:style>
  <w:style w:type="paragraph" w:customStyle="1" w:styleId="28">
    <w:name w:val="Body Text First Indent 2"/>
    <w:basedOn w:val="29"/>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29">
    <w:name w:val="Body Text Indent"/>
    <w:basedOn w:val="1"/>
    <w:next w:val="1"/>
    <w:autoRedefine/>
    <w:qFormat/>
    <w:uiPriority w:val="0"/>
    <w:pPr>
      <w:spacing w:after="120" w:afterLines="0"/>
      <w:ind w:left="420" w:leftChars="200"/>
    </w:pPr>
    <w:rPr>
      <w:color w:val="000000"/>
      <w:sz w:val="21"/>
      <w:szCs w:val="21"/>
    </w:rPr>
  </w:style>
  <w:style w:type="paragraph" w:customStyle="1" w:styleId="30">
    <w:name w:val="列出段落1"/>
    <w:basedOn w:val="1"/>
    <w:autoRedefine/>
    <w:qFormat/>
    <w:uiPriority w:val="0"/>
    <w:pPr>
      <w:ind w:firstLine="200" w:firstLineChars="200"/>
    </w:pPr>
    <w:rPr>
      <w:rFonts w:ascii="Calibri" w:hAnsi="Calibri"/>
      <w:szCs w:val="22"/>
    </w:rPr>
  </w:style>
  <w:style w:type="paragraph" w:customStyle="1" w:styleId="31">
    <w:name w:val="文本正文宋体缩进"/>
    <w:basedOn w:val="1"/>
    <w:next w:val="1"/>
    <w:autoRedefine/>
    <w:qFormat/>
    <w:uiPriority w:val="0"/>
    <w:pPr>
      <w:autoSpaceDE/>
      <w:autoSpaceDN/>
      <w:adjustRightInd/>
      <w:spacing w:line="360" w:lineRule="auto"/>
      <w:ind w:firstLine="480" w:firstLineChars="200"/>
    </w:pPr>
    <w:rPr>
      <w:color w:val="auto"/>
      <w:kern w:val="2"/>
      <w:sz w:val="24"/>
    </w:rPr>
  </w:style>
  <w:style w:type="paragraph" w:customStyle="1" w:styleId="32">
    <w:name w:val="Body Text First Indent 2_1c006aba-3967-483b-99f8-60356628c6f2"/>
    <w:basedOn w:val="33"/>
    <w:autoRedefine/>
    <w:qFormat/>
    <w:uiPriority w:val="0"/>
    <w:pPr>
      <w:spacing w:after="120" w:line="240" w:lineRule="auto"/>
      <w:ind w:left="420" w:leftChars="200" w:firstLine="420"/>
    </w:pPr>
    <w:rPr>
      <w:rFonts w:ascii="Times New Roman" w:hAnsi="Times New Roman" w:eastAsia="宋体" w:cs="宋体"/>
      <w:sz w:val="21"/>
      <w:szCs w:val="21"/>
    </w:rPr>
  </w:style>
  <w:style w:type="paragraph" w:customStyle="1" w:styleId="33">
    <w:name w:val="Body Text Indent_5ecbd7ac-076a-452a-9366-183183c88c17"/>
    <w:basedOn w:val="1"/>
    <w:next w:val="1"/>
    <w:autoRedefine/>
    <w:qFormat/>
    <w:uiPriority w:val="0"/>
    <w:pPr>
      <w:autoSpaceDE/>
      <w:autoSpaceDN/>
      <w:adjustRightInd/>
      <w:spacing w:line="420" w:lineRule="exact"/>
      <w:ind w:left="630" w:hanging="150"/>
    </w:pPr>
    <w:rPr>
      <w:rFonts w:ascii="楷体_GB2312" w:eastAsia="楷体_GB2312"/>
      <w:sz w:val="28"/>
      <w:lang w:bidi="ar-SA"/>
    </w:rPr>
  </w:style>
  <w:style w:type="paragraph" w:customStyle="1" w:styleId="34">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35">
    <w:name w:val="纯文本_0_0"/>
    <w:basedOn w:val="36"/>
    <w:qFormat/>
    <w:uiPriority w:val="0"/>
    <w:rPr>
      <w:rFonts w:ascii="宋体" w:hAnsi="Courier New"/>
      <w:kern w:val="2"/>
      <w:sz w:val="21"/>
      <w:lang w:val="en-US" w:eastAsia="zh-CN"/>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24339</Words>
  <Characters>25835</Characters>
  <Lines>0</Lines>
  <Paragraphs>0</Paragraphs>
  <TotalTime>74</TotalTime>
  <ScaleCrop>false</ScaleCrop>
  <LinksUpToDate>false</LinksUpToDate>
  <CharactersWithSpaces>27030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2024-06-27T00:43:00Z</dcterms:created>
  <dc:creator>J。</dc:creator>
  <cp:lastModifiedBy>J。</cp:lastModifiedBy>
  <cp:lastPrinted>2024-07-16T08:21:00Z</cp:lastPrinted>
  <dcterms:modified xsi:type="dcterms:W3CDTF">2024-10-09T02:07:06Z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FA1C8B423CDA4C61B3CF8CE8BD918B6A_11</vt:lpwstr>
  </property>
</Properties>
</file>